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26.xml" ContentType="application/vnd.openxmlformats-officedocument.themeOverride+xml"/>
  <Override PartName="/word/charts/chart149.xml" ContentType="application/vnd.openxmlformats-officedocument.drawingml.chart+xml"/>
  <Override PartName="/word/theme/themeOverride51.xml" ContentType="application/vnd.openxmlformats-officedocument.themeOverride+xml"/>
  <Override PartName="/word/charts/chart59.xml" ContentType="application/vnd.openxmlformats-officedocument.drawingml.chart+xml"/>
  <Override PartName="/word/theme/themeOverride40.xml" ContentType="application/vnd.openxmlformats-officedocument.themeOverride+xml"/>
  <Override PartName="/word/charts/chart13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52.xml" ContentType="application/vnd.openxmlformats-officedocument.drawingml.chart+xml"/>
  <Override PartName="/word/charts/chart163.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charts/chart141.xml" ContentType="application/vnd.openxmlformats-officedocument.drawingml.chart+xml"/>
  <Override PartName="/word/charts/chart51.xml" ContentType="application/vnd.openxmlformats-officedocument.drawingml.chart+xml"/>
  <Default Extension="xlsx" ContentType="application/vnd.openxmlformats-officedocument.spreadsheetml.sheet"/>
  <Override PartName="/word/charts/chart130.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34.xml" ContentType="application/vnd.openxmlformats-officedocument.themeOverride+xml"/>
  <Override PartName="/word/charts/chart89.xml" ContentType="application/vnd.openxmlformats-officedocument.drawingml.chart+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Default Extension="emf" ContentType="image/x-emf"/>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theme/themeOverride12.xml" ContentType="application/vnd.openxmlformats-officedocument.themeOverride+xml"/>
  <Override PartName="/word/theme/themeOverride30.xml" ContentType="application/vnd.openxmlformats-officedocument.themeOverride+xml"/>
  <Override PartName="/word/charts/chart128.xml" ContentType="application/vnd.openxmlformats-officedocument.drawingml.chart+xml"/>
  <Override PartName="/word/charts/chart139.xml" ContentType="application/vnd.openxmlformats-officedocument.drawingml.chart+xml"/>
  <Override PartName="/word/charts/chart157.xml" ContentType="application/vnd.openxmlformats-officedocument.drawingml.chart+xml"/>
  <Override PartName="/word/drawings/drawing3.xml" ContentType="application/vnd.openxmlformats-officedocument.drawingml.chartshapes+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60.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0.xml" ContentType="application/vnd.openxmlformats-officedocument.drawingml.chart+xml"/>
  <Override PartName="/word/theme/themeOverride3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theme/themeOverride17.xml" ContentType="application/vnd.openxmlformats-officedocument.themeOverride+xml"/>
  <Override PartName="/word/theme/themeOverride28.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charts/chart158.xml" ContentType="application/vnd.openxmlformats-officedocument.drawingml.chart+xml"/>
  <Default Extension="wmf" ContentType="image/x-wmf"/>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theme/themeOverride20.xml" ContentType="application/vnd.openxmlformats-officedocument.themeOverride+xml"/>
  <Override PartName="/word/theme/themeOverride31.xml" ContentType="application/vnd.openxmlformats-officedocument.themeOverride+xml"/>
  <Override PartName="/word/charts/chart12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161.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theme/themeOverride29.xml" ContentType="application/vnd.openxmlformats-officedocument.themeOverride+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charts/chart98.xml" ContentType="application/vnd.openxmlformats-officedocument.drawingml.chart+xml"/>
  <Override PartName="/word/theme/themeOverride14.xml" ContentType="application/vnd.openxmlformats-officedocument.themeOverride+xml"/>
  <Override PartName="/word/theme/themeOverride32.xml" ContentType="application/vnd.openxmlformats-officedocument.themeOverride+xml"/>
  <Override PartName="/word/charts/chart159.xml" ContentType="application/vnd.openxmlformats-officedocument.drawingml.chart+xml"/>
  <Override PartName="/word/charts/chart69.xml" ContentType="application/vnd.openxmlformats-officedocument.drawingml.chart+xml"/>
  <Override PartName="/word/charts/chart87.xml" ContentType="application/vnd.openxmlformats-officedocument.drawingml.chart+xml"/>
  <Override PartName="/word/theme/themeOverride21.xml" ContentType="application/vnd.openxmlformats-officedocument.themeOverride+xml"/>
  <Override PartName="/word/charts/chart119.xml" ContentType="application/vnd.openxmlformats-officedocument.drawingml.chart+xml"/>
  <Default Extension="jpeg" ContentType="image/jpeg"/>
  <Override PartName="/word/charts/chart137.xml" ContentType="application/vnd.openxmlformats-officedocument.drawingml.chart+xml"/>
  <Override PartName="/word/charts/chart148.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theme/themeOverride10.xml" ContentType="application/vnd.openxmlformats-officedocument.themeOverride+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footer2.xml" ContentType="application/vnd.openxmlformats-officedocument.wordprocessingml.footer+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162.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theme/themeOverride9.xml" ContentType="application/vnd.openxmlformats-officedocument.themeOverride+xml"/>
  <Override PartName="/word/charts/chart111.xml" ContentType="application/vnd.openxmlformats-officedocument.drawingml.chart+xml"/>
  <Override PartName="/word/theme/themeOverride19.xml" ContentType="application/vnd.openxmlformats-officedocument.themeOverride+xml"/>
  <Override PartName="/word/charts/chart140.xml" ContentType="application/vnd.openxmlformats-officedocument.drawingml.chart+xml"/>
  <Override PartName="/word/theme/themeOverride48.xml" ContentType="application/vnd.openxmlformats-officedocument.themeOverride+xml"/>
  <Override PartName="/word/charts/chart21.xml" ContentType="application/vnd.openxmlformats-officedocument.drawingml.chart+xml"/>
  <Override PartName="/word/charts/chart100.xml" ContentType="application/vnd.openxmlformats-officedocument.drawingml.chart+xml"/>
  <Override PartName="/word/theme/themeOverride37.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charts/chart99.xml" ContentType="application/vnd.openxmlformats-officedocument.drawingml.chart+xml"/>
  <Override PartName="/word/theme/themeOverride22.xml" ContentType="application/vnd.openxmlformats-officedocument.themeOverride+xml"/>
  <Override PartName="/word/theme/themeOverride33.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109.xml" ContentType="application/vnd.openxmlformats-officedocument.drawingml.chart+xml"/>
  <Override PartName="/word/charts/chart156.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55.xml" ContentType="application/vnd.openxmlformats-officedocument.drawingml.chart+xml"/>
  <Override PartName="/word/charts/chart134.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theme/themeOverride27.xml" ContentType="application/vnd.openxmlformats-officedocument.themeOverride+xml"/>
  <Default Extension="bin" ContentType="application/vnd.openxmlformats-officedocument.oleObject"/>
  <Override PartName="/word/theme/themeOverride1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89D" w:rsidRPr="00256E13" w:rsidRDefault="00810D5B" w:rsidP="0089789D">
      <w:pPr>
        <w:pStyle w:val="Header"/>
        <w:tabs>
          <w:tab w:val="clear" w:pos="4680"/>
          <w:tab w:val="clear" w:pos="9360"/>
          <w:tab w:val="left" w:pos="9000"/>
        </w:tabs>
        <w:jc w:val="center"/>
        <w:rPr>
          <w:rFonts w:ascii="Times New Roman" w:hAnsi="Times New Roman"/>
          <w:sz w:val="32"/>
          <w:szCs w:val="32"/>
          <w:lang w:val="ro-RO"/>
        </w:rPr>
      </w:pPr>
      <w:r w:rsidRPr="00810D5B">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4pt;margin-top:17.15pt;width:52pt;height:43.8pt;z-index:-251658240">
            <v:imagedata r:id="rId8" o:title=""/>
          </v:shape>
          <o:OLEObject Type="Embed" ProgID="CorelDRAW.Graphic.13" ShapeID="_x0000_s1027" DrawAspect="Content" ObjectID="_1499854697" r:id="rId9"/>
        </w:pict>
      </w:r>
      <w:r w:rsidR="00DD4B09">
        <w:rPr>
          <w:noProof/>
          <w:lang w:val="ro-RO" w:eastAsia="ro-RO"/>
        </w:rPr>
        <w:drawing>
          <wp:anchor distT="0" distB="0" distL="114300" distR="114300" simplePos="0" relativeHeight="251657216" behindDoc="0" locked="0" layoutInCell="1" allowOverlap="1">
            <wp:simplePos x="0" y="0"/>
            <wp:positionH relativeFrom="column">
              <wp:posOffset>-60325</wp:posOffset>
            </wp:positionH>
            <wp:positionV relativeFrom="paragraph">
              <wp:posOffset>87630</wp:posOffset>
            </wp:positionV>
            <wp:extent cx="669925" cy="686435"/>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r="75635"/>
                    <a:stretch>
                      <a:fillRect/>
                    </a:stretch>
                  </pic:blipFill>
                  <pic:spPr bwMode="auto">
                    <a:xfrm>
                      <a:off x="0" y="0"/>
                      <a:ext cx="669925" cy="686435"/>
                    </a:xfrm>
                    <a:prstGeom prst="rect">
                      <a:avLst/>
                    </a:prstGeom>
                    <a:noFill/>
                  </pic:spPr>
                </pic:pic>
              </a:graphicData>
            </a:graphic>
          </wp:anchor>
        </w:drawing>
      </w:r>
      <w:r w:rsidR="0089789D">
        <w:tab/>
        <w:t xml:space="preserve">   </w:t>
      </w:r>
      <w:r w:rsidR="0089789D" w:rsidRPr="00256E13">
        <w:rPr>
          <w:rFonts w:ascii="Times New Roman" w:hAnsi="Times New Roman"/>
          <w:b/>
          <w:sz w:val="32"/>
          <w:szCs w:val="32"/>
        </w:rPr>
        <w:t>Ministerul Mediului</w:t>
      </w:r>
      <w:r w:rsidR="00DE258E">
        <w:rPr>
          <w:rFonts w:ascii="Times New Roman" w:hAnsi="Times New Roman"/>
          <w:b/>
          <w:sz w:val="32"/>
          <w:szCs w:val="32"/>
        </w:rPr>
        <w:t>, Apelor</w:t>
      </w:r>
      <w:r w:rsidR="0089789D" w:rsidRPr="00256E13">
        <w:rPr>
          <w:rFonts w:ascii="Times New Roman" w:hAnsi="Times New Roman"/>
          <w:b/>
          <w:sz w:val="32"/>
          <w:szCs w:val="32"/>
        </w:rPr>
        <w:t xml:space="preserve"> </w:t>
      </w:r>
      <w:r w:rsidR="0089789D" w:rsidRPr="00256E13">
        <w:rPr>
          <w:rFonts w:ascii="Times New Roman" w:hAnsi="Times New Roman"/>
          <w:b/>
          <w:sz w:val="32"/>
          <w:szCs w:val="32"/>
          <w:lang w:val="ro-RO"/>
        </w:rPr>
        <w:t xml:space="preserve">şi </w:t>
      </w:r>
      <w:r w:rsidR="00DE258E">
        <w:rPr>
          <w:rFonts w:ascii="Times New Roman" w:hAnsi="Times New Roman"/>
          <w:b/>
          <w:sz w:val="32"/>
          <w:szCs w:val="32"/>
          <w:lang w:val="ro-RO"/>
        </w:rPr>
        <w:t>Pădurilor</w:t>
      </w:r>
    </w:p>
    <w:p w:rsidR="0089789D" w:rsidRPr="00256E13" w:rsidRDefault="0089789D" w:rsidP="00957825">
      <w:pPr>
        <w:tabs>
          <w:tab w:val="left" w:pos="3270"/>
        </w:tabs>
        <w:jc w:val="center"/>
        <w:rPr>
          <w:rFonts w:ascii="Times New Roman" w:hAnsi="Times New Roman"/>
          <w:sz w:val="36"/>
          <w:szCs w:val="36"/>
        </w:rPr>
      </w:pPr>
      <w:r w:rsidRPr="00256E13">
        <w:rPr>
          <w:rFonts w:ascii="Times New Roman" w:hAnsi="Times New Roman"/>
          <w:b/>
          <w:sz w:val="36"/>
          <w:szCs w:val="36"/>
        </w:rPr>
        <w:t>Agen</w:t>
      </w:r>
      <w:r w:rsidRPr="00256E13">
        <w:rPr>
          <w:rFonts w:ascii="Times New Roman" w:hAnsi="Times New Roman"/>
          <w:b/>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676"/>
      </w:tblGrid>
      <w:tr w:rsidR="003C6148" w:rsidRPr="00E05ED6" w:rsidTr="00E05ED6">
        <w:trPr>
          <w:trHeight w:val="226"/>
        </w:trPr>
        <w:tc>
          <w:tcPr>
            <w:tcW w:w="9676" w:type="dxa"/>
            <w:tcBorders>
              <w:top w:val="single" w:sz="8" w:space="0" w:color="000000"/>
              <w:left w:val="nil"/>
              <w:bottom w:val="single" w:sz="8" w:space="0" w:color="000000"/>
              <w:right w:val="nil"/>
            </w:tcBorders>
            <w:shd w:val="clear" w:color="auto" w:fill="auto"/>
          </w:tcPr>
          <w:p w:rsidR="003C6148" w:rsidRPr="00E05ED6" w:rsidRDefault="003C6148" w:rsidP="00E05ED6">
            <w:pPr>
              <w:pStyle w:val="Header"/>
              <w:tabs>
                <w:tab w:val="clear" w:pos="4680"/>
                <w:tab w:val="clear" w:pos="9360"/>
              </w:tabs>
              <w:spacing w:before="120"/>
              <w:jc w:val="center"/>
              <w:rPr>
                <w:rFonts w:ascii="Garamond" w:hAnsi="Garamond"/>
                <w:b/>
                <w:bCs/>
                <w:sz w:val="36"/>
                <w:szCs w:val="36"/>
                <w:lang w:val="ro-RO"/>
              </w:rPr>
            </w:pPr>
            <w:r w:rsidRPr="00E05ED6">
              <w:rPr>
                <w:rFonts w:ascii="Times New Roman" w:hAnsi="Times New Roman"/>
                <w:b/>
                <w:bCs/>
                <w:sz w:val="36"/>
                <w:szCs w:val="36"/>
                <w:lang w:val="ro-RO"/>
              </w:rPr>
              <w:t xml:space="preserve">Agenţia pentru Protecţia Mediului </w:t>
            </w:r>
            <w:r w:rsidR="0029798B">
              <w:rPr>
                <w:rFonts w:ascii="Times New Roman" w:hAnsi="Times New Roman"/>
                <w:b/>
                <w:bCs/>
                <w:sz w:val="36"/>
                <w:szCs w:val="36"/>
                <w:lang w:val="ro-RO"/>
              </w:rPr>
              <w:t>Buzău</w:t>
            </w:r>
          </w:p>
        </w:tc>
      </w:tr>
    </w:tbl>
    <w:p w:rsidR="0089789D" w:rsidRPr="003C6148" w:rsidRDefault="0089789D" w:rsidP="003C6148">
      <w:pPr>
        <w:pStyle w:val="Header"/>
        <w:tabs>
          <w:tab w:val="clear" w:pos="4680"/>
          <w:tab w:val="clear" w:pos="9360"/>
        </w:tabs>
        <w:spacing w:before="120"/>
        <w:rPr>
          <w:rFonts w:ascii="Garamond" w:hAnsi="Garamond"/>
          <w:b/>
          <w:bCs/>
          <w:color w:val="FFFFFF"/>
          <w:sz w:val="16"/>
          <w:szCs w:val="16"/>
          <w:lang w:val="fr-FR"/>
        </w:rPr>
      </w:pPr>
    </w:p>
    <w:p w:rsidR="0089789D" w:rsidRDefault="0089789D" w:rsidP="00256E13">
      <w:pPr>
        <w:spacing w:before="120" w:line="60" w:lineRule="atLeast"/>
        <w:outlineLvl w:val="0"/>
        <w:rPr>
          <w:rFonts w:ascii="Times New Roman" w:hAnsi="Times New Roman"/>
          <w:b/>
          <w:sz w:val="28"/>
          <w:szCs w:val="28"/>
          <w:lang w:val="ro-RO"/>
        </w:rPr>
      </w:pPr>
    </w:p>
    <w:p w:rsidR="00525F51" w:rsidRDefault="00525F51" w:rsidP="00256E13">
      <w:pPr>
        <w:spacing w:before="120" w:line="60" w:lineRule="atLeast"/>
        <w:outlineLvl w:val="0"/>
        <w:rPr>
          <w:rFonts w:ascii="Times New Roman" w:hAnsi="Times New Roman"/>
          <w:b/>
          <w:sz w:val="28"/>
          <w:szCs w:val="28"/>
          <w:lang w:val="ro-RO"/>
        </w:rPr>
      </w:pPr>
    </w:p>
    <w:p w:rsidR="00696713" w:rsidRPr="008A0A34" w:rsidRDefault="00696713" w:rsidP="00525F51">
      <w:pPr>
        <w:tabs>
          <w:tab w:val="left" w:pos="3030"/>
          <w:tab w:val="center" w:pos="4820"/>
        </w:tabs>
        <w:spacing w:after="0" w:line="240" w:lineRule="auto"/>
        <w:jc w:val="center"/>
        <w:rPr>
          <w:rFonts w:ascii="Arial" w:hAnsi="Arial" w:cs="Arial"/>
          <w:b/>
          <w:sz w:val="72"/>
          <w:szCs w:val="72"/>
          <w:lang w:val="sv-SE"/>
        </w:rPr>
      </w:pPr>
      <w:r w:rsidRPr="008A0A34">
        <w:rPr>
          <w:rFonts w:ascii="Arial" w:hAnsi="Arial" w:cs="Arial"/>
          <w:b/>
          <w:sz w:val="72"/>
          <w:szCs w:val="72"/>
          <w:lang w:val="sv-SE"/>
        </w:rPr>
        <w:t>RAPORT</w:t>
      </w:r>
    </w:p>
    <w:p w:rsidR="00696713" w:rsidRPr="008A0A34" w:rsidRDefault="00696713" w:rsidP="00525F51">
      <w:pPr>
        <w:spacing w:after="0" w:line="240" w:lineRule="auto"/>
        <w:jc w:val="center"/>
        <w:rPr>
          <w:rFonts w:ascii="Arial" w:hAnsi="Arial" w:cs="Arial"/>
          <w:b/>
          <w:sz w:val="72"/>
          <w:szCs w:val="72"/>
          <w:lang w:val="sv-SE"/>
        </w:rPr>
      </w:pPr>
      <w:r w:rsidRPr="008A0A34">
        <w:rPr>
          <w:rFonts w:ascii="Arial" w:hAnsi="Arial" w:cs="Arial"/>
          <w:b/>
          <w:sz w:val="72"/>
          <w:szCs w:val="72"/>
          <w:lang w:val="sv-SE"/>
        </w:rPr>
        <w:t>PRIVIND</w:t>
      </w:r>
    </w:p>
    <w:p w:rsidR="00696713" w:rsidRPr="008A0A34" w:rsidRDefault="00696713" w:rsidP="00525F51">
      <w:pPr>
        <w:spacing w:after="0" w:line="240" w:lineRule="auto"/>
        <w:jc w:val="center"/>
        <w:rPr>
          <w:rFonts w:ascii="Arial" w:hAnsi="Arial" w:cs="Arial"/>
          <w:b/>
          <w:sz w:val="72"/>
          <w:szCs w:val="72"/>
          <w:lang w:val="sv-SE"/>
        </w:rPr>
      </w:pPr>
    </w:p>
    <w:p w:rsidR="00696713" w:rsidRPr="008A0A34" w:rsidRDefault="00696713" w:rsidP="00525F51">
      <w:pPr>
        <w:spacing w:after="0" w:line="240" w:lineRule="auto"/>
        <w:jc w:val="center"/>
        <w:rPr>
          <w:rFonts w:ascii="Arial" w:hAnsi="Arial" w:cs="Arial"/>
          <w:b/>
          <w:sz w:val="72"/>
          <w:szCs w:val="72"/>
          <w:lang w:val="sv-SE"/>
        </w:rPr>
      </w:pPr>
      <w:r w:rsidRPr="008A0A34">
        <w:rPr>
          <w:rFonts w:ascii="Arial" w:hAnsi="Arial" w:cs="Arial"/>
          <w:b/>
          <w:sz w:val="72"/>
          <w:szCs w:val="72"/>
          <w:lang w:val="sv-SE"/>
        </w:rPr>
        <w:t>STAREA MEDIULUI</w:t>
      </w:r>
    </w:p>
    <w:p w:rsidR="00696713" w:rsidRPr="008A0A34" w:rsidRDefault="00696713" w:rsidP="00525F51">
      <w:pPr>
        <w:spacing w:after="0" w:line="240" w:lineRule="auto"/>
        <w:jc w:val="center"/>
        <w:rPr>
          <w:rFonts w:ascii="Arial" w:hAnsi="Arial" w:cs="Arial"/>
          <w:b/>
          <w:sz w:val="72"/>
          <w:szCs w:val="72"/>
          <w:lang w:val="sv-SE"/>
        </w:rPr>
      </w:pPr>
      <w:r w:rsidRPr="008A0A34">
        <w:rPr>
          <w:rFonts w:ascii="Arial" w:hAnsi="Arial" w:cs="Arial"/>
          <w:b/>
          <w:sz w:val="72"/>
          <w:szCs w:val="72"/>
          <w:lang w:val="sv-SE"/>
        </w:rPr>
        <w:t>ÎN</w:t>
      </w:r>
    </w:p>
    <w:p w:rsidR="00696713" w:rsidRPr="008A0A34" w:rsidRDefault="00696713" w:rsidP="00525F51">
      <w:pPr>
        <w:spacing w:after="0" w:line="240" w:lineRule="auto"/>
        <w:jc w:val="center"/>
        <w:rPr>
          <w:rFonts w:ascii="Arial" w:hAnsi="Arial" w:cs="Arial"/>
          <w:b/>
          <w:sz w:val="72"/>
          <w:szCs w:val="72"/>
          <w:lang w:val="sv-SE"/>
        </w:rPr>
      </w:pPr>
      <w:r w:rsidRPr="008A0A34">
        <w:rPr>
          <w:rFonts w:ascii="Arial" w:hAnsi="Arial" w:cs="Arial"/>
          <w:b/>
          <w:sz w:val="72"/>
          <w:szCs w:val="72"/>
          <w:lang w:val="sv-SE"/>
        </w:rPr>
        <w:t>JUDEŢUL BUZĂU</w:t>
      </w:r>
    </w:p>
    <w:p w:rsidR="00696713" w:rsidRPr="008A0A34" w:rsidRDefault="00696713" w:rsidP="00525F51">
      <w:pPr>
        <w:spacing w:after="0" w:line="240" w:lineRule="auto"/>
        <w:jc w:val="center"/>
        <w:rPr>
          <w:rFonts w:ascii="Arial" w:hAnsi="Arial" w:cs="Arial"/>
          <w:b/>
          <w:sz w:val="72"/>
          <w:szCs w:val="72"/>
          <w:lang w:val="sv-SE"/>
        </w:rPr>
      </w:pPr>
    </w:p>
    <w:p w:rsidR="00696713" w:rsidRDefault="00696713" w:rsidP="00525F51">
      <w:pPr>
        <w:spacing w:after="0" w:line="240" w:lineRule="auto"/>
        <w:jc w:val="center"/>
        <w:rPr>
          <w:rFonts w:ascii="Arial" w:hAnsi="Arial" w:cs="Arial"/>
          <w:b/>
          <w:sz w:val="72"/>
          <w:szCs w:val="72"/>
          <w:lang w:val="sv-SE"/>
        </w:rPr>
      </w:pPr>
      <w:r>
        <w:rPr>
          <w:rFonts w:ascii="Arial" w:hAnsi="Arial" w:cs="Arial"/>
          <w:b/>
          <w:sz w:val="72"/>
          <w:szCs w:val="72"/>
          <w:lang w:val="sv-SE"/>
        </w:rPr>
        <w:t>2014</w:t>
      </w:r>
    </w:p>
    <w:p w:rsidR="00696713" w:rsidRDefault="00696713" w:rsidP="00525F51">
      <w:pPr>
        <w:spacing w:after="0" w:line="240" w:lineRule="auto"/>
        <w:jc w:val="both"/>
        <w:rPr>
          <w:rFonts w:ascii="Arial" w:hAnsi="Arial" w:cs="Arial"/>
          <w:b/>
          <w:sz w:val="72"/>
          <w:szCs w:val="72"/>
          <w:lang w:val="sv-SE"/>
        </w:rPr>
      </w:pPr>
    </w:p>
    <w:p w:rsidR="00696713" w:rsidRDefault="00696713" w:rsidP="00525F51">
      <w:pPr>
        <w:spacing w:after="0" w:line="240" w:lineRule="auto"/>
        <w:jc w:val="both"/>
        <w:rPr>
          <w:rFonts w:ascii="Arial" w:hAnsi="Arial" w:cs="Arial"/>
          <w:b/>
          <w:sz w:val="72"/>
          <w:szCs w:val="72"/>
          <w:lang w:val="sv-SE"/>
        </w:rPr>
      </w:pPr>
    </w:p>
    <w:p w:rsidR="00696713" w:rsidRDefault="00696713" w:rsidP="00525F51">
      <w:pPr>
        <w:spacing w:after="0" w:line="240" w:lineRule="auto"/>
        <w:jc w:val="both"/>
        <w:rPr>
          <w:rFonts w:ascii="Arial" w:hAnsi="Arial" w:cs="Arial"/>
          <w:b/>
          <w:sz w:val="72"/>
          <w:szCs w:val="72"/>
          <w:lang w:val="sv-SE"/>
        </w:rPr>
      </w:pPr>
    </w:p>
    <w:p w:rsidR="00696713" w:rsidRDefault="00696713" w:rsidP="00525F51">
      <w:pPr>
        <w:spacing w:after="0" w:line="240" w:lineRule="auto"/>
        <w:jc w:val="both"/>
        <w:rPr>
          <w:rFonts w:ascii="Arial" w:hAnsi="Arial" w:cs="Arial"/>
          <w:b/>
          <w:sz w:val="72"/>
          <w:szCs w:val="72"/>
          <w:lang w:val="sv-SE"/>
        </w:rPr>
      </w:pPr>
    </w:p>
    <w:p w:rsidR="00696713" w:rsidRDefault="00696713" w:rsidP="00525F51">
      <w:pPr>
        <w:spacing w:after="0" w:line="240" w:lineRule="auto"/>
        <w:jc w:val="both"/>
        <w:rPr>
          <w:rFonts w:ascii="Arial" w:hAnsi="Arial" w:cs="Arial"/>
          <w:b/>
          <w:sz w:val="72"/>
          <w:szCs w:val="72"/>
          <w:lang w:val="sv-SE"/>
        </w:rPr>
        <w:sectPr w:rsidR="00696713" w:rsidSect="00D9564E">
          <w:footerReference w:type="default" r:id="rId11"/>
          <w:pgSz w:w="11907" w:h="16839" w:code="9"/>
          <w:pgMar w:top="851" w:right="851" w:bottom="851" w:left="1418" w:header="0" w:footer="0" w:gutter="0"/>
          <w:pgNumType w:start="1"/>
          <w:cols w:space="720"/>
          <w:docGrid w:linePitch="360"/>
        </w:sectPr>
      </w:pPr>
    </w:p>
    <w:p w:rsidR="00696713" w:rsidRDefault="00696713" w:rsidP="008D3017">
      <w:pPr>
        <w:spacing w:after="0" w:line="240" w:lineRule="auto"/>
        <w:jc w:val="center"/>
        <w:rPr>
          <w:rStyle w:val="FontStyle44"/>
          <w:sz w:val="28"/>
          <w:szCs w:val="28"/>
          <w:lang w:val="fr-FR"/>
        </w:rPr>
      </w:pPr>
      <w:r w:rsidRPr="008D3017">
        <w:rPr>
          <w:rStyle w:val="FontStyle44"/>
          <w:sz w:val="28"/>
          <w:szCs w:val="28"/>
          <w:lang w:val="fr-FR"/>
        </w:rPr>
        <w:lastRenderedPageBreak/>
        <w:t>CUPRINS</w:t>
      </w:r>
    </w:p>
    <w:p w:rsidR="008D3017" w:rsidRPr="008D3017" w:rsidRDefault="008D3017" w:rsidP="008D3017">
      <w:pPr>
        <w:spacing w:after="0" w:line="240" w:lineRule="auto"/>
        <w:jc w:val="center"/>
        <w:rPr>
          <w:rStyle w:val="FontStyle44"/>
          <w:sz w:val="28"/>
          <w:szCs w:val="28"/>
          <w:lang w:val="fr-FR"/>
        </w:rPr>
      </w:pPr>
    </w:p>
    <w:p w:rsidR="008D3017" w:rsidRDefault="008D3017" w:rsidP="00525F51">
      <w:pPr>
        <w:spacing w:after="0" w:line="240" w:lineRule="auto"/>
        <w:jc w:val="both"/>
        <w:rPr>
          <w:rStyle w:val="FontStyle44"/>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382"/>
      </w:tblGrid>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 xml:space="preserve">Capitolul 1. CALITATEA </w:t>
            </w:r>
            <w:r w:rsidRPr="003010DD">
              <w:rPr>
                <w:rStyle w:val="FontStyle44"/>
                <w:sz w:val="24"/>
                <w:szCs w:val="24"/>
                <w:lang w:val="ro-RO"/>
              </w:rPr>
              <w:t>ŞI POLUAREA AERULUI ÎNCONJURĂTOR</w:t>
            </w:r>
          </w:p>
        </w:tc>
        <w:tc>
          <w:tcPr>
            <w:tcW w:w="1382" w:type="dxa"/>
          </w:tcPr>
          <w:p w:rsidR="008D3017" w:rsidRPr="003010DD" w:rsidRDefault="00DD353B" w:rsidP="00525F51">
            <w:pPr>
              <w:spacing w:after="0" w:line="240" w:lineRule="auto"/>
              <w:jc w:val="both"/>
              <w:rPr>
                <w:rStyle w:val="FontStyle44"/>
                <w:sz w:val="24"/>
                <w:szCs w:val="24"/>
                <w:lang w:val="it-IT"/>
              </w:rPr>
            </w:pPr>
            <w:r w:rsidRPr="003010DD">
              <w:rPr>
                <w:rStyle w:val="FontStyle44"/>
                <w:sz w:val="24"/>
                <w:szCs w:val="24"/>
                <w:lang w:val="it-IT"/>
              </w:rPr>
              <w:t xml:space="preserve">pag: </w:t>
            </w:r>
            <w:r w:rsidR="00D92384" w:rsidRPr="003010DD">
              <w:rPr>
                <w:rStyle w:val="FontStyle44"/>
                <w:sz w:val="24"/>
                <w:szCs w:val="24"/>
                <w:lang w:val="it-IT"/>
              </w:rPr>
              <w:t>4</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 xml:space="preserve">Capitolul 2. </w:t>
            </w:r>
            <w:r w:rsidRPr="003010DD">
              <w:rPr>
                <w:rFonts w:ascii="Arial" w:hAnsi="Arial" w:cs="Arial"/>
                <w:b/>
                <w:sz w:val="24"/>
                <w:szCs w:val="24"/>
                <w:lang w:val="it-IT"/>
              </w:rPr>
              <w:t>APA</w:t>
            </w:r>
          </w:p>
        </w:tc>
        <w:tc>
          <w:tcPr>
            <w:tcW w:w="1382" w:type="dxa"/>
          </w:tcPr>
          <w:p w:rsidR="008D3017" w:rsidRPr="003010DD" w:rsidRDefault="00DD353B" w:rsidP="00525F51">
            <w:pPr>
              <w:spacing w:after="0" w:line="240" w:lineRule="auto"/>
              <w:jc w:val="both"/>
              <w:rPr>
                <w:rStyle w:val="FontStyle44"/>
                <w:sz w:val="24"/>
                <w:szCs w:val="24"/>
                <w:lang w:val="ro-RO"/>
              </w:rPr>
            </w:pPr>
            <w:r w:rsidRPr="003010DD">
              <w:rPr>
                <w:rStyle w:val="FontStyle44"/>
                <w:sz w:val="24"/>
                <w:szCs w:val="24"/>
                <w:lang w:val="it-IT"/>
              </w:rPr>
              <w:t>pag: 64</w:t>
            </w:r>
            <w:r w:rsidR="008D3017" w:rsidRPr="003010DD">
              <w:rPr>
                <w:rStyle w:val="FontStyle44"/>
                <w:sz w:val="24"/>
                <w:szCs w:val="24"/>
                <w:lang w:val="it-IT"/>
              </w:rPr>
              <w:t xml:space="preserve"> </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 xml:space="preserve">Capitolul 3. </w:t>
            </w:r>
            <w:r w:rsidRPr="003010DD">
              <w:rPr>
                <w:rFonts w:ascii="Arial" w:hAnsi="Arial" w:cs="Arial"/>
                <w:b/>
                <w:sz w:val="24"/>
                <w:szCs w:val="24"/>
                <w:lang w:val="it-IT"/>
              </w:rPr>
              <w:t>SOLUL</w:t>
            </w:r>
          </w:p>
        </w:tc>
        <w:tc>
          <w:tcPr>
            <w:tcW w:w="138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pag:</w:t>
            </w:r>
            <w:r w:rsidR="00DD353B" w:rsidRPr="003010DD">
              <w:rPr>
                <w:rStyle w:val="FontStyle44"/>
                <w:sz w:val="24"/>
                <w:szCs w:val="24"/>
                <w:lang w:val="it-IT"/>
              </w:rPr>
              <w:t xml:space="preserve"> 107</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 xml:space="preserve">Capitolul 4. </w:t>
            </w:r>
            <w:r w:rsidRPr="003010DD">
              <w:rPr>
                <w:rFonts w:ascii="Arial" w:hAnsi="Arial" w:cs="Arial"/>
                <w:b/>
                <w:sz w:val="24"/>
                <w:szCs w:val="24"/>
                <w:lang w:val="it-IT"/>
              </w:rPr>
              <w:t>UTILIZAREA  TERENURILOR</w:t>
            </w:r>
          </w:p>
        </w:tc>
        <w:tc>
          <w:tcPr>
            <w:tcW w:w="138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pag:</w:t>
            </w:r>
            <w:r w:rsidR="00DD353B" w:rsidRPr="003010DD">
              <w:rPr>
                <w:rStyle w:val="FontStyle44"/>
                <w:sz w:val="24"/>
                <w:szCs w:val="24"/>
                <w:lang w:val="it-IT"/>
              </w:rPr>
              <w:t xml:space="preserve"> 132 </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 xml:space="preserve">Capitolul 5. </w:t>
            </w:r>
            <w:r w:rsidRPr="003010DD">
              <w:rPr>
                <w:rFonts w:ascii="Arial" w:hAnsi="Arial" w:cs="Arial"/>
                <w:b/>
                <w:sz w:val="24"/>
                <w:szCs w:val="24"/>
                <w:lang w:val="it-IT"/>
              </w:rPr>
              <w:t>PROTECŢIA NATURII  ŞI  BIODIVERSITATEA</w:t>
            </w:r>
          </w:p>
        </w:tc>
        <w:tc>
          <w:tcPr>
            <w:tcW w:w="138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pag:</w:t>
            </w:r>
            <w:r w:rsidR="00DD353B" w:rsidRPr="003010DD">
              <w:rPr>
                <w:rStyle w:val="FontStyle44"/>
                <w:sz w:val="24"/>
                <w:szCs w:val="24"/>
                <w:lang w:val="it-IT"/>
              </w:rPr>
              <w:t xml:space="preserve"> 146</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 xml:space="preserve">Capitolul </w:t>
            </w:r>
            <w:r w:rsidRPr="003010DD">
              <w:rPr>
                <w:rStyle w:val="FontStyle44"/>
                <w:spacing w:val="-30"/>
                <w:sz w:val="24"/>
                <w:szCs w:val="24"/>
                <w:lang w:val="it-IT"/>
              </w:rPr>
              <w:t xml:space="preserve">6.  </w:t>
            </w:r>
            <w:r w:rsidRPr="003010DD">
              <w:rPr>
                <w:rStyle w:val="FontStyle44"/>
                <w:sz w:val="24"/>
                <w:szCs w:val="24"/>
                <w:lang w:val="it-IT"/>
              </w:rPr>
              <w:tab/>
            </w:r>
            <w:r w:rsidRPr="003010DD">
              <w:rPr>
                <w:rFonts w:ascii="Arial" w:hAnsi="Arial" w:cs="Arial"/>
                <w:b/>
                <w:sz w:val="24"/>
                <w:szCs w:val="24"/>
                <w:lang w:val="it-IT"/>
              </w:rPr>
              <w:t>PĂDURILE</w:t>
            </w:r>
          </w:p>
        </w:tc>
        <w:tc>
          <w:tcPr>
            <w:tcW w:w="138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pag:</w:t>
            </w:r>
            <w:r w:rsidR="00DD353B" w:rsidRPr="003010DD">
              <w:rPr>
                <w:rStyle w:val="FontStyle44"/>
                <w:sz w:val="24"/>
                <w:szCs w:val="24"/>
                <w:lang w:val="it-IT"/>
              </w:rPr>
              <w:t xml:space="preserve"> 157</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Capitolul 7. RESURSELE MATERIALE ŞI DEŞEURILE</w:t>
            </w:r>
          </w:p>
        </w:tc>
        <w:tc>
          <w:tcPr>
            <w:tcW w:w="138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pag:</w:t>
            </w:r>
            <w:r w:rsidR="00DD353B" w:rsidRPr="003010DD">
              <w:rPr>
                <w:rStyle w:val="FontStyle44"/>
                <w:sz w:val="24"/>
                <w:szCs w:val="24"/>
                <w:lang w:val="it-IT"/>
              </w:rPr>
              <w:t xml:space="preserve"> 177</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 xml:space="preserve">Capitolul 9. </w:t>
            </w:r>
            <w:r w:rsidRPr="003010DD">
              <w:rPr>
                <w:rFonts w:ascii="Arial" w:hAnsi="Arial" w:cs="Arial"/>
                <w:b/>
                <w:sz w:val="24"/>
                <w:szCs w:val="24"/>
                <w:lang w:val="ro-RO"/>
              </w:rPr>
              <w:t>MEDIUL URBAN, SĂNĂTATEA ŞI CALITATEA VIEŢII</w:t>
            </w:r>
          </w:p>
        </w:tc>
        <w:tc>
          <w:tcPr>
            <w:tcW w:w="1382" w:type="dxa"/>
          </w:tcPr>
          <w:p w:rsidR="008D3017" w:rsidRPr="003010DD" w:rsidRDefault="008D3017" w:rsidP="00525F51">
            <w:pPr>
              <w:spacing w:after="0" w:line="240" w:lineRule="auto"/>
              <w:jc w:val="both"/>
              <w:rPr>
                <w:rStyle w:val="FontStyle44"/>
                <w:sz w:val="24"/>
                <w:szCs w:val="24"/>
                <w:lang w:val="ro-RO"/>
              </w:rPr>
            </w:pPr>
            <w:r w:rsidRPr="003010DD">
              <w:rPr>
                <w:rStyle w:val="FontStyle44"/>
                <w:sz w:val="24"/>
                <w:szCs w:val="24"/>
                <w:lang w:val="it-IT"/>
              </w:rPr>
              <w:t>pag:</w:t>
            </w:r>
            <w:r w:rsidR="00FB07BD">
              <w:rPr>
                <w:rStyle w:val="FontStyle44"/>
                <w:sz w:val="24"/>
                <w:szCs w:val="24"/>
                <w:lang w:val="it-IT"/>
              </w:rPr>
              <w:t xml:space="preserve"> 208</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Fonts w:ascii="Arial" w:hAnsi="Arial" w:cs="Arial"/>
                <w:b/>
                <w:sz w:val="24"/>
                <w:szCs w:val="24"/>
                <w:lang w:val="ro-RO"/>
              </w:rPr>
              <w:t>Capitolul 10. RADIOACTIVITATEA MEDIULUI</w:t>
            </w:r>
          </w:p>
        </w:tc>
        <w:tc>
          <w:tcPr>
            <w:tcW w:w="1382" w:type="dxa"/>
          </w:tcPr>
          <w:p w:rsidR="008D3017" w:rsidRPr="003010DD" w:rsidRDefault="00FB07BD" w:rsidP="00525F51">
            <w:pPr>
              <w:spacing w:after="0" w:line="240" w:lineRule="auto"/>
              <w:jc w:val="both"/>
              <w:rPr>
                <w:rStyle w:val="FontStyle44"/>
                <w:sz w:val="24"/>
                <w:szCs w:val="24"/>
                <w:lang w:val="ro-RO"/>
              </w:rPr>
            </w:pPr>
            <w:r>
              <w:rPr>
                <w:rFonts w:ascii="Arial" w:hAnsi="Arial" w:cs="Arial"/>
                <w:b/>
                <w:sz w:val="24"/>
                <w:szCs w:val="24"/>
                <w:lang w:val="ro-RO"/>
              </w:rPr>
              <w:t>p</w:t>
            </w:r>
            <w:r w:rsidR="008D3017" w:rsidRPr="003010DD">
              <w:rPr>
                <w:rFonts w:ascii="Arial" w:hAnsi="Arial" w:cs="Arial"/>
                <w:b/>
                <w:sz w:val="24"/>
                <w:szCs w:val="24"/>
                <w:lang w:val="ro-RO"/>
              </w:rPr>
              <w:t>ag</w:t>
            </w:r>
            <w:r>
              <w:rPr>
                <w:rFonts w:ascii="Arial" w:hAnsi="Arial" w:cs="Arial"/>
                <w:b/>
                <w:sz w:val="24"/>
                <w:szCs w:val="24"/>
                <w:lang w:val="ro-RO"/>
              </w:rPr>
              <w:t>: 222</w:t>
            </w:r>
          </w:p>
        </w:tc>
      </w:tr>
      <w:tr w:rsidR="008D3017" w:rsidRPr="003010DD" w:rsidTr="008D3017">
        <w:trPr>
          <w:trHeight w:hRule="exact" w:val="1134"/>
        </w:trPr>
        <w:tc>
          <w:tcPr>
            <w:tcW w:w="8472" w:type="dxa"/>
          </w:tcPr>
          <w:p w:rsidR="008D3017" w:rsidRPr="003010DD" w:rsidRDefault="008D3017" w:rsidP="00525F51">
            <w:pPr>
              <w:spacing w:after="0" w:line="240" w:lineRule="auto"/>
              <w:jc w:val="both"/>
              <w:rPr>
                <w:rStyle w:val="FontStyle44"/>
                <w:sz w:val="24"/>
                <w:szCs w:val="24"/>
                <w:lang w:val="ro-RO"/>
              </w:rPr>
            </w:pPr>
            <w:r w:rsidRPr="003010DD">
              <w:rPr>
                <w:rFonts w:ascii="Arial" w:hAnsi="Arial" w:cs="Arial"/>
                <w:b/>
                <w:sz w:val="24"/>
                <w:szCs w:val="24"/>
                <w:lang w:val="ro-RO"/>
              </w:rPr>
              <w:t>Capitolul 11. CONSUMUL ŞI MEDIUL ÎNCONJURĂTOR</w:t>
            </w:r>
          </w:p>
        </w:tc>
        <w:tc>
          <w:tcPr>
            <w:tcW w:w="1382" w:type="dxa"/>
          </w:tcPr>
          <w:p w:rsidR="008D3017" w:rsidRPr="003010DD" w:rsidRDefault="00FB07BD" w:rsidP="00525F51">
            <w:pPr>
              <w:spacing w:after="0" w:line="240" w:lineRule="auto"/>
              <w:jc w:val="both"/>
              <w:rPr>
                <w:rStyle w:val="FontStyle44"/>
                <w:sz w:val="24"/>
                <w:szCs w:val="24"/>
                <w:lang w:val="ro-RO"/>
              </w:rPr>
            </w:pPr>
            <w:r>
              <w:rPr>
                <w:rFonts w:ascii="Arial" w:hAnsi="Arial" w:cs="Arial"/>
                <w:b/>
                <w:sz w:val="24"/>
                <w:szCs w:val="24"/>
                <w:lang w:val="ro-RO"/>
              </w:rPr>
              <w:t>p</w:t>
            </w:r>
            <w:r w:rsidR="008D3017" w:rsidRPr="003010DD">
              <w:rPr>
                <w:rFonts w:ascii="Arial" w:hAnsi="Arial" w:cs="Arial"/>
                <w:b/>
                <w:sz w:val="24"/>
                <w:szCs w:val="24"/>
                <w:lang w:val="ro-RO"/>
              </w:rPr>
              <w:t>ag</w:t>
            </w:r>
            <w:r>
              <w:rPr>
                <w:rFonts w:ascii="Arial" w:hAnsi="Arial" w:cs="Arial"/>
                <w:b/>
                <w:sz w:val="24"/>
                <w:szCs w:val="24"/>
                <w:lang w:val="ro-RO"/>
              </w:rPr>
              <w:t>: 237</w:t>
            </w:r>
          </w:p>
        </w:tc>
      </w:tr>
    </w:tbl>
    <w:p w:rsidR="00696713" w:rsidRPr="00892024" w:rsidRDefault="00696713" w:rsidP="00525F51">
      <w:pPr>
        <w:spacing w:after="0" w:line="240" w:lineRule="auto"/>
        <w:jc w:val="both"/>
        <w:rPr>
          <w:rStyle w:val="FontStyle44"/>
          <w:sz w:val="24"/>
          <w:szCs w:val="24"/>
          <w:lang w:val="ro-RO"/>
        </w:rPr>
      </w:pPr>
      <w:r w:rsidRPr="00892024">
        <w:rPr>
          <w:rStyle w:val="FontStyle44"/>
          <w:sz w:val="24"/>
          <w:szCs w:val="24"/>
          <w:lang w:val="ro-RO"/>
        </w:rPr>
        <w:t xml:space="preserve">   </w:t>
      </w:r>
    </w:p>
    <w:p w:rsidR="00696713" w:rsidRPr="00892024" w:rsidRDefault="00696713" w:rsidP="00525F51">
      <w:pPr>
        <w:spacing w:after="0" w:line="240" w:lineRule="auto"/>
        <w:jc w:val="both"/>
        <w:rPr>
          <w:rStyle w:val="FontStyle44"/>
          <w:sz w:val="24"/>
          <w:szCs w:val="24"/>
          <w:lang w:val="ro-RO"/>
        </w:rPr>
      </w:pPr>
      <w:r w:rsidRPr="00892024">
        <w:rPr>
          <w:rStyle w:val="FontStyle44"/>
          <w:sz w:val="24"/>
          <w:szCs w:val="24"/>
          <w:lang w:val="ro-RO"/>
        </w:rPr>
        <w:t xml:space="preserve">                                                                                     </w:t>
      </w:r>
    </w:p>
    <w:p w:rsidR="00696713" w:rsidRPr="00696713" w:rsidRDefault="008D3017" w:rsidP="00525F51">
      <w:pPr>
        <w:spacing w:after="0" w:line="240" w:lineRule="auto"/>
        <w:jc w:val="both"/>
        <w:rPr>
          <w:rFonts w:ascii="Arial" w:hAnsi="Arial" w:cs="Arial"/>
          <w:color w:val="FF0000"/>
          <w:sz w:val="24"/>
          <w:szCs w:val="24"/>
          <w:lang w:val="it-IT"/>
        </w:rPr>
      </w:pPr>
      <w:r>
        <w:rPr>
          <w:rStyle w:val="FontStyle44"/>
          <w:b w:val="0"/>
          <w:sz w:val="24"/>
          <w:szCs w:val="24"/>
          <w:lang w:val="ro-RO"/>
        </w:rPr>
        <w:t xml:space="preserve"> </w:t>
      </w:r>
      <w:r w:rsidR="00696713" w:rsidRPr="00696713">
        <w:rPr>
          <w:rStyle w:val="FontStyle44"/>
          <w:b w:val="0"/>
          <w:sz w:val="24"/>
          <w:szCs w:val="24"/>
          <w:lang w:val="ro-RO"/>
        </w:rPr>
        <w:t xml:space="preserve">     </w:t>
      </w:r>
      <w:r>
        <w:rPr>
          <w:rStyle w:val="FontStyle44"/>
          <w:b w:val="0"/>
          <w:sz w:val="24"/>
          <w:szCs w:val="24"/>
          <w:lang w:val="it-IT"/>
        </w:rPr>
        <w:t xml:space="preserve">           </w:t>
      </w:r>
    </w:p>
    <w:p w:rsidR="00696713" w:rsidRPr="00696713" w:rsidRDefault="00696713" w:rsidP="00525F51">
      <w:pPr>
        <w:spacing w:after="0" w:line="240" w:lineRule="auto"/>
        <w:jc w:val="both"/>
        <w:rPr>
          <w:rStyle w:val="FontStyle44"/>
          <w:sz w:val="24"/>
          <w:szCs w:val="24"/>
          <w:lang w:val="it-IT"/>
        </w:rPr>
      </w:pPr>
      <w:r w:rsidRPr="00696713">
        <w:rPr>
          <w:rStyle w:val="FontStyle44"/>
          <w:sz w:val="24"/>
          <w:szCs w:val="24"/>
          <w:lang w:val="it-IT"/>
        </w:rPr>
        <w:tab/>
      </w:r>
      <w:r w:rsidRPr="00696713">
        <w:rPr>
          <w:rStyle w:val="FontStyle44"/>
          <w:sz w:val="24"/>
          <w:szCs w:val="24"/>
          <w:lang w:val="it-IT"/>
        </w:rPr>
        <w:tab/>
      </w:r>
      <w:r w:rsidRPr="00696713">
        <w:rPr>
          <w:rStyle w:val="FontStyle44"/>
          <w:sz w:val="24"/>
          <w:szCs w:val="24"/>
          <w:lang w:val="it-IT"/>
        </w:rPr>
        <w:tab/>
      </w:r>
      <w:r w:rsidRPr="00696713">
        <w:rPr>
          <w:rStyle w:val="FontStyle44"/>
          <w:sz w:val="24"/>
          <w:szCs w:val="24"/>
          <w:lang w:val="it-IT"/>
        </w:rPr>
        <w:tab/>
      </w:r>
      <w:r w:rsidRPr="00696713">
        <w:rPr>
          <w:rStyle w:val="FontStyle44"/>
          <w:sz w:val="24"/>
          <w:szCs w:val="24"/>
          <w:lang w:val="it-IT"/>
        </w:rPr>
        <w:tab/>
      </w:r>
      <w:r w:rsidRPr="00696713">
        <w:rPr>
          <w:rStyle w:val="FontStyle44"/>
          <w:sz w:val="24"/>
          <w:szCs w:val="24"/>
          <w:lang w:val="it-IT"/>
        </w:rPr>
        <w:tab/>
        <w:t xml:space="preserve">          </w:t>
      </w:r>
    </w:p>
    <w:p w:rsidR="00696713" w:rsidRPr="00696713" w:rsidRDefault="00696713" w:rsidP="00525F51">
      <w:pPr>
        <w:spacing w:after="0" w:line="240" w:lineRule="auto"/>
        <w:jc w:val="both"/>
        <w:rPr>
          <w:rFonts w:ascii="Arial" w:hAnsi="Arial" w:cs="Arial"/>
          <w:color w:val="FF0000"/>
          <w:sz w:val="24"/>
          <w:szCs w:val="24"/>
          <w:lang w:val="it-IT"/>
        </w:rPr>
      </w:pPr>
    </w:p>
    <w:p w:rsidR="00696713" w:rsidRPr="00203E90" w:rsidRDefault="00696713" w:rsidP="00525F51">
      <w:pPr>
        <w:spacing w:after="0" w:line="240" w:lineRule="auto"/>
        <w:jc w:val="both"/>
        <w:rPr>
          <w:rStyle w:val="FontStyle44"/>
          <w:sz w:val="24"/>
          <w:szCs w:val="24"/>
          <w:lang w:val="it-IT"/>
        </w:rPr>
      </w:pPr>
      <w:r w:rsidRPr="00203E90">
        <w:rPr>
          <w:rStyle w:val="FontStyle44"/>
          <w:sz w:val="24"/>
          <w:szCs w:val="24"/>
          <w:lang w:val="it-IT"/>
        </w:rPr>
        <w:tab/>
      </w:r>
      <w:r w:rsidRPr="00203E90">
        <w:rPr>
          <w:rStyle w:val="FontStyle44"/>
          <w:sz w:val="24"/>
          <w:szCs w:val="24"/>
          <w:lang w:val="it-IT"/>
        </w:rPr>
        <w:tab/>
      </w:r>
      <w:r w:rsidR="00203E90" w:rsidRPr="00203E90">
        <w:rPr>
          <w:rStyle w:val="FontStyle44"/>
          <w:sz w:val="24"/>
          <w:szCs w:val="24"/>
          <w:lang w:val="it-IT"/>
        </w:rPr>
        <w:tab/>
      </w:r>
      <w:r w:rsidR="00203E90" w:rsidRPr="00203E90">
        <w:rPr>
          <w:rStyle w:val="FontStyle44"/>
          <w:sz w:val="24"/>
          <w:szCs w:val="24"/>
          <w:lang w:val="it-IT"/>
        </w:rPr>
        <w:tab/>
        <w:t xml:space="preserve">                       </w:t>
      </w:r>
    </w:p>
    <w:p w:rsidR="00696713" w:rsidRPr="00696713" w:rsidRDefault="00696713" w:rsidP="00525F51">
      <w:pPr>
        <w:spacing w:after="0" w:line="240" w:lineRule="auto"/>
        <w:jc w:val="both"/>
        <w:rPr>
          <w:rFonts w:ascii="Arial" w:hAnsi="Arial" w:cs="Arial"/>
          <w:color w:val="FF0000"/>
          <w:sz w:val="24"/>
          <w:szCs w:val="24"/>
          <w:lang w:val="it-IT"/>
        </w:rPr>
      </w:pPr>
    </w:p>
    <w:p w:rsidR="00696713" w:rsidRPr="00696713" w:rsidRDefault="00696713" w:rsidP="00525F51">
      <w:pPr>
        <w:spacing w:after="0" w:line="240" w:lineRule="auto"/>
        <w:jc w:val="both"/>
        <w:rPr>
          <w:rFonts w:ascii="Arial" w:hAnsi="Arial" w:cs="Arial"/>
          <w:color w:val="FF0000"/>
          <w:sz w:val="24"/>
          <w:szCs w:val="24"/>
          <w:lang w:val="it-IT"/>
        </w:rPr>
      </w:pP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p>
    <w:p w:rsidR="00696713" w:rsidRPr="00696713" w:rsidRDefault="00696713" w:rsidP="00525F51">
      <w:pPr>
        <w:spacing w:after="0" w:line="240" w:lineRule="auto"/>
        <w:jc w:val="both"/>
        <w:rPr>
          <w:rFonts w:ascii="Arial" w:hAnsi="Arial" w:cs="Arial"/>
          <w:color w:val="FF0000"/>
          <w:sz w:val="24"/>
          <w:szCs w:val="24"/>
          <w:lang w:val="it-IT"/>
        </w:rPr>
      </w:pP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p>
    <w:p w:rsidR="00696713" w:rsidRPr="00696713" w:rsidRDefault="00696713" w:rsidP="00525F51">
      <w:pPr>
        <w:spacing w:after="0" w:line="240" w:lineRule="auto"/>
        <w:jc w:val="both"/>
        <w:rPr>
          <w:rFonts w:ascii="Arial" w:hAnsi="Arial" w:cs="Arial"/>
          <w:color w:val="FF0000"/>
          <w:sz w:val="24"/>
          <w:szCs w:val="24"/>
          <w:lang w:val="it-IT"/>
        </w:rPr>
      </w:pP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r>
      <w:r w:rsidRPr="00696713">
        <w:rPr>
          <w:rStyle w:val="FontStyle44"/>
          <w:color w:val="FF0000"/>
          <w:sz w:val="24"/>
          <w:szCs w:val="24"/>
          <w:lang w:val="it-IT"/>
        </w:rPr>
        <w:tab/>
        <w:t xml:space="preserve">           </w:t>
      </w:r>
    </w:p>
    <w:p w:rsidR="00525F51" w:rsidRPr="00525F51" w:rsidRDefault="00525F51" w:rsidP="0056118B">
      <w:pPr>
        <w:spacing w:before="120" w:after="120" w:line="240" w:lineRule="auto"/>
        <w:jc w:val="both"/>
        <w:rPr>
          <w:rFonts w:ascii="Arial" w:hAnsi="Arial" w:cs="Arial"/>
          <w:b/>
          <w:sz w:val="24"/>
          <w:szCs w:val="24"/>
        </w:rPr>
      </w:pPr>
      <w:r w:rsidRPr="00525F51">
        <w:rPr>
          <w:rFonts w:ascii="Arial" w:hAnsi="Arial" w:cs="Arial"/>
          <w:b/>
          <w:sz w:val="24"/>
          <w:szCs w:val="24"/>
        </w:rPr>
        <w:lastRenderedPageBreak/>
        <w:t>INTRODUCERE</w:t>
      </w:r>
    </w:p>
    <w:p w:rsidR="00696713" w:rsidRPr="00525F51" w:rsidRDefault="0073217D" w:rsidP="0056118B">
      <w:pPr>
        <w:spacing w:before="120" w:after="120" w:line="240" w:lineRule="auto"/>
        <w:jc w:val="both"/>
        <w:rPr>
          <w:rFonts w:ascii="Arial" w:hAnsi="Arial" w:cs="Arial"/>
          <w:b/>
          <w:sz w:val="24"/>
          <w:szCs w:val="24"/>
          <w:lang w:val="ro-RO"/>
        </w:rPr>
      </w:pPr>
      <w:r w:rsidRPr="00525F51">
        <w:rPr>
          <w:rFonts w:ascii="Arial" w:hAnsi="Arial" w:cs="Arial"/>
          <w:sz w:val="24"/>
          <w:szCs w:val="24"/>
        </w:rPr>
        <w:t>În baza Regulamentului 401/2009/CE privind Agenţia Europeană de Mediu (AEM) şi Reţeaua europeană de informare şi observare a mediului (EIONET) se asigură culegerea, prelucrarea şi analiza datelor privind mediul la nivel european, permiţând astfel Comunităţii şi Statelor Membre să ia măsurile necesare pentru a proteja mediul şi pentru a evalua r</w:t>
      </w:r>
      <w:r w:rsidRPr="00525F51">
        <w:rPr>
          <w:rFonts w:ascii="Arial" w:hAnsi="Arial" w:cs="Arial"/>
          <w:sz w:val="24"/>
          <w:szCs w:val="24"/>
        </w:rPr>
        <w:t>e</w:t>
      </w:r>
      <w:r w:rsidRPr="00525F51">
        <w:rPr>
          <w:rFonts w:ascii="Arial" w:hAnsi="Arial" w:cs="Arial"/>
          <w:sz w:val="24"/>
          <w:szCs w:val="24"/>
        </w:rPr>
        <w:t>zultatele aplicării acestor măsuri.</w:t>
      </w:r>
    </w:p>
    <w:p w:rsidR="00696713" w:rsidRPr="00525F51" w:rsidRDefault="006707E4" w:rsidP="0056118B">
      <w:pPr>
        <w:spacing w:before="120" w:after="120" w:line="240" w:lineRule="auto"/>
        <w:jc w:val="both"/>
        <w:rPr>
          <w:rFonts w:ascii="Arial" w:hAnsi="Arial" w:cs="Arial"/>
          <w:b/>
          <w:sz w:val="24"/>
          <w:szCs w:val="24"/>
          <w:lang w:val="ro-RO"/>
        </w:rPr>
      </w:pPr>
      <w:r w:rsidRPr="00525F51">
        <w:rPr>
          <w:rFonts w:ascii="Arial" w:hAnsi="Arial" w:cs="Arial"/>
          <w:sz w:val="24"/>
          <w:szCs w:val="24"/>
        </w:rPr>
        <w:t>Din cauza presiunilor globale (alimente, locuinţe, transport, combustibil), în ultima perioadă s-a constatat creşterea necesităţii de resurse naturale, ceea ce determină ameninţări la adresa economiei şi coeziunii sociale la nivel european. De asemenea, conexiunile co</w:t>
      </w:r>
      <w:r w:rsidRPr="00525F51">
        <w:rPr>
          <w:rFonts w:ascii="Arial" w:hAnsi="Arial" w:cs="Arial"/>
          <w:sz w:val="24"/>
          <w:szCs w:val="24"/>
        </w:rPr>
        <w:t>m</w:t>
      </w:r>
      <w:r w:rsidRPr="00525F51">
        <w:rPr>
          <w:rFonts w:ascii="Arial" w:hAnsi="Arial" w:cs="Arial"/>
          <w:sz w:val="24"/>
          <w:szCs w:val="24"/>
        </w:rPr>
        <w:t>plexe dintre schimbările climatice, biodiversitate, utilizarea resurselor, sănătate şi pres</w:t>
      </w:r>
      <w:r w:rsidRPr="00525F51">
        <w:rPr>
          <w:rFonts w:ascii="Arial" w:hAnsi="Arial" w:cs="Arial"/>
          <w:sz w:val="24"/>
          <w:szCs w:val="24"/>
        </w:rPr>
        <w:t>i</w:t>
      </w:r>
      <w:r w:rsidRPr="00525F51">
        <w:rPr>
          <w:rFonts w:ascii="Arial" w:hAnsi="Arial" w:cs="Arial"/>
          <w:sz w:val="24"/>
          <w:szCs w:val="24"/>
        </w:rPr>
        <w:t>unile din ce în ce mai mari, conduc la creşterea incertitudinii şi a riscurilor asociate cu m</w:t>
      </w:r>
      <w:r w:rsidRPr="00525F51">
        <w:rPr>
          <w:rFonts w:ascii="Arial" w:hAnsi="Arial" w:cs="Arial"/>
          <w:sz w:val="24"/>
          <w:szCs w:val="24"/>
        </w:rPr>
        <w:t>e</w:t>
      </w:r>
      <w:r w:rsidRPr="00525F51">
        <w:rPr>
          <w:rFonts w:ascii="Arial" w:hAnsi="Arial" w:cs="Arial"/>
          <w:sz w:val="24"/>
          <w:szCs w:val="24"/>
        </w:rPr>
        <w:t>diul. Tendinţele negative ale mediului produc daune serioase şi ireversibile ale unor ec</w:t>
      </w:r>
      <w:r w:rsidRPr="00525F51">
        <w:rPr>
          <w:rFonts w:ascii="Arial" w:hAnsi="Arial" w:cs="Arial"/>
          <w:sz w:val="24"/>
          <w:szCs w:val="24"/>
        </w:rPr>
        <w:t>o</w:t>
      </w:r>
      <w:r w:rsidRPr="00525F51">
        <w:rPr>
          <w:rFonts w:ascii="Arial" w:hAnsi="Arial" w:cs="Arial"/>
          <w:sz w:val="24"/>
          <w:szCs w:val="24"/>
        </w:rPr>
        <w:t>sisteme şi ale serviciilor oferite de acestea. De aceea, implementarea politicilor de mediu constituie o prioritate pentru Europa. Cerinţele şi exigenţele existente la nivelul Uniunii E</w:t>
      </w:r>
      <w:r w:rsidRPr="00525F51">
        <w:rPr>
          <w:rFonts w:ascii="Arial" w:hAnsi="Arial" w:cs="Arial"/>
          <w:sz w:val="24"/>
          <w:szCs w:val="24"/>
        </w:rPr>
        <w:t>u</w:t>
      </w:r>
      <w:r w:rsidRPr="00525F51">
        <w:rPr>
          <w:rFonts w:ascii="Arial" w:hAnsi="Arial" w:cs="Arial"/>
          <w:sz w:val="24"/>
          <w:szCs w:val="24"/>
        </w:rPr>
        <w:t>ropene impun o nouă abordare a problemelor globale de mediu din punct de vedere al efectelor şi presiunii asupra mediului şi a tuturor consecinţelor dezvoltării socio-economice.</w:t>
      </w:r>
    </w:p>
    <w:p w:rsidR="00696713" w:rsidRPr="00525F51" w:rsidRDefault="006707E4" w:rsidP="0056118B">
      <w:pPr>
        <w:spacing w:before="120" w:after="120" w:line="240" w:lineRule="auto"/>
        <w:jc w:val="both"/>
        <w:rPr>
          <w:rFonts w:ascii="Arial" w:hAnsi="Arial" w:cs="Arial"/>
          <w:b/>
          <w:sz w:val="24"/>
          <w:szCs w:val="24"/>
          <w:lang w:val="ro-RO"/>
        </w:rPr>
      </w:pPr>
      <w:r w:rsidRPr="00525F51">
        <w:rPr>
          <w:rFonts w:ascii="Arial" w:hAnsi="Arial" w:cs="Arial"/>
          <w:sz w:val="24"/>
          <w:szCs w:val="24"/>
        </w:rPr>
        <w:t>Până în prezent, Raportul anual privind starea mediului în judeţul Buzău a urmărit să pr</w:t>
      </w:r>
      <w:r w:rsidRPr="00525F51">
        <w:rPr>
          <w:rFonts w:ascii="Arial" w:hAnsi="Arial" w:cs="Arial"/>
          <w:sz w:val="24"/>
          <w:szCs w:val="24"/>
        </w:rPr>
        <w:t>e</w:t>
      </w:r>
      <w:r w:rsidRPr="00525F51">
        <w:rPr>
          <w:rFonts w:ascii="Arial" w:hAnsi="Arial" w:cs="Arial"/>
          <w:sz w:val="24"/>
          <w:szCs w:val="24"/>
        </w:rPr>
        <w:t>zinte o informare a autorităţilor publice, a factorilor de decizie politică şi economică şi a populaţiei cu privire la evoluţia calităţii factorilor de mediu: starea atmosferei, a apelor si a solurilor, starea pădurilor, a habitatelor naturale, a florei şi faunei sălbatice, starea mediului în aşezările urbane, situaţia poluării sonore, radioactivităţii şi a deşeurilor. În conformitate cu actuala abordare europeană raportul anual privind starea mediului se concentrează pe problematica stării mediului, oferă evaluări despre situaţia actuală a mediului înconjurător, scenarii privind evoluţia sa, precum şi  acţiunile care se întreprind în ţara noastră şi ceea ce trebuie făcut sau se poate face pentru îmbunătăţirea acestuia, în lumina indicatorilor identificaţi AEM. Acest raport descrie modul în care se desfăşoară şi evoluează politicile de mediu, tendinţele în acest domeniu şi prognoza impactului la nivelul judeţului Buzău, cât mai apropiat de modelul european.</w:t>
      </w:r>
    </w:p>
    <w:p w:rsidR="00696713" w:rsidRPr="00525F51" w:rsidRDefault="006707E4" w:rsidP="0056118B">
      <w:pPr>
        <w:spacing w:before="120" w:after="120" w:line="240" w:lineRule="auto"/>
        <w:jc w:val="both"/>
        <w:rPr>
          <w:rFonts w:ascii="Arial" w:hAnsi="Arial" w:cs="Arial"/>
          <w:b/>
          <w:sz w:val="24"/>
          <w:szCs w:val="24"/>
          <w:lang w:val="ro-RO"/>
        </w:rPr>
      </w:pPr>
      <w:r w:rsidRPr="00525F51">
        <w:rPr>
          <w:rFonts w:ascii="Arial" w:hAnsi="Arial" w:cs="Arial"/>
          <w:sz w:val="24"/>
          <w:szCs w:val="24"/>
        </w:rPr>
        <w:t>Pentru a realiza obiectivele de protecţie şi îmbunătăţire a mediului stabilite în tratat şi în programele succesive de acţiune ale Comunităţii privind mediul, precum şi de dezvoltare durabilă, Raportului anual privind starea mediului în judeţul Buzău p</w:t>
      </w:r>
      <w:r w:rsidR="00525F51">
        <w:rPr>
          <w:rFonts w:ascii="Arial" w:hAnsi="Arial" w:cs="Arial"/>
          <w:sz w:val="24"/>
          <w:szCs w:val="24"/>
        </w:rPr>
        <w:t xml:space="preserve">entru anul 2014 s-a realizat </w:t>
      </w:r>
      <w:r w:rsidRPr="00525F51">
        <w:rPr>
          <w:rFonts w:ascii="Arial" w:hAnsi="Arial" w:cs="Arial"/>
          <w:sz w:val="24"/>
          <w:szCs w:val="24"/>
        </w:rPr>
        <w:t xml:space="preserve">conform SOER. </w:t>
      </w:r>
      <w:r w:rsidRPr="00525F51">
        <w:rPr>
          <w:rFonts w:ascii="Arial" w:hAnsi="Arial" w:cs="Arial"/>
          <w:i/>
          <w:iCs/>
          <w:sz w:val="24"/>
          <w:szCs w:val="24"/>
        </w:rPr>
        <w:t xml:space="preserve">State and Outlook of Environment Report </w:t>
      </w:r>
      <w:r w:rsidRPr="00525F51">
        <w:rPr>
          <w:rFonts w:ascii="Arial" w:hAnsi="Arial" w:cs="Arial"/>
          <w:sz w:val="24"/>
          <w:szCs w:val="24"/>
        </w:rPr>
        <w:t>(SOER) este docume</w:t>
      </w:r>
      <w:r w:rsidRPr="00525F51">
        <w:rPr>
          <w:rFonts w:ascii="Arial" w:hAnsi="Arial" w:cs="Arial"/>
          <w:sz w:val="24"/>
          <w:szCs w:val="24"/>
        </w:rPr>
        <w:t>n</w:t>
      </w:r>
      <w:r w:rsidRPr="00525F51">
        <w:rPr>
          <w:rFonts w:ascii="Arial" w:hAnsi="Arial" w:cs="Arial"/>
          <w:sz w:val="24"/>
          <w:szCs w:val="24"/>
        </w:rPr>
        <w:t>tul cel mai important care prezintă starea mediului la nivel european, utilizând date disp</w:t>
      </w:r>
      <w:r w:rsidRPr="00525F51">
        <w:rPr>
          <w:rFonts w:ascii="Arial" w:hAnsi="Arial" w:cs="Arial"/>
          <w:sz w:val="24"/>
          <w:szCs w:val="24"/>
        </w:rPr>
        <w:t>o</w:t>
      </w:r>
      <w:r w:rsidRPr="00525F51">
        <w:rPr>
          <w:rFonts w:ascii="Arial" w:hAnsi="Arial" w:cs="Arial"/>
          <w:sz w:val="24"/>
          <w:szCs w:val="24"/>
        </w:rPr>
        <w:t>nibile la nivel naţional şi analizate la nivel european. De asemenea, prezintă aspecte sp</w:t>
      </w:r>
      <w:r w:rsidRPr="00525F51">
        <w:rPr>
          <w:rFonts w:ascii="Arial" w:hAnsi="Arial" w:cs="Arial"/>
          <w:sz w:val="24"/>
          <w:szCs w:val="24"/>
        </w:rPr>
        <w:t>e</w:t>
      </w:r>
      <w:r w:rsidRPr="00525F51">
        <w:rPr>
          <w:rFonts w:ascii="Arial" w:hAnsi="Arial" w:cs="Arial"/>
          <w:sz w:val="24"/>
          <w:szCs w:val="24"/>
        </w:rPr>
        <w:t>cifice naţionale de mediu şi măsurile relevante în context european, comparaţii între ţări prin intermediul indicatorilor, nivelul de implementare a politicii de mediu, îmbunătăţirile aduse în beneficiul cetăţenilor în domeniul protecţiei mediului şi al dezvoltării durabile. Agenţia Europeană de Mediu (AEM) este mandatată să publice la fiecare 5 ani un raport privind starea, tendinţele şi perspectivele mediului în Europa. Următorul raport se va publ</w:t>
      </w:r>
      <w:r w:rsidRPr="00525F51">
        <w:rPr>
          <w:rFonts w:ascii="Arial" w:hAnsi="Arial" w:cs="Arial"/>
          <w:sz w:val="24"/>
          <w:szCs w:val="24"/>
        </w:rPr>
        <w:t>i</w:t>
      </w:r>
      <w:r w:rsidRPr="00525F51">
        <w:rPr>
          <w:rFonts w:ascii="Arial" w:hAnsi="Arial" w:cs="Arial"/>
          <w:sz w:val="24"/>
          <w:szCs w:val="24"/>
        </w:rPr>
        <w:t>ca în 2015 şi se va numi „Mediul european: stare şi pers</w:t>
      </w:r>
      <w:r w:rsidR="001E7827">
        <w:rPr>
          <w:rFonts w:ascii="Arial" w:hAnsi="Arial" w:cs="Arial"/>
          <w:sz w:val="24"/>
          <w:szCs w:val="24"/>
        </w:rPr>
        <w:t>p</w:t>
      </w:r>
      <w:r w:rsidRPr="00525F51">
        <w:rPr>
          <w:rFonts w:ascii="Arial" w:hAnsi="Arial" w:cs="Arial"/>
          <w:sz w:val="24"/>
          <w:szCs w:val="24"/>
        </w:rPr>
        <w:t>ective, 2015” (SOER 2015).</w:t>
      </w:r>
    </w:p>
    <w:p w:rsidR="00525F51" w:rsidRPr="00F85ABE" w:rsidRDefault="00525F51" w:rsidP="0056118B">
      <w:pPr>
        <w:spacing w:before="120" w:after="120" w:line="240" w:lineRule="auto"/>
        <w:jc w:val="both"/>
        <w:rPr>
          <w:rFonts w:ascii="Arial" w:hAnsi="Arial" w:cs="Arial"/>
          <w:sz w:val="24"/>
          <w:szCs w:val="24"/>
        </w:rPr>
      </w:pPr>
      <w:r w:rsidRPr="00F85ABE">
        <w:rPr>
          <w:rFonts w:ascii="Arial" w:hAnsi="Arial" w:cs="Arial"/>
          <w:sz w:val="24"/>
          <w:szCs w:val="24"/>
        </w:rPr>
        <w:t>Judeţul Buzău este situat în zona de curbură a Carpaţilor, în partea de sud-est a României. Are suprafaţă de 6102,55 km² şi este situat între 44°51' si 45°45' latitudine no</w:t>
      </w:r>
      <w:r w:rsidRPr="00F85ABE">
        <w:rPr>
          <w:rFonts w:ascii="Arial" w:hAnsi="Arial" w:cs="Arial"/>
          <w:sz w:val="24"/>
          <w:szCs w:val="24"/>
        </w:rPr>
        <w:t>r</w:t>
      </w:r>
      <w:r w:rsidRPr="00F85ABE">
        <w:rPr>
          <w:rFonts w:ascii="Arial" w:hAnsi="Arial" w:cs="Arial"/>
          <w:sz w:val="24"/>
          <w:szCs w:val="24"/>
        </w:rPr>
        <w:t xml:space="preserve">dicã şi 26°10' si 27°20' longitudine esticã. Se învecinează cu judeţele Braşov şi Covasna la nord-vest, Vrancea la nord-est, Brăila la est, Ialomiţa la sud şi Prahova la vest. </w:t>
      </w:r>
    </w:p>
    <w:p w:rsidR="00525F51" w:rsidRPr="00F85ABE" w:rsidRDefault="00525F51" w:rsidP="0056118B">
      <w:pPr>
        <w:spacing w:before="120" w:after="120" w:line="240" w:lineRule="auto"/>
        <w:jc w:val="both"/>
        <w:rPr>
          <w:rFonts w:ascii="Arial" w:hAnsi="Arial" w:cs="Arial"/>
          <w:sz w:val="24"/>
          <w:szCs w:val="24"/>
        </w:rPr>
      </w:pPr>
      <w:r w:rsidRPr="00F85ABE">
        <w:rPr>
          <w:rFonts w:ascii="Arial" w:hAnsi="Arial" w:cs="Arial"/>
          <w:sz w:val="24"/>
          <w:szCs w:val="24"/>
        </w:rPr>
        <w:t>Judeţul Buzău cuprinde armonios toate formele de relief: Munţii Buzăului şi o mica parte a Munţilor Vrancei, în partea de nord, câmpie - la sud, între acestea situându-se zona colinară subcarpatică.</w:t>
      </w:r>
    </w:p>
    <w:p w:rsidR="00952605" w:rsidRDefault="00525F51" w:rsidP="0056118B">
      <w:pPr>
        <w:spacing w:before="120" w:after="120" w:line="240" w:lineRule="auto"/>
        <w:jc w:val="both"/>
        <w:rPr>
          <w:rFonts w:ascii="Arial" w:hAnsi="Arial" w:cs="Arial"/>
          <w:sz w:val="24"/>
          <w:szCs w:val="24"/>
        </w:rPr>
      </w:pPr>
      <w:r w:rsidRPr="00F85ABE">
        <w:rPr>
          <w:rFonts w:ascii="Arial" w:hAnsi="Arial" w:cs="Arial"/>
          <w:sz w:val="24"/>
          <w:szCs w:val="24"/>
        </w:rPr>
        <w:t xml:space="preserve">Munţii Buzăului sunt situaţi în partea centrală a Carpaţilor de Curbură,  între Subcarpaţii situaţi in partea de sud, Munţii Teleajanului - în vest, Depresiunea Braşovului -în nord şi Munţii Vrancei - în nord-est. Spaţiul montan situat între aceste limite, cu o suprafaţă de </w:t>
      </w:r>
      <w:r w:rsidRPr="00F85ABE">
        <w:rPr>
          <w:rFonts w:ascii="Arial" w:hAnsi="Arial" w:cs="Arial"/>
          <w:sz w:val="24"/>
          <w:szCs w:val="24"/>
        </w:rPr>
        <w:lastRenderedPageBreak/>
        <w:t xml:space="preserve">2156 km2, face parte din Carpaţii Orientali, ramură a Carpaţilor Româneşti. Munţii Buzăului au înfăţişarea generală a unor munţi cu altitudini mijlocii şi mici, alcatuiţi din culmi largi, rotunjite sau înguste şi fragmentate , separate de văi transversale adânci şi de şei largi sau depresiuni cu şesuri aluviale extinse. </w:t>
      </w:r>
    </w:p>
    <w:p w:rsidR="00525F51" w:rsidRPr="00F85ABE" w:rsidRDefault="00525F51" w:rsidP="0056118B">
      <w:pPr>
        <w:spacing w:before="120" w:after="120" w:line="240" w:lineRule="auto"/>
        <w:jc w:val="both"/>
        <w:rPr>
          <w:rFonts w:ascii="Arial" w:hAnsi="Arial" w:cs="Arial"/>
          <w:sz w:val="24"/>
          <w:szCs w:val="24"/>
        </w:rPr>
      </w:pPr>
      <w:r w:rsidRPr="00F85ABE">
        <w:rPr>
          <w:rFonts w:ascii="Arial" w:hAnsi="Arial" w:cs="Arial"/>
          <w:sz w:val="24"/>
          <w:szCs w:val="24"/>
        </w:rPr>
        <w:t>Zona de deal este alcatuită din Subcarpaţii Buzăului şi reprezintă o îmbinare de curburi deluroase cu depresiuni şi bazinete. Altitudinea culmilor este cuprinsă între 400-</w:t>
      </w:r>
      <w:smartTag w:uri="urn:schemas-microsoft-com:office:smarttags" w:element="metricconverter">
        <w:smartTagPr>
          <w:attr w:name="ProductID" w:val="800 m"/>
        </w:smartTagPr>
        <w:r w:rsidRPr="00F85ABE">
          <w:rPr>
            <w:rFonts w:ascii="Arial" w:hAnsi="Arial" w:cs="Arial"/>
            <w:sz w:val="24"/>
            <w:szCs w:val="24"/>
          </w:rPr>
          <w:t>800 m</w:t>
        </w:r>
      </w:smartTag>
      <w:r w:rsidRPr="00F85ABE">
        <w:rPr>
          <w:rFonts w:ascii="Arial" w:hAnsi="Arial" w:cs="Arial"/>
          <w:sz w:val="24"/>
          <w:szCs w:val="24"/>
        </w:rPr>
        <w:t xml:space="preserve"> şi scade în văi şi depresiuni  până la 200 – </w:t>
      </w:r>
      <w:smartTag w:uri="urn:schemas-microsoft-com:office:smarttags" w:element="metricconverter">
        <w:smartTagPr>
          <w:attr w:name="ProductID" w:val="100 m"/>
        </w:smartTagPr>
        <w:r w:rsidRPr="00F85ABE">
          <w:rPr>
            <w:rFonts w:ascii="Arial" w:hAnsi="Arial" w:cs="Arial"/>
            <w:sz w:val="24"/>
            <w:szCs w:val="24"/>
          </w:rPr>
          <w:t>100 m</w:t>
        </w:r>
      </w:smartTag>
      <w:r w:rsidRPr="00F85ABE">
        <w:rPr>
          <w:rFonts w:ascii="Arial" w:hAnsi="Arial" w:cs="Arial"/>
          <w:sz w:val="24"/>
          <w:szCs w:val="24"/>
        </w:rPr>
        <w:t>. Subcarpaţii Buzăului sunt alcatuiţi din formaţiuni geologice mai tinere, cutate larg.</w:t>
      </w:r>
    </w:p>
    <w:p w:rsidR="00525F51" w:rsidRPr="00F85ABE" w:rsidRDefault="00525F51" w:rsidP="0056118B">
      <w:pPr>
        <w:spacing w:before="120" w:after="120" w:line="240" w:lineRule="auto"/>
        <w:jc w:val="both"/>
        <w:rPr>
          <w:rFonts w:ascii="Arial" w:hAnsi="Arial" w:cs="Arial"/>
          <w:sz w:val="24"/>
          <w:szCs w:val="24"/>
        </w:rPr>
      </w:pPr>
      <w:r w:rsidRPr="00F85ABE">
        <w:rPr>
          <w:rFonts w:ascii="Arial" w:hAnsi="Arial" w:cs="Arial"/>
          <w:sz w:val="24"/>
          <w:szCs w:val="24"/>
        </w:rPr>
        <w:t xml:space="preserve">Zona de câmpie a judeţului este reprezentată de Câmpiile Rămnicului şi  Săratei, care reprezintă unităţi ce se integrează părţii central - estice a Câmpiei Române, ocupă cam 2/5 din suprafaţa judeţului, are o altitudine de 40 – </w:t>
      </w:r>
      <w:smartTag w:uri="urn:schemas-microsoft-com:office:smarttags" w:element="metricconverter">
        <w:smartTagPr>
          <w:attr w:name="ProductID" w:val="100 m"/>
        </w:smartTagPr>
        <w:r w:rsidRPr="00F85ABE">
          <w:rPr>
            <w:rFonts w:ascii="Arial" w:hAnsi="Arial" w:cs="Arial"/>
            <w:sz w:val="24"/>
            <w:szCs w:val="24"/>
          </w:rPr>
          <w:t>100 m</w:t>
        </w:r>
      </w:smartTag>
      <w:r w:rsidRPr="00F85ABE">
        <w:rPr>
          <w:rFonts w:ascii="Arial" w:hAnsi="Arial" w:cs="Arial"/>
          <w:sz w:val="24"/>
          <w:szCs w:val="24"/>
        </w:rPr>
        <w:t>, şi este constituită din sedimente moi, cu un aspect general orizontal sau larg vălurit.</w:t>
      </w:r>
    </w:p>
    <w:p w:rsidR="00525F51" w:rsidRPr="00F85ABE" w:rsidRDefault="00525F51" w:rsidP="0056118B">
      <w:pPr>
        <w:spacing w:before="120" w:after="120" w:line="240" w:lineRule="auto"/>
        <w:jc w:val="both"/>
        <w:rPr>
          <w:rFonts w:ascii="Arial" w:hAnsi="Arial" w:cs="Arial"/>
          <w:sz w:val="24"/>
          <w:szCs w:val="24"/>
        </w:rPr>
      </w:pPr>
      <w:r w:rsidRPr="00F85ABE">
        <w:rPr>
          <w:rFonts w:ascii="Arial" w:hAnsi="Arial" w:cs="Arial"/>
          <w:sz w:val="24"/>
          <w:szCs w:val="24"/>
        </w:rPr>
        <w:t xml:space="preserve">Caracteristicile demografice influenţează în mod direct presiunile care se exercită asupra mediului. Urbanizarea este un proces deseori asociat cu industrializarea, modernizarea şi dezvoltarea. </w:t>
      </w:r>
    </w:p>
    <w:p w:rsidR="00525F51" w:rsidRPr="00F85ABE" w:rsidRDefault="00525F51" w:rsidP="0056118B">
      <w:pPr>
        <w:spacing w:before="120" w:after="120" w:line="240" w:lineRule="auto"/>
        <w:jc w:val="both"/>
        <w:rPr>
          <w:rFonts w:ascii="Arial" w:hAnsi="Arial" w:cs="Arial"/>
          <w:sz w:val="24"/>
          <w:szCs w:val="24"/>
        </w:rPr>
      </w:pPr>
      <w:r w:rsidRPr="00F85ABE">
        <w:rPr>
          <w:rFonts w:ascii="Arial" w:hAnsi="Arial" w:cs="Arial"/>
          <w:sz w:val="24"/>
          <w:szCs w:val="24"/>
        </w:rPr>
        <w:t xml:space="preserve">În cazul judeţului Buzău, </w:t>
      </w:r>
      <w:r w:rsidR="0024350A">
        <w:rPr>
          <w:rFonts w:ascii="Arial" w:hAnsi="Arial" w:cs="Arial"/>
          <w:sz w:val="24"/>
          <w:szCs w:val="24"/>
        </w:rPr>
        <w:t>cu o popula</w:t>
      </w:r>
      <w:r w:rsidR="0024350A">
        <w:rPr>
          <w:rFonts w:ascii="Arial" w:hAnsi="Arial" w:cs="Arial"/>
          <w:sz w:val="24"/>
          <w:szCs w:val="24"/>
          <w:lang w:val="ro-RO"/>
        </w:rPr>
        <w:t xml:space="preserve">ţie totală în 2014 de 484524 locuitori, </w:t>
      </w:r>
      <w:r w:rsidRPr="00F85ABE">
        <w:rPr>
          <w:rFonts w:ascii="Arial" w:hAnsi="Arial" w:cs="Arial"/>
          <w:sz w:val="24"/>
          <w:szCs w:val="24"/>
        </w:rPr>
        <w:t>po</w:t>
      </w:r>
      <w:r w:rsidR="0024350A">
        <w:rPr>
          <w:rFonts w:ascii="Arial" w:hAnsi="Arial" w:cs="Arial"/>
          <w:sz w:val="24"/>
          <w:szCs w:val="24"/>
        </w:rPr>
        <w:t>pulaţia urbană reprezintă 42,4</w:t>
      </w:r>
      <w:r w:rsidRPr="00F85ABE">
        <w:rPr>
          <w:rFonts w:ascii="Arial" w:hAnsi="Arial" w:cs="Arial"/>
          <w:sz w:val="24"/>
          <w:szCs w:val="24"/>
        </w:rPr>
        <w:t xml:space="preserve">% din populaţia totală a judeţului, iar suprafaţa urbană în care se  concentrează aceasta ocupă mai puţin de 7,39% din suprafaţa judeţului. </w:t>
      </w:r>
      <w:r w:rsidR="0024350A">
        <w:rPr>
          <w:rFonts w:ascii="Arial" w:hAnsi="Arial" w:cs="Arial"/>
          <w:sz w:val="24"/>
          <w:szCs w:val="24"/>
        </w:rPr>
        <w:t>(Sursa: INS-DJS Buzău)</w:t>
      </w:r>
    </w:p>
    <w:p w:rsidR="00525F51" w:rsidRPr="00892024" w:rsidRDefault="00525F51" w:rsidP="0056118B">
      <w:pPr>
        <w:spacing w:before="120" w:after="12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Urmare a evoluţiilor demografice din ultimii ani şi a celor previzionate, populaţia tânără îşi va reduce efectivele.</w:t>
      </w:r>
    </w:p>
    <w:p w:rsidR="00525F51" w:rsidRPr="00892024" w:rsidRDefault="00525F51" w:rsidP="0056118B">
      <w:pPr>
        <w:spacing w:before="120" w:after="12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Procesul lent</w:t>
      </w:r>
      <w:r w:rsidR="00952605">
        <w:rPr>
          <w:rFonts w:ascii="Arial" w:hAnsi="Arial" w:cs="Arial"/>
          <w:color w:val="000000" w:themeColor="text1"/>
          <w:sz w:val="24"/>
          <w:szCs w:val="24"/>
        </w:rPr>
        <w:t>,</w:t>
      </w:r>
      <w:r w:rsidRPr="00892024">
        <w:rPr>
          <w:rFonts w:ascii="Arial" w:hAnsi="Arial" w:cs="Arial"/>
          <w:color w:val="000000" w:themeColor="text1"/>
          <w:sz w:val="24"/>
          <w:szCs w:val="24"/>
        </w:rPr>
        <w:t xml:space="preserve"> dar continuu de îmbătrânire demografică ce se manifestă la nivelul judeţului creează necesitatea creşterii competitivităţii economice.</w:t>
      </w:r>
    </w:p>
    <w:p w:rsidR="00525F51" w:rsidRPr="00892024" w:rsidRDefault="00525F51" w:rsidP="0056118B">
      <w:pPr>
        <w:spacing w:before="120" w:after="12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Creşterea competitivităţii economice este strâns legată de necesitatea sporirii competenţelor tehnice şi informaţionale ale forţei de muncă. În consecinţă, reforma sist</w:t>
      </w:r>
      <w:r w:rsidRPr="00892024">
        <w:rPr>
          <w:rFonts w:ascii="Arial" w:hAnsi="Arial" w:cs="Arial"/>
          <w:color w:val="000000" w:themeColor="text1"/>
          <w:sz w:val="24"/>
          <w:szCs w:val="24"/>
        </w:rPr>
        <w:t>e</w:t>
      </w:r>
      <w:r w:rsidRPr="00892024">
        <w:rPr>
          <w:rFonts w:ascii="Arial" w:hAnsi="Arial" w:cs="Arial"/>
          <w:color w:val="000000" w:themeColor="text1"/>
          <w:sz w:val="24"/>
          <w:szCs w:val="24"/>
        </w:rPr>
        <w:t>mului de învăţământ profesional şi tehnic trebuie condusă către creşterea ofertei de calificări înalte şi stimularea elevilor de a dobândi un nivel de pregătire profesională cât mai ridicat.</w:t>
      </w:r>
    </w:p>
    <w:p w:rsidR="00525F51" w:rsidRPr="00892024" w:rsidRDefault="00525F51" w:rsidP="0056118B">
      <w:pPr>
        <w:spacing w:before="120" w:after="12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 xml:space="preserve">Mutarea centrului de greutate dinspre avantajul competitiv bazat pe intensivitatea muncii către cel bazat pe intensivitatea capitalului în cadrul procesului de modernizare economică va presupune nu numai eforturi de retehnologizare şi informatizare, dar şi înzestrarea forţei de muncă cu competenţe tehnologice complexe şi informaţionale, în special în următoarele grupe ocupaţionale: tehnicieni în ştiinţele vieţii, ocrotirea sănătăţii, meseriaşi şi muncitori calificaţi în construcţii, mecanici, montatori şi reparatori de maşini şi utilaje, montatori şi reparatori de aparate şi echipamente electronice şi electrotehnice, operatori la maşini, utilaje şi asamblori de maşini, echipamente şi alte produse, muncitori calificaţi în reglarea şi întreţinerea maşinilor şi instalaţiilor, lucrători calificaţi în servicii personale şi de protecţie, conducători de vehicule şi operatori la instalaţii mobile. </w:t>
      </w:r>
    </w:p>
    <w:p w:rsidR="0056118B" w:rsidRDefault="00525F51" w:rsidP="0056118B">
      <w:pPr>
        <w:spacing w:before="120" w:after="120" w:line="240" w:lineRule="auto"/>
        <w:jc w:val="both"/>
        <w:rPr>
          <w:rFonts w:ascii="Arial" w:hAnsi="Arial" w:cs="Arial"/>
          <w:color w:val="000000" w:themeColor="text1"/>
          <w:sz w:val="24"/>
          <w:szCs w:val="24"/>
        </w:rPr>
      </w:pPr>
      <w:r w:rsidRPr="00892024">
        <w:rPr>
          <w:rFonts w:ascii="Arial" w:hAnsi="Arial" w:cs="Arial"/>
          <w:color w:val="000000" w:themeColor="text1"/>
          <w:sz w:val="24"/>
          <w:szCs w:val="24"/>
        </w:rPr>
        <w:t xml:space="preserve">Schimbările structurale previzibile în economia judeţului vor muta accentul pe dezvoltarea serviciilor, construcţiilor şi unor ramuri din industria prelucrătoare ca industria alimentară, industria materialelor de construcţii, industria lemnului. </w:t>
      </w:r>
    </w:p>
    <w:p w:rsidR="0056118B" w:rsidRDefault="0056118B" w:rsidP="0056118B">
      <w:pPr>
        <w:pStyle w:val="ListParagraph"/>
        <w:spacing w:before="120" w:after="120" w:line="240" w:lineRule="auto"/>
        <w:ind w:left="0"/>
        <w:jc w:val="both"/>
        <w:rPr>
          <w:rFonts w:ascii="Arial" w:hAnsi="Arial" w:cs="Arial"/>
          <w:b/>
          <w:sz w:val="24"/>
          <w:szCs w:val="24"/>
        </w:rPr>
      </w:pPr>
    </w:p>
    <w:p w:rsidR="0056118B" w:rsidRDefault="0056118B" w:rsidP="0056118B">
      <w:pPr>
        <w:pStyle w:val="ListParagraph"/>
        <w:spacing w:before="120" w:after="120" w:line="240" w:lineRule="auto"/>
        <w:ind w:left="0"/>
        <w:jc w:val="both"/>
        <w:rPr>
          <w:rFonts w:ascii="Arial" w:hAnsi="Arial" w:cs="Arial"/>
          <w:b/>
          <w:sz w:val="24"/>
          <w:szCs w:val="24"/>
        </w:rPr>
      </w:pPr>
    </w:p>
    <w:p w:rsidR="0056118B" w:rsidRDefault="0056118B" w:rsidP="0056118B">
      <w:pPr>
        <w:pStyle w:val="ListParagraph"/>
        <w:spacing w:before="120" w:after="120" w:line="240" w:lineRule="auto"/>
        <w:ind w:left="0"/>
        <w:jc w:val="both"/>
        <w:rPr>
          <w:rFonts w:ascii="Arial" w:hAnsi="Arial" w:cs="Arial"/>
          <w:b/>
          <w:sz w:val="24"/>
          <w:szCs w:val="24"/>
        </w:rPr>
      </w:pPr>
    </w:p>
    <w:p w:rsidR="0056118B" w:rsidRDefault="0056118B" w:rsidP="0056118B">
      <w:pPr>
        <w:pStyle w:val="ListParagraph"/>
        <w:spacing w:before="120" w:after="120" w:line="240" w:lineRule="auto"/>
        <w:ind w:left="0"/>
        <w:jc w:val="both"/>
        <w:rPr>
          <w:rFonts w:ascii="Arial" w:hAnsi="Arial" w:cs="Arial"/>
          <w:b/>
          <w:sz w:val="24"/>
          <w:szCs w:val="24"/>
        </w:rPr>
      </w:pPr>
    </w:p>
    <w:p w:rsidR="0056118B" w:rsidRDefault="0056118B" w:rsidP="0056118B">
      <w:pPr>
        <w:pStyle w:val="ListParagraph"/>
        <w:spacing w:before="120" w:after="120" w:line="240" w:lineRule="auto"/>
        <w:ind w:left="0"/>
        <w:jc w:val="both"/>
        <w:rPr>
          <w:rFonts w:ascii="Arial" w:hAnsi="Arial" w:cs="Arial"/>
          <w:b/>
          <w:sz w:val="24"/>
          <w:szCs w:val="24"/>
        </w:rPr>
      </w:pPr>
    </w:p>
    <w:p w:rsidR="00D71325" w:rsidRDefault="00D71325" w:rsidP="0056118B">
      <w:pPr>
        <w:pStyle w:val="ListParagraph"/>
        <w:spacing w:before="120" w:after="120" w:line="240" w:lineRule="auto"/>
        <w:ind w:left="0"/>
        <w:jc w:val="both"/>
        <w:rPr>
          <w:rFonts w:ascii="Arial" w:hAnsi="Arial" w:cs="Arial"/>
          <w:b/>
          <w:sz w:val="24"/>
          <w:szCs w:val="24"/>
        </w:rPr>
      </w:pPr>
    </w:p>
    <w:p w:rsidR="00D71325" w:rsidRDefault="00D71325" w:rsidP="0056118B">
      <w:pPr>
        <w:pStyle w:val="ListParagraph"/>
        <w:spacing w:before="120" w:after="120" w:line="240" w:lineRule="auto"/>
        <w:ind w:left="0"/>
        <w:jc w:val="both"/>
        <w:rPr>
          <w:rFonts w:ascii="Arial" w:hAnsi="Arial" w:cs="Arial"/>
          <w:b/>
          <w:sz w:val="24"/>
          <w:szCs w:val="24"/>
        </w:rPr>
      </w:pPr>
    </w:p>
    <w:p w:rsidR="00420717" w:rsidRDefault="00420717" w:rsidP="0056118B">
      <w:pPr>
        <w:pStyle w:val="ListParagraph"/>
        <w:spacing w:before="120" w:after="120" w:line="240" w:lineRule="auto"/>
        <w:ind w:left="0"/>
        <w:jc w:val="both"/>
        <w:rPr>
          <w:rFonts w:ascii="Arial" w:hAnsi="Arial" w:cs="Arial"/>
          <w:b/>
          <w:sz w:val="24"/>
          <w:szCs w:val="24"/>
        </w:rPr>
      </w:pPr>
    </w:p>
    <w:p w:rsidR="0056118B" w:rsidRDefault="0056118B" w:rsidP="0056118B">
      <w:pPr>
        <w:pStyle w:val="ListParagraph"/>
        <w:spacing w:before="120" w:after="120" w:line="240" w:lineRule="auto"/>
        <w:ind w:left="0"/>
        <w:jc w:val="both"/>
        <w:rPr>
          <w:rFonts w:ascii="Arial" w:hAnsi="Arial" w:cs="Arial"/>
          <w:b/>
          <w:sz w:val="24"/>
          <w:szCs w:val="24"/>
        </w:rPr>
      </w:pPr>
    </w:p>
    <w:p w:rsidR="00CA0B63" w:rsidRDefault="00CA0B63" w:rsidP="0056118B">
      <w:pPr>
        <w:pStyle w:val="ListParagraph"/>
        <w:spacing w:before="120" w:after="120" w:line="240" w:lineRule="auto"/>
        <w:ind w:left="0"/>
        <w:jc w:val="both"/>
        <w:rPr>
          <w:rFonts w:ascii="Arial" w:hAnsi="Arial" w:cs="Arial"/>
          <w:b/>
          <w:sz w:val="24"/>
          <w:szCs w:val="24"/>
        </w:rPr>
      </w:pPr>
      <w:r>
        <w:rPr>
          <w:rFonts w:ascii="Arial" w:hAnsi="Arial" w:cs="Arial"/>
          <w:b/>
          <w:sz w:val="24"/>
          <w:szCs w:val="24"/>
        </w:rPr>
        <w:lastRenderedPageBreak/>
        <w:t>I. CALITATEA  ŞI  POLUAREA  AERULUI  ÎNCONJURĂTOR</w:t>
      </w:r>
    </w:p>
    <w:p w:rsidR="00CA0B63" w:rsidRPr="00DB2E6A" w:rsidRDefault="00CA0B63" w:rsidP="0056118B">
      <w:pPr>
        <w:spacing w:before="120" w:after="120" w:line="240" w:lineRule="auto"/>
        <w:jc w:val="both"/>
        <w:rPr>
          <w:rFonts w:ascii="Arial" w:hAnsi="Arial" w:cs="Arial"/>
          <w:b/>
          <w:sz w:val="24"/>
          <w:szCs w:val="24"/>
        </w:rPr>
      </w:pPr>
      <w:r w:rsidRPr="00DB2E6A">
        <w:rPr>
          <w:rFonts w:ascii="Arial" w:hAnsi="Arial" w:cs="Arial"/>
          <w:b/>
          <w:sz w:val="24"/>
          <w:szCs w:val="24"/>
        </w:rPr>
        <w:t xml:space="preserve">I.1. Calitatea aerului înconjurător: stare </w:t>
      </w:r>
      <w:r>
        <w:rPr>
          <w:rFonts w:ascii="Arial" w:hAnsi="Arial" w:cs="Arial"/>
          <w:b/>
          <w:sz w:val="24"/>
          <w:szCs w:val="24"/>
        </w:rPr>
        <w:t>ş</w:t>
      </w:r>
      <w:r w:rsidRPr="00DB2E6A">
        <w:rPr>
          <w:rFonts w:ascii="Arial" w:hAnsi="Arial" w:cs="Arial"/>
          <w:b/>
          <w:sz w:val="24"/>
          <w:szCs w:val="24"/>
        </w:rPr>
        <w:t>i consecin</w:t>
      </w:r>
      <w:r>
        <w:rPr>
          <w:rFonts w:ascii="Arial" w:hAnsi="Arial" w:cs="Arial"/>
          <w:b/>
          <w:sz w:val="24"/>
          <w:szCs w:val="24"/>
        </w:rPr>
        <w:t>ţ</w:t>
      </w:r>
      <w:r w:rsidRPr="00DB2E6A">
        <w:rPr>
          <w:rFonts w:ascii="Arial" w:hAnsi="Arial" w:cs="Arial"/>
          <w:b/>
          <w:sz w:val="24"/>
          <w:szCs w:val="24"/>
        </w:rPr>
        <w:t>e</w:t>
      </w:r>
    </w:p>
    <w:p w:rsidR="00CA0B63" w:rsidRDefault="00CA0B63" w:rsidP="0056118B">
      <w:pPr>
        <w:spacing w:before="120" w:after="120" w:line="240" w:lineRule="auto"/>
        <w:jc w:val="both"/>
        <w:rPr>
          <w:rFonts w:ascii="Arial" w:hAnsi="Arial" w:cs="Arial"/>
          <w:b/>
          <w:sz w:val="24"/>
          <w:szCs w:val="24"/>
        </w:rPr>
      </w:pPr>
      <w:r>
        <w:rPr>
          <w:rFonts w:ascii="Arial" w:hAnsi="Arial" w:cs="Arial"/>
          <w:b/>
          <w:sz w:val="24"/>
          <w:szCs w:val="24"/>
        </w:rPr>
        <w:t>I.1.1. Starea de calitate a aerului înconjurător</w:t>
      </w:r>
    </w:p>
    <w:p w:rsidR="00CA0B63" w:rsidRDefault="00CA0B63" w:rsidP="0056118B">
      <w:pPr>
        <w:spacing w:before="120" w:after="120" w:line="240" w:lineRule="auto"/>
        <w:jc w:val="both"/>
        <w:rPr>
          <w:rFonts w:ascii="Arial" w:hAnsi="Arial" w:cs="Arial"/>
          <w:b/>
          <w:sz w:val="24"/>
          <w:szCs w:val="24"/>
        </w:rPr>
      </w:pPr>
      <w:r>
        <w:rPr>
          <w:rFonts w:ascii="Arial" w:hAnsi="Arial" w:cs="Arial"/>
          <w:b/>
          <w:sz w:val="24"/>
          <w:szCs w:val="24"/>
        </w:rPr>
        <w:t>I.1.1.1. Nivelul concentraţi</w:t>
      </w:r>
      <w:r w:rsidR="004D109F">
        <w:rPr>
          <w:rFonts w:ascii="Arial" w:hAnsi="Arial" w:cs="Arial"/>
          <w:b/>
          <w:sz w:val="24"/>
          <w:szCs w:val="24"/>
        </w:rPr>
        <w:t>ilor medii anuale ale poluanţilo</w:t>
      </w:r>
      <w:r>
        <w:rPr>
          <w:rFonts w:ascii="Arial" w:hAnsi="Arial" w:cs="Arial"/>
          <w:b/>
          <w:sz w:val="24"/>
          <w:szCs w:val="24"/>
        </w:rPr>
        <w:t>r în aerul înconjurător</w:t>
      </w:r>
    </w:p>
    <w:p w:rsidR="00CA0B63" w:rsidRPr="00822D54" w:rsidRDefault="00CA0B63" w:rsidP="0056118B">
      <w:pPr>
        <w:spacing w:before="120" w:after="120" w:line="240" w:lineRule="auto"/>
        <w:jc w:val="both"/>
        <w:rPr>
          <w:rStyle w:val="Strong"/>
          <w:rFonts w:ascii="Arial" w:hAnsi="Arial" w:cs="Arial"/>
          <w:b w:val="0"/>
          <w:sz w:val="24"/>
          <w:szCs w:val="24"/>
        </w:rPr>
      </w:pPr>
      <w:r w:rsidRPr="00822D54">
        <w:rPr>
          <w:rFonts w:ascii="Arial" w:hAnsi="Arial" w:cs="Arial"/>
          <w:sz w:val="24"/>
          <w:szCs w:val="24"/>
        </w:rPr>
        <w:t>Scopul evaluării impactului poluanţilor atmosferici asupra mediului este indentificarea şi cuantificarea potenţialelor consecinţe asupra acestuia. Pentru a înţelege mai bine acest impact, se impune colectarea, schimbul şi diseminarea informaţiilor privind calitatea aer</w:t>
      </w:r>
      <w:r w:rsidRPr="00822D54">
        <w:rPr>
          <w:rFonts w:ascii="Arial" w:hAnsi="Arial" w:cs="Arial"/>
          <w:sz w:val="24"/>
          <w:szCs w:val="24"/>
        </w:rPr>
        <w:t>u</w:t>
      </w:r>
      <w:r w:rsidRPr="00822D54">
        <w:rPr>
          <w:rFonts w:ascii="Arial" w:hAnsi="Arial" w:cs="Arial"/>
          <w:sz w:val="24"/>
          <w:szCs w:val="24"/>
        </w:rPr>
        <w:t xml:space="preserve">lui. </w:t>
      </w:r>
      <w:r w:rsidRPr="00822D54">
        <w:rPr>
          <w:rStyle w:val="Strong"/>
          <w:rFonts w:ascii="Arial" w:hAnsi="Arial" w:cs="Arial"/>
          <w:b w:val="0"/>
          <w:sz w:val="24"/>
          <w:szCs w:val="24"/>
        </w:rPr>
        <w:t>Evaluarea impactului poluanţilor atmosferici asupra mediului înconjurător se realizează prin:</w:t>
      </w:r>
    </w:p>
    <w:p w:rsidR="00CA0B63" w:rsidRPr="00B656DB" w:rsidRDefault="00CA0B63" w:rsidP="0056118B">
      <w:pPr>
        <w:spacing w:before="120" w:after="120" w:line="240" w:lineRule="auto"/>
        <w:jc w:val="both"/>
        <w:rPr>
          <w:rStyle w:val="Strong"/>
          <w:rFonts w:ascii="Arial" w:hAnsi="Arial" w:cs="Arial"/>
          <w:b w:val="0"/>
          <w:bCs w:val="0"/>
          <w:sz w:val="24"/>
          <w:szCs w:val="24"/>
        </w:rPr>
      </w:pPr>
      <w:r>
        <w:rPr>
          <w:rStyle w:val="Strong"/>
          <w:rFonts w:ascii="Arial" w:hAnsi="Arial" w:cs="Arial"/>
          <w:b w:val="0"/>
          <w:sz w:val="24"/>
          <w:szCs w:val="24"/>
        </w:rPr>
        <w:t xml:space="preserve">- </w:t>
      </w:r>
      <w:r w:rsidRPr="00B656DB">
        <w:rPr>
          <w:rStyle w:val="Strong"/>
          <w:rFonts w:ascii="Arial" w:hAnsi="Arial" w:cs="Arial"/>
          <w:b w:val="0"/>
          <w:sz w:val="24"/>
          <w:szCs w:val="24"/>
        </w:rPr>
        <w:t xml:space="preserve">estimarea </w:t>
      </w:r>
      <w:r w:rsidRPr="00B656DB">
        <w:rPr>
          <w:rFonts w:ascii="Arial" w:hAnsi="Arial" w:cs="Arial"/>
          <w:sz w:val="24"/>
          <w:szCs w:val="24"/>
        </w:rPr>
        <w:t xml:space="preserve">emisiilor de poluanţi </w:t>
      </w:r>
      <w:r w:rsidRPr="00B656DB">
        <w:rPr>
          <w:rStyle w:val="Strong"/>
          <w:rFonts w:ascii="Arial" w:hAnsi="Arial" w:cs="Arial"/>
          <w:b w:val="0"/>
          <w:sz w:val="24"/>
          <w:szCs w:val="24"/>
        </w:rPr>
        <w:t>prin realizarea inventarelor de emisii, măsurători ale em</w:t>
      </w:r>
      <w:r w:rsidRPr="00B656DB">
        <w:rPr>
          <w:rStyle w:val="Strong"/>
          <w:rFonts w:ascii="Arial" w:hAnsi="Arial" w:cs="Arial"/>
          <w:b w:val="0"/>
          <w:sz w:val="24"/>
          <w:szCs w:val="24"/>
        </w:rPr>
        <w:t>i</w:t>
      </w:r>
      <w:r w:rsidRPr="00B656DB">
        <w:rPr>
          <w:rStyle w:val="Strong"/>
          <w:rFonts w:ascii="Arial" w:hAnsi="Arial" w:cs="Arial"/>
          <w:b w:val="0"/>
          <w:sz w:val="24"/>
          <w:szCs w:val="24"/>
        </w:rPr>
        <w:t>siilor şi/sau modelarea dispersiei poluanţilor atmosferici;</w:t>
      </w:r>
    </w:p>
    <w:p w:rsidR="00CA0B63" w:rsidRDefault="00CA0B63" w:rsidP="0056118B">
      <w:pPr>
        <w:spacing w:before="120" w:after="120" w:line="240" w:lineRule="auto"/>
        <w:jc w:val="both"/>
        <w:rPr>
          <w:rFonts w:ascii="Arial" w:hAnsi="Arial" w:cs="Arial"/>
          <w:sz w:val="24"/>
          <w:szCs w:val="24"/>
        </w:rPr>
      </w:pPr>
      <w:r>
        <w:rPr>
          <w:rStyle w:val="Strong"/>
          <w:rFonts w:ascii="Arial" w:hAnsi="Arial" w:cs="Arial"/>
          <w:b w:val="0"/>
          <w:sz w:val="24"/>
          <w:szCs w:val="24"/>
        </w:rPr>
        <w:t xml:space="preserve">- </w:t>
      </w:r>
      <w:r w:rsidRPr="00822D54">
        <w:rPr>
          <w:rStyle w:val="Strong"/>
          <w:rFonts w:ascii="Arial" w:hAnsi="Arial" w:cs="Arial"/>
          <w:b w:val="0"/>
          <w:sz w:val="24"/>
          <w:szCs w:val="24"/>
        </w:rPr>
        <w:t>monitorizarea calităţii aerului în vederea cunoaşterii efectelor acestor emisii asupra sănătăţii populaţiei şi ecosistemelor.</w:t>
      </w:r>
    </w:p>
    <w:p w:rsidR="00CA0B63" w:rsidRDefault="00CA0B63" w:rsidP="0056118B">
      <w:pPr>
        <w:spacing w:before="120" w:after="120" w:line="240" w:lineRule="auto"/>
        <w:jc w:val="both"/>
        <w:rPr>
          <w:rFonts w:ascii="Arial" w:hAnsi="Arial" w:cs="Arial"/>
          <w:sz w:val="24"/>
          <w:szCs w:val="24"/>
        </w:rPr>
      </w:pPr>
      <w:r w:rsidRPr="00822D54">
        <w:rPr>
          <w:rFonts w:ascii="Arial" w:hAnsi="Arial" w:cs="Arial"/>
          <w:sz w:val="24"/>
          <w:szCs w:val="24"/>
        </w:rPr>
        <w:t>Estimarea emisiilor anuale de poluanţi atmosferici reprezintă primul pas în stabilirea i</w:t>
      </w:r>
      <w:r w:rsidRPr="00822D54">
        <w:rPr>
          <w:rFonts w:ascii="Arial" w:hAnsi="Arial" w:cs="Arial"/>
          <w:sz w:val="24"/>
          <w:szCs w:val="24"/>
        </w:rPr>
        <w:t>m</w:t>
      </w:r>
      <w:r w:rsidRPr="00822D54">
        <w:rPr>
          <w:rFonts w:ascii="Arial" w:hAnsi="Arial" w:cs="Arial"/>
          <w:sz w:val="24"/>
          <w:szCs w:val="24"/>
        </w:rPr>
        <w:t xml:space="preserve">pactului acestor poluanţi asupra mediului înconjurător. </w:t>
      </w:r>
    </w:p>
    <w:p w:rsidR="00CA0B63" w:rsidRPr="00CB4007" w:rsidRDefault="00CA0B63" w:rsidP="0056118B">
      <w:pPr>
        <w:spacing w:before="120" w:after="120" w:line="240" w:lineRule="auto"/>
        <w:jc w:val="both"/>
        <w:rPr>
          <w:rFonts w:ascii="Arial" w:hAnsi="Arial" w:cs="Arial"/>
          <w:sz w:val="24"/>
          <w:szCs w:val="24"/>
        </w:rPr>
      </w:pPr>
      <w:r>
        <w:rPr>
          <w:rFonts w:ascii="Arial" w:hAnsi="Arial" w:cs="Arial"/>
          <w:sz w:val="24"/>
          <w:szCs w:val="24"/>
        </w:rPr>
        <w:t>La nivelul anului 2014</w:t>
      </w:r>
      <w:r w:rsidRPr="00822D54">
        <w:rPr>
          <w:rFonts w:ascii="Arial" w:hAnsi="Arial" w:cs="Arial"/>
          <w:sz w:val="24"/>
          <w:szCs w:val="24"/>
        </w:rPr>
        <w:t>, monitorizarea calităţii aerului la APM Buzău s-a realizat atât prin prelevări manuale, urmate de analiza probelor în laborator cât şi în cadrul sistemului de monitorizare continuă a calităţii aerului.</w:t>
      </w:r>
    </w:p>
    <w:p w:rsidR="00CA0B63" w:rsidRPr="00CB4007" w:rsidRDefault="00CA0B63" w:rsidP="0056118B">
      <w:pPr>
        <w:spacing w:before="120" w:after="120" w:line="240" w:lineRule="auto"/>
        <w:jc w:val="both"/>
        <w:rPr>
          <w:rFonts w:ascii="Arial" w:hAnsi="Arial" w:cs="Arial"/>
          <w:bCs/>
          <w:sz w:val="24"/>
          <w:szCs w:val="24"/>
        </w:rPr>
      </w:pPr>
      <w:r>
        <w:rPr>
          <w:rFonts w:ascii="Arial" w:hAnsi="Arial" w:cs="Arial"/>
          <w:bCs/>
          <w:sz w:val="24"/>
          <w:szCs w:val="24"/>
        </w:rPr>
        <w:t>Monitorizarea continuă  a fost realizată</w:t>
      </w:r>
      <w:r w:rsidRPr="00CB4007">
        <w:rPr>
          <w:rFonts w:ascii="Arial" w:hAnsi="Arial" w:cs="Arial"/>
          <w:bCs/>
          <w:sz w:val="24"/>
          <w:szCs w:val="24"/>
        </w:rPr>
        <w:t xml:space="preserve"> cu ajutorul staţiei automate de monitorizare a calităţii aerului de tip de fond urban amplasată în centrul munucipiului Buzău, staţie care face parte din Reţeaua Naţională de Monitorizare a Calităţii Aerului. Prin intermediul ace</w:t>
      </w:r>
      <w:r w:rsidRPr="00CB4007">
        <w:rPr>
          <w:rFonts w:ascii="Arial" w:hAnsi="Arial" w:cs="Arial"/>
          <w:bCs/>
          <w:sz w:val="24"/>
          <w:szCs w:val="24"/>
        </w:rPr>
        <w:t>s</w:t>
      </w:r>
      <w:r w:rsidRPr="00CB4007">
        <w:rPr>
          <w:rFonts w:ascii="Arial" w:hAnsi="Arial" w:cs="Arial"/>
          <w:bCs/>
          <w:sz w:val="24"/>
          <w:szCs w:val="24"/>
        </w:rPr>
        <w:t>tei staţii sunt monitorizaţi şi evaluaţi, conform</w:t>
      </w:r>
      <w:r>
        <w:rPr>
          <w:rFonts w:ascii="Arial" w:hAnsi="Arial" w:cs="Arial"/>
          <w:bCs/>
          <w:sz w:val="24"/>
          <w:szCs w:val="24"/>
        </w:rPr>
        <w:t xml:space="preserve"> Legii nr. 104/2011 privind aerul înconjurător</w:t>
      </w:r>
      <w:r w:rsidRPr="00CB4007">
        <w:rPr>
          <w:rFonts w:ascii="Arial" w:hAnsi="Arial" w:cs="Arial"/>
          <w:bCs/>
          <w:sz w:val="24"/>
          <w:szCs w:val="24"/>
        </w:rPr>
        <w:t>, poluanţii SO</w:t>
      </w:r>
      <w:r w:rsidRPr="00CB4007">
        <w:rPr>
          <w:rFonts w:ascii="Arial" w:hAnsi="Arial" w:cs="Arial"/>
          <w:bCs/>
          <w:sz w:val="24"/>
          <w:szCs w:val="24"/>
          <w:vertAlign w:val="subscript"/>
        </w:rPr>
        <w:t>2</w:t>
      </w:r>
      <w:r w:rsidRPr="00CB4007">
        <w:rPr>
          <w:rFonts w:ascii="Arial" w:hAnsi="Arial" w:cs="Arial"/>
          <w:bCs/>
          <w:sz w:val="24"/>
          <w:szCs w:val="24"/>
        </w:rPr>
        <w:t>, NO</w:t>
      </w:r>
      <w:r w:rsidRPr="00CB4007">
        <w:rPr>
          <w:rFonts w:ascii="Arial" w:hAnsi="Arial" w:cs="Arial"/>
          <w:bCs/>
          <w:sz w:val="24"/>
          <w:szCs w:val="24"/>
          <w:vertAlign w:val="subscript"/>
        </w:rPr>
        <w:t>2</w:t>
      </w:r>
      <w:r w:rsidRPr="00CB4007">
        <w:rPr>
          <w:rFonts w:ascii="Arial" w:hAnsi="Arial" w:cs="Arial"/>
          <w:bCs/>
          <w:sz w:val="24"/>
          <w:szCs w:val="24"/>
        </w:rPr>
        <w:t>/NO</w:t>
      </w:r>
      <w:r w:rsidRPr="00CB4007">
        <w:rPr>
          <w:rFonts w:ascii="Arial" w:hAnsi="Arial" w:cs="Arial"/>
          <w:bCs/>
          <w:sz w:val="24"/>
          <w:szCs w:val="24"/>
          <w:vertAlign w:val="subscript"/>
        </w:rPr>
        <w:t>x</w:t>
      </w:r>
      <w:r w:rsidRPr="00CB4007">
        <w:rPr>
          <w:rFonts w:ascii="Arial" w:hAnsi="Arial" w:cs="Arial"/>
          <w:bCs/>
          <w:sz w:val="24"/>
          <w:szCs w:val="24"/>
        </w:rPr>
        <w:t>, CO, PM</w:t>
      </w:r>
      <w:r>
        <w:rPr>
          <w:rFonts w:ascii="Arial" w:hAnsi="Arial" w:cs="Arial"/>
          <w:bCs/>
          <w:sz w:val="24"/>
          <w:szCs w:val="24"/>
          <w:vertAlign w:val="subscript"/>
        </w:rPr>
        <w:t xml:space="preserve">10 </w:t>
      </w:r>
      <w:r>
        <w:rPr>
          <w:rFonts w:ascii="Arial" w:hAnsi="Arial" w:cs="Arial"/>
          <w:bCs/>
          <w:sz w:val="24"/>
          <w:szCs w:val="24"/>
        </w:rPr>
        <w:t>automat şi gravimetric, benzen,</w:t>
      </w:r>
      <w:r w:rsidRPr="00CB4007">
        <w:rPr>
          <w:rFonts w:ascii="Arial" w:hAnsi="Arial" w:cs="Arial"/>
          <w:bCs/>
          <w:sz w:val="24"/>
          <w:szCs w:val="24"/>
        </w:rPr>
        <w:t xml:space="preserve"> O</w:t>
      </w:r>
      <w:r w:rsidRPr="00CB4007">
        <w:rPr>
          <w:rFonts w:ascii="Arial" w:hAnsi="Arial" w:cs="Arial"/>
          <w:bCs/>
          <w:sz w:val="24"/>
          <w:szCs w:val="24"/>
          <w:vertAlign w:val="subscript"/>
        </w:rPr>
        <w:t>3</w:t>
      </w:r>
      <w:r>
        <w:rPr>
          <w:rFonts w:ascii="Arial" w:hAnsi="Arial" w:cs="Arial"/>
          <w:bCs/>
          <w:sz w:val="24"/>
          <w:szCs w:val="24"/>
          <w:vertAlign w:val="subscript"/>
        </w:rPr>
        <w:t xml:space="preserve">  </w:t>
      </w:r>
      <w:r>
        <w:rPr>
          <w:rFonts w:ascii="Arial" w:hAnsi="Arial" w:cs="Arial"/>
          <w:bCs/>
          <w:sz w:val="24"/>
          <w:szCs w:val="24"/>
        </w:rPr>
        <w:t>şi PM2,5 gravimetric</w:t>
      </w:r>
    </w:p>
    <w:p w:rsidR="00CA0B63" w:rsidRDefault="00CA0B63" w:rsidP="0056118B">
      <w:pPr>
        <w:pStyle w:val="BodyText21"/>
        <w:widowControl/>
        <w:snapToGrid/>
        <w:spacing w:before="120" w:after="120"/>
        <w:rPr>
          <w:rFonts w:ascii="Arial" w:hAnsi="Arial" w:cs="Arial"/>
          <w:lang w:val="en-GB"/>
        </w:rPr>
      </w:pPr>
      <w:r>
        <w:rPr>
          <w:rFonts w:ascii="Arial" w:hAnsi="Arial" w:cs="Arial"/>
          <w:lang w:val="en-GB"/>
        </w:rPr>
        <w:t>Menţionăm, de asemenea, că în judeţul Buzău mai există o staţie automată pentru mon</w:t>
      </w:r>
      <w:r>
        <w:rPr>
          <w:rFonts w:ascii="Arial" w:hAnsi="Arial" w:cs="Arial"/>
          <w:lang w:val="en-GB"/>
        </w:rPr>
        <w:t>i</w:t>
      </w:r>
      <w:r>
        <w:rPr>
          <w:rFonts w:ascii="Arial" w:hAnsi="Arial" w:cs="Arial"/>
          <w:lang w:val="en-GB"/>
        </w:rPr>
        <w:t>torizarea calităţii aerului de tip trafic, amplasată în municipiul Râmnicu Sărat, dar care nu funcţionează, neavând realizat branşamentul electric.</w:t>
      </w:r>
    </w:p>
    <w:p w:rsidR="0056118B" w:rsidRDefault="0056118B" w:rsidP="0056118B">
      <w:pPr>
        <w:spacing w:before="120" w:after="120" w:line="240" w:lineRule="auto"/>
        <w:jc w:val="both"/>
        <w:rPr>
          <w:rFonts w:ascii="Arial" w:hAnsi="Arial" w:cs="Arial"/>
          <w:b/>
          <w:sz w:val="24"/>
          <w:szCs w:val="24"/>
        </w:rPr>
      </w:pPr>
    </w:p>
    <w:p w:rsidR="00CA0B63" w:rsidRDefault="00CA0B63" w:rsidP="0056118B">
      <w:pPr>
        <w:spacing w:before="120" w:after="120" w:line="240" w:lineRule="auto"/>
        <w:jc w:val="both"/>
        <w:rPr>
          <w:rFonts w:ascii="Arial" w:hAnsi="Arial" w:cs="Arial"/>
          <w:b/>
          <w:sz w:val="24"/>
          <w:szCs w:val="24"/>
        </w:rPr>
      </w:pPr>
      <w:r>
        <w:rPr>
          <w:rFonts w:ascii="Arial" w:hAnsi="Arial" w:cs="Arial"/>
          <w:b/>
          <w:sz w:val="24"/>
          <w:szCs w:val="24"/>
        </w:rPr>
        <w:t>I.1.1.1.1. Dioxidul de azot</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La nivelul anului 2014 nu s-a putut determina valoarea concentraţiei de </w:t>
      </w:r>
      <w:r w:rsidRPr="00901241">
        <w:rPr>
          <w:rFonts w:ascii="Arial" w:hAnsi="Arial" w:cs="Arial"/>
          <w:sz w:val="24"/>
          <w:szCs w:val="24"/>
        </w:rPr>
        <w:t>NO</w:t>
      </w:r>
      <w:r w:rsidRPr="00901241">
        <w:rPr>
          <w:rFonts w:ascii="Arial" w:hAnsi="Arial" w:cs="Arial"/>
          <w:sz w:val="24"/>
          <w:szCs w:val="24"/>
          <w:vertAlign w:val="subscript"/>
        </w:rPr>
        <w:t>2</w:t>
      </w:r>
      <w:r>
        <w:rPr>
          <w:rFonts w:ascii="Arial" w:hAnsi="Arial" w:cs="Arial"/>
          <w:sz w:val="24"/>
          <w:szCs w:val="24"/>
        </w:rPr>
        <w:t>/</w:t>
      </w:r>
      <w:r>
        <w:rPr>
          <w:rFonts w:ascii="Arial" w:hAnsi="Arial" w:cs="Arial"/>
          <w:sz w:val="24"/>
          <w:szCs w:val="24"/>
          <w:vertAlign w:val="subscript"/>
        </w:rPr>
        <w:t xml:space="preserve"> </w:t>
      </w:r>
      <w:r w:rsidRPr="00901241">
        <w:rPr>
          <w:rFonts w:ascii="Arial" w:hAnsi="Arial" w:cs="Arial"/>
          <w:sz w:val="24"/>
          <w:szCs w:val="24"/>
        </w:rPr>
        <w:t>NO</w:t>
      </w:r>
      <w:r w:rsidRPr="00901241">
        <w:rPr>
          <w:rFonts w:ascii="Arial" w:hAnsi="Arial" w:cs="Arial"/>
          <w:sz w:val="24"/>
          <w:szCs w:val="24"/>
          <w:vertAlign w:val="subscript"/>
        </w:rPr>
        <w:t>x</w:t>
      </w:r>
      <w:r>
        <w:rPr>
          <w:rFonts w:ascii="Arial" w:hAnsi="Arial" w:cs="Arial"/>
          <w:sz w:val="24"/>
          <w:szCs w:val="24"/>
          <w:vertAlign w:val="subscript"/>
        </w:rPr>
        <w:t xml:space="preserve"> </w:t>
      </w:r>
      <w:r>
        <w:rPr>
          <w:rFonts w:ascii="Arial" w:hAnsi="Arial" w:cs="Arial"/>
          <w:sz w:val="24"/>
          <w:szCs w:val="24"/>
        </w:rPr>
        <w:t xml:space="preserve">, la staţia BZ-1, deoarece analizorul pentru </w:t>
      </w:r>
      <w:r w:rsidRPr="00901241">
        <w:rPr>
          <w:rFonts w:ascii="Arial" w:hAnsi="Arial" w:cs="Arial"/>
          <w:sz w:val="24"/>
          <w:szCs w:val="24"/>
        </w:rPr>
        <w:t>NO</w:t>
      </w:r>
      <w:r w:rsidRPr="00901241">
        <w:rPr>
          <w:rFonts w:ascii="Arial" w:hAnsi="Arial" w:cs="Arial"/>
          <w:sz w:val="24"/>
          <w:szCs w:val="24"/>
          <w:vertAlign w:val="subscript"/>
        </w:rPr>
        <w:t>x</w:t>
      </w:r>
      <w:r>
        <w:rPr>
          <w:rFonts w:ascii="Arial" w:hAnsi="Arial" w:cs="Arial"/>
          <w:sz w:val="24"/>
          <w:szCs w:val="24"/>
          <w:vertAlign w:val="subscript"/>
        </w:rPr>
        <w:t xml:space="preserve">  </w:t>
      </w:r>
      <w:r>
        <w:rPr>
          <w:rFonts w:ascii="Arial" w:hAnsi="Arial" w:cs="Arial"/>
          <w:sz w:val="24"/>
          <w:szCs w:val="24"/>
        </w:rPr>
        <w:t>a fost defect, captura de date fiind 0.</w:t>
      </w:r>
    </w:p>
    <w:p w:rsidR="0056118B" w:rsidRDefault="0056118B" w:rsidP="0056118B">
      <w:pPr>
        <w:spacing w:before="120" w:after="120" w:line="240" w:lineRule="auto"/>
        <w:contextualSpacing/>
        <w:jc w:val="both"/>
        <w:rPr>
          <w:rFonts w:ascii="Arial" w:hAnsi="Arial" w:cs="Arial"/>
          <w:b/>
          <w:sz w:val="24"/>
          <w:szCs w:val="24"/>
        </w:rPr>
      </w:pPr>
    </w:p>
    <w:p w:rsidR="00CA0B63" w:rsidRDefault="00CA0B63" w:rsidP="0056118B">
      <w:pPr>
        <w:spacing w:before="120" w:after="120" w:line="240" w:lineRule="auto"/>
        <w:contextualSpacing/>
        <w:jc w:val="both"/>
        <w:rPr>
          <w:rFonts w:ascii="Arial" w:hAnsi="Arial" w:cs="Arial"/>
          <w:b/>
          <w:bCs/>
          <w:sz w:val="24"/>
          <w:szCs w:val="24"/>
        </w:rPr>
      </w:pPr>
      <w:r>
        <w:rPr>
          <w:rFonts w:ascii="Arial" w:hAnsi="Arial" w:cs="Arial"/>
          <w:b/>
          <w:sz w:val="24"/>
          <w:szCs w:val="24"/>
        </w:rPr>
        <w:t xml:space="preserve">I.1.1.1.2. </w:t>
      </w:r>
      <w:r w:rsidRPr="00901241">
        <w:rPr>
          <w:rFonts w:ascii="Arial" w:hAnsi="Arial" w:cs="Arial"/>
          <w:b/>
          <w:bCs/>
          <w:sz w:val="24"/>
          <w:szCs w:val="24"/>
        </w:rPr>
        <w:t>Dioxid</w:t>
      </w:r>
      <w:r>
        <w:rPr>
          <w:rFonts w:ascii="Arial" w:hAnsi="Arial" w:cs="Arial"/>
          <w:b/>
          <w:bCs/>
          <w:sz w:val="24"/>
          <w:szCs w:val="24"/>
        </w:rPr>
        <w:t>ul</w:t>
      </w:r>
      <w:r w:rsidRPr="00901241">
        <w:rPr>
          <w:rFonts w:ascii="Arial" w:hAnsi="Arial" w:cs="Arial"/>
          <w:b/>
          <w:bCs/>
          <w:sz w:val="24"/>
          <w:szCs w:val="24"/>
        </w:rPr>
        <w:t xml:space="preserve"> de sulf</w:t>
      </w:r>
    </w:p>
    <w:p w:rsidR="00CA0B63" w:rsidRPr="007E0535" w:rsidRDefault="00CA0B63" w:rsidP="0056118B">
      <w:pPr>
        <w:spacing w:before="120" w:after="120" w:line="240" w:lineRule="auto"/>
        <w:contextualSpacing/>
        <w:jc w:val="both"/>
        <w:rPr>
          <w:rFonts w:ascii="Arial" w:hAnsi="Arial" w:cs="Arial"/>
          <w:b/>
          <w:bCs/>
          <w:sz w:val="24"/>
          <w:szCs w:val="24"/>
        </w:rPr>
      </w:pPr>
      <w:r w:rsidRPr="00901241">
        <w:rPr>
          <w:rFonts w:ascii="Arial" w:hAnsi="Arial" w:cs="Arial"/>
          <w:bCs/>
          <w:sz w:val="24"/>
          <w:szCs w:val="24"/>
        </w:rPr>
        <w:t>Concentraţia medie orară anuală de dioxid de sulf măsurată de staţie nu a depăşit pragul de calitate pentru protecţia sănătăţii umane şi a ec</w:t>
      </w:r>
      <w:r>
        <w:rPr>
          <w:rFonts w:ascii="Arial" w:hAnsi="Arial" w:cs="Arial"/>
          <w:bCs/>
          <w:sz w:val="24"/>
          <w:szCs w:val="24"/>
        </w:rPr>
        <w:t>osistemelor, valoarea fiind 4,12</w:t>
      </w:r>
      <w:r w:rsidRPr="00901241">
        <w:rPr>
          <w:rFonts w:ascii="Arial" w:hAnsi="Arial" w:cs="Arial"/>
          <w:sz w:val="24"/>
          <w:szCs w:val="24"/>
        </w:rPr>
        <w:t xml:space="preserve">μg/mc </w:t>
      </w:r>
      <w:r w:rsidRPr="007E0535">
        <w:rPr>
          <w:rFonts w:ascii="Arial" w:hAnsi="Arial" w:cs="Arial"/>
          <w:sz w:val="24"/>
          <w:szCs w:val="24"/>
        </w:rPr>
        <w:t>(VL - 350 μg/mc).</w:t>
      </w:r>
    </w:p>
    <w:p w:rsidR="00CA0B63" w:rsidRPr="00901241" w:rsidRDefault="00CA0B63" w:rsidP="0056118B">
      <w:pPr>
        <w:spacing w:before="120" w:after="120" w:line="240" w:lineRule="auto"/>
        <w:contextualSpacing/>
        <w:jc w:val="both"/>
        <w:rPr>
          <w:rFonts w:ascii="Arial" w:hAnsi="Arial" w:cs="Arial"/>
          <w:sz w:val="24"/>
          <w:szCs w:val="24"/>
        </w:rPr>
      </w:pPr>
      <w:r w:rsidRPr="00901241">
        <w:rPr>
          <w:rFonts w:ascii="Arial" w:hAnsi="Arial" w:cs="Arial"/>
          <w:sz w:val="24"/>
          <w:szCs w:val="24"/>
        </w:rPr>
        <w:t xml:space="preserve">Valorile maximă şi minimă  înregistrate în </w:t>
      </w:r>
      <w:r>
        <w:rPr>
          <w:rFonts w:ascii="Arial" w:hAnsi="Arial" w:cs="Arial"/>
          <w:sz w:val="24"/>
          <w:szCs w:val="24"/>
        </w:rPr>
        <w:t>cursul anului 2014</w:t>
      </w:r>
      <w:r w:rsidRPr="00901241">
        <w:rPr>
          <w:rFonts w:ascii="Arial" w:hAnsi="Arial" w:cs="Arial"/>
          <w:sz w:val="24"/>
          <w:szCs w:val="24"/>
        </w:rPr>
        <w:t xml:space="preserve"> au fost:</w:t>
      </w:r>
    </w:p>
    <w:p w:rsidR="00CA0B63" w:rsidRPr="00901241"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minim – 0,99</w:t>
      </w:r>
      <w:r w:rsidRPr="00901241">
        <w:rPr>
          <w:rFonts w:ascii="Arial" w:hAnsi="Arial" w:cs="Arial"/>
          <w:sz w:val="24"/>
          <w:szCs w:val="24"/>
        </w:rPr>
        <w:sym w:font="Symbol" w:char="F06D"/>
      </w:r>
      <w:r w:rsidRPr="00901241">
        <w:rPr>
          <w:rFonts w:ascii="Arial" w:hAnsi="Arial" w:cs="Arial"/>
          <w:sz w:val="24"/>
          <w:szCs w:val="24"/>
        </w:rPr>
        <w:t>g/m3</w:t>
      </w:r>
    </w:p>
    <w:p w:rsidR="00CA0B63"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maxim – 22,81</w:t>
      </w:r>
      <w:r w:rsidRPr="00901241">
        <w:rPr>
          <w:rFonts w:ascii="Arial" w:hAnsi="Arial" w:cs="Arial"/>
          <w:sz w:val="24"/>
          <w:szCs w:val="24"/>
        </w:rPr>
        <w:sym w:font="Symbol" w:char="F06D"/>
      </w:r>
      <w:r w:rsidRPr="00901241">
        <w:rPr>
          <w:rFonts w:ascii="Arial" w:hAnsi="Arial" w:cs="Arial"/>
          <w:sz w:val="24"/>
          <w:szCs w:val="24"/>
        </w:rPr>
        <w:t>g/m3.</w:t>
      </w:r>
    </w:p>
    <w:p w:rsidR="00CA0B63" w:rsidRDefault="00CA0B63" w:rsidP="0056118B">
      <w:pPr>
        <w:spacing w:before="120" w:after="120" w:line="240" w:lineRule="auto"/>
        <w:contextualSpacing/>
        <w:jc w:val="both"/>
        <w:rPr>
          <w:rFonts w:ascii="Arial" w:hAnsi="Arial" w:cs="Arial"/>
          <w:sz w:val="24"/>
          <w:szCs w:val="24"/>
        </w:rPr>
      </w:pPr>
    </w:p>
    <w:p w:rsidR="00CA0B63"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xml:space="preserve">Analizând variaţia concentraţiilor medii orare din anul 2014, prezentată în </w:t>
      </w:r>
      <w:r w:rsidRPr="009B6D34">
        <w:rPr>
          <w:rFonts w:ascii="Arial" w:hAnsi="Arial" w:cs="Arial"/>
          <w:b/>
          <w:sz w:val="24"/>
          <w:szCs w:val="24"/>
        </w:rPr>
        <w:t>Fig. I.1.1.1.2.1</w:t>
      </w:r>
      <w:r>
        <w:rPr>
          <w:rFonts w:ascii="Arial" w:hAnsi="Arial" w:cs="Arial"/>
          <w:sz w:val="24"/>
          <w:szCs w:val="24"/>
        </w:rPr>
        <w:t>. se poate constata că în cazul acestui indicator nu au fost probleme deosebite, marea m</w:t>
      </w:r>
      <w:r>
        <w:rPr>
          <w:rFonts w:ascii="Arial" w:hAnsi="Arial" w:cs="Arial"/>
          <w:sz w:val="24"/>
          <w:szCs w:val="24"/>
        </w:rPr>
        <w:t>a</w:t>
      </w:r>
      <w:r>
        <w:rPr>
          <w:rFonts w:ascii="Arial" w:hAnsi="Arial" w:cs="Arial"/>
          <w:sz w:val="24"/>
          <w:szCs w:val="24"/>
        </w:rPr>
        <w:t>joritate a valorilor medii încadrându-se în partea inferioară a intervalului.</w:t>
      </w:r>
    </w:p>
    <w:p w:rsidR="00CA0B63" w:rsidRDefault="00CA0B63" w:rsidP="00CA0B63">
      <w:pPr>
        <w:tabs>
          <w:tab w:val="left" w:pos="3765"/>
        </w:tabs>
        <w:spacing w:after="120" w:line="240" w:lineRule="auto"/>
        <w:contextualSpacing/>
        <w:jc w:val="center"/>
        <w:rPr>
          <w:rFonts w:ascii="Arial" w:hAnsi="Arial" w:cs="Arial"/>
          <w:sz w:val="24"/>
          <w:szCs w:val="24"/>
        </w:rPr>
      </w:pPr>
      <w:r w:rsidRPr="009B6D34">
        <w:rPr>
          <w:rFonts w:ascii="Arial" w:hAnsi="Arial" w:cs="Arial"/>
          <w:noProof/>
          <w:sz w:val="24"/>
          <w:szCs w:val="24"/>
          <w:lang w:val="ro-RO" w:eastAsia="ro-RO"/>
        </w:rPr>
        <w:lastRenderedPageBreak/>
        <w:drawing>
          <wp:inline distT="0" distB="0" distL="0" distR="0">
            <wp:extent cx="5975498" cy="3444949"/>
            <wp:effectExtent l="0" t="0" r="0" b="0"/>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0B63" w:rsidRDefault="00CA0B63" w:rsidP="00CA0B63">
      <w:pPr>
        <w:spacing w:after="120" w:line="240" w:lineRule="auto"/>
        <w:jc w:val="center"/>
        <w:rPr>
          <w:rFonts w:ascii="Arial" w:hAnsi="Arial" w:cs="Arial"/>
          <w:sz w:val="24"/>
          <w:szCs w:val="24"/>
        </w:rPr>
      </w:pPr>
      <w:r w:rsidRPr="00742B9E">
        <w:rPr>
          <w:rFonts w:ascii="Arial" w:hAnsi="Arial" w:cs="Arial"/>
          <w:b/>
          <w:sz w:val="24"/>
          <w:szCs w:val="24"/>
        </w:rPr>
        <w:t>Fig</w:t>
      </w:r>
      <w:r w:rsidR="0056118B">
        <w:rPr>
          <w:rFonts w:ascii="Arial" w:hAnsi="Arial" w:cs="Arial"/>
          <w:b/>
          <w:sz w:val="24"/>
          <w:szCs w:val="24"/>
        </w:rPr>
        <w:t>ura</w:t>
      </w:r>
      <w:r>
        <w:rPr>
          <w:rFonts w:ascii="Arial" w:hAnsi="Arial" w:cs="Arial"/>
          <w:sz w:val="24"/>
          <w:szCs w:val="24"/>
        </w:rPr>
        <w:t xml:space="preserve"> </w:t>
      </w:r>
      <w:r>
        <w:rPr>
          <w:rFonts w:ascii="Arial" w:hAnsi="Arial" w:cs="Arial"/>
          <w:b/>
          <w:sz w:val="24"/>
          <w:szCs w:val="24"/>
        </w:rPr>
        <w:t xml:space="preserve">I.1.1.1.2.1. SO2 concentraţii medii orare 2014 </w:t>
      </w:r>
    </w:p>
    <w:p w:rsidR="00CA0B63" w:rsidRPr="00901241" w:rsidRDefault="00CA0B63" w:rsidP="0056118B">
      <w:pPr>
        <w:spacing w:before="120" w:after="120" w:line="240" w:lineRule="auto"/>
        <w:jc w:val="both"/>
        <w:rPr>
          <w:rFonts w:ascii="Arial" w:hAnsi="Arial" w:cs="Arial"/>
          <w:sz w:val="24"/>
          <w:szCs w:val="24"/>
        </w:rPr>
      </w:pPr>
      <w:r w:rsidRPr="00901241">
        <w:rPr>
          <w:rFonts w:ascii="Arial" w:hAnsi="Arial" w:cs="Arial"/>
          <w:bCs/>
          <w:sz w:val="24"/>
          <w:szCs w:val="24"/>
        </w:rPr>
        <w:t>În cazul valorilor medii zilnice (</w:t>
      </w:r>
      <w:r w:rsidRPr="007F4B7D">
        <w:rPr>
          <w:rFonts w:ascii="Arial" w:hAnsi="Arial" w:cs="Arial"/>
          <w:bCs/>
          <w:sz w:val="24"/>
          <w:szCs w:val="24"/>
        </w:rPr>
        <w:t>VL - 125</w:t>
      </w:r>
      <w:r w:rsidRPr="007F4B7D">
        <w:rPr>
          <w:rFonts w:ascii="Arial" w:hAnsi="Arial" w:cs="Arial"/>
          <w:sz w:val="24"/>
          <w:szCs w:val="24"/>
        </w:rPr>
        <w:t xml:space="preserve"> μg/mc)</w:t>
      </w:r>
      <w:r w:rsidRPr="00901241">
        <w:rPr>
          <w:rFonts w:ascii="Arial" w:hAnsi="Arial" w:cs="Arial"/>
          <w:sz w:val="24"/>
          <w:szCs w:val="24"/>
        </w:rPr>
        <w:t xml:space="preserve"> nu s-au înregistrat  depăşiri conform celor prezentate mai jos:</w:t>
      </w:r>
    </w:p>
    <w:p w:rsidR="00CA0B63" w:rsidRPr="00901241" w:rsidRDefault="00CA0B63" w:rsidP="0056118B">
      <w:pPr>
        <w:spacing w:before="120" w:after="120" w:line="240" w:lineRule="auto"/>
        <w:jc w:val="both"/>
        <w:rPr>
          <w:rFonts w:ascii="Arial" w:hAnsi="Arial" w:cs="Arial"/>
          <w:sz w:val="24"/>
          <w:szCs w:val="24"/>
        </w:rPr>
      </w:pPr>
      <w:r>
        <w:rPr>
          <w:rFonts w:ascii="Arial" w:hAnsi="Arial" w:cs="Arial"/>
          <w:sz w:val="24"/>
          <w:szCs w:val="24"/>
        </w:rPr>
        <w:t>- medie – 4,12</w:t>
      </w:r>
      <w:r w:rsidRPr="00901241">
        <w:rPr>
          <w:rFonts w:ascii="Arial" w:hAnsi="Arial" w:cs="Arial"/>
          <w:sz w:val="24"/>
          <w:szCs w:val="24"/>
        </w:rPr>
        <w:t>μg/mc;</w:t>
      </w:r>
    </w:p>
    <w:p w:rsidR="00CA0B63" w:rsidRPr="00901241" w:rsidRDefault="00CA0B63" w:rsidP="0056118B">
      <w:pPr>
        <w:spacing w:before="120" w:after="120" w:line="240" w:lineRule="auto"/>
        <w:jc w:val="both"/>
        <w:rPr>
          <w:rFonts w:ascii="Arial" w:hAnsi="Arial" w:cs="Arial"/>
          <w:sz w:val="24"/>
          <w:szCs w:val="24"/>
        </w:rPr>
      </w:pPr>
      <w:r>
        <w:rPr>
          <w:rFonts w:ascii="Arial" w:hAnsi="Arial" w:cs="Arial"/>
          <w:sz w:val="24"/>
          <w:szCs w:val="24"/>
        </w:rPr>
        <w:t>- minim – 1,82</w:t>
      </w:r>
      <w:r w:rsidRPr="00901241">
        <w:rPr>
          <w:rFonts w:ascii="Arial" w:hAnsi="Arial" w:cs="Arial"/>
          <w:sz w:val="24"/>
          <w:szCs w:val="24"/>
        </w:rPr>
        <w:t xml:space="preserve"> μg/mc;</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maxim – 10,30</w:t>
      </w:r>
      <w:r w:rsidRPr="00901241">
        <w:rPr>
          <w:rFonts w:ascii="Arial" w:hAnsi="Arial" w:cs="Arial"/>
          <w:sz w:val="24"/>
          <w:szCs w:val="24"/>
        </w:rPr>
        <w:t xml:space="preserve"> μg/mc.</w:t>
      </w:r>
    </w:p>
    <w:p w:rsidR="00CA0B63"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xml:space="preserve">Analizând variaţia concentraţiilor medii zilnice din anul 2014, prezentată în </w:t>
      </w:r>
      <w:r w:rsidRPr="009B6D34">
        <w:rPr>
          <w:rFonts w:ascii="Arial" w:hAnsi="Arial" w:cs="Arial"/>
          <w:b/>
          <w:sz w:val="24"/>
          <w:szCs w:val="24"/>
        </w:rPr>
        <w:t>Fig. I.1.1.1.2.</w:t>
      </w:r>
      <w:r>
        <w:rPr>
          <w:rFonts w:ascii="Arial" w:hAnsi="Arial" w:cs="Arial"/>
          <w:b/>
          <w:sz w:val="24"/>
          <w:szCs w:val="24"/>
        </w:rPr>
        <w:t>2</w:t>
      </w:r>
      <w:r>
        <w:rPr>
          <w:rFonts w:ascii="Arial" w:hAnsi="Arial" w:cs="Arial"/>
          <w:sz w:val="24"/>
          <w:szCs w:val="24"/>
        </w:rPr>
        <w:t>. se poate constata că în cazul acestui indicator nu au fost probleme deosebite, marea m</w:t>
      </w:r>
      <w:r>
        <w:rPr>
          <w:rFonts w:ascii="Arial" w:hAnsi="Arial" w:cs="Arial"/>
          <w:sz w:val="24"/>
          <w:szCs w:val="24"/>
        </w:rPr>
        <w:t>a</w:t>
      </w:r>
      <w:r>
        <w:rPr>
          <w:rFonts w:ascii="Arial" w:hAnsi="Arial" w:cs="Arial"/>
          <w:sz w:val="24"/>
          <w:szCs w:val="24"/>
        </w:rPr>
        <w:t>joritate a valorilor medii fiind departe de valoarea limită.</w:t>
      </w:r>
    </w:p>
    <w:p w:rsidR="00CA0B63" w:rsidRDefault="00CA0B63" w:rsidP="00CA0B63">
      <w:pPr>
        <w:spacing w:after="120" w:line="240" w:lineRule="auto"/>
        <w:jc w:val="center"/>
        <w:rPr>
          <w:rFonts w:ascii="Arial" w:hAnsi="Arial" w:cs="Arial"/>
          <w:bCs/>
          <w:color w:val="FF0000"/>
          <w:sz w:val="24"/>
          <w:szCs w:val="24"/>
        </w:rPr>
      </w:pPr>
      <w:r w:rsidRPr="006C2949">
        <w:rPr>
          <w:rFonts w:ascii="Arial" w:hAnsi="Arial" w:cs="Arial"/>
          <w:bCs/>
          <w:noProof/>
          <w:color w:val="FF0000"/>
          <w:sz w:val="24"/>
          <w:szCs w:val="24"/>
          <w:lang w:val="ro-RO" w:eastAsia="ro-RO"/>
        </w:rPr>
        <w:drawing>
          <wp:inline distT="0" distB="0" distL="0" distR="0">
            <wp:extent cx="5975498" cy="3359888"/>
            <wp:effectExtent l="0" t="0" r="0" b="0"/>
            <wp:docPr id="2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0B63" w:rsidRDefault="00CA0B63" w:rsidP="00CA0B63">
      <w:pPr>
        <w:spacing w:after="120" w:line="240" w:lineRule="auto"/>
        <w:jc w:val="center"/>
        <w:rPr>
          <w:rFonts w:ascii="Arial" w:hAnsi="Arial" w:cs="Arial"/>
          <w:bCs/>
          <w:color w:val="FF0000"/>
          <w:sz w:val="24"/>
          <w:szCs w:val="24"/>
        </w:rPr>
      </w:pPr>
      <w:r w:rsidRPr="009B6D34">
        <w:rPr>
          <w:rFonts w:ascii="Arial" w:hAnsi="Arial" w:cs="Arial"/>
          <w:b/>
          <w:sz w:val="24"/>
          <w:szCs w:val="24"/>
        </w:rPr>
        <w:t>Fig. I.1.1.1.2.</w:t>
      </w:r>
      <w:r>
        <w:rPr>
          <w:rFonts w:ascii="Arial" w:hAnsi="Arial" w:cs="Arial"/>
          <w:b/>
          <w:sz w:val="24"/>
          <w:szCs w:val="24"/>
        </w:rPr>
        <w:t>2. SO2 concentraţii medii zilnice 2014</w:t>
      </w:r>
    </w:p>
    <w:p w:rsidR="00CA0B63" w:rsidRDefault="00CA0B63" w:rsidP="00CA0B63">
      <w:pPr>
        <w:spacing w:after="120" w:line="240" w:lineRule="auto"/>
        <w:rPr>
          <w:rFonts w:ascii="Arial" w:hAnsi="Arial" w:cs="Arial"/>
          <w:b/>
          <w:bCs/>
          <w:sz w:val="24"/>
          <w:szCs w:val="24"/>
        </w:rPr>
      </w:pPr>
    </w:p>
    <w:p w:rsidR="0056118B" w:rsidRDefault="0056118B" w:rsidP="00CA0B63">
      <w:pPr>
        <w:spacing w:after="120" w:line="240" w:lineRule="auto"/>
        <w:rPr>
          <w:rFonts w:ascii="Arial" w:hAnsi="Arial" w:cs="Arial"/>
          <w:b/>
          <w:bCs/>
          <w:sz w:val="24"/>
          <w:szCs w:val="24"/>
        </w:rPr>
      </w:pPr>
    </w:p>
    <w:p w:rsidR="00CA0B63" w:rsidRPr="009B79D7" w:rsidRDefault="00CA0B63" w:rsidP="0056118B">
      <w:pPr>
        <w:spacing w:before="120" w:after="120" w:line="240" w:lineRule="auto"/>
        <w:jc w:val="both"/>
        <w:rPr>
          <w:rFonts w:ascii="Arial" w:hAnsi="Arial" w:cs="Arial"/>
          <w:sz w:val="24"/>
          <w:szCs w:val="24"/>
        </w:rPr>
      </w:pPr>
      <w:r>
        <w:rPr>
          <w:rFonts w:ascii="Arial" w:hAnsi="Arial" w:cs="Arial"/>
          <w:b/>
          <w:bCs/>
          <w:sz w:val="24"/>
          <w:szCs w:val="24"/>
        </w:rPr>
        <w:lastRenderedPageBreak/>
        <w:t>I.1.1.1.3.Pulberi în suspensie</w:t>
      </w:r>
    </w:p>
    <w:p w:rsidR="00CA0B63" w:rsidRDefault="00CA0B63" w:rsidP="0056118B">
      <w:pPr>
        <w:spacing w:before="120" w:after="120" w:line="240" w:lineRule="auto"/>
        <w:jc w:val="both"/>
        <w:rPr>
          <w:rFonts w:ascii="Arial" w:hAnsi="Arial" w:cs="Arial"/>
          <w:b/>
          <w:bCs/>
          <w:sz w:val="24"/>
          <w:szCs w:val="24"/>
        </w:rPr>
      </w:pPr>
      <w:r>
        <w:rPr>
          <w:rFonts w:ascii="Arial" w:hAnsi="Arial" w:cs="Arial"/>
          <w:b/>
          <w:bCs/>
          <w:sz w:val="24"/>
          <w:szCs w:val="24"/>
        </w:rPr>
        <w:t>I.1.1.1.3.1 PM</w:t>
      </w:r>
      <w:r>
        <w:rPr>
          <w:rFonts w:ascii="Arial" w:hAnsi="Arial" w:cs="Arial"/>
          <w:b/>
          <w:bCs/>
          <w:sz w:val="24"/>
          <w:szCs w:val="24"/>
          <w:vertAlign w:val="subscript"/>
        </w:rPr>
        <w:t>10</w:t>
      </w:r>
    </w:p>
    <w:p w:rsidR="00CA0B63" w:rsidRPr="0056118B" w:rsidRDefault="00CA0B63" w:rsidP="0056118B">
      <w:pPr>
        <w:spacing w:before="120" w:after="120" w:line="240" w:lineRule="auto"/>
        <w:jc w:val="both"/>
        <w:rPr>
          <w:rFonts w:ascii="Arial" w:hAnsi="Arial" w:cs="Arial"/>
          <w:b/>
          <w:bCs/>
          <w:sz w:val="24"/>
          <w:szCs w:val="24"/>
        </w:rPr>
      </w:pPr>
      <w:r>
        <w:rPr>
          <w:rFonts w:ascii="Arial" w:hAnsi="Arial" w:cs="Arial"/>
          <w:bCs/>
          <w:sz w:val="24"/>
          <w:szCs w:val="24"/>
        </w:rPr>
        <w:t xml:space="preserve">Concentraţiile măsurate la nivelul anului 2014 au fost </w:t>
      </w:r>
      <w:r w:rsidRPr="0056118B">
        <w:rPr>
          <w:rFonts w:ascii="Arial" w:hAnsi="Arial" w:cs="Arial"/>
          <w:bCs/>
          <w:sz w:val="24"/>
          <w:szCs w:val="24"/>
        </w:rPr>
        <w:t>următoarele (VL medie zilnică =50µg/m</w:t>
      </w:r>
      <w:r w:rsidRPr="0056118B">
        <w:rPr>
          <w:rFonts w:ascii="Arial" w:hAnsi="Arial" w:cs="Arial"/>
          <w:bCs/>
          <w:sz w:val="24"/>
          <w:szCs w:val="24"/>
          <w:vertAlign w:val="superscript"/>
        </w:rPr>
        <w:t xml:space="preserve">3 </w:t>
      </w:r>
      <w:r w:rsidRPr="0056118B">
        <w:rPr>
          <w:rFonts w:ascii="Arial" w:hAnsi="Arial" w:cs="Arial"/>
          <w:bCs/>
          <w:sz w:val="24"/>
          <w:szCs w:val="24"/>
        </w:rPr>
        <w:t>):</w:t>
      </w:r>
    </w:p>
    <w:p w:rsidR="00CA0B63" w:rsidRPr="00275FD9" w:rsidRDefault="00CA0B63" w:rsidP="0056118B">
      <w:pPr>
        <w:spacing w:before="120" w:after="120" w:line="240" w:lineRule="auto"/>
        <w:jc w:val="both"/>
        <w:rPr>
          <w:rFonts w:ascii="Arial" w:hAnsi="Arial" w:cs="Arial"/>
          <w:bCs/>
          <w:sz w:val="24"/>
          <w:szCs w:val="24"/>
        </w:rPr>
      </w:pPr>
      <w:r>
        <w:rPr>
          <w:rFonts w:ascii="Arial" w:hAnsi="Arial" w:cs="Arial"/>
          <w:bCs/>
          <w:sz w:val="24"/>
          <w:szCs w:val="24"/>
        </w:rPr>
        <w:t>-</w:t>
      </w:r>
      <w:r w:rsidRPr="00275FD9">
        <w:rPr>
          <w:rFonts w:ascii="Arial" w:hAnsi="Arial" w:cs="Arial"/>
          <w:bCs/>
          <w:sz w:val="24"/>
          <w:szCs w:val="24"/>
        </w:rPr>
        <w:t>PM</w:t>
      </w:r>
      <w:r w:rsidRPr="00275FD9">
        <w:rPr>
          <w:rFonts w:ascii="Arial" w:hAnsi="Arial" w:cs="Arial"/>
          <w:bCs/>
          <w:sz w:val="24"/>
          <w:szCs w:val="24"/>
          <w:vertAlign w:val="subscript"/>
        </w:rPr>
        <w:t xml:space="preserve">10 </w:t>
      </w:r>
      <w:r w:rsidRPr="00275FD9">
        <w:rPr>
          <w:rFonts w:ascii="Arial" w:hAnsi="Arial" w:cs="Arial"/>
          <w:bCs/>
          <w:sz w:val="24"/>
          <w:szCs w:val="24"/>
        </w:rPr>
        <w:t>gravimetric – medie zilnică – 22µg/m</w:t>
      </w:r>
      <w:r w:rsidRPr="00275FD9">
        <w:rPr>
          <w:rFonts w:ascii="Arial" w:hAnsi="Arial" w:cs="Arial"/>
          <w:bCs/>
          <w:sz w:val="24"/>
          <w:szCs w:val="24"/>
          <w:vertAlign w:val="superscript"/>
        </w:rPr>
        <w:t>3</w:t>
      </w:r>
    </w:p>
    <w:p w:rsidR="00CA0B63" w:rsidRPr="008A607D"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Variaţia concentraţiilor medii zilnice în cazul indicatorului PM10 gravimetric este prezentată în </w:t>
      </w:r>
      <w:r w:rsidRPr="008A607D">
        <w:rPr>
          <w:rFonts w:ascii="Arial" w:hAnsi="Arial" w:cs="Arial"/>
          <w:b/>
          <w:sz w:val="24"/>
          <w:szCs w:val="24"/>
        </w:rPr>
        <w:t>Fig.</w:t>
      </w:r>
      <w:r>
        <w:rPr>
          <w:rFonts w:ascii="Arial" w:hAnsi="Arial" w:cs="Arial"/>
          <w:sz w:val="24"/>
          <w:szCs w:val="24"/>
        </w:rPr>
        <w:t xml:space="preserve"> </w:t>
      </w:r>
      <w:r>
        <w:rPr>
          <w:rFonts w:ascii="Arial" w:hAnsi="Arial" w:cs="Arial"/>
          <w:b/>
          <w:sz w:val="24"/>
          <w:szCs w:val="24"/>
        </w:rPr>
        <w:t xml:space="preserve">I.1.1.1.3.1.1. </w:t>
      </w:r>
      <w:r>
        <w:rPr>
          <w:rFonts w:ascii="Arial" w:hAnsi="Arial" w:cs="Arial"/>
          <w:sz w:val="24"/>
          <w:szCs w:val="24"/>
        </w:rPr>
        <w:t>ş</w:t>
      </w:r>
      <w:r w:rsidRPr="008A607D">
        <w:rPr>
          <w:rFonts w:ascii="Arial" w:hAnsi="Arial" w:cs="Arial"/>
          <w:sz w:val="24"/>
          <w:szCs w:val="24"/>
        </w:rPr>
        <w:t>i din analiza ace</w:t>
      </w:r>
      <w:r>
        <w:rPr>
          <w:rFonts w:ascii="Arial" w:hAnsi="Arial" w:cs="Arial"/>
          <w:sz w:val="24"/>
          <w:szCs w:val="24"/>
        </w:rPr>
        <w:t>s</w:t>
      </w:r>
      <w:r w:rsidRPr="008A607D">
        <w:rPr>
          <w:rFonts w:ascii="Arial" w:hAnsi="Arial" w:cs="Arial"/>
          <w:sz w:val="24"/>
          <w:szCs w:val="24"/>
        </w:rPr>
        <w:t>tor date se</w:t>
      </w:r>
      <w:r>
        <w:rPr>
          <w:rFonts w:ascii="Arial" w:hAnsi="Arial" w:cs="Arial"/>
          <w:sz w:val="24"/>
          <w:szCs w:val="24"/>
        </w:rPr>
        <w:t xml:space="preserve"> poate observa că în cursul anului 2014 s-au înregistrat 11 depăşiri ale valorii limită, depăşiri datorate arderilor rezidenţiale, traficului şi calmului atmosferic.</w:t>
      </w:r>
    </w:p>
    <w:p w:rsidR="00CA0B63" w:rsidRDefault="00CA0B63" w:rsidP="00CA0B63">
      <w:pPr>
        <w:spacing w:after="120" w:line="240" w:lineRule="auto"/>
        <w:jc w:val="center"/>
        <w:rPr>
          <w:rFonts w:ascii="Arial" w:hAnsi="Arial" w:cs="Arial"/>
          <w:sz w:val="24"/>
          <w:szCs w:val="24"/>
        </w:rPr>
      </w:pPr>
      <w:r w:rsidRPr="008A607D">
        <w:rPr>
          <w:rFonts w:ascii="Arial" w:hAnsi="Arial" w:cs="Arial"/>
          <w:noProof/>
          <w:sz w:val="24"/>
          <w:szCs w:val="24"/>
          <w:lang w:val="ro-RO" w:eastAsia="ro-RO"/>
        </w:rPr>
        <w:drawing>
          <wp:inline distT="0" distB="0" distL="0" distR="0">
            <wp:extent cx="5972810" cy="3644265"/>
            <wp:effectExtent l="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0B63" w:rsidRDefault="00CA0B63" w:rsidP="00CA0B63">
      <w:pPr>
        <w:spacing w:after="120" w:line="240" w:lineRule="auto"/>
        <w:jc w:val="center"/>
        <w:rPr>
          <w:rFonts w:ascii="Arial" w:hAnsi="Arial" w:cs="Arial"/>
          <w:sz w:val="24"/>
          <w:szCs w:val="24"/>
        </w:rPr>
      </w:pPr>
      <w:r w:rsidRPr="008A607D">
        <w:rPr>
          <w:rFonts w:ascii="Arial" w:hAnsi="Arial" w:cs="Arial"/>
          <w:b/>
          <w:sz w:val="24"/>
          <w:szCs w:val="24"/>
        </w:rPr>
        <w:t>Fig</w:t>
      </w:r>
      <w:r w:rsidR="0056118B">
        <w:rPr>
          <w:rFonts w:ascii="Arial" w:hAnsi="Arial" w:cs="Arial"/>
          <w:b/>
          <w:sz w:val="24"/>
          <w:szCs w:val="24"/>
        </w:rPr>
        <w:t>ura</w:t>
      </w:r>
      <w:r>
        <w:rPr>
          <w:rFonts w:ascii="Arial" w:hAnsi="Arial" w:cs="Arial"/>
          <w:sz w:val="24"/>
          <w:szCs w:val="24"/>
        </w:rPr>
        <w:t xml:space="preserve"> </w:t>
      </w:r>
      <w:r>
        <w:rPr>
          <w:rFonts w:ascii="Arial" w:hAnsi="Arial" w:cs="Arial"/>
          <w:b/>
          <w:sz w:val="24"/>
          <w:szCs w:val="24"/>
        </w:rPr>
        <w:t>I.1.1.1.3.1.1 PM10 grv concentraţii medii zilnice 2014</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Menţionăm că în cursul anului 2014 analizorul pentru </w:t>
      </w:r>
      <w:r w:rsidRPr="0019271F">
        <w:rPr>
          <w:rFonts w:ascii="Arial" w:hAnsi="Arial" w:cs="Arial"/>
          <w:bCs/>
          <w:sz w:val="24"/>
          <w:szCs w:val="24"/>
        </w:rPr>
        <w:t>PM</w:t>
      </w:r>
      <w:r w:rsidRPr="0019271F">
        <w:rPr>
          <w:rFonts w:ascii="Arial" w:hAnsi="Arial" w:cs="Arial"/>
          <w:bCs/>
          <w:sz w:val="24"/>
          <w:szCs w:val="24"/>
          <w:vertAlign w:val="subscript"/>
        </w:rPr>
        <w:t>10</w:t>
      </w:r>
      <w:r>
        <w:rPr>
          <w:rFonts w:ascii="Arial" w:hAnsi="Arial" w:cs="Arial"/>
          <w:bCs/>
          <w:sz w:val="24"/>
          <w:szCs w:val="24"/>
          <w:vertAlign w:val="subscript"/>
        </w:rPr>
        <w:t xml:space="preserve">   </w:t>
      </w:r>
      <w:r>
        <w:rPr>
          <w:rFonts w:ascii="Arial" w:hAnsi="Arial" w:cs="Arial"/>
          <w:sz w:val="24"/>
          <w:szCs w:val="24"/>
        </w:rPr>
        <w:t>automat nu funcţionat, fiind defect.</w:t>
      </w:r>
    </w:p>
    <w:p w:rsidR="00CA0B63" w:rsidRPr="00901241" w:rsidRDefault="00CA0B63" w:rsidP="0056118B">
      <w:pPr>
        <w:spacing w:before="120" w:after="120" w:line="240" w:lineRule="auto"/>
        <w:contextualSpacing/>
        <w:jc w:val="both"/>
        <w:rPr>
          <w:rFonts w:ascii="Arial" w:hAnsi="Arial" w:cs="Arial"/>
          <w:sz w:val="24"/>
          <w:szCs w:val="24"/>
        </w:rPr>
      </w:pPr>
      <w:r w:rsidRPr="00901241">
        <w:rPr>
          <w:rFonts w:ascii="Arial" w:hAnsi="Arial" w:cs="Arial"/>
          <w:sz w:val="24"/>
          <w:szCs w:val="24"/>
        </w:rPr>
        <w:t xml:space="preserve">Valorile maximă şi minimă  înregistrate în </w:t>
      </w:r>
      <w:r>
        <w:rPr>
          <w:rFonts w:ascii="Arial" w:hAnsi="Arial" w:cs="Arial"/>
          <w:sz w:val="24"/>
          <w:szCs w:val="24"/>
        </w:rPr>
        <w:t>cursul anului 2014</w:t>
      </w:r>
      <w:r w:rsidRPr="00901241">
        <w:rPr>
          <w:rFonts w:ascii="Arial" w:hAnsi="Arial" w:cs="Arial"/>
          <w:sz w:val="24"/>
          <w:szCs w:val="24"/>
        </w:rPr>
        <w:t xml:space="preserve"> au fost:</w:t>
      </w:r>
    </w:p>
    <w:p w:rsidR="00CA0B63" w:rsidRPr="00901241"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minim – 2</w:t>
      </w:r>
      <w:r w:rsidRPr="00901241">
        <w:rPr>
          <w:rFonts w:ascii="Arial" w:hAnsi="Arial" w:cs="Arial"/>
          <w:sz w:val="24"/>
          <w:szCs w:val="24"/>
        </w:rPr>
        <w:sym w:font="Symbol" w:char="F06D"/>
      </w:r>
      <w:r w:rsidRPr="00901241">
        <w:rPr>
          <w:rFonts w:ascii="Arial" w:hAnsi="Arial" w:cs="Arial"/>
          <w:sz w:val="24"/>
          <w:szCs w:val="24"/>
        </w:rPr>
        <w:t>g/m3</w:t>
      </w:r>
    </w:p>
    <w:p w:rsidR="00CA0B63"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maxim – 131</w:t>
      </w:r>
      <w:r w:rsidRPr="00901241">
        <w:rPr>
          <w:rFonts w:ascii="Arial" w:hAnsi="Arial" w:cs="Arial"/>
          <w:sz w:val="24"/>
          <w:szCs w:val="24"/>
        </w:rPr>
        <w:sym w:font="Symbol" w:char="F06D"/>
      </w:r>
      <w:r w:rsidRPr="00901241">
        <w:rPr>
          <w:rFonts w:ascii="Arial" w:hAnsi="Arial" w:cs="Arial"/>
          <w:sz w:val="24"/>
          <w:szCs w:val="24"/>
        </w:rPr>
        <w:t>g/m3.</w:t>
      </w:r>
    </w:p>
    <w:p w:rsidR="00CA0B63" w:rsidRDefault="00CA0B63" w:rsidP="0056118B">
      <w:pPr>
        <w:spacing w:before="120" w:after="120" w:line="240" w:lineRule="auto"/>
        <w:contextualSpacing/>
        <w:jc w:val="both"/>
        <w:rPr>
          <w:rFonts w:ascii="Arial" w:hAnsi="Arial" w:cs="Arial"/>
          <w:sz w:val="24"/>
          <w:szCs w:val="24"/>
        </w:rPr>
      </w:pPr>
    </w:p>
    <w:p w:rsidR="00CA0B63"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APM Buzău are în dotare, în afara staţiilor automate de monitorizare din RNMCA, un ap</w:t>
      </w:r>
      <w:r>
        <w:rPr>
          <w:rFonts w:ascii="Arial" w:hAnsi="Arial" w:cs="Arial"/>
          <w:sz w:val="24"/>
          <w:szCs w:val="24"/>
        </w:rPr>
        <w:t>a</w:t>
      </w:r>
      <w:r>
        <w:rPr>
          <w:rFonts w:ascii="Arial" w:hAnsi="Arial" w:cs="Arial"/>
          <w:sz w:val="24"/>
          <w:szCs w:val="24"/>
        </w:rPr>
        <w:t xml:space="preserve">rat tip SVEN LECKEL cu ajutorul căreia este  monitorizat indicatorul  </w:t>
      </w:r>
      <w:r w:rsidRPr="0019271F">
        <w:rPr>
          <w:rFonts w:ascii="Arial" w:hAnsi="Arial" w:cs="Arial"/>
          <w:bCs/>
          <w:sz w:val="24"/>
          <w:szCs w:val="24"/>
        </w:rPr>
        <w:t>PM</w:t>
      </w:r>
      <w:r w:rsidRPr="0019271F">
        <w:rPr>
          <w:rFonts w:ascii="Arial" w:hAnsi="Arial" w:cs="Arial"/>
          <w:bCs/>
          <w:sz w:val="24"/>
          <w:szCs w:val="24"/>
          <w:vertAlign w:val="subscript"/>
        </w:rPr>
        <w:t>10</w:t>
      </w:r>
      <w:r>
        <w:rPr>
          <w:rFonts w:ascii="Arial" w:hAnsi="Arial" w:cs="Arial"/>
          <w:sz w:val="24"/>
          <w:szCs w:val="24"/>
        </w:rPr>
        <w:t>, metoda de analiză fiind cea gravimetrică. Acest aparat este amplasat la sediul Primăriei Râmnicu Sărat.</w:t>
      </w:r>
    </w:p>
    <w:p w:rsidR="00CA0B63"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Concentraţia medie calculată la nivelul anului 2014 a fost 33,9</w:t>
      </w:r>
      <w:r w:rsidRPr="00901241">
        <w:rPr>
          <w:rFonts w:ascii="Arial" w:hAnsi="Arial" w:cs="Arial"/>
          <w:sz w:val="24"/>
          <w:szCs w:val="24"/>
        </w:rPr>
        <w:sym w:font="Symbol" w:char="F06D"/>
      </w:r>
      <w:r w:rsidRPr="00901241">
        <w:rPr>
          <w:rFonts w:ascii="Arial" w:hAnsi="Arial" w:cs="Arial"/>
          <w:sz w:val="24"/>
          <w:szCs w:val="24"/>
        </w:rPr>
        <w:t>g/m3</w:t>
      </w:r>
      <w:r>
        <w:rPr>
          <w:rFonts w:ascii="Arial" w:hAnsi="Arial" w:cs="Arial"/>
          <w:sz w:val="24"/>
          <w:szCs w:val="24"/>
        </w:rPr>
        <w:t>, iar valorile minime şi maxime înregistrate au fost următoarele:</w:t>
      </w:r>
    </w:p>
    <w:p w:rsidR="00CA0B63" w:rsidRPr="00901241"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minim – 3,6</w:t>
      </w:r>
      <w:r w:rsidRPr="00901241">
        <w:rPr>
          <w:rFonts w:ascii="Arial" w:hAnsi="Arial" w:cs="Arial"/>
          <w:sz w:val="24"/>
          <w:szCs w:val="24"/>
        </w:rPr>
        <w:sym w:font="Symbol" w:char="F06D"/>
      </w:r>
      <w:r w:rsidRPr="00901241">
        <w:rPr>
          <w:rFonts w:ascii="Arial" w:hAnsi="Arial" w:cs="Arial"/>
          <w:sz w:val="24"/>
          <w:szCs w:val="24"/>
        </w:rPr>
        <w:t>g/m3</w:t>
      </w:r>
    </w:p>
    <w:p w:rsidR="00CA0B63" w:rsidRDefault="00CA0B63" w:rsidP="0056118B">
      <w:pPr>
        <w:spacing w:before="120" w:after="120" w:line="240" w:lineRule="auto"/>
        <w:contextualSpacing/>
        <w:jc w:val="both"/>
        <w:rPr>
          <w:rFonts w:ascii="Arial" w:hAnsi="Arial" w:cs="Arial"/>
          <w:sz w:val="24"/>
          <w:szCs w:val="24"/>
        </w:rPr>
      </w:pPr>
      <w:r>
        <w:rPr>
          <w:rFonts w:ascii="Arial" w:hAnsi="Arial" w:cs="Arial"/>
          <w:sz w:val="24"/>
          <w:szCs w:val="24"/>
        </w:rPr>
        <w:t>- maxim – 123,3</w:t>
      </w:r>
      <w:r w:rsidRPr="00901241">
        <w:rPr>
          <w:rFonts w:ascii="Arial" w:hAnsi="Arial" w:cs="Arial"/>
          <w:sz w:val="24"/>
          <w:szCs w:val="24"/>
        </w:rPr>
        <w:sym w:font="Symbol" w:char="F06D"/>
      </w:r>
      <w:r w:rsidRPr="00901241">
        <w:rPr>
          <w:rFonts w:ascii="Arial" w:hAnsi="Arial" w:cs="Arial"/>
          <w:sz w:val="24"/>
          <w:szCs w:val="24"/>
        </w:rPr>
        <w:t>g/m3.</w:t>
      </w:r>
    </w:p>
    <w:p w:rsidR="00CA0B63" w:rsidRDefault="00CA0B63" w:rsidP="0056118B">
      <w:pPr>
        <w:spacing w:before="120" w:after="120" w:line="240" w:lineRule="auto"/>
        <w:contextualSpacing/>
        <w:jc w:val="both"/>
        <w:rPr>
          <w:rFonts w:ascii="Arial" w:hAnsi="Arial" w:cs="Arial"/>
          <w:sz w:val="24"/>
          <w:szCs w:val="24"/>
        </w:rPr>
      </w:pP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Variaţia concentraţiilor medii zilnice în cazul indicatorului PM10 gravimetric măsurate cu acest aparat este prezentată în </w:t>
      </w:r>
      <w:r w:rsidRPr="008A607D">
        <w:rPr>
          <w:rFonts w:ascii="Arial" w:hAnsi="Arial" w:cs="Arial"/>
          <w:b/>
          <w:sz w:val="24"/>
          <w:szCs w:val="24"/>
        </w:rPr>
        <w:t>Fig.</w:t>
      </w:r>
      <w:r>
        <w:rPr>
          <w:rFonts w:ascii="Arial" w:hAnsi="Arial" w:cs="Arial"/>
          <w:sz w:val="24"/>
          <w:szCs w:val="24"/>
        </w:rPr>
        <w:t xml:space="preserve"> </w:t>
      </w:r>
      <w:r>
        <w:rPr>
          <w:rFonts w:ascii="Arial" w:hAnsi="Arial" w:cs="Arial"/>
          <w:b/>
          <w:sz w:val="24"/>
          <w:szCs w:val="24"/>
        </w:rPr>
        <w:t xml:space="preserve">I.1.1.1.3.1.2. </w:t>
      </w:r>
      <w:r>
        <w:rPr>
          <w:rFonts w:ascii="Arial" w:hAnsi="Arial" w:cs="Arial"/>
          <w:sz w:val="24"/>
          <w:szCs w:val="24"/>
        </w:rPr>
        <w:t>ş</w:t>
      </w:r>
      <w:r w:rsidRPr="008A607D">
        <w:rPr>
          <w:rFonts w:ascii="Arial" w:hAnsi="Arial" w:cs="Arial"/>
          <w:sz w:val="24"/>
          <w:szCs w:val="24"/>
        </w:rPr>
        <w:t>i din analiza ace</w:t>
      </w:r>
      <w:r>
        <w:rPr>
          <w:rFonts w:ascii="Arial" w:hAnsi="Arial" w:cs="Arial"/>
          <w:sz w:val="24"/>
          <w:szCs w:val="24"/>
        </w:rPr>
        <w:t>s</w:t>
      </w:r>
      <w:r w:rsidRPr="008A607D">
        <w:rPr>
          <w:rFonts w:ascii="Arial" w:hAnsi="Arial" w:cs="Arial"/>
          <w:sz w:val="24"/>
          <w:szCs w:val="24"/>
        </w:rPr>
        <w:t>tor date se</w:t>
      </w:r>
      <w:r>
        <w:rPr>
          <w:rFonts w:ascii="Arial" w:hAnsi="Arial" w:cs="Arial"/>
          <w:sz w:val="24"/>
          <w:szCs w:val="24"/>
        </w:rPr>
        <w:t xml:space="preserve"> poate o</w:t>
      </w:r>
      <w:r>
        <w:rPr>
          <w:rFonts w:ascii="Arial" w:hAnsi="Arial" w:cs="Arial"/>
          <w:sz w:val="24"/>
          <w:szCs w:val="24"/>
        </w:rPr>
        <w:t>b</w:t>
      </w:r>
      <w:r>
        <w:rPr>
          <w:rFonts w:ascii="Arial" w:hAnsi="Arial" w:cs="Arial"/>
          <w:sz w:val="24"/>
          <w:szCs w:val="24"/>
        </w:rPr>
        <w:t>serva că în cursul anului 2014 s-au înregistrat 24 depăşiri ale valorii limită, depăşiri dat</w:t>
      </w:r>
      <w:r>
        <w:rPr>
          <w:rFonts w:ascii="Arial" w:hAnsi="Arial" w:cs="Arial"/>
          <w:sz w:val="24"/>
          <w:szCs w:val="24"/>
        </w:rPr>
        <w:t>o</w:t>
      </w:r>
      <w:r>
        <w:rPr>
          <w:rFonts w:ascii="Arial" w:hAnsi="Arial" w:cs="Arial"/>
          <w:sz w:val="24"/>
          <w:szCs w:val="24"/>
        </w:rPr>
        <w:t>rate arderilor rezidenţiale, traficului şi calmului atmosferic.</w:t>
      </w:r>
    </w:p>
    <w:p w:rsidR="00CA0B63" w:rsidRDefault="00CA0B63" w:rsidP="00CA0B63">
      <w:pPr>
        <w:spacing w:after="120" w:line="240" w:lineRule="auto"/>
        <w:jc w:val="both"/>
        <w:rPr>
          <w:rFonts w:ascii="Arial" w:hAnsi="Arial" w:cs="Arial"/>
          <w:sz w:val="24"/>
          <w:szCs w:val="24"/>
        </w:rPr>
      </w:pPr>
    </w:p>
    <w:p w:rsidR="00CA0B63" w:rsidRPr="008A607D" w:rsidRDefault="00CA0B63" w:rsidP="00CA0B63">
      <w:pPr>
        <w:spacing w:after="120" w:line="240" w:lineRule="auto"/>
        <w:jc w:val="center"/>
        <w:rPr>
          <w:rFonts w:ascii="Arial" w:hAnsi="Arial" w:cs="Arial"/>
          <w:sz w:val="24"/>
          <w:szCs w:val="24"/>
        </w:rPr>
      </w:pPr>
      <w:r w:rsidRPr="000D3F4F">
        <w:rPr>
          <w:rFonts w:ascii="Arial" w:hAnsi="Arial" w:cs="Arial"/>
          <w:noProof/>
          <w:sz w:val="24"/>
          <w:szCs w:val="24"/>
          <w:lang w:val="ro-RO" w:eastAsia="ro-RO"/>
        </w:rPr>
        <w:drawing>
          <wp:inline distT="0" distB="0" distL="0" distR="0">
            <wp:extent cx="5967730" cy="3324225"/>
            <wp:effectExtent l="19050" t="0" r="1397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0B63" w:rsidRDefault="00CA0B63" w:rsidP="00CA0B63">
      <w:pPr>
        <w:spacing w:after="120" w:line="240" w:lineRule="auto"/>
        <w:contextualSpacing/>
        <w:jc w:val="center"/>
        <w:rPr>
          <w:rFonts w:ascii="Arial" w:hAnsi="Arial" w:cs="Arial"/>
          <w:sz w:val="24"/>
          <w:szCs w:val="24"/>
        </w:rPr>
      </w:pPr>
      <w:r w:rsidRPr="008A607D">
        <w:rPr>
          <w:rFonts w:ascii="Arial" w:hAnsi="Arial" w:cs="Arial"/>
          <w:b/>
          <w:sz w:val="24"/>
          <w:szCs w:val="24"/>
        </w:rPr>
        <w:t>Fig</w:t>
      </w:r>
      <w:r w:rsidR="0056118B">
        <w:rPr>
          <w:rFonts w:ascii="Arial" w:hAnsi="Arial" w:cs="Arial"/>
          <w:b/>
          <w:sz w:val="24"/>
          <w:szCs w:val="24"/>
        </w:rPr>
        <w:t>ura</w:t>
      </w:r>
      <w:r>
        <w:rPr>
          <w:rFonts w:ascii="Arial" w:hAnsi="Arial" w:cs="Arial"/>
          <w:sz w:val="24"/>
          <w:szCs w:val="24"/>
        </w:rPr>
        <w:t xml:space="preserve"> </w:t>
      </w:r>
      <w:r>
        <w:rPr>
          <w:rFonts w:ascii="Arial" w:hAnsi="Arial" w:cs="Arial"/>
          <w:b/>
          <w:sz w:val="24"/>
          <w:szCs w:val="24"/>
        </w:rPr>
        <w:t>I.1.1.1.3.1.2. PM10 grv concentraţii medii zilnice 2014 – SVEN LECKEL</w:t>
      </w:r>
    </w:p>
    <w:p w:rsidR="00CA0B63" w:rsidRDefault="00CA0B63" w:rsidP="00CA0B63">
      <w:pPr>
        <w:spacing w:after="120" w:line="240" w:lineRule="auto"/>
        <w:contextualSpacing/>
        <w:jc w:val="both"/>
        <w:rPr>
          <w:rFonts w:ascii="Arial" w:hAnsi="Arial" w:cs="Arial"/>
          <w:bCs/>
          <w:sz w:val="24"/>
          <w:szCs w:val="24"/>
          <w:vertAlign w:val="subscript"/>
        </w:rPr>
      </w:pPr>
    </w:p>
    <w:p w:rsidR="0056118B" w:rsidRDefault="0056118B" w:rsidP="00CA0B63">
      <w:pPr>
        <w:spacing w:after="120" w:line="240" w:lineRule="auto"/>
        <w:rPr>
          <w:rFonts w:ascii="Arial" w:hAnsi="Arial" w:cs="Arial"/>
          <w:b/>
          <w:bCs/>
          <w:sz w:val="24"/>
          <w:szCs w:val="24"/>
        </w:rPr>
      </w:pPr>
    </w:p>
    <w:p w:rsidR="00CA0B63" w:rsidRDefault="00CA0B63" w:rsidP="0056118B">
      <w:pPr>
        <w:spacing w:before="120" w:after="120" w:line="240" w:lineRule="auto"/>
        <w:jc w:val="both"/>
        <w:rPr>
          <w:rFonts w:ascii="Arial" w:hAnsi="Arial" w:cs="Arial"/>
          <w:b/>
          <w:bCs/>
          <w:sz w:val="24"/>
          <w:szCs w:val="24"/>
        </w:rPr>
      </w:pPr>
      <w:r>
        <w:rPr>
          <w:rFonts w:ascii="Arial" w:hAnsi="Arial" w:cs="Arial"/>
          <w:b/>
          <w:bCs/>
          <w:sz w:val="24"/>
          <w:szCs w:val="24"/>
        </w:rPr>
        <w:t xml:space="preserve">I.1.1.1.3.2 </w:t>
      </w:r>
      <w:r w:rsidRPr="009B79D7">
        <w:rPr>
          <w:rFonts w:ascii="Arial" w:hAnsi="Arial" w:cs="Arial"/>
          <w:b/>
          <w:bCs/>
          <w:sz w:val="24"/>
          <w:szCs w:val="24"/>
        </w:rPr>
        <w:t>PM</w:t>
      </w:r>
      <w:r w:rsidRPr="009B79D7">
        <w:rPr>
          <w:rFonts w:ascii="Arial" w:hAnsi="Arial" w:cs="Arial"/>
          <w:b/>
          <w:bCs/>
          <w:sz w:val="24"/>
          <w:szCs w:val="24"/>
          <w:vertAlign w:val="subscript"/>
        </w:rPr>
        <w:t>2,5</w:t>
      </w:r>
    </w:p>
    <w:p w:rsidR="00CA0B63" w:rsidRPr="003D2E29" w:rsidRDefault="00CA0B63" w:rsidP="0056118B">
      <w:pPr>
        <w:spacing w:before="120" w:after="120" w:line="240" w:lineRule="auto"/>
        <w:jc w:val="both"/>
        <w:rPr>
          <w:rFonts w:ascii="Arial" w:hAnsi="Arial" w:cs="Arial"/>
          <w:bCs/>
          <w:sz w:val="24"/>
          <w:szCs w:val="24"/>
        </w:rPr>
      </w:pPr>
      <w:r>
        <w:rPr>
          <w:rFonts w:ascii="Arial" w:hAnsi="Arial" w:cs="Arial"/>
          <w:sz w:val="24"/>
          <w:szCs w:val="24"/>
        </w:rPr>
        <w:t xml:space="preserve">În cursul anului 2014 nu s-au făcut măsurători pentru indicatorul </w:t>
      </w:r>
      <w:r w:rsidRPr="00FD063B">
        <w:rPr>
          <w:rFonts w:ascii="Arial" w:hAnsi="Arial" w:cs="Arial"/>
          <w:bCs/>
          <w:sz w:val="24"/>
          <w:szCs w:val="24"/>
        </w:rPr>
        <w:t>PM</w:t>
      </w:r>
      <w:r w:rsidRPr="00FD063B">
        <w:rPr>
          <w:rFonts w:ascii="Arial" w:hAnsi="Arial" w:cs="Arial"/>
          <w:bCs/>
          <w:sz w:val="24"/>
          <w:szCs w:val="24"/>
          <w:vertAlign w:val="subscript"/>
        </w:rPr>
        <w:t>2,5</w:t>
      </w:r>
      <w:r w:rsidRPr="00FD063B">
        <w:rPr>
          <w:rFonts w:ascii="Arial" w:hAnsi="Arial" w:cs="Arial"/>
          <w:sz w:val="24"/>
          <w:szCs w:val="24"/>
        </w:rPr>
        <w:t xml:space="preserve"> </w:t>
      </w:r>
      <w:r>
        <w:rPr>
          <w:rFonts w:ascii="Arial" w:hAnsi="Arial" w:cs="Arial"/>
          <w:sz w:val="24"/>
          <w:szCs w:val="24"/>
        </w:rPr>
        <w:t>g</w:t>
      </w:r>
      <w:r w:rsidRPr="00FD063B">
        <w:rPr>
          <w:rFonts w:ascii="Arial" w:hAnsi="Arial" w:cs="Arial"/>
          <w:bCs/>
          <w:sz w:val="24"/>
          <w:szCs w:val="24"/>
        </w:rPr>
        <w:t xml:space="preserve"> </w:t>
      </w:r>
      <w:r>
        <w:rPr>
          <w:rFonts w:ascii="Arial" w:hAnsi="Arial" w:cs="Arial"/>
          <w:bCs/>
          <w:sz w:val="24"/>
          <w:szCs w:val="24"/>
        </w:rPr>
        <w:t>ravimetric deo</w:t>
      </w:r>
      <w:r>
        <w:rPr>
          <w:rFonts w:ascii="Arial" w:hAnsi="Arial" w:cs="Arial"/>
          <w:bCs/>
          <w:sz w:val="24"/>
          <w:szCs w:val="24"/>
        </w:rPr>
        <w:t>a</w:t>
      </w:r>
      <w:r>
        <w:rPr>
          <w:rFonts w:ascii="Arial" w:hAnsi="Arial" w:cs="Arial"/>
          <w:bCs/>
          <w:sz w:val="24"/>
          <w:szCs w:val="24"/>
        </w:rPr>
        <w:t>rece prelevatorul (pompa Charlie) a fost defect.</w:t>
      </w:r>
    </w:p>
    <w:p w:rsidR="0056118B" w:rsidRDefault="0056118B" w:rsidP="0056118B">
      <w:pPr>
        <w:spacing w:before="120" w:after="120" w:line="240" w:lineRule="auto"/>
        <w:jc w:val="both"/>
        <w:rPr>
          <w:rFonts w:ascii="Arial" w:hAnsi="Arial" w:cs="Arial"/>
          <w:b/>
          <w:bCs/>
          <w:sz w:val="24"/>
          <w:szCs w:val="24"/>
        </w:rPr>
      </w:pPr>
    </w:p>
    <w:p w:rsidR="00CA0B63" w:rsidRDefault="00CA0B63" w:rsidP="0056118B">
      <w:pPr>
        <w:spacing w:before="120" w:after="120" w:line="240" w:lineRule="auto"/>
        <w:jc w:val="both"/>
        <w:rPr>
          <w:rFonts w:ascii="Arial" w:hAnsi="Arial" w:cs="Arial"/>
          <w:b/>
          <w:bCs/>
          <w:sz w:val="24"/>
          <w:szCs w:val="24"/>
        </w:rPr>
      </w:pPr>
      <w:r>
        <w:rPr>
          <w:rFonts w:ascii="Arial" w:hAnsi="Arial" w:cs="Arial"/>
          <w:b/>
          <w:bCs/>
          <w:sz w:val="24"/>
          <w:szCs w:val="24"/>
        </w:rPr>
        <w:t>I.1.1.1.4. Monoxidul de carbon</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În cursul anului 2014 captura de date valide pentru indicatorul CO a fost doar de 27% datorită defectării analizorului şi datele colectate nu sunt suficiente pentru respectarea cr</w:t>
      </w:r>
      <w:r>
        <w:rPr>
          <w:rFonts w:ascii="Arial" w:hAnsi="Arial" w:cs="Arial"/>
          <w:sz w:val="24"/>
          <w:szCs w:val="24"/>
        </w:rPr>
        <w:t>i</w:t>
      </w:r>
      <w:r>
        <w:rPr>
          <w:rFonts w:ascii="Arial" w:hAnsi="Arial" w:cs="Arial"/>
          <w:sz w:val="24"/>
          <w:szCs w:val="24"/>
        </w:rPr>
        <w:t>teriilor de calitate conform Legii 104/2011.</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Conform prevederilor Legii 104/2011 valoarea limită pentru protecţia sănătăţii umane în cazul monoxidului de carbon este </w:t>
      </w:r>
      <w:r w:rsidRPr="0056118B">
        <w:rPr>
          <w:rFonts w:ascii="Arial" w:hAnsi="Arial" w:cs="Arial"/>
          <w:sz w:val="24"/>
          <w:szCs w:val="24"/>
        </w:rPr>
        <w:t>de 10mg/mc</w:t>
      </w:r>
      <w:r>
        <w:rPr>
          <w:rFonts w:ascii="Arial" w:hAnsi="Arial" w:cs="Arial"/>
          <w:sz w:val="24"/>
          <w:szCs w:val="24"/>
        </w:rPr>
        <w:t xml:space="preserve"> şi reprezintă valoarea maximă zilnică a mediilor pe 8 ore. În cursul anului 2014, </w:t>
      </w:r>
      <w:r w:rsidRPr="001526F0">
        <w:rPr>
          <w:rFonts w:ascii="Arial" w:hAnsi="Arial" w:cs="Arial"/>
          <w:b/>
          <w:sz w:val="24"/>
          <w:szCs w:val="24"/>
        </w:rPr>
        <w:t>pentru  perioada în care a func</w:t>
      </w:r>
      <w:r>
        <w:rPr>
          <w:rFonts w:ascii="Arial" w:hAnsi="Arial" w:cs="Arial"/>
          <w:b/>
          <w:sz w:val="24"/>
          <w:szCs w:val="24"/>
        </w:rPr>
        <w:t>ţ</w:t>
      </w:r>
      <w:r w:rsidRPr="001526F0">
        <w:rPr>
          <w:rFonts w:ascii="Arial" w:hAnsi="Arial" w:cs="Arial"/>
          <w:b/>
          <w:sz w:val="24"/>
          <w:szCs w:val="24"/>
        </w:rPr>
        <w:t>ionat</w:t>
      </w:r>
      <w:r>
        <w:rPr>
          <w:rFonts w:ascii="Arial" w:hAnsi="Arial" w:cs="Arial"/>
          <w:sz w:val="24"/>
          <w:szCs w:val="24"/>
        </w:rPr>
        <w:t xml:space="preserve">, </w:t>
      </w:r>
      <w:r>
        <w:rPr>
          <w:rFonts w:ascii="Arial" w:hAnsi="Arial" w:cs="Arial"/>
          <w:b/>
          <w:bCs/>
          <w:sz w:val="24"/>
          <w:szCs w:val="24"/>
        </w:rPr>
        <w:t>nu s-au înregistrat depăşiri</w:t>
      </w:r>
      <w:r>
        <w:rPr>
          <w:rFonts w:ascii="Arial" w:hAnsi="Arial" w:cs="Arial"/>
          <w:sz w:val="24"/>
          <w:szCs w:val="24"/>
        </w:rPr>
        <w:t xml:space="preserve"> ale acestei valori, intervalul de variaţie fiind următorul:</w:t>
      </w:r>
    </w:p>
    <w:p w:rsidR="00CA0B63" w:rsidRDefault="00CA0B63" w:rsidP="00B93DB3">
      <w:pPr>
        <w:numPr>
          <w:ilvl w:val="0"/>
          <w:numId w:val="1"/>
        </w:numPr>
        <w:spacing w:before="120" w:after="120" w:line="240" w:lineRule="auto"/>
        <w:ind w:left="0" w:firstLine="0"/>
        <w:jc w:val="both"/>
        <w:rPr>
          <w:rFonts w:ascii="Arial" w:hAnsi="Arial" w:cs="Arial"/>
          <w:sz w:val="24"/>
          <w:szCs w:val="24"/>
        </w:rPr>
      </w:pPr>
      <w:r>
        <w:rPr>
          <w:rFonts w:ascii="Arial" w:hAnsi="Arial" w:cs="Arial"/>
          <w:sz w:val="24"/>
          <w:szCs w:val="24"/>
        </w:rPr>
        <w:t>minim – 0,07mg/m3;</w:t>
      </w:r>
    </w:p>
    <w:p w:rsidR="00CA0B63" w:rsidRDefault="00CA0B63" w:rsidP="00B93DB3">
      <w:pPr>
        <w:numPr>
          <w:ilvl w:val="0"/>
          <w:numId w:val="1"/>
        </w:numPr>
        <w:spacing w:before="120" w:after="120" w:line="240" w:lineRule="auto"/>
        <w:ind w:left="0" w:firstLine="0"/>
        <w:jc w:val="both"/>
        <w:rPr>
          <w:rFonts w:ascii="Arial" w:hAnsi="Arial" w:cs="Arial"/>
          <w:sz w:val="24"/>
          <w:szCs w:val="24"/>
        </w:rPr>
      </w:pPr>
      <w:r>
        <w:rPr>
          <w:rFonts w:ascii="Arial" w:hAnsi="Arial" w:cs="Arial"/>
          <w:sz w:val="24"/>
          <w:szCs w:val="24"/>
        </w:rPr>
        <w:t>maxim – 1,88mg/m3.</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În </w:t>
      </w: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 xml:space="preserve">I.1.1.1.4.1. </w:t>
      </w:r>
      <w:r>
        <w:rPr>
          <w:rFonts w:ascii="Arial" w:hAnsi="Arial" w:cs="Arial"/>
          <w:sz w:val="24"/>
          <w:szCs w:val="24"/>
        </w:rPr>
        <w:t>este prezentată variaţia acestor valori în cursul anului 2014, la Staţia BZ-1.</w:t>
      </w:r>
    </w:p>
    <w:p w:rsidR="00CA0B63" w:rsidRDefault="00CA0B63" w:rsidP="00CA0B63">
      <w:pPr>
        <w:spacing w:after="120" w:line="240" w:lineRule="auto"/>
        <w:rPr>
          <w:rFonts w:ascii="Arial" w:hAnsi="Arial" w:cs="Arial"/>
          <w:sz w:val="24"/>
          <w:szCs w:val="24"/>
        </w:rPr>
      </w:pPr>
    </w:p>
    <w:p w:rsidR="00CA0B63" w:rsidRPr="001C1AB1" w:rsidRDefault="00CA0B63" w:rsidP="00CA0B63">
      <w:pPr>
        <w:spacing w:after="120" w:line="240" w:lineRule="auto"/>
        <w:jc w:val="center"/>
        <w:rPr>
          <w:rFonts w:ascii="Arial" w:hAnsi="Arial" w:cs="Arial"/>
          <w:sz w:val="24"/>
          <w:szCs w:val="24"/>
        </w:rPr>
      </w:pPr>
      <w:r w:rsidRPr="001C1AB1">
        <w:rPr>
          <w:rFonts w:ascii="Arial" w:hAnsi="Arial" w:cs="Arial"/>
          <w:noProof/>
          <w:sz w:val="24"/>
          <w:szCs w:val="24"/>
          <w:lang w:val="ro-RO" w:eastAsia="ro-RO"/>
        </w:rPr>
        <w:lastRenderedPageBreak/>
        <w:drawing>
          <wp:inline distT="0" distB="0" distL="0" distR="0">
            <wp:extent cx="5029835" cy="3505200"/>
            <wp:effectExtent l="19050" t="0" r="18415"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0B63" w:rsidRPr="00DD4D33" w:rsidRDefault="00CA0B63" w:rsidP="00CA0B63">
      <w:pPr>
        <w:spacing w:after="120" w:line="240" w:lineRule="auto"/>
        <w:jc w:val="center"/>
        <w:rPr>
          <w:rFonts w:ascii="Arial" w:eastAsia="Times New Roman" w:hAnsi="Arial" w:cs="Arial"/>
          <w:b/>
          <w:bCs/>
          <w:color w:val="000000" w:themeColor="text1"/>
          <w:sz w:val="24"/>
          <w:szCs w:val="24"/>
          <w:lang w:eastAsia="ro-RO"/>
        </w:rPr>
      </w:pPr>
      <w:r w:rsidRPr="00742B9E">
        <w:rPr>
          <w:rFonts w:ascii="Arial" w:hAnsi="Arial" w:cs="Arial"/>
          <w:b/>
          <w:sz w:val="24"/>
          <w:szCs w:val="24"/>
        </w:rPr>
        <w:t>Fig</w:t>
      </w:r>
      <w:r w:rsidR="0056118B">
        <w:rPr>
          <w:rFonts w:ascii="Arial" w:hAnsi="Arial" w:cs="Arial"/>
          <w:b/>
          <w:sz w:val="24"/>
          <w:szCs w:val="24"/>
        </w:rPr>
        <w:t>ura</w:t>
      </w:r>
      <w:r>
        <w:rPr>
          <w:rFonts w:ascii="Arial" w:hAnsi="Arial" w:cs="Arial"/>
          <w:sz w:val="24"/>
          <w:szCs w:val="24"/>
        </w:rPr>
        <w:t xml:space="preserve"> </w:t>
      </w:r>
      <w:r>
        <w:rPr>
          <w:rFonts w:ascii="Arial" w:hAnsi="Arial" w:cs="Arial"/>
          <w:b/>
          <w:sz w:val="24"/>
          <w:szCs w:val="24"/>
        </w:rPr>
        <w:t xml:space="preserve">I.1.1.1.4.1. </w:t>
      </w:r>
      <w:r w:rsidRPr="001C1AB1">
        <w:rPr>
          <w:rFonts w:ascii="Arial" w:eastAsia="Times New Roman" w:hAnsi="Arial" w:cs="Arial"/>
          <w:b/>
          <w:bCs/>
          <w:color w:val="000000" w:themeColor="text1"/>
          <w:sz w:val="24"/>
          <w:szCs w:val="24"/>
          <w:lang w:eastAsia="ro-RO"/>
        </w:rPr>
        <w:t>CO(mg/m3),  2014, Maxima zilnica a mediilor pe 8h</w:t>
      </w:r>
    </w:p>
    <w:p w:rsidR="0056118B" w:rsidRDefault="0056118B" w:rsidP="00CA0B63">
      <w:pPr>
        <w:spacing w:after="120" w:line="240" w:lineRule="auto"/>
        <w:rPr>
          <w:rFonts w:ascii="Arial" w:hAnsi="Arial" w:cs="Arial"/>
          <w:b/>
          <w:bCs/>
          <w:sz w:val="24"/>
          <w:szCs w:val="24"/>
        </w:rPr>
      </w:pPr>
    </w:p>
    <w:p w:rsidR="00CA0B63" w:rsidRDefault="00CA0B63" w:rsidP="0056118B">
      <w:pPr>
        <w:spacing w:before="120" w:after="120" w:line="240" w:lineRule="auto"/>
        <w:jc w:val="both"/>
        <w:rPr>
          <w:rFonts w:ascii="Arial" w:hAnsi="Arial" w:cs="Arial"/>
          <w:sz w:val="24"/>
          <w:szCs w:val="24"/>
        </w:rPr>
      </w:pPr>
      <w:r>
        <w:rPr>
          <w:rFonts w:ascii="Arial" w:hAnsi="Arial" w:cs="Arial"/>
          <w:b/>
          <w:bCs/>
          <w:sz w:val="24"/>
          <w:szCs w:val="24"/>
        </w:rPr>
        <w:t>I.1.1.1.5. Benzen</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În cursul anului 2014 captura de date valide pentru indicatorul BENZEN a fost doar de 4,2% datorită defectării analizorului</w:t>
      </w:r>
      <w:r w:rsidRPr="001526F0">
        <w:rPr>
          <w:rFonts w:ascii="Arial" w:hAnsi="Arial" w:cs="Arial"/>
          <w:sz w:val="24"/>
          <w:szCs w:val="24"/>
        </w:rPr>
        <w:t xml:space="preserve"> </w:t>
      </w:r>
      <w:r>
        <w:rPr>
          <w:rFonts w:ascii="Arial" w:hAnsi="Arial" w:cs="Arial"/>
          <w:sz w:val="24"/>
          <w:szCs w:val="24"/>
        </w:rPr>
        <w:t>şi datele colectate nu sunt suficiente pentru respect</w:t>
      </w:r>
      <w:r>
        <w:rPr>
          <w:rFonts w:ascii="Arial" w:hAnsi="Arial" w:cs="Arial"/>
          <w:sz w:val="24"/>
          <w:szCs w:val="24"/>
        </w:rPr>
        <w:t>a</w:t>
      </w:r>
      <w:r>
        <w:rPr>
          <w:rFonts w:ascii="Arial" w:hAnsi="Arial" w:cs="Arial"/>
          <w:sz w:val="24"/>
          <w:szCs w:val="24"/>
        </w:rPr>
        <w:t>rea criteriilor de calitate conform Legii 104/2011.</w:t>
      </w:r>
    </w:p>
    <w:p w:rsidR="00CA0B63" w:rsidRDefault="00CA0B63" w:rsidP="0056118B">
      <w:pPr>
        <w:spacing w:before="120" w:after="120" w:line="240" w:lineRule="auto"/>
        <w:jc w:val="both"/>
        <w:rPr>
          <w:rFonts w:ascii="Arial" w:hAnsi="Arial" w:cs="Arial"/>
          <w:b/>
          <w:bCs/>
          <w:sz w:val="24"/>
          <w:szCs w:val="24"/>
        </w:rPr>
      </w:pPr>
    </w:p>
    <w:p w:rsidR="00CA0B63" w:rsidRDefault="00CA0B63" w:rsidP="0056118B">
      <w:pPr>
        <w:spacing w:before="120" w:after="120" w:line="240" w:lineRule="auto"/>
        <w:jc w:val="both"/>
        <w:rPr>
          <w:rFonts w:ascii="Arial" w:hAnsi="Arial" w:cs="Arial"/>
          <w:sz w:val="24"/>
          <w:szCs w:val="24"/>
        </w:rPr>
      </w:pPr>
      <w:r>
        <w:rPr>
          <w:rFonts w:ascii="Arial" w:hAnsi="Arial" w:cs="Arial"/>
          <w:b/>
          <w:bCs/>
          <w:sz w:val="24"/>
          <w:szCs w:val="24"/>
        </w:rPr>
        <w:t>I.1.1.1.6. Ozon</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În cursul anului 2014 captura de date valide pentru indicatorul O3 a fost doar de 63% datorită defectării analizorului</w:t>
      </w:r>
      <w:r w:rsidRPr="001526F0">
        <w:rPr>
          <w:rFonts w:ascii="Arial" w:hAnsi="Arial" w:cs="Arial"/>
          <w:sz w:val="24"/>
          <w:szCs w:val="24"/>
        </w:rPr>
        <w:t xml:space="preserve"> </w:t>
      </w:r>
      <w:r>
        <w:rPr>
          <w:rFonts w:ascii="Arial" w:hAnsi="Arial" w:cs="Arial"/>
          <w:sz w:val="24"/>
          <w:szCs w:val="24"/>
        </w:rPr>
        <w:t>şi datele colectate nu sunt suficiente pentru respectarea cr</w:t>
      </w:r>
      <w:r>
        <w:rPr>
          <w:rFonts w:ascii="Arial" w:hAnsi="Arial" w:cs="Arial"/>
          <w:sz w:val="24"/>
          <w:szCs w:val="24"/>
        </w:rPr>
        <w:t>i</w:t>
      </w:r>
      <w:r>
        <w:rPr>
          <w:rFonts w:ascii="Arial" w:hAnsi="Arial" w:cs="Arial"/>
          <w:sz w:val="24"/>
          <w:szCs w:val="24"/>
        </w:rPr>
        <w:t>teriilor de calitate conform Legii 104/2011.</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Conform prevederilor Legii 104/2011 valoarea ţintă pentru protecţia sănătăţii umane în cazul ozonului este </w:t>
      </w:r>
      <w:r w:rsidRPr="0056118B">
        <w:rPr>
          <w:rFonts w:ascii="Arial" w:hAnsi="Arial" w:cs="Arial"/>
          <w:sz w:val="24"/>
          <w:szCs w:val="24"/>
        </w:rPr>
        <w:t>de 120</w:t>
      </w:r>
      <w:r w:rsidRPr="0056118B">
        <w:rPr>
          <w:rFonts w:ascii="Arial" w:hAnsi="Arial" w:cs="Arial"/>
          <w:sz w:val="24"/>
          <w:szCs w:val="24"/>
        </w:rPr>
        <w:sym w:font="Symbol" w:char="006D"/>
      </w:r>
      <w:r w:rsidRPr="0056118B">
        <w:rPr>
          <w:rFonts w:ascii="Arial" w:hAnsi="Arial" w:cs="Arial"/>
          <w:sz w:val="24"/>
          <w:szCs w:val="24"/>
        </w:rPr>
        <w:t>g/mc şi</w:t>
      </w:r>
      <w:r>
        <w:rPr>
          <w:rFonts w:ascii="Arial" w:hAnsi="Arial" w:cs="Arial"/>
          <w:sz w:val="24"/>
          <w:szCs w:val="24"/>
        </w:rPr>
        <w:t xml:space="preserve"> reprezintă valoarea maximă zilnică a mediilor pe 8 ore. În cursul anului 2014, </w:t>
      </w:r>
      <w:r w:rsidRPr="001526F0">
        <w:rPr>
          <w:rFonts w:ascii="Arial" w:hAnsi="Arial" w:cs="Arial"/>
          <w:b/>
          <w:sz w:val="24"/>
          <w:szCs w:val="24"/>
        </w:rPr>
        <w:t>pentru  perioada în care a func</w:t>
      </w:r>
      <w:r>
        <w:rPr>
          <w:rFonts w:ascii="Arial" w:hAnsi="Arial" w:cs="Arial"/>
          <w:b/>
          <w:sz w:val="24"/>
          <w:szCs w:val="24"/>
        </w:rPr>
        <w:t>ţ</w:t>
      </w:r>
      <w:r w:rsidRPr="001526F0">
        <w:rPr>
          <w:rFonts w:ascii="Arial" w:hAnsi="Arial" w:cs="Arial"/>
          <w:b/>
          <w:sz w:val="24"/>
          <w:szCs w:val="24"/>
        </w:rPr>
        <w:t>ionat</w:t>
      </w:r>
      <w:r>
        <w:rPr>
          <w:rFonts w:ascii="Arial" w:hAnsi="Arial" w:cs="Arial"/>
          <w:b/>
          <w:sz w:val="24"/>
          <w:szCs w:val="24"/>
        </w:rPr>
        <w:t>,</w:t>
      </w:r>
      <w:r>
        <w:rPr>
          <w:rFonts w:ascii="Arial" w:hAnsi="Arial" w:cs="Arial"/>
          <w:sz w:val="24"/>
          <w:szCs w:val="24"/>
        </w:rPr>
        <w:t xml:space="preserve"> </w:t>
      </w:r>
      <w:r>
        <w:rPr>
          <w:rFonts w:ascii="Arial" w:hAnsi="Arial" w:cs="Arial"/>
          <w:b/>
          <w:bCs/>
          <w:sz w:val="24"/>
          <w:szCs w:val="24"/>
        </w:rPr>
        <w:t xml:space="preserve"> nu s-au înregistrat  depăşiri</w:t>
      </w:r>
      <w:r>
        <w:rPr>
          <w:rFonts w:ascii="Arial" w:hAnsi="Arial" w:cs="Arial"/>
          <w:sz w:val="24"/>
          <w:szCs w:val="24"/>
        </w:rPr>
        <w:t xml:space="preserve"> ale acestei valori, intervalul de variaţie fiind următorul:</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-minim –6,6</w:t>
      </w:r>
      <w:r>
        <w:rPr>
          <w:rFonts w:ascii="Arial" w:hAnsi="Arial" w:cs="Arial"/>
          <w:sz w:val="24"/>
          <w:szCs w:val="24"/>
        </w:rPr>
        <w:sym w:font="Symbol" w:char="006D"/>
      </w:r>
      <w:r>
        <w:rPr>
          <w:rFonts w:ascii="Arial" w:hAnsi="Arial" w:cs="Arial"/>
          <w:sz w:val="24"/>
          <w:szCs w:val="24"/>
        </w:rPr>
        <w:t>g/mc;</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-maxim – 63,5</w:t>
      </w:r>
      <w:r>
        <w:rPr>
          <w:rFonts w:ascii="Arial" w:hAnsi="Arial" w:cs="Arial"/>
          <w:sz w:val="24"/>
          <w:szCs w:val="24"/>
        </w:rPr>
        <w:sym w:font="Symbol" w:char="006D"/>
      </w:r>
      <w:r>
        <w:rPr>
          <w:rFonts w:ascii="Arial" w:hAnsi="Arial" w:cs="Arial"/>
          <w:sz w:val="24"/>
          <w:szCs w:val="24"/>
        </w:rPr>
        <w:t>g/mc.</w:t>
      </w:r>
    </w:p>
    <w:p w:rsidR="00CA0B63" w:rsidRDefault="00CA0B63" w:rsidP="0056118B">
      <w:pPr>
        <w:spacing w:before="120" w:after="120" w:line="240" w:lineRule="auto"/>
        <w:jc w:val="both"/>
        <w:rPr>
          <w:rFonts w:ascii="Arial" w:hAnsi="Arial" w:cs="Arial"/>
          <w:sz w:val="24"/>
          <w:szCs w:val="24"/>
        </w:rPr>
      </w:pPr>
    </w:p>
    <w:p w:rsidR="00CA0B63" w:rsidRDefault="00CA0B63" w:rsidP="0056118B">
      <w:pPr>
        <w:spacing w:before="120" w:after="120" w:line="240" w:lineRule="auto"/>
        <w:jc w:val="both"/>
        <w:rPr>
          <w:rFonts w:ascii="Arial" w:hAnsi="Arial" w:cs="Arial"/>
          <w:sz w:val="24"/>
          <w:szCs w:val="24"/>
        </w:rPr>
      </w:pPr>
      <w:r w:rsidRPr="002B1D1F">
        <w:rPr>
          <w:rFonts w:ascii="Arial" w:hAnsi="Arial" w:cs="Arial"/>
          <w:sz w:val="24"/>
          <w:szCs w:val="24"/>
        </w:rPr>
        <w:t xml:space="preserve">În </w:t>
      </w:r>
      <w:r w:rsidRPr="002B1D1F">
        <w:rPr>
          <w:rFonts w:ascii="Arial" w:hAnsi="Arial" w:cs="Arial"/>
          <w:b/>
          <w:sz w:val="24"/>
          <w:szCs w:val="24"/>
        </w:rPr>
        <w:t>Fig.</w:t>
      </w:r>
      <w:r w:rsidRPr="002B1D1F">
        <w:rPr>
          <w:rFonts w:ascii="Arial" w:hAnsi="Arial" w:cs="Arial"/>
          <w:sz w:val="24"/>
          <w:szCs w:val="24"/>
        </w:rPr>
        <w:t xml:space="preserve"> </w:t>
      </w:r>
      <w:r>
        <w:rPr>
          <w:rFonts w:ascii="Arial" w:hAnsi="Arial" w:cs="Arial"/>
          <w:b/>
          <w:sz w:val="24"/>
          <w:szCs w:val="24"/>
        </w:rPr>
        <w:t>I.1.1.1.6</w:t>
      </w:r>
      <w:r w:rsidRPr="002B1D1F">
        <w:rPr>
          <w:rFonts w:ascii="Arial" w:hAnsi="Arial" w:cs="Arial"/>
          <w:b/>
          <w:sz w:val="24"/>
          <w:szCs w:val="24"/>
        </w:rPr>
        <w:t xml:space="preserve">.1. </w:t>
      </w:r>
      <w:r w:rsidRPr="002B1D1F">
        <w:rPr>
          <w:rFonts w:ascii="Arial" w:hAnsi="Arial" w:cs="Arial"/>
          <w:sz w:val="24"/>
          <w:szCs w:val="24"/>
        </w:rPr>
        <w:t>este prezentată varia</w:t>
      </w:r>
      <w:r>
        <w:rPr>
          <w:rFonts w:ascii="Arial" w:hAnsi="Arial" w:cs="Arial"/>
          <w:sz w:val="24"/>
          <w:szCs w:val="24"/>
        </w:rPr>
        <w:t>ţ</w:t>
      </w:r>
      <w:r w:rsidRPr="002B1D1F">
        <w:rPr>
          <w:rFonts w:ascii="Arial" w:hAnsi="Arial" w:cs="Arial"/>
          <w:sz w:val="24"/>
          <w:szCs w:val="24"/>
        </w:rPr>
        <w:t>ia acestor valori în cursul anului 2014</w:t>
      </w:r>
      <w:r>
        <w:rPr>
          <w:rFonts w:ascii="Arial" w:hAnsi="Arial" w:cs="Arial"/>
          <w:sz w:val="24"/>
          <w:szCs w:val="24"/>
        </w:rPr>
        <w:t>, la staţia BZ-1.</w:t>
      </w:r>
    </w:p>
    <w:p w:rsidR="00CA0B63" w:rsidRDefault="00CA0B63" w:rsidP="00CA0B63">
      <w:pPr>
        <w:spacing w:after="120" w:line="240" w:lineRule="auto"/>
        <w:rPr>
          <w:rFonts w:ascii="Arial" w:hAnsi="Arial" w:cs="Arial"/>
          <w:sz w:val="24"/>
          <w:szCs w:val="24"/>
        </w:rPr>
      </w:pPr>
    </w:p>
    <w:p w:rsidR="00CA0B63" w:rsidRPr="002B1D1F" w:rsidRDefault="00CA0B63" w:rsidP="00CA0B63">
      <w:pPr>
        <w:spacing w:after="120" w:line="240" w:lineRule="auto"/>
        <w:jc w:val="center"/>
        <w:rPr>
          <w:rFonts w:ascii="Arial" w:hAnsi="Arial" w:cs="Arial"/>
          <w:sz w:val="24"/>
          <w:szCs w:val="24"/>
        </w:rPr>
      </w:pPr>
      <w:r w:rsidRPr="004617A8">
        <w:rPr>
          <w:rFonts w:ascii="Arial" w:hAnsi="Arial" w:cs="Arial"/>
          <w:noProof/>
          <w:sz w:val="24"/>
          <w:szCs w:val="24"/>
          <w:lang w:val="ro-RO" w:eastAsia="ro-RO"/>
        </w:rPr>
        <w:lastRenderedPageBreak/>
        <w:drawing>
          <wp:inline distT="0" distB="0" distL="0" distR="0">
            <wp:extent cx="5967730" cy="3419475"/>
            <wp:effectExtent l="19050" t="0" r="13970"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A0B63" w:rsidRPr="003D2E29" w:rsidRDefault="00CA0B63" w:rsidP="00CA0B63">
      <w:pPr>
        <w:spacing w:after="120" w:line="240" w:lineRule="auto"/>
        <w:jc w:val="center"/>
        <w:rPr>
          <w:rFonts w:ascii="Arial" w:eastAsia="Times New Roman" w:hAnsi="Arial" w:cs="Arial"/>
          <w:b/>
          <w:bCs/>
          <w:color w:val="000000" w:themeColor="text1"/>
          <w:sz w:val="24"/>
          <w:szCs w:val="24"/>
          <w:lang w:eastAsia="ro-RO"/>
        </w:rPr>
      </w:pPr>
      <w:r w:rsidRPr="002B1D1F">
        <w:rPr>
          <w:rFonts w:ascii="Arial" w:hAnsi="Arial" w:cs="Arial"/>
          <w:b/>
          <w:sz w:val="24"/>
          <w:szCs w:val="24"/>
        </w:rPr>
        <w:t>Fig</w:t>
      </w:r>
      <w:r w:rsidR="0056118B">
        <w:rPr>
          <w:rFonts w:ascii="Arial" w:hAnsi="Arial" w:cs="Arial"/>
          <w:b/>
          <w:sz w:val="24"/>
          <w:szCs w:val="24"/>
        </w:rPr>
        <w:t>ura</w:t>
      </w:r>
      <w:r w:rsidRPr="002B1D1F">
        <w:rPr>
          <w:rFonts w:ascii="Arial" w:hAnsi="Arial" w:cs="Arial"/>
          <w:sz w:val="24"/>
          <w:szCs w:val="24"/>
        </w:rPr>
        <w:t xml:space="preserve"> </w:t>
      </w:r>
      <w:r>
        <w:rPr>
          <w:rFonts w:ascii="Arial" w:hAnsi="Arial" w:cs="Arial"/>
          <w:b/>
          <w:sz w:val="24"/>
          <w:szCs w:val="24"/>
        </w:rPr>
        <w:t>I.1.1.1.6</w:t>
      </w:r>
      <w:r w:rsidRPr="002B1D1F">
        <w:rPr>
          <w:rFonts w:ascii="Arial" w:hAnsi="Arial" w:cs="Arial"/>
          <w:b/>
          <w:sz w:val="24"/>
          <w:szCs w:val="24"/>
        </w:rPr>
        <w:t>.1.</w:t>
      </w:r>
      <w:r>
        <w:rPr>
          <w:rFonts w:ascii="Arial" w:hAnsi="Arial" w:cs="Arial"/>
          <w:b/>
          <w:sz w:val="24"/>
          <w:szCs w:val="24"/>
        </w:rPr>
        <w:t xml:space="preserve"> </w:t>
      </w:r>
      <w:r w:rsidRPr="004617A8">
        <w:rPr>
          <w:rFonts w:ascii="Arial" w:eastAsia="Times New Roman" w:hAnsi="Arial" w:cs="Arial"/>
          <w:b/>
          <w:bCs/>
          <w:color w:val="000000" w:themeColor="text1"/>
          <w:sz w:val="24"/>
          <w:szCs w:val="24"/>
          <w:lang w:eastAsia="ro-RO"/>
        </w:rPr>
        <w:t>O3(µg/m3),  2014, Maxima zilnica a mediilor pe 8h</w:t>
      </w:r>
    </w:p>
    <w:p w:rsidR="00CA0B63" w:rsidRDefault="00CA0B63" w:rsidP="00CA0B63">
      <w:pPr>
        <w:spacing w:after="120" w:line="240" w:lineRule="auto"/>
        <w:jc w:val="both"/>
        <w:rPr>
          <w:rFonts w:ascii="Arial" w:hAnsi="Arial" w:cs="Arial"/>
          <w:b/>
          <w:sz w:val="24"/>
          <w:szCs w:val="24"/>
        </w:rPr>
      </w:pPr>
    </w:p>
    <w:p w:rsidR="00CA0B63" w:rsidRPr="0056118B" w:rsidRDefault="00CA0B63" w:rsidP="0056118B">
      <w:pPr>
        <w:spacing w:before="120" w:after="120" w:line="240" w:lineRule="auto"/>
        <w:jc w:val="both"/>
        <w:rPr>
          <w:rFonts w:ascii="Arial" w:hAnsi="Arial" w:cs="Arial"/>
          <w:sz w:val="24"/>
          <w:szCs w:val="24"/>
        </w:rPr>
      </w:pPr>
      <w:r w:rsidRPr="0056118B">
        <w:rPr>
          <w:rFonts w:ascii="Arial" w:hAnsi="Arial" w:cs="Arial"/>
          <w:sz w:val="24"/>
          <w:szCs w:val="24"/>
        </w:rPr>
        <w:t>Menţionăm că staţia automată de monitorizare a calităţii aerului, BZ-1, nu este dotată cu aparatura necesară determinării metalelor grele şi amoniacului.</w:t>
      </w:r>
    </w:p>
    <w:p w:rsidR="00CA0B63" w:rsidRDefault="00CA0B63" w:rsidP="0056118B">
      <w:pPr>
        <w:spacing w:before="120" w:after="120" w:line="240" w:lineRule="auto"/>
        <w:jc w:val="both"/>
        <w:rPr>
          <w:rFonts w:ascii="Arial" w:hAnsi="Arial" w:cs="Arial"/>
          <w:b/>
          <w:sz w:val="24"/>
          <w:szCs w:val="24"/>
        </w:rPr>
      </w:pPr>
    </w:p>
    <w:p w:rsidR="00CA0B63" w:rsidRDefault="00CA0B63" w:rsidP="0056118B">
      <w:pPr>
        <w:spacing w:before="120" w:after="120" w:line="240" w:lineRule="auto"/>
        <w:jc w:val="both"/>
        <w:rPr>
          <w:rFonts w:ascii="Arial" w:hAnsi="Arial" w:cs="Arial"/>
          <w:b/>
          <w:sz w:val="24"/>
          <w:szCs w:val="24"/>
        </w:rPr>
      </w:pPr>
      <w:r>
        <w:rPr>
          <w:rFonts w:ascii="Arial" w:hAnsi="Arial" w:cs="Arial"/>
          <w:b/>
          <w:sz w:val="24"/>
          <w:szCs w:val="24"/>
        </w:rPr>
        <w:t>I.1.1.2.Tendinţe privind concentraţiile medii anuale ale anumitor poluanţi atmosferici</w:t>
      </w:r>
    </w:p>
    <w:p w:rsidR="00CA0B63" w:rsidRDefault="00CA0B63" w:rsidP="0056118B">
      <w:pPr>
        <w:spacing w:before="120" w:after="120" w:line="240" w:lineRule="auto"/>
        <w:jc w:val="both"/>
        <w:rPr>
          <w:rFonts w:ascii="Arial" w:hAnsi="Arial" w:cs="Arial"/>
          <w:b/>
          <w:sz w:val="24"/>
          <w:szCs w:val="24"/>
        </w:rPr>
      </w:pPr>
      <w:r>
        <w:rPr>
          <w:rFonts w:ascii="Arial" w:hAnsi="Arial" w:cs="Arial"/>
          <w:b/>
          <w:sz w:val="24"/>
          <w:szCs w:val="24"/>
        </w:rPr>
        <w:t>I.1.1.2.1. Dioxidul de azot</w:t>
      </w:r>
    </w:p>
    <w:p w:rsidR="00CA0B63" w:rsidRDefault="00CA0B63" w:rsidP="0056118B">
      <w:pPr>
        <w:spacing w:before="120" w:after="120" w:line="240" w:lineRule="auto"/>
        <w:jc w:val="both"/>
        <w:rPr>
          <w:rFonts w:ascii="Arial" w:hAnsi="Arial" w:cs="Arial"/>
          <w:sz w:val="24"/>
          <w:szCs w:val="24"/>
        </w:rPr>
      </w:pPr>
      <w:r>
        <w:rPr>
          <w:rFonts w:ascii="Arial" w:hAnsi="Arial" w:cs="Arial"/>
          <w:sz w:val="24"/>
          <w:szCs w:val="24"/>
        </w:rPr>
        <w:t xml:space="preserve">La nivelul anului 2014 nu s-a putut determina valoarea concentraţiei de </w:t>
      </w:r>
      <w:r w:rsidRPr="00901241">
        <w:rPr>
          <w:rFonts w:ascii="Arial" w:hAnsi="Arial" w:cs="Arial"/>
          <w:sz w:val="24"/>
          <w:szCs w:val="24"/>
        </w:rPr>
        <w:t>NO</w:t>
      </w:r>
      <w:r w:rsidRPr="00901241">
        <w:rPr>
          <w:rFonts w:ascii="Arial" w:hAnsi="Arial" w:cs="Arial"/>
          <w:sz w:val="24"/>
          <w:szCs w:val="24"/>
          <w:vertAlign w:val="subscript"/>
        </w:rPr>
        <w:t>2</w:t>
      </w:r>
      <w:r>
        <w:rPr>
          <w:rFonts w:ascii="Arial" w:hAnsi="Arial" w:cs="Arial"/>
          <w:sz w:val="24"/>
          <w:szCs w:val="24"/>
        </w:rPr>
        <w:t>/</w:t>
      </w:r>
      <w:r>
        <w:rPr>
          <w:rFonts w:ascii="Arial" w:hAnsi="Arial" w:cs="Arial"/>
          <w:sz w:val="24"/>
          <w:szCs w:val="24"/>
          <w:vertAlign w:val="subscript"/>
        </w:rPr>
        <w:t xml:space="preserve"> </w:t>
      </w:r>
      <w:r w:rsidRPr="00901241">
        <w:rPr>
          <w:rFonts w:ascii="Arial" w:hAnsi="Arial" w:cs="Arial"/>
          <w:sz w:val="24"/>
          <w:szCs w:val="24"/>
        </w:rPr>
        <w:t>NO</w:t>
      </w:r>
      <w:r w:rsidRPr="00901241">
        <w:rPr>
          <w:rFonts w:ascii="Arial" w:hAnsi="Arial" w:cs="Arial"/>
          <w:sz w:val="24"/>
          <w:szCs w:val="24"/>
          <w:vertAlign w:val="subscript"/>
        </w:rPr>
        <w:t>x</w:t>
      </w:r>
      <w:r>
        <w:rPr>
          <w:rFonts w:ascii="Arial" w:hAnsi="Arial" w:cs="Arial"/>
          <w:sz w:val="24"/>
          <w:szCs w:val="24"/>
          <w:vertAlign w:val="subscript"/>
        </w:rPr>
        <w:t xml:space="preserve"> </w:t>
      </w:r>
      <w:r>
        <w:rPr>
          <w:rFonts w:ascii="Arial" w:hAnsi="Arial" w:cs="Arial"/>
          <w:sz w:val="24"/>
          <w:szCs w:val="24"/>
        </w:rPr>
        <w:t xml:space="preserve">, la staţia BZ-1, deoarece analizorul pentru </w:t>
      </w:r>
      <w:r w:rsidRPr="00901241">
        <w:rPr>
          <w:rFonts w:ascii="Arial" w:hAnsi="Arial" w:cs="Arial"/>
          <w:sz w:val="24"/>
          <w:szCs w:val="24"/>
        </w:rPr>
        <w:t>NO</w:t>
      </w:r>
      <w:r w:rsidRPr="00901241">
        <w:rPr>
          <w:rFonts w:ascii="Arial" w:hAnsi="Arial" w:cs="Arial"/>
          <w:sz w:val="24"/>
          <w:szCs w:val="24"/>
          <w:vertAlign w:val="subscript"/>
        </w:rPr>
        <w:t>x</w:t>
      </w:r>
      <w:r>
        <w:rPr>
          <w:rFonts w:ascii="Arial" w:hAnsi="Arial" w:cs="Arial"/>
          <w:sz w:val="24"/>
          <w:szCs w:val="24"/>
          <w:vertAlign w:val="subscript"/>
        </w:rPr>
        <w:t xml:space="preserve">  </w:t>
      </w:r>
      <w:r>
        <w:rPr>
          <w:rFonts w:ascii="Arial" w:hAnsi="Arial" w:cs="Arial"/>
          <w:sz w:val="24"/>
          <w:szCs w:val="24"/>
        </w:rPr>
        <w:t>a fost defect, captura de date fiind 0.</w:t>
      </w:r>
    </w:p>
    <w:p w:rsidR="00CA0B63" w:rsidRDefault="00CA0B63" w:rsidP="0056118B">
      <w:pPr>
        <w:spacing w:before="120" w:after="120" w:line="240" w:lineRule="auto"/>
        <w:jc w:val="both"/>
        <w:rPr>
          <w:rFonts w:ascii="Arial" w:hAnsi="Arial" w:cs="Arial"/>
          <w:b/>
          <w:sz w:val="24"/>
          <w:szCs w:val="24"/>
        </w:rPr>
      </w:pPr>
      <w:r>
        <w:rPr>
          <w:rFonts w:ascii="Arial" w:hAnsi="Arial" w:cs="Arial"/>
          <w:sz w:val="24"/>
          <w:szCs w:val="24"/>
        </w:rPr>
        <w:t xml:space="preserve">Variaţia concentraţiilor </w:t>
      </w:r>
      <w:r w:rsidRPr="00901241">
        <w:rPr>
          <w:rFonts w:ascii="Arial" w:hAnsi="Arial" w:cs="Arial"/>
          <w:sz w:val="24"/>
          <w:szCs w:val="24"/>
        </w:rPr>
        <w:t>NO</w:t>
      </w:r>
      <w:r w:rsidRPr="00901241">
        <w:rPr>
          <w:rFonts w:ascii="Arial" w:hAnsi="Arial" w:cs="Arial"/>
          <w:sz w:val="24"/>
          <w:szCs w:val="24"/>
          <w:vertAlign w:val="subscript"/>
        </w:rPr>
        <w:t>2</w:t>
      </w:r>
      <w:r>
        <w:rPr>
          <w:rFonts w:ascii="Arial" w:hAnsi="Arial" w:cs="Arial"/>
          <w:sz w:val="24"/>
          <w:szCs w:val="24"/>
        </w:rPr>
        <w:t>/</w:t>
      </w:r>
      <w:r>
        <w:rPr>
          <w:rFonts w:ascii="Arial" w:hAnsi="Arial" w:cs="Arial"/>
          <w:sz w:val="24"/>
          <w:szCs w:val="24"/>
          <w:vertAlign w:val="subscript"/>
        </w:rPr>
        <w:t xml:space="preserve"> </w:t>
      </w:r>
      <w:r w:rsidRPr="00901241">
        <w:rPr>
          <w:rFonts w:ascii="Arial" w:hAnsi="Arial" w:cs="Arial"/>
          <w:sz w:val="24"/>
          <w:szCs w:val="24"/>
        </w:rPr>
        <w:t>NO</w:t>
      </w:r>
      <w:r w:rsidRPr="00901241">
        <w:rPr>
          <w:rFonts w:ascii="Arial" w:hAnsi="Arial" w:cs="Arial"/>
          <w:sz w:val="24"/>
          <w:szCs w:val="24"/>
          <w:vertAlign w:val="subscript"/>
        </w:rPr>
        <w:t>x</w:t>
      </w:r>
      <w:r>
        <w:rPr>
          <w:rFonts w:ascii="Arial" w:hAnsi="Arial" w:cs="Arial"/>
          <w:sz w:val="24"/>
          <w:szCs w:val="24"/>
          <w:vertAlign w:val="subscript"/>
        </w:rPr>
        <w:t xml:space="preserve"> </w:t>
      </w:r>
      <w:r>
        <w:rPr>
          <w:rFonts w:ascii="Arial" w:hAnsi="Arial" w:cs="Arial"/>
          <w:sz w:val="24"/>
          <w:szCs w:val="24"/>
        </w:rPr>
        <w:t xml:space="preserve">în perioada 2008-2014, la staţia BZ-1, este prezentată în </w:t>
      </w:r>
      <w:r w:rsidRPr="00D82DA4">
        <w:rPr>
          <w:rFonts w:ascii="Arial" w:hAnsi="Arial" w:cs="Arial"/>
          <w:b/>
          <w:sz w:val="24"/>
          <w:szCs w:val="24"/>
        </w:rPr>
        <w:t>Tabelu</w:t>
      </w:r>
      <w:r>
        <w:rPr>
          <w:rFonts w:ascii="Arial" w:hAnsi="Arial" w:cs="Arial"/>
          <w:sz w:val="24"/>
          <w:szCs w:val="24"/>
        </w:rPr>
        <w:t xml:space="preserve">l </w:t>
      </w:r>
      <w:r>
        <w:rPr>
          <w:rFonts w:ascii="Arial" w:hAnsi="Arial" w:cs="Arial"/>
          <w:b/>
          <w:sz w:val="24"/>
          <w:szCs w:val="24"/>
        </w:rPr>
        <w:t>I.1.1.2</w:t>
      </w:r>
      <w:r w:rsidRPr="00D82DA4">
        <w:rPr>
          <w:rFonts w:ascii="Arial" w:hAnsi="Arial" w:cs="Arial"/>
          <w:b/>
          <w:sz w:val="24"/>
          <w:szCs w:val="24"/>
        </w:rPr>
        <w:t>.1.1.</w:t>
      </w:r>
      <w:r>
        <w:rPr>
          <w:rFonts w:ascii="Arial" w:hAnsi="Arial" w:cs="Arial"/>
          <w:sz w:val="24"/>
          <w:szCs w:val="24"/>
        </w:rPr>
        <w:t xml:space="preserve"> şi în </w:t>
      </w: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I.1.1.2.1.1.</w:t>
      </w:r>
    </w:p>
    <w:p w:rsidR="00CA0B63" w:rsidRDefault="00CA0B63" w:rsidP="00CA0B63">
      <w:pPr>
        <w:spacing w:after="120" w:line="240" w:lineRule="auto"/>
        <w:jc w:val="both"/>
        <w:rPr>
          <w:rFonts w:ascii="Arial" w:hAnsi="Arial" w:cs="Arial"/>
          <w:b/>
          <w:sz w:val="24"/>
          <w:szCs w:val="24"/>
        </w:rPr>
      </w:pPr>
    </w:p>
    <w:tbl>
      <w:tblPr>
        <w:tblW w:w="5066" w:type="dxa"/>
        <w:jc w:val="center"/>
        <w:tblInd w:w="103" w:type="dxa"/>
        <w:tblLook w:val="04A0"/>
      </w:tblPr>
      <w:tblGrid>
        <w:gridCol w:w="960"/>
        <w:gridCol w:w="1568"/>
        <w:gridCol w:w="1568"/>
        <w:gridCol w:w="1568"/>
      </w:tblGrid>
      <w:tr w:rsidR="00CA0B63" w:rsidRPr="00D82DA4" w:rsidTr="0056118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b/>
                <w:bCs/>
                <w:color w:val="000000"/>
                <w:sz w:val="24"/>
                <w:szCs w:val="24"/>
              </w:rPr>
            </w:pPr>
            <w:r w:rsidRPr="00D82DA4">
              <w:rPr>
                <w:rFonts w:ascii="Arial" w:eastAsia="Times New Roman" w:hAnsi="Arial" w:cs="Arial"/>
                <w:b/>
                <w:bCs/>
                <w:color w:val="000000"/>
                <w:sz w:val="24"/>
                <w:szCs w:val="24"/>
              </w:rPr>
              <w:t>AN</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b/>
                <w:bCs/>
                <w:color w:val="000000"/>
                <w:sz w:val="24"/>
                <w:szCs w:val="24"/>
              </w:rPr>
            </w:pPr>
            <w:r w:rsidRPr="00D82DA4">
              <w:rPr>
                <w:rFonts w:ascii="Arial" w:eastAsia="Times New Roman" w:hAnsi="Arial" w:cs="Arial"/>
                <w:b/>
                <w:bCs/>
                <w:color w:val="000000"/>
                <w:sz w:val="24"/>
                <w:szCs w:val="24"/>
              </w:rPr>
              <w:t>NO2(µg/m3)</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b/>
                <w:bCs/>
                <w:color w:val="000000"/>
                <w:sz w:val="24"/>
                <w:szCs w:val="24"/>
              </w:rPr>
            </w:pPr>
            <w:r w:rsidRPr="00D82DA4">
              <w:rPr>
                <w:rFonts w:ascii="Arial" w:eastAsia="Times New Roman" w:hAnsi="Arial" w:cs="Arial"/>
                <w:b/>
                <w:bCs/>
                <w:color w:val="000000"/>
                <w:sz w:val="24"/>
                <w:szCs w:val="24"/>
              </w:rPr>
              <w:t>NOx(µg/m3)</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b/>
                <w:bCs/>
                <w:color w:val="000000"/>
                <w:sz w:val="24"/>
                <w:szCs w:val="24"/>
              </w:rPr>
            </w:pPr>
            <w:r w:rsidRPr="00D82DA4">
              <w:rPr>
                <w:rFonts w:ascii="Arial" w:eastAsia="Times New Roman" w:hAnsi="Arial" w:cs="Arial"/>
                <w:b/>
                <w:bCs/>
                <w:color w:val="000000"/>
                <w:sz w:val="24"/>
                <w:szCs w:val="24"/>
              </w:rPr>
              <w:t>VL NO2(µg/m3)</w:t>
            </w:r>
          </w:p>
        </w:tc>
      </w:tr>
      <w:tr w:rsidR="00CA0B63" w:rsidRPr="00D82DA4"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27</w:t>
            </w:r>
          </w:p>
        </w:tc>
        <w:tc>
          <w:tcPr>
            <w:tcW w:w="136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40</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43,</w:t>
            </w:r>
            <w:r w:rsidR="00CA0B63" w:rsidRPr="00D82DA4">
              <w:rPr>
                <w:rFonts w:ascii="Arial" w:eastAsia="Times New Roman" w:hAnsi="Arial" w:cs="Arial"/>
                <w:color w:val="000000"/>
                <w:sz w:val="24"/>
                <w:szCs w:val="24"/>
              </w:rPr>
              <w:t>3</w:t>
            </w:r>
          </w:p>
        </w:tc>
      </w:tr>
      <w:tr w:rsidR="00CA0B63" w:rsidRPr="00D82DA4"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23</w:t>
            </w:r>
          </w:p>
        </w:tc>
        <w:tc>
          <w:tcPr>
            <w:tcW w:w="136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36</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43,</w:t>
            </w:r>
            <w:r w:rsidR="00CA0B63" w:rsidRPr="00D82DA4">
              <w:rPr>
                <w:rFonts w:ascii="Arial" w:eastAsia="Times New Roman" w:hAnsi="Arial" w:cs="Arial"/>
                <w:color w:val="000000"/>
                <w:sz w:val="24"/>
                <w:szCs w:val="24"/>
              </w:rPr>
              <w:t>3</w:t>
            </w:r>
          </w:p>
        </w:tc>
      </w:tr>
      <w:tr w:rsidR="00CA0B63" w:rsidRPr="00D82DA4"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19</w:t>
            </w:r>
          </w:p>
        </w:tc>
        <w:tc>
          <w:tcPr>
            <w:tcW w:w="136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29</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43,</w:t>
            </w:r>
            <w:r w:rsidR="00CA0B63" w:rsidRPr="00D82DA4">
              <w:rPr>
                <w:rFonts w:ascii="Arial" w:eastAsia="Times New Roman" w:hAnsi="Arial" w:cs="Arial"/>
                <w:color w:val="000000"/>
                <w:sz w:val="24"/>
                <w:szCs w:val="24"/>
              </w:rPr>
              <w:t>3</w:t>
            </w:r>
          </w:p>
        </w:tc>
      </w:tr>
      <w:tr w:rsidR="00CA0B63" w:rsidRPr="00D82DA4"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6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40</w:t>
            </w:r>
          </w:p>
        </w:tc>
      </w:tr>
      <w:tr w:rsidR="00CA0B63" w:rsidRPr="00D82DA4"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6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40</w:t>
            </w:r>
          </w:p>
        </w:tc>
      </w:tr>
      <w:tr w:rsidR="00CA0B63" w:rsidRPr="00D82DA4"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6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40</w:t>
            </w:r>
          </w:p>
        </w:tc>
      </w:tr>
      <w:tr w:rsidR="00CA0B63" w:rsidRPr="00D82DA4"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6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372"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40</w:t>
            </w:r>
          </w:p>
        </w:tc>
      </w:tr>
    </w:tbl>
    <w:p w:rsidR="00CA0B63" w:rsidRPr="00742B9E" w:rsidRDefault="00CA0B63" w:rsidP="0056118B">
      <w:pPr>
        <w:spacing w:before="120" w:after="120" w:line="240" w:lineRule="auto"/>
        <w:jc w:val="center"/>
        <w:rPr>
          <w:rFonts w:ascii="Arial" w:hAnsi="Arial" w:cs="Arial"/>
          <w:sz w:val="24"/>
          <w:szCs w:val="24"/>
        </w:rPr>
      </w:pPr>
      <w:r w:rsidRPr="00D82DA4">
        <w:rPr>
          <w:rFonts w:ascii="Arial" w:hAnsi="Arial" w:cs="Arial"/>
          <w:b/>
          <w:sz w:val="24"/>
          <w:szCs w:val="24"/>
        </w:rPr>
        <w:t>Tabel</w:t>
      </w:r>
      <w:r>
        <w:rPr>
          <w:rFonts w:ascii="Arial" w:hAnsi="Arial" w:cs="Arial"/>
          <w:sz w:val="24"/>
          <w:szCs w:val="24"/>
        </w:rPr>
        <w:t xml:space="preserve"> </w:t>
      </w:r>
      <w:r>
        <w:rPr>
          <w:rFonts w:ascii="Arial" w:hAnsi="Arial" w:cs="Arial"/>
          <w:b/>
          <w:sz w:val="24"/>
          <w:szCs w:val="24"/>
        </w:rPr>
        <w:t>I.1.1.2</w:t>
      </w:r>
      <w:r w:rsidRPr="00D82DA4">
        <w:rPr>
          <w:rFonts w:ascii="Arial" w:hAnsi="Arial" w:cs="Arial"/>
          <w:b/>
          <w:sz w:val="24"/>
          <w:szCs w:val="24"/>
        </w:rPr>
        <w:t xml:space="preserve">.1.1. </w:t>
      </w:r>
      <w:r>
        <w:rPr>
          <w:rFonts w:ascii="Arial" w:hAnsi="Arial" w:cs="Arial"/>
          <w:b/>
          <w:sz w:val="24"/>
          <w:szCs w:val="24"/>
        </w:rPr>
        <w:t xml:space="preserve">Concentraţii medii anuale </w:t>
      </w:r>
      <w:r w:rsidRPr="00742B9E">
        <w:rPr>
          <w:rFonts w:ascii="Arial" w:hAnsi="Arial" w:cs="Arial"/>
          <w:b/>
          <w:sz w:val="24"/>
          <w:szCs w:val="24"/>
        </w:rPr>
        <w:t>NO</w:t>
      </w:r>
      <w:r w:rsidRPr="00742B9E">
        <w:rPr>
          <w:rFonts w:ascii="Arial" w:hAnsi="Arial" w:cs="Arial"/>
          <w:b/>
          <w:sz w:val="24"/>
          <w:szCs w:val="24"/>
          <w:vertAlign w:val="subscript"/>
        </w:rPr>
        <w:t>2</w:t>
      </w:r>
      <w:r w:rsidRPr="00742B9E">
        <w:rPr>
          <w:rFonts w:ascii="Arial" w:hAnsi="Arial" w:cs="Arial"/>
          <w:b/>
          <w:sz w:val="24"/>
          <w:szCs w:val="24"/>
        </w:rPr>
        <w:t>/</w:t>
      </w:r>
      <w:r w:rsidRPr="00742B9E">
        <w:rPr>
          <w:rFonts w:ascii="Arial" w:hAnsi="Arial" w:cs="Arial"/>
          <w:b/>
          <w:sz w:val="24"/>
          <w:szCs w:val="24"/>
          <w:vertAlign w:val="subscript"/>
        </w:rPr>
        <w:t xml:space="preserve"> </w:t>
      </w:r>
      <w:r w:rsidRPr="00742B9E">
        <w:rPr>
          <w:rFonts w:ascii="Arial" w:hAnsi="Arial" w:cs="Arial"/>
          <w:b/>
          <w:sz w:val="24"/>
          <w:szCs w:val="24"/>
        </w:rPr>
        <w:t>NO</w:t>
      </w:r>
      <w:r w:rsidRPr="00742B9E">
        <w:rPr>
          <w:rFonts w:ascii="Arial" w:hAnsi="Arial" w:cs="Arial"/>
          <w:b/>
          <w:sz w:val="24"/>
          <w:szCs w:val="24"/>
          <w:vertAlign w:val="subscript"/>
        </w:rPr>
        <w:t>x</w:t>
      </w:r>
      <w:r>
        <w:rPr>
          <w:rFonts w:ascii="Arial" w:hAnsi="Arial" w:cs="Arial"/>
          <w:sz w:val="24"/>
          <w:szCs w:val="24"/>
          <w:vertAlign w:val="subscript"/>
        </w:rPr>
        <w:t xml:space="preserve">   </w:t>
      </w:r>
      <w:r>
        <w:rPr>
          <w:rFonts w:ascii="Arial" w:hAnsi="Arial" w:cs="Arial"/>
          <w:sz w:val="24"/>
          <w:szCs w:val="24"/>
        </w:rPr>
        <w:t xml:space="preserve"> </w:t>
      </w:r>
    </w:p>
    <w:p w:rsidR="00CA0B63" w:rsidRDefault="00CA0B63" w:rsidP="00CA0B63">
      <w:pPr>
        <w:spacing w:after="120" w:line="240" w:lineRule="auto"/>
        <w:jc w:val="center"/>
        <w:rPr>
          <w:rFonts w:ascii="Arial" w:hAnsi="Arial" w:cs="Arial"/>
          <w:b/>
          <w:sz w:val="24"/>
          <w:szCs w:val="24"/>
        </w:rPr>
      </w:pPr>
      <w:r w:rsidRPr="001A1DEF">
        <w:rPr>
          <w:rFonts w:ascii="Arial" w:hAnsi="Arial" w:cs="Arial"/>
          <w:b/>
          <w:noProof/>
          <w:sz w:val="24"/>
          <w:szCs w:val="24"/>
          <w:lang w:val="ro-RO" w:eastAsia="ro-RO"/>
        </w:rPr>
        <w:lastRenderedPageBreak/>
        <w:drawing>
          <wp:inline distT="0" distB="0" distL="0" distR="0">
            <wp:extent cx="4572000" cy="3181350"/>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A0B63" w:rsidRDefault="00CA0B63" w:rsidP="00CA0B63">
      <w:pPr>
        <w:tabs>
          <w:tab w:val="left" w:pos="4455"/>
        </w:tabs>
        <w:spacing w:after="120" w:line="240" w:lineRule="auto"/>
        <w:jc w:val="center"/>
        <w:rPr>
          <w:rFonts w:ascii="Arial" w:hAnsi="Arial" w:cs="Arial"/>
          <w:sz w:val="24"/>
          <w:szCs w:val="24"/>
        </w:rPr>
      </w:pPr>
      <w:r w:rsidRPr="00742B9E">
        <w:rPr>
          <w:rFonts w:ascii="Arial" w:hAnsi="Arial" w:cs="Arial"/>
          <w:b/>
          <w:sz w:val="24"/>
          <w:szCs w:val="24"/>
        </w:rPr>
        <w:t>Fig</w:t>
      </w:r>
      <w:r w:rsidR="007C3D1D">
        <w:rPr>
          <w:rFonts w:ascii="Arial" w:hAnsi="Arial" w:cs="Arial"/>
          <w:b/>
          <w:sz w:val="24"/>
          <w:szCs w:val="24"/>
        </w:rPr>
        <w:t>ura</w:t>
      </w:r>
      <w:r>
        <w:rPr>
          <w:rFonts w:ascii="Arial" w:hAnsi="Arial" w:cs="Arial"/>
          <w:sz w:val="24"/>
          <w:szCs w:val="24"/>
        </w:rPr>
        <w:t xml:space="preserve"> </w:t>
      </w:r>
      <w:r>
        <w:rPr>
          <w:rFonts w:ascii="Arial" w:hAnsi="Arial" w:cs="Arial"/>
          <w:b/>
          <w:sz w:val="24"/>
          <w:szCs w:val="24"/>
        </w:rPr>
        <w:t xml:space="preserve">I.1.1.2.1.1. Concentraţii medii anuale </w:t>
      </w:r>
      <w:r w:rsidRPr="00742B9E">
        <w:rPr>
          <w:rFonts w:ascii="Arial" w:hAnsi="Arial" w:cs="Arial"/>
          <w:b/>
          <w:sz w:val="24"/>
          <w:szCs w:val="24"/>
        </w:rPr>
        <w:t>NO</w:t>
      </w:r>
      <w:r w:rsidRPr="00742B9E">
        <w:rPr>
          <w:rFonts w:ascii="Arial" w:hAnsi="Arial" w:cs="Arial"/>
          <w:b/>
          <w:sz w:val="24"/>
          <w:szCs w:val="24"/>
          <w:vertAlign w:val="subscript"/>
        </w:rPr>
        <w:t>2</w:t>
      </w:r>
      <w:r w:rsidRPr="00742B9E">
        <w:rPr>
          <w:rFonts w:ascii="Arial" w:hAnsi="Arial" w:cs="Arial"/>
          <w:b/>
          <w:sz w:val="24"/>
          <w:szCs w:val="24"/>
        </w:rPr>
        <w:t>/</w:t>
      </w:r>
      <w:r w:rsidRPr="00742B9E">
        <w:rPr>
          <w:rFonts w:ascii="Arial" w:hAnsi="Arial" w:cs="Arial"/>
          <w:b/>
          <w:sz w:val="24"/>
          <w:szCs w:val="24"/>
          <w:vertAlign w:val="subscript"/>
        </w:rPr>
        <w:t xml:space="preserve"> </w:t>
      </w:r>
      <w:r w:rsidRPr="00742B9E">
        <w:rPr>
          <w:rFonts w:ascii="Arial" w:hAnsi="Arial" w:cs="Arial"/>
          <w:b/>
          <w:sz w:val="24"/>
          <w:szCs w:val="24"/>
        </w:rPr>
        <w:t>NO</w:t>
      </w:r>
      <w:r w:rsidRPr="00742B9E">
        <w:rPr>
          <w:rFonts w:ascii="Arial" w:hAnsi="Arial" w:cs="Arial"/>
          <w:b/>
          <w:sz w:val="24"/>
          <w:szCs w:val="24"/>
          <w:vertAlign w:val="subscript"/>
        </w:rPr>
        <w:t>x</w:t>
      </w:r>
      <w:r>
        <w:rPr>
          <w:rFonts w:ascii="Arial" w:hAnsi="Arial" w:cs="Arial"/>
          <w:sz w:val="24"/>
          <w:szCs w:val="24"/>
          <w:vertAlign w:val="subscript"/>
        </w:rPr>
        <w:t xml:space="preserve">   </w:t>
      </w:r>
      <w:r>
        <w:rPr>
          <w:rFonts w:ascii="Arial" w:hAnsi="Arial" w:cs="Arial"/>
          <w:sz w:val="24"/>
          <w:szCs w:val="24"/>
        </w:rPr>
        <w:t xml:space="preserve"> </w:t>
      </w:r>
    </w:p>
    <w:p w:rsidR="00CA0B63" w:rsidRDefault="00CA0B63" w:rsidP="007C3D1D">
      <w:pPr>
        <w:tabs>
          <w:tab w:val="left" w:pos="270"/>
        </w:tabs>
        <w:spacing w:before="120" w:after="120" w:line="240" w:lineRule="auto"/>
        <w:jc w:val="both"/>
        <w:rPr>
          <w:rFonts w:ascii="Arial" w:hAnsi="Arial" w:cs="Arial"/>
          <w:sz w:val="24"/>
          <w:szCs w:val="24"/>
        </w:rPr>
      </w:pPr>
      <w:r>
        <w:rPr>
          <w:rFonts w:ascii="Arial" w:hAnsi="Arial" w:cs="Arial"/>
          <w:sz w:val="24"/>
          <w:szCs w:val="24"/>
        </w:rPr>
        <w:t>În perioada 2008-2013,</w:t>
      </w:r>
      <w:r w:rsidRPr="0059264B">
        <w:rPr>
          <w:rFonts w:ascii="Arial" w:hAnsi="Arial" w:cs="Arial"/>
          <w:sz w:val="24"/>
          <w:szCs w:val="24"/>
        </w:rPr>
        <w:t xml:space="preserve"> </w:t>
      </w:r>
      <w:r>
        <w:rPr>
          <w:rFonts w:ascii="Arial" w:hAnsi="Arial" w:cs="Arial"/>
          <w:sz w:val="24"/>
          <w:szCs w:val="24"/>
        </w:rPr>
        <w:t>pentru care există date, se observă că nu au fost probleme de</w:t>
      </w:r>
      <w:r>
        <w:rPr>
          <w:rFonts w:ascii="Arial" w:hAnsi="Arial" w:cs="Arial"/>
          <w:sz w:val="24"/>
          <w:szCs w:val="24"/>
        </w:rPr>
        <w:t>o</w:t>
      </w:r>
      <w:r>
        <w:rPr>
          <w:rFonts w:ascii="Arial" w:hAnsi="Arial" w:cs="Arial"/>
          <w:sz w:val="24"/>
          <w:szCs w:val="24"/>
        </w:rPr>
        <w:t>sebite, valorile medii anuale situându-se sub valoarea limită.</w:t>
      </w:r>
    </w:p>
    <w:p w:rsidR="00CA0B63" w:rsidRDefault="00CA0B63" w:rsidP="007C3D1D">
      <w:pPr>
        <w:spacing w:before="120" w:after="120" w:line="240" w:lineRule="auto"/>
        <w:contextualSpacing/>
        <w:jc w:val="both"/>
        <w:rPr>
          <w:rFonts w:ascii="Arial" w:hAnsi="Arial" w:cs="Arial"/>
          <w:b/>
          <w:sz w:val="24"/>
          <w:szCs w:val="24"/>
        </w:rPr>
      </w:pPr>
    </w:p>
    <w:p w:rsidR="00CA0B63" w:rsidRPr="00901241" w:rsidRDefault="00CA0B63" w:rsidP="007C3D1D">
      <w:pPr>
        <w:spacing w:before="120" w:after="120" w:line="240" w:lineRule="auto"/>
        <w:contextualSpacing/>
        <w:jc w:val="both"/>
        <w:rPr>
          <w:rFonts w:ascii="Arial" w:hAnsi="Arial" w:cs="Arial"/>
          <w:b/>
          <w:bCs/>
          <w:sz w:val="24"/>
          <w:szCs w:val="24"/>
        </w:rPr>
      </w:pPr>
      <w:r>
        <w:rPr>
          <w:rFonts w:ascii="Arial" w:hAnsi="Arial" w:cs="Arial"/>
          <w:b/>
          <w:sz w:val="24"/>
          <w:szCs w:val="24"/>
        </w:rPr>
        <w:t xml:space="preserve">I.1.1.2.2. </w:t>
      </w:r>
      <w:r w:rsidRPr="00901241">
        <w:rPr>
          <w:rFonts w:ascii="Arial" w:hAnsi="Arial" w:cs="Arial"/>
          <w:b/>
          <w:bCs/>
          <w:sz w:val="24"/>
          <w:szCs w:val="24"/>
        </w:rPr>
        <w:t>Dioxid de sulf</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Variaţia concentraţiilor SO2 în perioada 2008-2014, la staţia BZ-1, este prezentată în </w:t>
      </w:r>
      <w:r>
        <w:rPr>
          <w:rFonts w:ascii="Arial" w:hAnsi="Arial" w:cs="Arial"/>
          <w:b/>
          <w:sz w:val="24"/>
          <w:szCs w:val="24"/>
        </w:rPr>
        <w:t>T</w:t>
      </w:r>
      <w:r>
        <w:rPr>
          <w:rFonts w:ascii="Arial" w:hAnsi="Arial" w:cs="Arial"/>
          <w:b/>
          <w:sz w:val="24"/>
          <w:szCs w:val="24"/>
        </w:rPr>
        <w:t>a</w:t>
      </w:r>
      <w:r>
        <w:rPr>
          <w:rFonts w:ascii="Arial" w:hAnsi="Arial" w:cs="Arial"/>
          <w:b/>
          <w:sz w:val="24"/>
          <w:szCs w:val="24"/>
        </w:rPr>
        <w:t>belul I.1.1.2.2.</w:t>
      </w:r>
      <w:r w:rsidRPr="00D82DA4">
        <w:rPr>
          <w:rFonts w:ascii="Arial" w:hAnsi="Arial" w:cs="Arial"/>
          <w:b/>
          <w:sz w:val="24"/>
          <w:szCs w:val="24"/>
        </w:rPr>
        <w:t>1</w:t>
      </w:r>
      <w:r>
        <w:rPr>
          <w:rFonts w:ascii="Arial" w:hAnsi="Arial" w:cs="Arial"/>
          <w:b/>
          <w:sz w:val="24"/>
          <w:szCs w:val="24"/>
        </w:rPr>
        <w:t xml:space="preserve">. </w:t>
      </w:r>
      <w:r>
        <w:rPr>
          <w:rFonts w:ascii="Arial" w:hAnsi="Arial" w:cs="Arial"/>
          <w:sz w:val="24"/>
          <w:szCs w:val="24"/>
        </w:rPr>
        <w:t xml:space="preserve">şi </w:t>
      </w:r>
      <w:r w:rsidRPr="00D82DA4">
        <w:rPr>
          <w:rFonts w:ascii="Arial" w:hAnsi="Arial" w:cs="Arial"/>
          <w:b/>
          <w:sz w:val="24"/>
          <w:szCs w:val="24"/>
        </w:rPr>
        <w:t>Fig</w:t>
      </w:r>
      <w:r w:rsidRPr="00742B9E">
        <w:rPr>
          <w:rFonts w:ascii="Arial" w:hAnsi="Arial" w:cs="Arial"/>
          <w:b/>
          <w:sz w:val="24"/>
          <w:szCs w:val="24"/>
        </w:rPr>
        <w:t>.</w:t>
      </w:r>
      <w:r>
        <w:rPr>
          <w:rFonts w:ascii="Arial" w:hAnsi="Arial" w:cs="Arial"/>
          <w:sz w:val="24"/>
          <w:szCs w:val="24"/>
        </w:rPr>
        <w:t xml:space="preserve"> </w:t>
      </w:r>
      <w:r>
        <w:rPr>
          <w:rFonts w:ascii="Arial" w:hAnsi="Arial" w:cs="Arial"/>
          <w:b/>
          <w:sz w:val="24"/>
          <w:szCs w:val="24"/>
        </w:rPr>
        <w:t>I.1.1.2.2.1.</w:t>
      </w:r>
    </w:p>
    <w:p w:rsidR="00CA0B63" w:rsidRDefault="00CA0B63" w:rsidP="00CA0B63">
      <w:pPr>
        <w:spacing w:after="120" w:line="240" w:lineRule="auto"/>
        <w:jc w:val="both"/>
        <w:rPr>
          <w:rFonts w:ascii="Arial" w:hAnsi="Arial" w:cs="Arial"/>
          <w:b/>
          <w:sz w:val="24"/>
          <w:szCs w:val="24"/>
        </w:rPr>
      </w:pPr>
    </w:p>
    <w:tbl>
      <w:tblPr>
        <w:tblW w:w="3210" w:type="dxa"/>
        <w:jc w:val="center"/>
        <w:tblInd w:w="103" w:type="dxa"/>
        <w:tblLook w:val="04A0"/>
      </w:tblPr>
      <w:tblGrid>
        <w:gridCol w:w="960"/>
        <w:gridCol w:w="1555"/>
        <w:gridCol w:w="1555"/>
      </w:tblGrid>
      <w:tr w:rsidR="00CA0B63" w:rsidRPr="00D82DA4" w:rsidTr="0056118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b/>
                <w:bCs/>
                <w:color w:val="000000"/>
                <w:sz w:val="24"/>
                <w:szCs w:val="24"/>
              </w:rPr>
            </w:pPr>
            <w:r w:rsidRPr="00D82DA4">
              <w:rPr>
                <w:rFonts w:ascii="Arial" w:eastAsia="Times New Roman" w:hAnsi="Arial" w:cs="Arial"/>
                <w:b/>
                <w:bCs/>
                <w:color w:val="000000"/>
                <w:sz w:val="24"/>
                <w:szCs w:val="24"/>
              </w:rPr>
              <w:t>AN</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b/>
                <w:bCs/>
                <w:color w:val="000000"/>
                <w:sz w:val="24"/>
                <w:szCs w:val="24"/>
              </w:rPr>
            </w:pPr>
            <w:r w:rsidRPr="00D82DA4">
              <w:rPr>
                <w:rFonts w:ascii="Arial" w:eastAsia="Times New Roman" w:hAnsi="Arial" w:cs="Arial"/>
                <w:b/>
                <w:bCs/>
                <w:color w:val="000000"/>
                <w:sz w:val="24"/>
                <w:szCs w:val="24"/>
              </w:rPr>
              <w:t>SO2(µg/m3)</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b/>
                <w:bCs/>
                <w:color w:val="000000"/>
                <w:sz w:val="24"/>
                <w:szCs w:val="24"/>
              </w:rPr>
            </w:pPr>
            <w:r w:rsidRPr="00D82DA4">
              <w:rPr>
                <w:rFonts w:ascii="Arial" w:eastAsia="Times New Roman" w:hAnsi="Arial" w:cs="Arial"/>
                <w:b/>
                <w:bCs/>
                <w:color w:val="000000"/>
                <w:sz w:val="24"/>
                <w:szCs w:val="24"/>
              </w:rPr>
              <w:t>VL SO2(µg/m3)</w:t>
            </w:r>
          </w:p>
        </w:tc>
      </w:tr>
      <w:tr w:rsidR="00CA0B63" w:rsidRPr="00D82DA4" w:rsidTr="0056118B">
        <w:trPr>
          <w:trHeight w:val="5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00CA0B63" w:rsidRPr="00D82DA4">
              <w:rPr>
                <w:rFonts w:ascii="Arial" w:eastAsia="Times New Roman" w:hAnsi="Arial" w:cs="Arial"/>
                <w:color w:val="000000"/>
                <w:sz w:val="24"/>
                <w:szCs w:val="24"/>
              </w:rPr>
              <w:t>99</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350</w:t>
            </w:r>
          </w:p>
        </w:tc>
      </w:tr>
      <w:tr w:rsidR="00CA0B63" w:rsidRPr="00D82DA4" w:rsidTr="0056118B">
        <w:trPr>
          <w:trHeight w:val="55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CA0B63" w:rsidRPr="00D82DA4">
              <w:rPr>
                <w:rFonts w:ascii="Arial" w:eastAsia="Times New Roman" w:hAnsi="Arial" w:cs="Arial"/>
                <w:color w:val="000000"/>
                <w:sz w:val="24"/>
                <w:szCs w:val="24"/>
              </w:rPr>
              <w:t>81</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350</w:t>
            </w:r>
          </w:p>
        </w:tc>
      </w:tr>
      <w:tr w:rsidR="00CA0B63" w:rsidRPr="00D82DA4" w:rsidTr="0056118B">
        <w:trPr>
          <w:trHeight w:val="56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CA0B63" w:rsidRPr="00D82DA4">
              <w:rPr>
                <w:rFonts w:ascii="Arial" w:eastAsia="Times New Roman" w:hAnsi="Arial" w:cs="Arial"/>
                <w:color w:val="000000"/>
                <w:sz w:val="24"/>
                <w:szCs w:val="24"/>
              </w:rPr>
              <w:t>18</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350</w:t>
            </w:r>
          </w:p>
        </w:tc>
      </w:tr>
      <w:tr w:rsidR="00CA0B63" w:rsidRPr="00D82DA4" w:rsidTr="0056118B">
        <w:trPr>
          <w:trHeight w:val="55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350</w:t>
            </w:r>
          </w:p>
        </w:tc>
      </w:tr>
      <w:tr w:rsidR="00CA0B63" w:rsidRPr="00D82DA4" w:rsidTr="0056118B">
        <w:trPr>
          <w:trHeight w:val="56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CA0B63" w:rsidRPr="00D82DA4">
              <w:rPr>
                <w:rFonts w:ascii="Arial" w:eastAsia="Times New Roman" w:hAnsi="Arial" w:cs="Arial"/>
                <w:color w:val="000000"/>
                <w:sz w:val="24"/>
                <w:szCs w:val="24"/>
              </w:rPr>
              <w:t>92</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350</w:t>
            </w:r>
          </w:p>
        </w:tc>
      </w:tr>
      <w:tr w:rsidR="00CA0B63" w:rsidRPr="00D82DA4" w:rsidTr="0056118B">
        <w:trPr>
          <w:trHeight w:val="55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CA0B63" w:rsidRPr="00D82DA4">
              <w:rPr>
                <w:rFonts w:ascii="Arial" w:eastAsia="Times New Roman" w:hAnsi="Arial" w:cs="Arial"/>
                <w:color w:val="000000"/>
                <w:sz w:val="24"/>
                <w:szCs w:val="24"/>
              </w:rPr>
              <w:t>89</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350</w:t>
            </w:r>
          </w:p>
        </w:tc>
      </w:tr>
      <w:tr w:rsidR="00CA0B63" w:rsidRPr="00D82DA4" w:rsidTr="0056118B">
        <w:trPr>
          <w:trHeight w:val="55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74274F"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CA0B63" w:rsidRPr="00D82DA4">
              <w:rPr>
                <w:rFonts w:ascii="Arial" w:eastAsia="Times New Roman" w:hAnsi="Arial" w:cs="Arial"/>
                <w:color w:val="000000"/>
                <w:sz w:val="24"/>
                <w:szCs w:val="24"/>
              </w:rPr>
              <w:t>12</w:t>
            </w:r>
          </w:p>
        </w:tc>
        <w:tc>
          <w:tcPr>
            <w:tcW w:w="1125" w:type="dxa"/>
            <w:tcBorders>
              <w:top w:val="nil"/>
              <w:left w:val="nil"/>
              <w:bottom w:val="single" w:sz="4" w:space="0" w:color="auto"/>
              <w:right w:val="single" w:sz="4" w:space="0" w:color="auto"/>
            </w:tcBorders>
            <w:shd w:val="clear" w:color="auto" w:fill="auto"/>
            <w:noWrap/>
            <w:vAlign w:val="bottom"/>
            <w:hideMark/>
          </w:tcPr>
          <w:p w:rsidR="00CA0B63" w:rsidRPr="00D82DA4" w:rsidRDefault="00CA0B63" w:rsidP="0056118B">
            <w:pPr>
              <w:spacing w:after="120" w:line="240" w:lineRule="auto"/>
              <w:jc w:val="center"/>
              <w:rPr>
                <w:rFonts w:ascii="Arial" w:eastAsia="Times New Roman" w:hAnsi="Arial" w:cs="Arial"/>
                <w:color w:val="000000"/>
                <w:sz w:val="24"/>
                <w:szCs w:val="24"/>
              </w:rPr>
            </w:pPr>
            <w:r w:rsidRPr="00D82DA4">
              <w:rPr>
                <w:rFonts w:ascii="Arial" w:eastAsia="Times New Roman" w:hAnsi="Arial" w:cs="Arial"/>
                <w:color w:val="000000"/>
                <w:sz w:val="24"/>
                <w:szCs w:val="24"/>
              </w:rPr>
              <w:t>350</w:t>
            </w:r>
          </w:p>
        </w:tc>
      </w:tr>
    </w:tbl>
    <w:p w:rsidR="00CA0B63" w:rsidRDefault="007C3D1D" w:rsidP="007C3D1D">
      <w:pPr>
        <w:spacing w:before="120" w:after="120" w:line="240" w:lineRule="auto"/>
        <w:jc w:val="center"/>
        <w:rPr>
          <w:rFonts w:ascii="Arial" w:hAnsi="Arial" w:cs="Arial"/>
          <w:sz w:val="24"/>
          <w:szCs w:val="24"/>
        </w:rPr>
      </w:pPr>
      <w:r>
        <w:rPr>
          <w:rFonts w:ascii="Arial" w:hAnsi="Arial" w:cs="Arial"/>
          <w:b/>
          <w:sz w:val="24"/>
          <w:szCs w:val="24"/>
        </w:rPr>
        <w:t>Tabel</w:t>
      </w:r>
      <w:r w:rsidR="00CA0B63">
        <w:rPr>
          <w:rFonts w:ascii="Arial" w:hAnsi="Arial" w:cs="Arial"/>
          <w:b/>
          <w:sz w:val="24"/>
          <w:szCs w:val="24"/>
        </w:rPr>
        <w:t xml:space="preserve"> I.1.1.2.2.</w:t>
      </w:r>
      <w:r w:rsidR="00CA0B63" w:rsidRPr="00D82DA4">
        <w:rPr>
          <w:rFonts w:ascii="Arial" w:hAnsi="Arial" w:cs="Arial"/>
          <w:b/>
          <w:sz w:val="24"/>
          <w:szCs w:val="24"/>
        </w:rPr>
        <w:t>1</w:t>
      </w:r>
      <w:r w:rsidR="00CA0B63">
        <w:rPr>
          <w:rFonts w:ascii="Arial" w:hAnsi="Arial" w:cs="Arial"/>
          <w:b/>
          <w:sz w:val="24"/>
          <w:szCs w:val="24"/>
        </w:rPr>
        <w:t>.</w:t>
      </w:r>
      <w:r w:rsidR="00CA0B63" w:rsidRPr="00D82DA4">
        <w:rPr>
          <w:rFonts w:ascii="Arial" w:hAnsi="Arial" w:cs="Arial"/>
          <w:b/>
          <w:sz w:val="24"/>
          <w:szCs w:val="24"/>
        </w:rPr>
        <w:t xml:space="preserve"> </w:t>
      </w:r>
      <w:r w:rsidR="00CA0B63">
        <w:rPr>
          <w:rFonts w:ascii="Arial" w:hAnsi="Arial" w:cs="Arial"/>
          <w:b/>
          <w:sz w:val="24"/>
          <w:szCs w:val="24"/>
        </w:rPr>
        <w:t>Concentraţii medii anuale de SO2</w:t>
      </w:r>
    </w:p>
    <w:p w:rsidR="00CA0B63" w:rsidRDefault="00CA0B63" w:rsidP="00CA0B63">
      <w:pPr>
        <w:spacing w:after="120" w:line="240" w:lineRule="auto"/>
        <w:jc w:val="center"/>
        <w:rPr>
          <w:rFonts w:ascii="Arial" w:hAnsi="Arial" w:cs="Arial"/>
          <w:sz w:val="24"/>
          <w:szCs w:val="24"/>
        </w:rPr>
      </w:pPr>
      <w:r w:rsidRPr="001A1DEF">
        <w:rPr>
          <w:rFonts w:ascii="Arial" w:hAnsi="Arial" w:cs="Arial"/>
          <w:noProof/>
          <w:sz w:val="24"/>
          <w:szCs w:val="24"/>
          <w:lang w:val="ro-RO" w:eastAsia="ro-RO"/>
        </w:rPr>
        <w:lastRenderedPageBreak/>
        <w:drawing>
          <wp:inline distT="0" distB="0" distL="0" distR="0">
            <wp:extent cx="4576430" cy="3072810"/>
            <wp:effectExtent l="19050" t="0" r="14620"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0B63" w:rsidRDefault="00CA0B63" w:rsidP="007C3D1D">
      <w:pPr>
        <w:spacing w:before="120" w:after="120" w:line="240" w:lineRule="auto"/>
        <w:jc w:val="center"/>
        <w:rPr>
          <w:rFonts w:ascii="Arial" w:hAnsi="Arial" w:cs="Arial"/>
          <w:sz w:val="24"/>
          <w:szCs w:val="24"/>
        </w:rPr>
      </w:pPr>
      <w:r w:rsidRPr="00742B9E">
        <w:rPr>
          <w:rFonts w:ascii="Arial" w:hAnsi="Arial" w:cs="Arial"/>
          <w:b/>
          <w:sz w:val="24"/>
          <w:szCs w:val="24"/>
        </w:rPr>
        <w:t>Fig</w:t>
      </w:r>
      <w:r w:rsidR="007C3D1D">
        <w:rPr>
          <w:rFonts w:ascii="Arial" w:hAnsi="Arial" w:cs="Arial"/>
          <w:b/>
          <w:sz w:val="24"/>
          <w:szCs w:val="24"/>
        </w:rPr>
        <w:t>ura</w:t>
      </w:r>
      <w:r>
        <w:rPr>
          <w:rFonts w:ascii="Arial" w:hAnsi="Arial" w:cs="Arial"/>
          <w:sz w:val="24"/>
          <w:szCs w:val="24"/>
        </w:rPr>
        <w:t xml:space="preserve"> </w:t>
      </w:r>
      <w:r>
        <w:rPr>
          <w:rFonts w:ascii="Arial" w:hAnsi="Arial" w:cs="Arial"/>
          <w:b/>
          <w:sz w:val="24"/>
          <w:szCs w:val="24"/>
        </w:rPr>
        <w:t>I.1.1.2.2.1. Concentraţii medii anuale SO2</w:t>
      </w:r>
    </w:p>
    <w:p w:rsidR="00CA0B63" w:rsidRDefault="00CA0B63" w:rsidP="007C3D1D">
      <w:pPr>
        <w:spacing w:before="120" w:after="120" w:line="240" w:lineRule="auto"/>
        <w:jc w:val="both"/>
        <w:rPr>
          <w:rFonts w:ascii="Arial" w:hAnsi="Arial" w:cs="Arial"/>
          <w:sz w:val="24"/>
          <w:szCs w:val="24"/>
        </w:rPr>
      </w:pPr>
      <w:r>
        <w:rPr>
          <w:rFonts w:ascii="Arial" w:hAnsi="Arial" w:cs="Arial"/>
          <w:sz w:val="24"/>
          <w:szCs w:val="24"/>
        </w:rPr>
        <w:t>Analizând datele prezentate în diagramă se poate observa că în această perioadă valorile medii înregistrate s-au situat cu mult sub valoarea limită.</w:t>
      </w:r>
    </w:p>
    <w:p w:rsidR="00CA0B63" w:rsidRDefault="00CA0B63" w:rsidP="00CA0B63">
      <w:pPr>
        <w:spacing w:after="120" w:line="240" w:lineRule="auto"/>
        <w:rPr>
          <w:rFonts w:ascii="Arial" w:hAnsi="Arial" w:cs="Arial"/>
          <w:b/>
          <w:sz w:val="24"/>
          <w:szCs w:val="24"/>
        </w:rPr>
      </w:pPr>
    </w:p>
    <w:p w:rsidR="00CA0B63" w:rsidRPr="009B79D7" w:rsidRDefault="00CA0B63" w:rsidP="007C3D1D">
      <w:pPr>
        <w:spacing w:before="120" w:after="120" w:line="240" w:lineRule="auto"/>
        <w:rPr>
          <w:rFonts w:ascii="Arial" w:hAnsi="Arial" w:cs="Arial"/>
          <w:sz w:val="24"/>
          <w:szCs w:val="24"/>
        </w:rPr>
      </w:pPr>
      <w:r w:rsidRPr="002F2848">
        <w:rPr>
          <w:rFonts w:ascii="Arial" w:hAnsi="Arial" w:cs="Arial"/>
          <w:b/>
          <w:sz w:val="24"/>
          <w:szCs w:val="24"/>
        </w:rPr>
        <w:t>I.</w:t>
      </w:r>
      <w:r>
        <w:rPr>
          <w:rFonts w:ascii="Arial" w:hAnsi="Arial" w:cs="Arial"/>
          <w:b/>
          <w:sz w:val="24"/>
          <w:szCs w:val="24"/>
        </w:rPr>
        <w:t xml:space="preserve">1.1.2.3. </w:t>
      </w:r>
      <w:r>
        <w:rPr>
          <w:rFonts w:ascii="Arial" w:hAnsi="Arial" w:cs="Arial"/>
          <w:b/>
          <w:bCs/>
          <w:sz w:val="24"/>
          <w:szCs w:val="24"/>
        </w:rPr>
        <w:t>Pulberi în suspensie</w:t>
      </w:r>
    </w:p>
    <w:p w:rsidR="00CA0B63" w:rsidRDefault="00CA0B63" w:rsidP="007C3D1D">
      <w:pPr>
        <w:spacing w:before="120" w:after="120" w:line="240" w:lineRule="auto"/>
        <w:rPr>
          <w:rFonts w:ascii="Arial" w:hAnsi="Arial" w:cs="Arial"/>
          <w:b/>
          <w:bCs/>
          <w:sz w:val="24"/>
          <w:szCs w:val="24"/>
        </w:rPr>
      </w:pPr>
      <w:r>
        <w:rPr>
          <w:rFonts w:ascii="Arial" w:hAnsi="Arial" w:cs="Arial"/>
          <w:b/>
          <w:bCs/>
          <w:sz w:val="24"/>
          <w:szCs w:val="24"/>
        </w:rPr>
        <w:t>I.1.1.2.3.1. PM</w:t>
      </w:r>
      <w:r>
        <w:rPr>
          <w:rFonts w:ascii="Arial" w:hAnsi="Arial" w:cs="Arial"/>
          <w:b/>
          <w:bCs/>
          <w:sz w:val="24"/>
          <w:szCs w:val="24"/>
          <w:vertAlign w:val="subscript"/>
        </w:rPr>
        <w:t>10</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Variaţia concentraţiilor </w:t>
      </w:r>
      <w:r w:rsidRPr="0019271F">
        <w:rPr>
          <w:rFonts w:ascii="Arial" w:hAnsi="Arial" w:cs="Arial"/>
          <w:bCs/>
          <w:sz w:val="24"/>
          <w:szCs w:val="24"/>
        </w:rPr>
        <w:t>PM</w:t>
      </w:r>
      <w:r w:rsidRPr="0019271F">
        <w:rPr>
          <w:rFonts w:ascii="Arial" w:hAnsi="Arial" w:cs="Arial"/>
          <w:bCs/>
          <w:sz w:val="24"/>
          <w:szCs w:val="24"/>
          <w:vertAlign w:val="subscript"/>
        </w:rPr>
        <w:t>10</w:t>
      </w:r>
      <w:r>
        <w:rPr>
          <w:rFonts w:ascii="Arial" w:hAnsi="Arial" w:cs="Arial"/>
          <w:sz w:val="24"/>
          <w:szCs w:val="24"/>
        </w:rPr>
        <w:t xml:space="preserve"> în perioada 2008-2014 este prezentată în </w:t>
      </w:r>
      <w:r>
        <w:rPr>
          <w:rFonts w:ascii="Arial" w:hAnsi="Arial" w:cs="Arial"/>
          <w:b/>
          <w:sz w:val="24"/>
          <w:szCs w:val="24"/>
        </w:rPr>
        <w:t xml:space="preserve">Tabelul I.1.1.2.3.1.1. </w:t>
      </w:r>
      <w:r>
        <w:rPr>
          <w:rFonts w:ascii="Arial" w:hAnsi="Arial" w:cs="Arial"/>
          <w:sz w:val="24"/>
          <w:szCs w:val="24"/>
        </w:rPr>
        <w:t>şi</w:t>
      </w:r>
      <w:r>
        <w:rPr>
          <w:rFonts w:ascii="Arial" w:hAnsi="Arial" w:cs="Arial"/>
          <w:b/>
          <w:sz w:val="24"/>
          <w:szCs w:val="24"/>
        </w:rPr>
        <w:t xml:space="preserve"> </w:t>
      </w: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I.1.1.2.3.1.1.</w:t>
      </w:r>
    </w:p>
    <w:p w:rsidR="00CA0B63" w:rsidRDefault="00CA0B63" w:rsidP="00CA0B63">
      <w:pPr>
        <w:spacing w:after="120" w:line="240" w:lineRule="auto"/>
        <w:jc w:val="center"/>
        <w:rPr>
          <w:rFonts w:ascii="Arial" w:hAnsi="Arial" w:cs="Arial"/>
          <w:b/>
          <w:sz w:val="24"/>
          <w:szCs w:val="24"/>
        </w:rPr>
      </w:pPr>
    </w:p>
    <w:tbl>
      <w:tblPr>
        <w:tblW w:w="4927" w:type="dxa"/>
        <w:jc w:val="center"/>
        <w:tblInd w:w="103" w:type="dxa"/>
        <w:tblLook w:val="04A0"/>
      </w:tblPr>
      <w:tblGrid>
        <w:gridCol w:w="960"/>
        <w:gridCol w:w="1435"/>
        <w:gridCol w:w="1448"/>
        <w:gridCol w:w="1702"/>
      </w:tblGrid>
      <w:tr w:rsidR="00CA0B63" w:rsidRPr="006D27EB" w:rsidTr="0056118B">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b/>
                <w:bCs/>
                <w:color w:val="000000"/>
                <w:sz w:val="24"/>
                <w:szCs w:val="24"/>
              </w:rPr>
            </w:pPr>
            <w:r w:rsidRPr="006D27EB">
              <w:rPr>
                <w:rFonts w:ascii="Arial" w:eastAsia="Times New Roman" w:hAnsi="Arial" w:cs="Arial"/>
                <w:b/>
                <w:bCs/>
                <w:color w:val="000000"/>
                <w:sz w:val="24"/>
                <w:szCs w:val="24"/>
              </w:rPr>
              <w:t>AN</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b/>
                <w:bCs/>
                <w:color w:val="000000"/>
                <w:sz w:val="24"/>
                <w:szCs w:val="24"/>
              </w:rPr>
            </w:pPr>
            <w:r w:rsidRPr="006D27EB">
              <w:rPr>
                <w:rFonts w:ascii="Arial" w:eastAsia="Times New Roman" w:hAnsi="Arial" w:cs="Arial"/>
                <w:b/>
                <w:bCs/>
                <w:color w:val="000000"/>
                <w:sz w:val="24"/>
                <w:szCs w:val="24"/>
              </w:rPr>
              <w:t>PM10 aut(µg/m3)</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b/>
                <w:bCs/>
                <w:color w:val="000000"/>
                <w:sz w:val="24"/>
                <w:szCs w:val="24"/>
              </w:rPr>
            </w:pPr>
            <w:r w:rsidRPr="006D27EB">
              <w:rPr>
                <w:rFonts w:ascii="Arial" w:eastAsia="Times New Roman" w:hAnsi="Arial" w:cs="Arial"/>
                <w:b/>
                <w:bCs/>
                <w:color w:val="000000"/>
                <w:sz w:val="24"/>
                <w:szCs w:val="24"/>
              </w:rPr>
              <w:t>PM10 grv(µg/m3)</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b/>
                <w:bCs/>
                <w:color w:val="000000"/>
                <w:sz w:val="24"/>
                <w:szCs w:val="24"/>
              </w:rPr>
            </w:pPr>
            <w:r w:rsidRPr="006D27EB">
              <w:rPr>
                <w:rFonts w:ascii="Arial" w:eastAsia="Times New Roman" w:hAnsi="Arial" w:cs="Arial"/>
                <w:b/>
                <w:bCs/>
                <w:color w:val="000000"/>
                <w:sz w:val="24"/>
                <w:szCs w:val="24"/>
              </w:rPr>
              <w:t>VL PM10(µg/m3)</w:t>
            </w:r>
          </w:p>
        </w:tc>
      </w:tr>
      <w:tr w:rsidR="00CA0B63" w:rsidRPr="006D27EB" w:rsidTr="0056118B">
        <w:trPr>
          <w:trHeight w:val="58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1229"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242"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496"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40</w:t>
            </w:r>
          </w:p>
        </w:tc>
      </w:tr>
      <w:tr w:rsidR="00CA0B63" w:rsidRPr="006D27EB" w:rsidTr="0056118B">
        <w:trPr>
          <w:trHeight w:val="53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1229"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242"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496"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40</w:t>
            </w:r>
          </w:p>
        </w:tc>
      </w:tr>
      <w:tr w:rsidR="00CA0B63" w:rsidRPr="006D27EB" w:rsidTr="0056118B">
        <w:trPr>
          <w:trHeight w:val="56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1229"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242"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496"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40</w:t>
            </w:r>
          </w:p>
        </w:tc>
      </w:tr>
      <w:tr w:rsidR="00CA0B63" w:rsidRPr="006D27EB" w:rsidTr="0056118B">
        <w:trPr>
          <w:trHeight w:val="54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1229"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242"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496"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40</w:t>
            </w:r>
          </w:p>
        </w:tc>
      </w:tr>
      <w:tr w:rsidR="00CA0B63" w:rsidRPr="006D27EB" w:rsidTr="0056118B">
        <w:trPr>
          <w:trHeight w:val="57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1229"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32</w:t>
            </w:r>
          </w:p>
        </w:tc>
        <w:tc>
          <w:tcPr>
            <w:tcW w:w="1242"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32</w:t>
            </w:r>
          </w:p>
        </w:tc>
        <w:tc>
          <w:tcPr>
            <w:tcW w:w="1496"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40</w:t>
            </w:r>
          </w:p>
        </w:tc>
      </w:tr>
      <w:tr w:rsidR="00CA0B63" w:rsidRPr="006D27EB" w:rsidTr="0056118B">
        <w:trPr>
          <w:trHeight w:val="55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1229"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22</w:t>
            </w:r>
          </w:p>
        </w:tc>
        <w:tc>
          <w:tcPr>
            <w:tcW w:w="1242"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25</w:t>
            </w:r>
          </w:p>
        </w:tc>
        <w:tc>
          <w:tcPr>
            <w:tcW w:w="1496"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40</w:t>
            </w:r>
          </w:p>
        </w:tc>
      </w:tr>
      <w:tr w:rsidR="00CA0B63" w:rsidRPr="006D27EB" w:rsidTr="0056118B">
        <w:trPr>
          <w:trHeight w:val="5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1229"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w:t>
            </w:r>
          </w:p>
        </w:tc>
        <w:tc>
          <w:tcPr>
            <w:tcW w:w="1242"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22</w:t>
            </w:r>
          </w:p>
        </w:tc>
        <w:tc>
          <w:tcPr>
            <w:tcW w:w="1496" w:type="dxa"/>
            <w:tcBorders>
              <w:top w:val="nil"/>
              <w:left w:val="nil"/>
              <w:bottom w:val="single" w:sz="4" w:space="0" w:color="auto"/>
              <w:right w:val="single" w:sz="4" w:space="0" w:color="auto"/>
            </w:tcBorders>
            <w:shd w:val="clear" w:color="auto" w:fill="auto"/>
            <w:noWrap/>
            <w:vAlign w:val="bottom"/>
            <w:hideMark/>
          </w:tcPr>
          <w:p w:rsidR="00CA0B63" w:rsidRPr="006D27EB" w:rsidRDefault="00CA0B63" w:rsidP="0056118B">
            <w:pPr>
              <w:spacing w:after="120" w:line="240" w:lineRule="auto"/>
              <w:jc w:val="center"/>
              <w:rPr>
                <w:rFonts w:ascii="Arial" w:eastAsia="Times New Roman" w:hAnsi="Arial" w:cs="Arial"/>
                <w:color w:val="000000"/>
                <w:sz w:val="24"/>
                <w:szCs w:val="24"/>
              </w:rPr>
            </w:pPr>
            <w:r w:rsidRPr="006D27EB">
              <w:rPr>
                <w:rFonts w:ascii="Arial" w:eastAsia="Times New Roman" w:hAnsi="Arial" w:cs="Arial"/>
                <w:color w:val="000000"/>
                <w:sz w:val="24"/>
                <w:szCs w:val="24"/>
              </w:rPr>
              <w:t>40</w:t>
            </w:r>
          </w:p>
        </w:tc>
      </w:tr>
    </w:tbl>
    <w:p w:rsidR="00CA0B63" w:rsidRDefault="007C3D1D" w:rsidP="007C3D1D">
      <w:pPr>
        <w:spacing w:before="120" w:after="120" w:line="240" w:lineRule="auto"/>
        <w:jc w:val="center"/>
        <w:rPr>
          <w:rFonts w:ascii="Arial" w:hAnsi="Arial" w:cs="Arial"/>
          <w:b/>
          <w:sz w:val="24"/>
          <w:szCs w:val="24"/>
        </w:rPr>
      </w:pPr>
      <w:r>
        <w:rPr>
          <w:rFonts w:ascii="Arial" w:hAnsi="Arial" w:cs="Arial"/>
          <w:b/>
          <w:sz w:val="24"/>
          <w:szCs w:val="24"/>
        </w:rPr>
        <w:t xml:space="preserve">Tabel </w:t>
      </w:r>
      <w:r w:rsidR="00CA0B63">
        <w:rPr>
          <w:rFonts w:ascii="Arial" w:hAnsi="Arial" w:cs="Arial"/>
          <w:b/>
          <w:sz w:val="24"/>
          <w:szCs w:val="24"/>
        </w:rPr>
        <w:t>I.1.1.2.3.1.1.</w:t>
      </w:r>
      <w:r w:rsidR="00CA0B63" w:rsidRPr="00A76443">
        <w:rPr>
          <w:rFonts w:ascii="Arial" w:hAnsi="Arial" w:cs="Arial"/>
          <w:b/>
          <w:sz w:val="24"/>
          <w:szCs w:val="24"/>
        </w:rPr>
        <w:t xml:space="preserve"> </w:t>
      </w:r>
      <w:r w:rsidR="00CA0B63">
        <w:rPr>
          <w:rFonts w:ascii="Arial" w:hAnsi="Arial" w:cs="Arial"/>
          <w:b/>
          <w:sz w:val="24"/>
          <w:szCs w:val="24"/>
        </w:rPr>
        <w:t>Concentraţii medii anuale PM10</w:t>
      </w:r>
    </w:p>
    <w:p w:rsidR="00CA0B63" w:rsidRDefault="00CA0B63" w:rsidP="00CA0B63">
      <w:pPr>
        <w:spacing w:after="120" w:line="240" w:lineRule="auto"/>
        <w:jc w:val="center"/>
        <w:rPr>
          <w:rFonts w:ascii="Arial" w:hAnsi="Arial" w:cs="Arial"/>
          <w:b/>
          <w:sz w:val="24"/>
          <w:szCs w:val="24"/>
        </w:rPr>
      </w:pPr>
    </w:p>
    <w:p w:rsidR="00CA0B63" w:rsidRDefault="00CA0B63" w:rsidP="00CA0B63">
      <w:pPr>
        <w:spacing w:after="120" w:line="240" w:lineRule="auto"/>
        <w:jc w:val="center"/>
        <w:rPr>
          <w:rFonts w:ascii="Arial" w:hAnsi="Arial" w:cs="Arial"/>
          <w:sz w:val="24"/>
          <w:szCs w:val="24"/>
        </w:rPr>
      </w:pPr>
    </w:p>
    <w:p w:rsidR="00CA0B63" w:rsidRDefault="00CA0B63" w:rsidP="00CA0B63">
      <w:pPr>
        <w:spacing w:after="120" w:line="240" w:lineRule="auto"/>
        <w:jc w:val="center"/>
        <w:rPr>
          <w:rFonts w:ascii="Arial" w:hAnsi="Arial" w:cs="Arial"/>
          <w:b/>
          <w:sz w:val="24"/>
          <w:szCs w:val="24"/>
        </w:rPr>
      </w:pPr>
      <w:r w:rsidRPr="001A1DEF">
        <w:rPr>
          <w:rFonts w:ascii="Arial" w:hAnsi="Arial" w:cs="Arial"/>
          <w:b/>
          <w:noProof/>
          <w:sz w:val="24"/>
          <w:szCs w:val="24"/>
          <w:lang w:val="ro-RO" w:eastAsia="ro-RO"/>
        </w:rPr>
        <w:lastRenderedPageBreak/>
        <w:drawing>
          <wp:inline distT="0" distB="0" distL="0" distR="0">
            <wp:extent cx="4576430" cy="3157870"/>
            <wp:effectExtent l="19050" t="0" r="14620" b="443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0B63" w:rsidRDefault="00CA0B63" w:rsidP="007C3D1D">
      <w:pPr>
        <w:spacing w:before="120" w:after="120" w:line="240" w:lineRule="auto"/>
        <w:jc w:val="center"/>
        <w:rPr>
          <w:rFonts w:ascii="Arial" w:hAnsi="Arial" w:cs="Arial"/>
          <w:b/>
          <w:sz w:val="24"/>
          <w:szCs w:val="24"/>
        </w:rPr>
      </w:pPr>
      <w:r w:rsidRPr="00742B9E">
        <w:rPr>
          <w:rFonts w:ascii="Arial" w:hAnsi="Arial" w:cs="Arial"/>
          <w:b/>
          <w:sz w:val="24"/>
          <w:szCs w:val="24"/>
        </w:rPr>
        <w:t>Fig</w:t>
      </w:r>
      <w:r w:rsidR="007C3D1D">
        <w:rPr>
          <w:rFonts w:ascii="Arial" w:hAnsi="Arial" w:cs="Arial"/>
          <w:b/>
          <w:sz w:val="24"/>
          <w:szCs w:val="24"/>
        </w:rPr>
        <w:t>ura</w:t>
      </w:r>
      <w:r>
        <w:rPr>
          <w:rFonts w:ascii="Arial" w:hAnsi="Arial" w:cs="Arial"/>
          <w:sz w:val="24"/>
          <w:szCs w:val="24"/>
        </w:rPr>
        <w:t xml:space="preserve"> </w:t>
      </w:r>
      <w:r>
        <w:rPr>
          <w:rFonts w:ascii="Arial" w:hAnsi="Arial" w:cs="Arial"/>
          <w:b/>
          <w:sz w:val="24"/>
          <w:szCs w:val="24"/>
        </w:rPr>
        <w:t>I.1.1.2.3.1.1.</w:t>
      </w:r>
      <w:r w:rsidRPr="002F2848">
        <w:rPr>
          <w:rFonts w:ascii="Arial" w:hAnsi="Arial" w:cs="Arial"/>
          <w:b/>
          <w:sz w:val="24"/>
          <w:szCs w:val="24"/>
        </w:rPr>
        <w:t xml:space="preserve"> </w:t>
      </w:r>
      <w:r>
        <w:rPr>
          <w:rFonts w:ascii="Arial" w:hAnsi="Arial" w:cs="Arial"/>
          <w:b/>
          <w:sz w:val="24"/>
          <w:szCs w:val="24"/>
        </w:rPr>
        <w:t>Concentraţii medii anuale PM10</w:t>
      </w:r>
    </w:p>
    <w:p w:rsidR="00CA0B63" w:rsidRDefault="00CA0B63" w:rsidP="007C3D1D">
      <w:pPr>
        <w:tabs>
          <w:tab w:val="left" w:pos="510"/>
        </w:tabs>
        <w:spacing w:before="120" w:after="120" w:line="240" w:lineRule="auto"/>
        <w:jc w:val="both"/>
        <w:rPr>
          <w:rFonts w:ascii="Arial" w:hAnsi="Arial" w:cs="Arial"/>
          <w:sz w:val="24"/>
          <w:szCs w:val="24"/>
        </w:rPr>
      </w:pPr>
      <w:r>
        <w:rPr>
          <w:rFonts w:ascii="Arial" w:hAnsi="Arial" w:cs="Arial"/>
          <w:sz w:val="24"/>
          <w:szCs w:val="24"/>
        </w:rPr>
        <w:t>Din analiza datelor prezentată în diagrama de mai sus se observă o scădere a valorii m</w:t>
      </w:r>
      <w:r>
        <w:rPr>
          <w:rFonts w:ascii="Arial" w:hAnsi="Arial" w:cs="Arial"/>
          <w:sz w:val="24"/>
          <w:szCs w:val="24"/>
        </w:rPr>
        <w:t>e</w:t>
      </w:r>
      <w:r>
        <w:rPr>
          <w:rFonts w:ascii="Arial" w:hAnsi="Arial" w:cs="Arial"/>
          <w:sz w:val="24"/>
          <w:szCs w:val="24"/>
        </w:rPr>
        <w:t>dii anuale, scădere datorată în special realizării măsurilor cuprinse în Programul  de Ge</w:t>
      </w:r>
      <w:r>
        <w:rPr>
          <w:rFonts w:ascii="Arial" w:hAnsi="Arial" w:cs="Arial"/>
          <w:sz w:val="24"/>
          <w:szCs w:val="24"/>
        </w:rPr>
        <w:t>s</w:t>
      </w:r>
      <w:r>
        <w:rPr>
          <w:rFonts w:ascii="Arial" w:hAnsi="Arial" w:cs="Arial"/>
          <w:sz w:val="24"/>
          <w:szCs w:val="24"/>
        </w:rPr>
        <w:t>tionare a Calităţii Aerului la nivelul municipiului Buzău.</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Variaţia concentraţiilor  </w:t>
      </w:r>
      <w:r w:rsidRPr="0019271F">
        <w:rPr>
          <w:rFonts w:ascii="Arial" w:hAnsi="Arial" w:cs="Arial"/>
          <w:bCs/>
          <w:sz w:val="24"/>
          <w:szCs w:val="24"/>
        </w:rPr>
        <w:t>PM</w:t>
      </w:r>
      <w:r w:rsidRPr="0019271F">
        <w:rPr>
          <w:rFonts w:ascii="Arial" w:hAnsi="Arial" w:cs="Arial"/>
          <w:bCs/>
          <w:sz w:val="24"/>
          <w:szCs w:val="24"/>
          <w:vertAlign w:val="subscript"/>
        </w:rPr>
        <w:t>10</w:t>
      </w:r>
      <w:r>
        <w:rPr>
          <w:rFonts w:ascii="Arial" w:hAnsi="Arial" w:cs="Arial"/>
          <w:sz w:val="24"/>
          <w:szCs w:val="24"/>
        </w:rPr>
        <w:t xml:space="preserve"> gravimetric măsurate cu ajutorul aparatului SVEN LECKEL în municipiul Râmnicu Sărat în perioada 2010-2014 este prezentată în </w:t>
      </w: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I.1.1.2.3.1.2.</w:t>
      </w:r>
    </w:p>
    <w:p w:rsidR="00CA0B63" w:rsidRDefault="00CA0B63" w:rsidP="00CA0B63">
      <w:pPr>
        <w:spacing w:after="120" w:line="240" w:lineRule="auto"/>
        <w:jc w:val="both"/>
        <w:rPr>
          <w:rFonts w:ascii="Arial" w:hAnsi="Arial" w:cs="Arial"/>
          <w:b/>
          <w:sz w:val="24"/>
          <w:szCs w:val="24"/>
        </w:rPr>
      </w:pPr>
    </w:p>
    <w:p w:rsidR="00CA0B63" w:rsidRDefault="00CA0B63" w:rsidP="00CA0B63">
      <w:pPr>
        <w:spacing w:after="120" w:line="240" w:lineRule="auto"/>
        <w:jc w:val="center"/>
        <w:rPr>
          <w:rFonts w:ascii="Arial" w:hAnsi="Arial" w:cs="Arial"/>
          <w:sz w:val="24"/>
          <w:szCs w:val="24"/>
        </w:rPr>
      </w:pPr>
      <w:r w:rsidRPr="002D1C5B">
        <w:rPr>
          <w:rFonts w:ascii="Arial" w:hAnsi="Arial" w:cs="Arial"/>
          <w:noProof/>
          <w:sz w:val="24"/>
          <w:szCs w:val="24"/>
          <w:lang w:val="ro-RO" w:eastAsia="ro-RO"/>
        </w:rPr>
        <w:drawing>
          <wp:inline distT="0" distB="0" distL="0" distR="0">
            <wp:extent cx="4576430" cy="3040912"/>
            <wp:effectExtent l="19050" t="0" r="14620" b="7088"/>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0B63" w:rsidRDefault="00CA0B63" w:rsidP="007C3D1D">
      <w:pPr>
        <w:spacing w:before="120" w:after="120" w:line="240" w:lineRule="auto"/>
        <w:jc w:val="center"/>
        <w:rPr>
          <w:rFonts w:ascii="Arial" w:hAnsi="Arial" w:cs="Arial"/>
          <w:b/>
          <w:sz w:val="24"/>
          <w:szCs w:val="24"/>
        </w:rPr>
      </w:pPr>
      <w:r w:rsidRPr="00742B9E">
        <w:rPr>
          <w:rFonts w:ascii="Arial" w:hAnsi="Arial" w:cs="Arial"/>
          <w:b/>
          <w:sz w:val="24"/>
          <w:szCs w:val="24"/>
        </w:rPr>
        <w:t>Fig</w:t>
      </w:r>
      <w:r w:rsidR="007C3D1D">
        <w:rPr>
          <w:rFonts w:ascii="Arial" w:hAnsi="Arial" w:cs="Arial"/>
          <w:b/>
          <w:sz w:val="24"/>
          <w:szCs w:val="24"/>
        </w:rPr>
        <w:t>ura</w:t>
      </w:r>
      <w:r>
        <w:rPr>
          <w:rFonts w:ascii="Arial" w:hAnsi="Arial" w:cs="Arial"/>
          <w:sz w:val="24"/>
          <w:szCs w:val="24"/>
        </w:rPr>
        <w:t xml:space="preserve"> </w:t>
      </w:r>
      <w:r>
        <w:rPr>
          <w:rFonts w:ascii="Arial" w:hAnsi="Arial" w:cs="Arial"/>
          <w:b/>
          <w:sz w:val="24"/>
          <w:szCs w:val="24"/>
        </w:rPr>
        <w:t>I.1.1.2.3.1.2. Concentraţii medii anuale PM10 – SVEN LECKEL</w:t>
      </w:r>
    </w:p>
    <w:p w:rsidR="00CA0B63" w:rsidRDefault="00CA0B63" w:rsidP="007C3D1D">
      <w:pPr>
        <w:tabs>
          <w:tab w:val="left" w:pos="510"/>
        </w:tabs>
        <w:spacing w:before="120" w:after="120" w:line="240" w:lineRule="auto"/>
        <w:jc w:val="both"/>
        <w:rPr>
          <w:rFonts w:ascii="Arial" w:hAnsi="Arial" w:cs="Arial"/>
          <w:sz w:val="24"/>
          <w:szCs w:val="24"/>
        </w:rPr>
      </w:pPr>
      <w:r>
        <w:rPr>
          <w:rFonts w:ascii="Arial" w:hAnsi="Arial" w:cs="Arial"/>
          <w:sz w:val="24"/>
          <w:szCs w:val="24"/>
        </w:rPr>
        <w:t>Din analiza datelor prezentată în diagrama de mai sus se observă o scădere a valorii m</w:t>
      </w:r>
      <w:r>
        <w:rPr>
          <w:rFonts w:ascii="Arial" w:hAnsi="Arial" w:cs="Arial"/>
          <w:sz w:val="24"/>
          <w:szCs w:val="24"/>
        </w:rPr>
        <w:t>e</w:t>
      </w:r>
      <w:r>
        <w:rPr>
          <w:rFonts w:ascii="Arial" w:hAnsi="Arial" w:cs="Arial"/>
          <w:sz w:val="24"/>
          <w:szCs w:val="24"/>
        </w:rPr>
        <w:t>dii anuale, scădere datorată în special realizării măsurilor cuprinse în Programul  de Ge</w:t>
      </w:r>
      <w:r>
        <w:rPr>
          <w:rFonts w:ascii="Arial" w:hAnsi="Arial" w:cs="Arial"/>
          <w:sz w:val="24"/>
          <w:szCs w:val="24"/>
        </w:rPr>
        <w:t>s</w:t>
      </w:r>
      <w:r>
        <w:rPr>
          <w:rFonts w:ascii="Arial" w:hAnsi="Arial" w:cs="Arial"/>
          <w:sz w:val="24"/>
          <w:szCs w:val="24"/>
        </w:rPr>
        <w:t>tionare a Calităţii Aerului la nivelul municipiului Râmnicu Sărat.</w:t>
      </w:r>
    </w:p>
    <w:p w:rsidR="00CA0B63" w:rsidRDefault="00CA0B63" w:rsidP="007C3D1D">
      <w:pPr>
        <w:spacing w:before="120" w:after="120" w:line="240" w:lineRule="auto"/>
        <w:jc w:val="both"/>
        <w:rPr>
          <w:rFonts w:ascii="Arial" w:hAnsi="Arial" w:cs="Arial"/>
          <w:b/>
          <w:bCs/>
          <w:sz w:val="24"/>
          <w:szCs w:val="24"/>
        </w:rPr>
      </w:pPr>
      <w:r>
        <w:rPr>
          <w:rFonts w:ascii="Arial" w:hAnsi="Arial" w:cs="Arial"/>
          <w:b/>
          <w:bCs/>
          <w:sz w:val="24"/>
          <w:szCs w:val="24"/>
        </w:rPr>
        <w:t xml:space="preserve">I.1.1.2.3.2. </w:t>
      </w:r>
      <w:r w:rsidRPr="009B79D7">
        <w:rPr>
          <w:rFonts w:ascii="Arial" w:hAnsi="Arial" w:cs="Arial"/>
          <w:b/>
          <w:bCs/>
          <w:sz w:val="24"/>
          <w:szCs w:val="24"/>
        </w:rPr>
        <w:t>PM</w:t>
      </w:r>
      <w:r w:rsidRPr="009B79D7">
        <w:rPr>
          <w:rFonts w:ascii="Arial" w:hAnsi="Arial" w:cs="Arial"/>
          <w:b/>
          <w:bCs/>
          <w:sz w:val="24"/>
          <w:szCs w:val="24"/>
          <w:vertAlign w:val="subscript"/>
        </w:rPr>
        <w:t>2,5</w:t>
      </w:r>
    </w:p>
    <w:p w:rsidR="00CA0B63" w:rsidRDefault="007C3D1D" w:rsidP="007C3D1D">
      <w:pPr>
        <w:spacing w:before="120" w:after="120" w:line="240" w:lineRule="auto"/>
        <w:jc w:val="both"/>
        <w:rPr>
          <w:rFonts w:ascii="Arial" w:hAnsi="Arial" w:cs="Arial"/>
          <w:sz w:val="24"/>
          <w:szCs w:val="24"/>
        </w:rPr>
      </w:pPr>
      <w:r>
        <w:rPr>
          <w:rFonts w:ascii="Arial" w:hAnsi="Arial" w:cs="Arial"/>
          <w:sz w:val="24"/>
          <w:szCs w:val="24"/>
        </w:rPr>
        <w:t xml:space="preserve">Variaţia concentraţiilor </w:t>
      </w:r>
      <w:r w:rsidR="00CA0B63" w:rsidRPr="0019271F">
        <w:rPr>
          <w:rFonts w:ascii="Arial" w:hAnsi="Arial" w:cs="Arial"/>
          <w:bCs/>
          <w:sz w:val="24"/>
          <w:szCs w:val="24"/>
        </w:rPr>
        <w:t>PM</w:t>
      </w:r>
      <w:r w:rsidR="00CA0B63">
        <w:rPr>
          <w:rFonts w:ascii="Arial" w:hAnsi="Arial" w:cs="Arial"/>
          <w:bCs/>
          <w:sz w:val="24"/>
          <w:szCs w:val="24"/>
          <w:vertAlign w:val="subscript"/>
        </w:rPr>
        <w:t>2,5</w:t>
      </w:r>
      <w:r>
        <w:rPr>
          <w:rFonts w:ascii="Arial" w:hAnsi="Arial" w:cs="Arial"/>
          <w:sz w:val="24"/>
          <w:szCs w:val="24"/>
        </w:rPr>
        <w:t xml:space="preserve"> în </w:t>
      </w:r>
      <w:r w:rsidR="00CA0B63">
        <w:rPr>
          <w:rFonts w:ascii="Arial" w:hAnsi="Arial" w:cs="Arial"/>
          <w:sz w:val="24"/>
          <w:szCs w:val="24"/>
        </w:rPr>
        <w:t xml:space="preserve">perioada 2008-2014 este prezentată în </w:t>
      </w:r>
      <w:r w:rsidR="00CA0B63">
        <w:rPr>
          <w:rFonts w:ascii="Arial" w:hAnsi="Arial" w:cs="Arial"/>
          <w:b/>
          <w:sz w:val="24"/>
          <w:szCs w:val="24"/>
        </w:rPr>
        <w:t xml:space="preserve">Tabelul I.1.1.2.3.2.1. </w:t>
      </w:r>
      <w:r w:rsidR="00CA0B63">
        <w:rPr>
          <w:rFonts w:ascii="Arial" w:hAnsi="Arial" w:cs="Arial"/>
          <w:sz w:val="24"/>
          <w:szCs w:val="24"/>
        </w:rPr>
        <w:t xml:space="preserve">şi </w:t>
      </w:r>
      <w:r w:rsidR="00CA0B63" w:rsidRPr="00742B9E">
        <w:rPr>
          <w:rFonts w:ascii="Arial" w:hAnsi="Arial" w:cs="Arial"/>
          <w:b/>
          <w:sz w:val="24"/>
          <w:szCs w:val="24"/>
        </w:rPr>
        <w:t>Fig.</w:t>
      </w:r>
      <w:r w:rsidR="00CA0B63">
        <w:rPr>
          <w:rFonts w:ascii="Arial" w:hAnsi="Arial" w:cs="Arial"/>
          <w:sz w:val="24"/>
          <w:szCs w:val="24"/>
        </w:rPr>
        <w:t xml:space="preserve"> </w:t>
      </w:r>
      <w:r w:rsidR="00CA0B63">
        <w:rPr>
          <w:rFonts w:ascii="Arial" w:hAnsi="Arial" w:cs="Arial"/>
          <w:b/>
          <w:sz w:val="24"/>
          <w:szCs w:val="24"/>
        </w:rPr>
        <w:t>I.1.1.2.3.2.1.</w:t>
      </w:r>
    </w:p>
    <w:tbl>
      <w:tblPr>
        <w:tblW w:w="5611" w:type="dxa"/>
        <w:jc w:val="center"/>
        <w:tblInd w:w="103" w:type="dxa"/>
        <w:tblLook w:val="04A0"/>
      </w:tblPr>
      <w:tblGrid>
        <w:gridCol w:w="960"/>
        <w:gridCol w:w="1435"/>
        <w:gridCol w:w="1448"/>
        <w:gridCol w:w="1768"/>
      </w:tblGrid>
      <w:tr w:rsidR="00CA0B63" w:rsidRPr="00A76443" w:rsidTr="0074274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b/>
                <w:bCs/>
                <w:color w:val="000000"/>
                <w:sz w:val="24"/>
                <w:szCs w:val="24"/>
              </w:rPr>
            </w:pPr>
            <w:r w:rsidRPr="00A76443">
              <w:rPr>
                <w:rFonts w:ascii="Arial" w:eastAsia="Times New Roman" w:hAnsi="Arial" w:cs="Arial"/>
                <w:b/>
                <w:bCs/>
                <w:color w:val="000000"/>
                <w:sz w:val="24"/>
                <w:szCs w:val="24"/>
              </w:rPr>
              <w:lastRenderedPageBreak/>
              <w:t>AN</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b/>
                <w:bCs/>
                <w:color w:val="000000"/>
                <w:sz w:val="24"/>
                <w:szCs w:val="24"/>
              </w:rPr>
            </w:pPr>
            <w:r w:rsidRPr="00A76443">
              <w:rPr>
                <w:rFonts w:ascii="Arial" w:eastAsia="Times New Roman" w:hAnsi="Arial" w:cs="Arial"/>
                <w:b/>
                <w:bCs/>
                <w:color w:val="000000"/>
                <w:sz w:val="24"/>
                <w:szCs w:val="24"/>
              </w:rPr>
              <w:t>PM2,5 aut(µg/m3)</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b/>
                <w:bCs/>
                <w:color w:val="000000"/>
                <w:sz w:val="24"/>
                <w:szCs w:val="24"/>
              </w:rPr>
            </w:pPr>
            <w:r w:rsidRPr="00A76443">
              <w:rPr>
                <w:rFonts w:ascii="Arial" w:eastAsia="Times New Roman" w:hAnsi="Arial" w:cs="Arial"/>
                <w:b/>
                <w:bCs/>
                <w:color w:val="000000"/>
                <w:sz w:val="24"/>
                <w:szCs w:val="24"/>
              </w:rPr>
              <w:t>PM2,5 grv(µg/m3)</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b/>
                <w:bCs/>
                <w:color w:val="000000"/>
                <w:sz w:val="24"/>
                <w:szCs w:val="24"/>
              </w:rPr>
            </w:pPr>
            <w:r w:rsidRPr="00A76443">
              <w:rPr>
                <w:rFonts w:ascii="Arial" w:eastAsia="Times New Roman" w:hAnsi="Arial" w:cs="Arial"/>
                <w:b/>
                <w:bCs/>
                <w:color w:val="000000"/>
                <w:sz w:val="24"/>
                <w:szCs w:val="24"/>
              </w:rPr>
              <w:t>VL PM2,5(µg/m3)</w:t>
            </w:r>
          </w:p>
        </w:tc>
      </w:tr>
      <w:tr w:rsidR="00CA0B63" w:rsidRPr="00A76443"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1435"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44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76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r>
      <w:tr w:rsidR="00CA0B63" w:rsidRPr="00A76443"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1435"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r w:rsidRPr="00A76443">
              <w:rPr>
                <w:rFonts w:ascii="Arial" w:eastAsia="Times New Roman" w:hAnsi="Arial" w:cs="Arial"/>
                <w:color w:val="000000"/>
                <w:sz w:val="24"/>
                <w:szCs w:val="24"/>
              </w:rPr>
              <w:t>10</w:t>
            </w:r>
          </w:p>
        </w:tc>
        <w:tc>
          <w:tcPr>
            <w:tcW w:w="144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r w:rsidRPr="00A76443">
              <w:rPr>
                <w:rFonts w:ascii="Arial" w:eastAsia="Times New Roman" w:hAnsi="Arial" w:cs="Arial"/>
                <w:color w:val="000000"/>
                <w:sz w:val="24"/>
                <w:szCs w:val="24"/>
              </w:rPr>
              <w:t>13</w:t>
            </w:r>
          </w:p>
        </w:tc>
        <w:tc>
          <w:tcPr>
            <w:tcW w:w="176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r>
      <w:tr w:rsidR="00CA0B63" w:rsidRPr="00A76443"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1435"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r w:rsidRPr="00A76443">
              <w:rPr>
                <w:rFonts w:ascii="Arial" w:eastAsia="Times New Roman" w:hAnsi="Arial" w:cs="Arial"/>
                <w:color w:val="000000"/>
                <w:sz w:val="24"/>
                <w:szCs w:val="24"/>
              </w:rPr>
              <w:t>13</w:t>
            </w:r>
          </w:p>
        </w:tc>
        <w:tc>
          <w:tcPr>
            <w:tcW w:w="144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r w:rsidRPr="00A76443">
              <w:rPr>
                <w:rFonts w:ascii="Arial" w:eastAsia="Times New Roman" w:hAnsi="Arial" w:cs="Arial"/>
                <w:color w:val="000000"/>
                <w:sz w:val="24"/>
                <w:szCs w:val="24"/>
              </w:rPr>
              <w:t>15</w:t>
            </w:r>
          </w:p>
        </w:tc>
        <w:tc>
          <w:tcPr>
            <w:tcW w:w="176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r>
      <w:tr w:rsidR="00CA0B63" w:rsidRPr="00A76443"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1435"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44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76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r w:rsidRPr="00A76443">
              <w:rPr>
                <w:rFonts w:ascii="Arial" w:eastAsia="Times New Roman" w:hAnsi="Arial" w:cs="Arial"/>
                <w:color w:val="000000"/>
                <w:sz w:val="24"/>
                <w:szCs w:val="24"/>
              </w:rPr>
              <w:t>30</w:t>
            </w:r>
          </w:p>
        </w:tc>
      </w:tr>
      <w:tr w:rsidR="00CA0B63" w:rsidRPr="00A76443"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1435"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44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r w:rsidRPr="00A76443">
              <w:rPr>
                <w:rFonts w:ascii="Arial" w:eastAsia="Times New Roman" w:hAnsi="Arial" w:cs="Arial"/>
                <w:color w:val="000000"/>
                <w:sz w:val="24"/>
                <w:szCs w:val="24"/>
              </w:rPr>
              <w:t>28</w:t>
            </w:r>
          </w:p>
        </w:tc>
        <w:tc>
          <w:tcPr>
            <w:tcW w:w="1768" w:type="dxa"/>
            <w:tcBorders>
              <w:top w:val="nil"/>
              <w:left w:val="nil"/>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28,</w:t>
            </w:r>
            <w:r w:rsidR="00CA0B63" w:rsidRPr="00A76443">
              <w:rPr>
                <w:rFonts w:ascii="Arial" w:eastAsia="Times New Roman" w:hAnsi="Arial" w:cs="Arial"/>
                <w:color w:val="000000"/>
                <w:sz w:val="24"/>
                <w:szCs w:val="24"/>
              </w:rPr>
              <w:t>72</w:t>
            </w:r>
          </w:p>
        </w:tc>
      </w:tr>
      <w:tr w:rsidR="00CA0B63" w:rsidRPr="00A76443"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1435"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44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76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r w:rsidRPr="00A76443">
              <w:rPr>
                <w:rFonts w:ascii="Arial" w:eastAsia="Times New Roman" w:hAnsi="Arial" w:cs="Arial"/>
                <w:color w:val="000000"/>
                <w:sz w:val="24"/>
                <w:szCs w:val="24"/>
              </w:rPr>
              <w:t>27</w:t>
            </w:r>
            <w:r w:rsidR="0074274F">
              <w:rPr>
                <w:rFonts w:ascii="Arial" w:eastAsia="Times New Roman" w:hAnsi="Arial" w:cs="Arial"/>
                <w:color w:val="000000"/>
                <w:sz w:val="24"/>
                <w:szCs w:val="24"/>
              </w:rPr>
              <w:t>,</w:t>
            </w:r>
            <w:r w:rsidRPr="00A76443">
              <w:rPr>
                <w:rFonts w:ascii="Arial" w:eastAsia="Times New Roman" w:hAnsi="Arial" w:cs="Arial"/>
                <w:color w:val="000000"/>
                <w:sz w:val="24"/>
                <w:szCs w:val="24"/>
              </w:rPr>
              <w:t>5</w:t>
            </w:r>
          </w:p>
        </w:tc>
      </w:tr>
      <w:tr w:rsidR="00CA0B63" w:rsidRPr="00A76443"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1435"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448" w:type="dxa"/>
            <w:tcBorders>
              <w:top w:val="nil"/>
              <w:left w:val="nil"/>
              <w:bottom w:val="single" w:sz="4" w:space="0" w:color="auto"/>
              <w:right w:val="single" w:sz="4" w:space="0" w:color="auto"/>
            </w:tcBorders>
            <w:shd w:val="clear" w:color="auto" w:fill="auto"/>
            <w:noWrap/>
            <w:vAlign w:val="center"/>
            <w:hideMark/>
          </w:tcPr>
          <w:p w:rsidR="00CA0B63" w:rsidRPr="00A76443" w:rsidRDefault="00CA0B63" w:rsidP="0074274F">
            <w:pPr>
              <w:spacing w:after="120" w:line="240" w:lineRule="auto"/>
              <w:jc w:val="center"/>
              <w:rPr>
                <w:rFonts w:ascii="Arial" w:eastAsia="Times New Roman" w:hAnsi="Arial" w:cs="Arial"/>
                <w:color w:val="000000"/>
                <w:sz w:val="24"/>
                <w:szCs w:val="24"/>
              </w:rPr>
            </w:pPr>
          </w:p>
        </w:tc>
        <w:tc>
          <w:tcPr>
            <w:tcW w:w="1768" w:type="dxa"/>
            <w:tcBorders>
              <w:top w:val="nil"/>
              <w:left w:val="nil"/>
              <w:bottom w:val="single" w:sz="4" w:space="0" w:color="auto"/>
              <w:right w:val="single" w:sz="4" w:space="0" w:color="auto"/>
            </w:tcBorders>
            <w:shd w:val="clear" w:color="auto" w:fill="auto"/>
            <w:noWrap/>
            <w:vAlign w:val="center"/>
            <w:hideMark/>
          </w:tcPr>
          <w:p w:rsidR="00CA0B63" w:rsidRPr="00A76443"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26,</w:t>
            </w:r>
            <w:r w:rsidR="00CA0B63" w:rsidRPr="00A76443">
              <w:rPr>
                <w:rFonts w:ascii="Arial" w:eastAsia="Times New Roman" w:hAnsi="Arial" w:cs="Arial"/>
                <w:color w:val="000000"/>
                <w:sz w:val="24"/>
                <w:szCs w:val="24"/>
              </w:rPr>
              <w:t>25</w:t>
            </w:r>
          </w:p>
        </w:tc>
      </w:tr>
    </w:tbl>
    <w:p w:rsidR="00CA0B63" w:rsidRDefault="00CA0B63" w:rsidP="007C3D1D">
      <w:pPr>
        <w:spacing w:before="120" w:after="120" w:line="240" w:lineRule="auto"/>
        <w:jc w:val="center"/>
        <w:rPr>
          <w:rFonts w:ascii="Arial" w:hAnsi="Arial" w:cs="Arial"/>
          <w:sz w:val="24"/>
          <w:szCs w:val="24"/>
        </w:rPr>
      </w:pPr>
      <w:r>
        <w:rPr>
          <w:rFonts w:ascii="Arial" w:hAnsi="Arial" w:cs="Arial"/>
          <w:b/>
          <w:sz w:val="24"/>
          <w:szCs w:val="24"/>
        </w:rPr>
        <w:t>Tabelul I.1.1.2.3.2.1.</w:t>
      </w:r>
      <w:r w:rsidRPr="00A76443">
        <w:rPr>
          <w:rFonts w:ascii="Arial" w:hAnsi="Arial" w:cs="Arial"/>
          <w:b/>
          <w:sz w:val="24"/>
          <w:szCs w:val="24"/>
        </w:rPr>
        <w:t xml:space="preserve"> </w:t>
      </w:r>
      <w:r>
        <w:rPr>
          <w:rFonts w:ascii="Arial" w:hAnsi="Arial" w:cs="Arial"/>
          <w:b/>
          <w:sz w:val="24"/>
          <w:szCs w:val="24"/>
        </w:rPr>
        <w:t xml:space="preserve">Concentraţii medii anuale </w:t>
      </w:r>
      <w:r w:rsidRPr="00FD063B">
        <w:rPr>
          <w:rFonts w:ascii="Arial" w:hAnsi="Arial" w:cs="Arial"/>
          <w:b/>
          <w:bCs/>
          <w:sz w:val="24"/>
          <w:szCs w:val="24"/>
        </w:rPr>
        <w:t>PM</w:t>
      </w:r>
      <w:r w:rsidRPr="00FD063B">
        <w:rPr>
          <w:rFonts w:ascii="Arial" w:hAnsi="Arial" w:cs="Arial"/>
          <w:b/>
          <w:bCs/>
          <w:sz w:val="24"/>
          <w:szCs w:val="24"/>
          <w:vertAlign w:val="subscript"/>
        </w:rPr>
        <w:t>2,5</w:t>
      </w:r>
      <w:r>
        <w:rPr>
          <w:rFonts w:ascii="Arial" w:hAnsi="Arial" w:cs="Arial"/>
          <w:sz w:val="24"/>
          <w:szCs w:val="24"/>
        </w:rPr>
        <w:t xml:space="preserve">  </w:t>
      </w:r>
    </w:p>
    <w:p w:rsidR="00CA0B63" w:rsidRPr="00A76443" w:rsidRDefault="00CA0B63" w:rsidP="00CA0B63">
      <w:pPr>
        <w:spacing w:after="120" w:line="240" w:lineRule="auto"/>
        <w:jc w:val="center"/>
        <w:rPr>
          <w:rFonts w:ascii="Arial" w:hAnsi="Arial" w:cs="Arial"/>
          <w:sz w:val="24"/>
          <w:szCs w:val="24"/>
        </w:rPr>
      </w:pPr>
    </w:p>
    <w:p w:rsidR="00CA0B63" w:rsidRDefault="00CA0B63" w:rsidP="00CA0B63">
      <w:pPr>
        <w:spacing w:after="120" w:line="240" w:lineRule="auto"/>
        <w:jc w:val="center"/>
        <w:rPr>
          <w:rFonts w:ascii="Arial" w:hAnsi="Arial" w:cs="Arial"/>
          <w:sz w:val="24"/>
          <w:szCs w:val="24"/>
        </w:rPr>
      </w:pPr>
      <w:r w:rsidRPr="001A1DEF">
        <w:rPr>
          <w:rFonts w:ascii="Arial" w:hAnsi="Arial" w:cs="Arial"/>
          <w:noProof/>
          <w:sz w:val="24"/>
          <w:szCs w:val="24"/>
          <w:lang w:val="ro-RO" w:eastAsia="ro-RO"/>
        </w:rPr>
        <w:drawing>
          <wp:inline distT="0" distB="0" distL="0" distR="0">
            <wp:extent cx="4572000" cy="2524125"/>
            <wp:effectExtent l="19050" t="0" r="19050" b="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0B63" w:rsidRDefault="00CA0B63" w:rsidP="007C3D1D">
      <w:pPr>
        <w:spacing w:before="120" w:after="120" w:line="240" w:lineRule="auto"/>
        <w:jc w:val="center"/>
        <w:rPr>
          <w:rFonts w:ascii="Arial" w:hAnsi="Arial" w:cs="Arial"/>
          <w:b/>
          <w:sz w:val="24"/>
          <w:szCs w:val="24"/>
        </w:rPr>
      </w:pPr>
      <w:r w:rsidRPr="00742B9E">
        <w:rPr>
          <w:rFonts w:ascii="Arial" w:hAnsi="Arial" w:cs="Arial"/>
          <w:b/>
          <w:sz w:val="24"/>
          <w:szCs w:val="24"/>
        </w:rPr>
        <w:t>Fig</w:t>
      </w:r>
      <w:r w:rsidR="007C3D1D">
        <w:rPr>
          <w:rFonts w:ascii="Arial" w:hAnsi="Arial" w:cs="Arial"/>
          <w:b/>
          <w:sz w:val="24"/>
          <w:szCs w:val="24"/>
        </w:rPr>
        <w:t>ura</w:t>
      </w:r>
      <w:r>
        <w:rPr>
          <w:rFonts w:ascii="Arial" w:hAnsi="Arial" w:cs="Arial"/>
          <w:sz w:val="24"/>
          <w:szCs w:val="24"/>
        </w:rPr>
        <w:t xml:space="preserve"> </w:t>
      </w:r>
      <w:r>
        <w:rPr>
          <w:rFonts w:ascii="Arial" w:hAnsi="Arial" w:cs="Arial"/>
          <w:b/>
          <w:sz w:val="24"/>
          <w:szCs w:val="24"/>
        </w:rPr>
        <w:t xml:space="preserve">I.1.1.2.3.2.1. Concentraţii medii anuale </w:t>
      </w:r>
      <w:r w:rsidRPr="00FD063B">
        <w:rPr>
          <w:rFonts w:ascii="Arial" w:hAnsi="Arial" w:cs="Arial"/>
          <w:b/>
          <w:bCs/>
          <w:sz w:val="24"/>
          <w:szCs w:val="24"/>
        </w:rPr>
        <w:t>PM</w:t>
      </w:r>
      <w:r w:rsidRPr="00FD063B">
        <w:rPr>
          <w:rFonts w:ascii="Arial" w:hAnsi="Arial" w:cs="Arial"/>
          <w:b/>
          <w:bCs/>
          <w:sz w:val="24"/>
          <w:szCs w:val="24"/>
          <w:vertAlign w:val="subscript"/>
        </w:rPr>
        <w:t>2,5</w:t>
      </w:r>
      <w:r>
        <w:rPr>
          <w:rFonts w:ascii="Arial" w:hAnsi="Arial" w:cs="Arial"/>
          <w:sz w:val="24"/>
          <w:szCs w:val="24"/>
        </w:rPr>
        <w:t xml:space="preserve">  </w:t>
      </w:r>
    </w:p>
    <w:p w:rsidR="00CA0B63" w:rsidRDefault="00CA0B63" w:rsidP="007C3D1D">
      <w:pPr>
        <w:tabs>
          <w:tab w:val="left" w:pos="510"/>
        </w:tabs>
        <w:spacing w:before="120" w:after="120" w:line="240" w:lineRule="auto"/>
        <w:jc w:val="both"/>
        <w:rPr>
          <w:rFonts w:ascii="Arial" w:hAnsi="Arial" w:cs="Arial"/>
          <w:sz w:val="24"/>
          <w:szCs w:val="24"/>
        </w:rPr>
      </w:pPr>
      <w:r>
        <w:rPr>
          <w:rFonts w:ascii="Arial" w:hAnsi="Arial" w:cs="Arial"/>
          <w:sz w:val="24"/>
          <w:szCs w:val="24"/>
        </w:rPr>
        <w:t xml:space="preserve">Din analiza datelor se observă şi în cazul indicatorului </w:t>
      </w:r>
      <w:r w:rsidRPr="00760C0C">
        <w:rPr>
          <w:rFonts w:ascii="Arial" w:hAnsi="Arial" w:cs="Arial"/>
          <w:bCs/>
          <w:sz w:val="24"/>
          <w:szCs w:val="24"/>
        </w:rPr>
        <w:t>PM</w:t>
      </w:r>
      <w:r w:rsidRPr="00760C0C">
        <w:rPr>
          <w:rFonts w:ascii="Arial" w:hAnsi="Arial" w:cs="Arial"/>
          <w:bCs/>
          <w:sz w:val="24"/>
          <w:szCs w:val="24"/>
          <w:vertAlign w:val="subscript"/>
        </w:rPr>
        <w:t>2,5</w:t>
      </w:r>
      <w:r>
        <w:rPr>
          <w:rFonts w:ascii="Arial" w:hAnsi="Arial" w:cs="Arial"/>
          <w:sz w:val="24"/>
          <w:szCs w:val="24"/>
        </w:rPr>
        <w:t xml:space="preserve">  tendinţa de scădere a valorii medii anuale, scădere datorată aplicării măsurilor din Programul  de Gestionare a Calităţii Aerului la nivelul municipiului Buzău.</w:t>
      </w:r>
    </w:p>
    <w:p w:rsidR="00CA0B63" w:rsidRDefault="00CA0B63" w:rsidP="007C3D1D">
      <w:pPr>
        <w:spacing w:before="120" w:after="120" w:line="240" w:lineRule="auto"/>
        <w:jc w:val="both"/>
        <w:rPr>
          <w:rFonts w:ascii="Arial" w:hAnsi="Arial" w:cs="Arial"/>
          <w:sz w:val="24"/>
          <w:szCs w:val="24"/>
        </w:rPr>
      </w:pPr>
      <w:r>
        <w:rPr>
          <w:rFonts w:ascii="Arial" w:hAnsi="Arial" w:cs="Arial"/>
          <w:b/>
          <w:bCs/>
          <w:sz w:val="24"/>
          <w:szCs w:val="24"/>
        </w:rPr>
        <w:t xml:space="preserve">I.1.1.2.4. </w:t>
      </w:r>
      <w:r w:rsidRPr="00760C0C">
        <w:rPr>
          <w:rFonts w:ascii="Arial" w:hAnsi="Arial" w:cs="Arial"/>
          <w:b/>
          <w:bCs/>
          <w:sz w:val="24"/>
          <w:szCs w:val="24"/>
        </w:rPr>
        <w:t>Monoxidul de carbon</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Variaţia concentraţiilor  CO  în perioada 2008-2014 este prezentată în </w:t>
      </w:r>
      <w:r>
        <w:rPr>
          <w:rFonts w:ascii="Arial" w:hAnsi="Arial" w:cs="Arial"/>
          <w:b/>
          <w:sz w:val="24"/>
          <w:szCs w:val="24"/>
        </w:rPr>
        <w:t xml:space="preserve">Tabelul I.1.1.2.4.1. </w:t>
      </w:r>
      <w:r>
        <w:rPr>
          <w:rFonts w:ascii="Arial" w:hAnsi="Arial" w:cs="Arial"/>
          <w:sz w:val="24"/>
          <w:szCs w:val="24"/>
        </w:rPr>
        <w:t xml:space="preserve">şi </w:t>
      </w: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 xml:space="preserve">I.1.1.2.4.1. </w:t>
      </w:r>
    </w:p>
    <w:p w:rsidR="007C3D1D" w:rsidRDefault="007C3D1D" w:rsidP="007C3D1D">
      <w:pPr>
        <w:spacing w:before="120" w:after="120" w:line="240" w:lineRule="auto"/>
        <w:jc w:val="both"/>
        <w:rPr>
          <w:rFonts w:ascii="Arial" w:hAnsi="Arial" w:cs="Arial"/>
          <w:b/>
          <w:sz w:val="24"/>
          <w:szCs w:val="24"/>
        </w:rPr>
      </w:pPr>
    </w:p>
    <w:tbl>
      <w:tblPr>
        <w:tblW w:w="2470" w:type="dxa"/>
        <w:jc w:val="center"/>
        <w:tblInd w:w="103" w:type="dxa"/>
        <w:tblLook w:val="04A0"/>
      </w:tblPr>
      <w:tblGrid>
        <w:gridCol w:w="960"/>
        <w:gridCol w:w="1510"/>
      </w:tblGrid>
      <w:tr w:rsidR="00CA0B63" w:rsidRPr="003A1BE6" w:rsidTr="0074274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b/>
                <w:bCs/>
                <w:color w:val="000000"/>
                <w:sz w:val="24"/>
                <w:szCs w:val="24"/>
              </w:rPr>
            </w:pPr>
            <w:r w:rsidRPr="003A1BE6">
              <w:rPr>
                <w:rFonts w:ascii="Arial" w:eastAsia="Times New Roman" w:hAnsi="Arial" w:cs="Arial"/>
                <w:b/>
                <w:bCs/>
                <w:color w:val="000000"/>
                <w:sz w:val="24"/>
                <w:szCs w:val="24"/>
              </w:rPr>
              <w:t>AN</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b/>
                <w:bCs/>
                <w:color w:val="000000"/>
                <w:sz w:val="24"/>
                <w:szCs w:val="24"/>
              </w:rPr>
            </w:pPr>
            <w:r w:rsidRPr="003A1BE6">
              <w:rPr>
                <w:rFonts w:ascii="Arial" w:eastAsia="Times New Roman" w:hAnsi="Arial" w:cs="Arial"/>
                <w:b/>
                <w:bCs/>
                <w:color w:val="000000"/>
                <w:sz w:val="24"/>
                <w:szCs w:val="24"/>
              </w:rPr>
              <w:t>CO(mg/m3)</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1510"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r w:rsidR="00CA0B63" w:rsidRPr="003A1BE6">
              <w:rPr>
                <w:rFonts w:ascii="Arial" w:eastAsia="Times New Roman" w:hAnsi="Arial" w:cs="Arial"/>
                <w:color w:val="000000"/>
                <w:sz w:val="24"/>
                <w:szCs w:val="24"/>
              </w:rPr>
              <w:t>24</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1510"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r w:rsidR="00CA0B63" w:rsidRPr="003A1BE6">
              <w:rPr>
                <w:rFonts w:ascii="Arial" w:eastAsia="Times New Roman" w:hAnsi="Arial" w:cs="Arial"/>
                <w:color w:val="000000"/>
                <w:sz w:val="24"/>
                <w:szCs w:val="24"/>
              </w:rPr>
              <w:t>25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1510"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r w:rsidR="00CA0B63" w:rsidRPr="003A1BE6">
              <w:rPr>
                <w:rFonts w:ascii="Arial" w:eastAsia="Times New Roman" w:hAnsi="Arial" w:cs="Arial"/>
                <w:color w:val="000000"/>
                <w:sz w:val="24"/>
                <w:szCs w:val="24"/>
              </w:rPr>
              <w:t>36</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1510"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1510"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r w:rsidR="00CA0B63" w:rsidRPr="003A1BE6">
              <w:rPr>
                <w:rFonts w:ascii="Arial" w:eastAsia="Times New Roman" w:hAnsi="Arial" w:cs="Arial"/>
                <w:color w:val="000000"/>
                <w:sz w:val="24"/>
                <w:szCs w:val="24"/>
              </w:rPr>
              <w:t>23</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1510"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w:t>
            </w:r>
            <w:r w:rsidR="00CA0B63" w:rsidRPr="003A1BE6">
              <w:rPr>
                <w:rFonts w:ascii="Arial" w:eastAsia="Times New Roman" w:hAnsi="Arial" w:cs="Arial"/>
                <w:color w:val="000000"/>
                <w:sz w:val="24"/>
                <w:szCs w:val="24"/>
              </w:rPr>
              <w:t>25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1510"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p>
        </w:tc>
      </w:tr>
    </w:tbl>
    <w:p w:rsidR="00CA0B63" w:rsidRPr="003A1BE6" w:rsidRDefault="007C3D1D" w:rsidP="007C3D1D">
      <w:pPr>
        <w:spacing w:before="120" w:after="120" w:line="240" w:lineRule="auto"/>
        <w:jc w:val="center"/>
        <w:rPr>
          <w:rFonts w:ascii="Arial" w:hAnsi="Arial" w:cs="Arial"/>
          <w:sz w:val="24"/>
          <w:szCs w:val="24"/>
        </w:rPr>
      </w:pPr>
      <w:r>
        <w:rPr>
          <w:rFonts w:ascii="Arial" w:hAnsi="Arial" w:cs="Arial"/>
          <w:b/>
          <w:sz w:val="24"/>
          <w:szCs w:val="24"/>
        </w:rPr>
        <w:t>Tabel</w:t>
      </w:r>
      <w:r w:rsidR="00CA0B63">
        <w:rPr>
          <w:rFonts w:ascii="Arial" w:hAnsi="Arial" w:cs="Arial"/>
          <w:b/>
          <w:sz w:val="24"/>
          <w:szCs w:val="24"/>
        </w:rPr>
        <w:t xml:space="preserve"> I.1.1.2.4.1.</w:t>
      </w:r>
      <w:r w:rsidR="00CA0B63" w:rsidRPr="003A1BE6">
        <w:rPr>
          <w:rFonts w:ascii="Arial" w:hAnsi="Arial" w:cs="Arial"/>
          <w:b/>
          <w:sz w:val="24"/>
          <w:szCs w:val="24"/>
        </w:rPr>
        <w:t xml:space="preserve"> </w:t>
      </w:r>
      <w:r w:rsidR="00CA0B63">
        <w:rPr>
          <w:rFonts w:ascii="Arial" w:hAnsi="Arial" w:cs="Arial"/>
          <w:b/>
          <w:sz w:val="24"/>
          <w:szCs w:val="24"/>
        </w:rPr>
        <w:t>Concentraţii medii anuale CO</w:t>
      </w:r>
    </w:p>
    <w:p w:rsidR="007C3D1D" w:rsidRDefault="007C3D1D" w:rsidP="00CA0B63">
      <w:pPr>
        <w:spacing w:after="120" w:line="240" w:lineRule="auto"/>
        <w:jc w:val="center"/>
        <w:rPr>
          <w:rFonts w:ascii="Arial" w:hAnsi="Arial" w:cs="Arial"/>
          <w:sz w:val="24"/>
          <w:szCs w:val="24"/>
        </w:rPr>
      </w:pPr>
    </w:p>
    <w:p w:rsidR="00CA0B63" w:rsidRDefault="00CA0B63" w:rsidP="00CA0B63">
      <w:pPr>
        <w:spacing w:after="120" w:line="240" w:lineRule="auto"/>
        <w:jc w:val="center"/>
        <w:rPr>
          <w:rFonts w:ascii="Arial" w:hAnsi="Arial" w:cs="Arial"/>
          <w:sz w:val="24"/>
          <w:szCs w:val="24"/>
        </w:rPr>
      </w:pPr>
      <w:r w:rsidRPr="001A1DEF">
        <w:rPr>
          <w:rFonts w:ascii="Arial" w:hAnsi="Arial" w:cs="Arial"/>
          <w:noProof/>
          <w:sz w:val="24"/>
          <w:szCs w:val="24"/>
          <w:lang w:val="ro-RO" w:eastAsia="ro-RO"/>
        </w:rPr>
        <w:drawing>
          <wp:inline distT="0" distB="0" distL="0" distR="0">
            <wp:extent cx="4572000" cy="3124200"/>
            <wp:effectExtent l="19050" t="0" r="19050" b="0"/>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0B63" w:rsidRDefault="00CA0B63" w:rsidP="007C3D1D">
      <w:pPr>
        <w:spacing w:before="120" w:after="120" w:line="240" w:lineRule="auto"/>
        <w:jc w:val="center"/>
        <w:rPr>
          <w:rFonts w:ascii="Arial" w:hAnsi="Arial" w:cs="Arial"/>
          <w:sz w:val="24"/>
          <w:szCs w:val="24"/>
        </w:rPr>
      </w:pPr>
      <w:r w:rsidRPr="00742B9E">
        <w:rPr>
          <w:rFonts w:ascii="Arial" w:hAnsi="Arial" w:cs="Arial"/>
          <w:b/>
          <w:sz w:val="24"/>
          <w:szCs w:val="24"/>
        </w:rPr>
        <w:t>Fig</w:t>
      </w:r>
      <w:r w:rsidR="007C3D1D">
        <w:rPr>
          <w:rFonts w:ascii="Arial" w:hAnsi="Arial" w:cs="Arial"/>
          <w:b/>
          <w:sz w:val="24"/>
          <w:szCs w:val="24"/>
        </w:rPr>
        <w:t>ura</w:t>
      </w:r>
      <w:r>
        <w:rPr>
          <w:rFonts w:ascii="Arial" w:hAnsi="Arial" w:cs="Arial"/>
          <w:sz w:val="24"/>
          <w:szCs w:val="24"/>
        </w:rPr>
        <w:t xml:space="preserve"> </w:t>
      </w:r>
      <w:r>
        <w:rPr>
          <w:rFonts w:ascii="Arial" w:hAnsi="Arial" w:cs="Arial"/>
          <w:b/>
          <w:sz w:val="24"/>
          <w:szCs w:val="24"/>
        </w:rPr>
        <w:t>I.1.1.2.4.1.</w:t>
      </w:r>
      <w:r w:rsidRPr="00E82B61">
        <w:rPr>
          <w:rFonts w:ascii="Arial" w:hAnsi="Arial" w:cs="Arial"/>
          <w:b/>
          <w:sz w:val="24"/>
          <w:szCs w:val="24"/>
        </w:rPr>
        <w:t xml:space="preserve"> </w:t>
      </w:r>
      <w:r>
        <w:rPr>
          <w:rFonts w:ascii="Arial" w:hAnsi="Arial" w:cs="Arial"/>
          <w:b/>
          <w:sz w:val="24"/>
          <w:szCs w:val="24"/>
        </w:rPr>
        <w:t>Concentraţii medii anuale CO</w:t>
      </w:r>
    </w:p>
    <w:p w:rsidR="00CA0B63" w:rsidRPr="003A1BE6" w:rsidRDefault="00CA0B63" w:rsidP="007C3D1D">
      <w:pPr>
        <w:tabs>
          <w:tab w:val="left" w:pos="5535"/>
        </w:tabs>
        <w:spacing w:before="120" w:after="120" w:line="240" w:lineRule="auto"/>
        <w:jc w:val="both"/>
        <w:rPr>
          <w:rFonts w:ascii="Arial" w:hAnsi="Arial" w:cs="Arial"/>
          <w:sz w:val="24"/>
          <w:szCs w:val="24"/>
        </w:rPr>
      </w:pPr>
      <w:r>
        <w:rPr>
          <w:rFonts w:ascii="Arial" w:hAnsi="Arial" w:cs="Arial"/>
          <w:sz w:val="24"/>
          <w:szCs w:val="24"/>
        </w:rPr>
        <w:t>În cazul acestui indicator nu se semnalează probleme deosebite, valorile medii anuale fiind scăzute.</w:t>
      </w:r>
    </w:p>
    <w:p w:rsidR="007C3D1D" w:rsidRDefault="007C3D1D" w:rsidP="007C3D1D">
      <w:pPr>
        <w:spacing w:before="120" w:after="120" w:line="240" w:lineRule="auto"/>
        <w:jc w:val="both"/>
        <w:rPr>
          <w:rFonts w:ascii="Arial" w:hAnsi="Arial" w:cs="Arial"/>
          <w:b/>
          <w:sz w:val="24"/>
          <w:szCs w:val="24"/>
        </w:rPr>
      </w:pPr>
    </w:p>
    <w:p w:rsidR="00CA0B63" w:rsidRPr="00E82B61" w:rsidRDefault="00CA0B63" w:rsidP="007C3D1D">
      <w:pPr>
        <w:spacing w:before="120" w:after="120" w:line="240" w:lineRule="auto"/>
        <w:jc w:val="both"/>
        <w:rPr>
          <w:rFonts w:ascii="Arial" w:hAnsi="Arial" w:cs="Arial"/>
          <w:b/>
          <w:sz w:val="24"/>
          <w:szCs w:val="24"/>
        </w:rPr>
      </w:pPr>
      <w:r>
        <w:rPr>
          <w:rFonts w:ascii="Arial" w:hAnsi="Arial" w:cs="Arial"/>
          <w:b/>
          <w:sz w:val="24"/>
          <w:szCs w:val="24"/>
        </w:rPr>
        <w:t xml:space="preserve">I.1.1.2.5. </w:t>
      </w:r>
      <w:r w:rsidRPr="00E82B61">
        <w:rPr>
          <w:rFonts w:ascii="Arial" w:hAnsi="Arial" w:cs="Arial"/>
          <w:b/>
          <w:sz w:val="24"/>
          <w:szCs w:val="24"/>
        </w:rPr>
        <w:t>BENZEN</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Variaţia concentraţiilor  BENZENULUI  în perioada 2008-2014 este prezentată în </w:t>
      </w:r>
      <w:r>
        <w:rPr>
          <w:rFonts w:ascii="Arial" w:hAnsi="Arial" w:cs="Arial"/>
          <w:b/>
          <w:sz w:val="24"/>
          <w:szCs w:val="24"/>
        </w:rPr>
        <w:t xml:space="preserve">Tabelul I.1.1.2.5.1. </w:t>
      </w:r>
      <w:r>
        <w:rPr>
          <w:rFonts w:ascii="Arial" w:hAnsi="Arial" w:cs="Arial"/>
          <w:sz w:val="24"/>
          <w:szCs w:val="24"/>
        </w:rPr>
        <w:t xml:space="preserve">şi </w:t>
      </w: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I.1.1.2.5.1.</w:t>
      </w:r>
    </w:p>
    <w:p w:rsidR="007C3D1D" w:rsidRDefault="007C3D1D" w:rsidP="007C3D1D">
      <w:pPr>
        <w:spacing w:before="120" w:after="120" w:line="240" w:lineRule="auto"/>
        <w:jc w:val="both"/>
        <w:rPr>
          <w:rFonts w:ascii="Arial" w:hAnsi="Arial" w:cs="Arial"/>
          <w:b/>
          <w:sz w:val="24"/>
          <w:szCs w:val="24"/>
        </w:rPr>
      </w:pPr>
    </w:p>
    <w:tbl>
      <w:tblPr>
        <w:tblW w:w="5082" w:type="dxa"/>
        <w:jc w:val="center"/>
        <w:tblInd w:w="103" w:type="dxa"/>
        <w:tblLook w:val="04A0"/>
      </w:tblPr>
      <w:tblGrid>
        <w:gridCol w:w="960"/>
        <w:gridCol w:w="2061"/>
        <w:gridCol w:w="2061"/>
      </w:tblGrid>
      <w:tr w:rsidR="00CA0B63" w:rsidRPr="003A1BE6" w:rsidTr="0074274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b/>
                <w:bCs/>
                <w:color w:val="000000"/>
                <w:sz w:val="24"/>
                <w:szCs w:val="24"/>
              </w:rPr>
            </w:pPr>
            <w:r w:rsidRPr="003A1BE6">
              <w:rPr>
                <w:rFonts w:ascii="Arial" w:eastAsia="Times New Roman" w:hAnsi="Arial" w:cs="Arial"/>
                <w:b/>
                <w:bCs/>
                <w:color w:val="000000"/>
                <w:sz w:val="24"/>
                <w:szCs w:val="24"/>
              </w:rPr>
              <w:t>AN</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b/>
                <w:bCs/>
                <w:color w:val="000000"/>
                <w:sz w:val="24"/>
                <w:szCs w:val="24"/>
              </w:rPr>
            </w:pPr>
            <w:r w:rsidRPr="003A1BE6">
              <w:rPr>
                <w:rFonts w:ascii="Arial" w:eastAsia="Times New Roman" w:hAnsi="Arial" w:cs="Arial"/>
                <w:b/>
                <w:bCs/>
                <w:color w:val="000000"/>
                <w:sz w:val="24"/>
                <w:szCs w:val="24"/>
              </w:rPr>
              <w:t>BENZEN(µg/m3)</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b/>
                <w:bCs/>
                <w:color w:val="000000"/>
                <w:sz w:val="24"/>
                <w:szCs w:val="24"/>
              </w:rPr>
            </w:pPr>
            <w:r w:rsidRPr="003A1BE6">
              <w:rPr>
                <w:rFonts w:ascii="Arial" w:eastAsia="Times New Roman" w:hAnsi="Arial" w:cs="Arial"/>
                <w:b/>
                <w:bCs/>
                <w:color w:val="000000"/>
                <w:sz w:val="24"/>
                <w:szCs w:val="24"/>
              </w:rPr>
              <w:t>VL BE</w:t>
            </w:r>
            <w:r w:rsidRPr="003A1BE6">
              <w:rPr>
                <w:rFonts w:ascii="Arial" w:eastAsia="Times New Roman" w:hAnsi="Arial" w:cs="Arial"/>
                <w:b/>
                <w:bCs/>
                <w:color w:val="000000"/>
                <w:sz w:val="24"/>
                <w:szCs w:val="24"/>
              </w:rPr>
              <w:t>N</w:t>
            </w:r>
            <w:r w:rsidRPr="003A1BE6">
              <w:rPr>
                <w:rFonts w:ascii="Arial" w:eastAsia="Times New Roman" w:hAnsi="Arial" w:cs="Arial"/>
                <w:b/>
                <w:bCs/>
                <w:color w:val="000000"/>
                <w:sz w:val="24"/>
                <w:szCs w:val="24"/>
              </w:rPr>
              <w:t>ZEN(µg/m3)</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w:t>
            </w:r>
            <w:r w:rsidR="00CA0B63" w:rsidRPr="003A1BE6">
              <w:rPr>
                <w:rFonts w:ascii="Arial" w:eastAsia="Times New Roman" w:hAnsi="Arial" w:cs="Arial"/>
                <w:color w:val="000000"/>
                <w:sz w:val="24"/>
                <w:szCs w:val="24"/>
              </w:rPr>
              <w:t>9</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CA0B63" w:rsidRPr="003A1BE6">
              <w:rPr>
                <w:rFonts w:ascii="Arial" w:eastAsia="Times New Roman" w:hAnsi="Arial" w:cs="Arial"/>
                <w:color w:val="000000"/>
                <w:sz w:val="24"/>
                <w:szCs w:val="24"/>
              </w:rPr>
              <w:t>8</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CA0B63" w:rsidRPr="003A1BE6">
              <w:rPr>
                <w:rFonts w:ascii="Arial" w:eastAsia="Times New Roman" w:hAnsi="Arial" w:cs="Arial"/>
                <w:color w:val="000000"/>
                <w:sz w:val="24"/>
                <w:szCs w:val="24"/>
              </w:rPr>
              <w:t>7</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w:t>
            </w:r>
            <w:r w:rsidR="00CA0B63" w:rsidRPr="003A1BE6">
              <w:rPr>
                <w:rFonts w:ascii="Arial" w:eastAsia="Times New Roman" w:hAnsi="Arial" w:cs="Arial"/>
                <w:color w:val="000000"/>
                <w:sz w:val="24"/>
                <w:szCs w:val="24"/>
              </w:rPr>
              <w:t>2</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00CA0B63" w:rsidRPr="003A1BE6">
              <w:rPr>
                <w:rFonts w:ascii="Arial" w:eastAsia="Times New Roman" w:hAnsi="Arial" w:cs="Arial"/>
                <w:color w:val="000000"/>
                <w:sz w:val="24"/>
                <w:szCs w:val="24"/>
              </w:rPr>
              <w:t>8</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00CA0B63" w:rsidRPr="003A1BE6">
              <w:rPr>
                <w:rFonts w:ascii="Arial" w:eastAsia="Times New Roman" w:hAnsi="Arial" w:cs="Arial"/>
                <w:color w:val="000000"/>
                <w:sz w:val="24"/>
                <w:szCs w:val="24"/>
              </w:rPr>
              <w:t>5</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p>
        </w:tc>
        <w:tc>
          <w:tcPr>
            <w:tcW w:w="2061"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w:t>
            </w:r>
          </w:p>
        </w:tc>
      </w:tr>
    </w:tbl>
    <w:p w:rsidR="00CA0B63" w:rsidRPr="003A1BE6" w:rsidRDefault="007C3D1D" w:rsidP="007C3D1D">
      <w:pPr>
        <w:spacing w:before="120" w:after="120" w:line="240" w:lineRule="auto"/>
        <w:jc w:val="center"/>
        <w:rPr>
          <w:rFonts w:ascii="Arial" w:hAnsi="Arial" w:cs="Arial"/>
          <w:sz w:val="24"/>
          <w:szCs w:val="24"/>
        </w:rPr>
      </w:pPr>
      <w:r>
        <w:rPr>
          <w:rFonts w:ascii="Arial" w:hAnsi="Arial" w:cs="Arial"/>
          <w:b/>
          <w:sz w:val="24"/>
          <w:szCs w:val="24"/>
        </w:rPr>
        <w:t>Tabel</w:t>
      </w:r>
      <w:r w:rsidR="00CA0B63">
        <w:rPr>
          <w:rFonts w:ascii="Arial" w:hAnsi="Arial" w:cs="Arial"/>
          <w:b/>
          <w:sz w:val="24"/>
          <w:szCs w:val="24"/>
        </w:rPr>
        <w:t xml:space="preserve"> I.1.1.2.5.1.</w:t>
      </w:r>
      <w:r w:rsidR="00CA0B63" w:rsidRPr="003A1BE6">
        <w:rPr>
          <w:rFonts w:ascii="Arial" w:hAnsi="Arial" w:cs="Arial"/>
          <w:b/>
          <w:sz w:val="24"/>
          <w:szCs w:val="24"/>
        </w:rPr>
        <w:t xml:space="preserve"> </w:t>
      </w:r>
      <w:r w:rsidR="00CA0B63">
        <w:rPr>
          <w:rFonts w:ascii="Arial" w:hAnsi="Arial" w:cs="Arial"/>
          <w:b/>
          <w:sz w:val="24"/>
          <w:szCs w:val="24"/>
        </w:rPr>
        <w:t>Concentraţii medii anuale BENZEN</w:t>
      </w:r>
    </w:p>
    <w:p w:rsidR="00CA0B63" w:rsidRDefault="00CA0B63" w:rsidP="00CA0B63">
      <w:pPr>
        <w:spacing w:after="120" w:line="240" w:lineRule="auto"/>
        <w:jc w:val="center"/>
        <w:rPr>
          <w:rFonts w:ascii="Arial" w:hAnsi="Arial" w:cs="Arial"/>
          <w:sz w:val="24"/>
          <w:szCs w:val="24"/>
        </w:rPr>
      </w:pPr>
      <w:r w:rsidRPr="001A1DEF">
        <w:rPr>
          <w:rFonts w:ascii="Arial" w:hAnsi="Arial" w:cs="Arial"/>
          <w:noProof/>
          <w:sz w:val="24"/>
          <w:szCs w:val="24"/>
          <w:lang w:val="ro-RO" w:eastAsia="ro-RO"/>
        </w:rPr>
        <w:lastRenderedPageBreak/>
        <w:drawing>
          <wp:inline distT="0" distB="0" distL="0" distR="0">
            <wp:extent cx="4572000" cy="3095625"/>
            <wp:effectExtent l="19050" t="0" r="19050" b="0"/>
            <wp:docPr id="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0B63" w:rsidRDefault="00CA0B63" w:rsidP="00CA0B63">
      <w:pPr>
        <w:spacing w:after="120" w:line="240" w:lineRule="auto"/>
        <w:jc w:val="center"/>
        <w:rPr>
          <w:rFonts w:ascii="Arial" w:hAnsi="Arial" w:cs="Arial"/>
          <w:sz w:val="24"/>
          <w:szCs w:val="24"/>
        </w:rPr>
      </w:pPr>
      <w:r>
        <w:rPr>
          <w:rFonts w:ascii="Arial" w:hAnsi="Arial" w:cs="Arial"/>
          <w:b/>
          <w:sz w:val="24"/>
          <w:szCs w:val="24"/>
        </w:rPr>
        <w:t>Fig</w:t>
      </w:r>
      <w:r w:rsidR="007C3D1D">
        <w:rPr>
          <w:rFonts w:ascii="Arial" w:hAnsi="Arial" w:cs="Arial"/>
          <w:b/>
          <w:sz w:val="24"/>
          <w:szCs w:val="24"/>
        </w:rPr>
        <w:t>ura</w:t>
      </w:r>
      <w:r>
        <w:rPr>
          <w:rFonts w:ascii="Arial" w:hAnsi="Arial" w:cs="Arial"/>
          <w:b/>
          <w:sz w:val="24"/>
          <w:szCs w:val="24"/>
        </w:rPr>
        <w:t xml:space="preserve"> I.1.1.2.5.1. Concentraţii medii anuale BENZEN</w:t>
      </w:r>
    </w:p>
    <w:p w:rsidR="007C3D1D" w:rsidRDefault="007C3D1D" w:rsidP="00CA0B63">
      <w:pPr>
        <w:spacing w:after="120" w:line="240" w:lineRule="auto"/>
        <w:jc w:val="both"/>
        <w:rPr>
          <w:rFonts w:ascii="Arial" w:hAnsi="Arial" w:cs="Arial"/>
          <w:sz w:val="24"/>
          <w:szCs w:val="24"/>
        </w:rPr>
      </w:pPr>
    </w:p>
    <w:p w:rsidR="00CA0B63" w:rsidRDefault="00CA0B63" w:rsidP="007C3D1D">
      <w:pPr>
        <w:spacing w:before="120" w:after="120" w:line="240" w:lineRule="auto"/>
        <w:jc w:val="both"/>
        <w:rPr>
          <w:rFonts w:ascii="Arial" w:hAnsi="Arial" w:cs="Arial"/>
          <w:sz w:val="24"/>
          <w:szCs w:val="24"/>
        </w:rPr>
      </w:pPr>
      <w:r>
        <w:rPr>
          <w:rFonts w:ascii="Arial" w:hAnsi="Arial" w:cs="Arial"/>
          <w:sz w:val="24"/>
          <w:szCs w:val="24"/>
        </w:rPr>
        <w:t>În cazul indicatorului Benzen se remarcă aceeaşi scădere a valorii medii anuale, valoarea din anul 2014 fiind calculată pentru o perioadă scurtă de timp în sezonul rece.</w:t>
      </w:r>
    </w:p>
    <w:p w:rsidR="007C3D1D" w:rsidRDefault="007C3D1D" w:rsidP="007C3D1D">
      <w:pPr>
        <w:spacing w:before="120" w:after="120" w:line="240" w:lineRule="auto"/>
        <w:jc w:val="both"/>
        <w:rPr>
          <w:rFonts w:ascii="Arial" w:hAnsi="Arial" w:cs="Arial"/>
          <w:b/>
          <w:bCs/>
          <w:sz w:val="24"/>
          <w:szCs w:val="24"/>
        </w:rPr>
      </w:pPr>
    </w:p>
    <w:p w:rsidR="00CA0B63" w:rsidRDefault="00CA0B63" w:rsidP="007C3D1D">
      <w:pPr>
        <w:spacing w:before="120" w:after="120" w:line="240" w:lineRule="auto"/>
        <w:jc w:val="both"/>
        <w:rPr>
          <w:rFonts w:ascii="Arial" w:hAnsi="Arial" w:cs="Arial"/>
          <w:sz w:val="24"/>
          <w:szCs w:val="24"/>
        </w:rPr>
      </w:pPr>
      <w:r>
        <w:rPr>
          <w:rFonts w:ascii="Arial" w:hAnsi="Arial" w:cs="Arial"/>
          <w:b/>
          <w:bCs/>
          <w:sz w:val="24"/>
          <w:szCs w:val="24"/>
        </w:rPr>
        <w:t>I.1.1.2.6. Ozon</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Variaţia concentraţiilor  O3  în perioada 2008-2014 este prezentată în </w:t>
      </w:r>
      <w:r>
        <w:rPr>
          <w:rFonts w:ascii="Arial" w:hAnsi="Arial" w:cs="Arial"/>
          <w:b/>
          <w:sz w:val="24"/>
          <w:szCs w:val="24"/>
        </w:rPr>
        <w:t>Tabelul I.1.1.2.6.1.</w:t>
      </w:r>
    </w:p>
    <w:p w:rsidR="00CA0B63" w:rsidRDefault="00CA0B63" w:rsidP="007C3D1D">
      <w:pPr>
        <w:spacing w:before="120" w:after="12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ş</w:t>
      </w:r>
      <w:r w:rsidRPr="003A1BE6">
        <w:rPr>
          <w:rFonts w:ascii="Arial" w:hAnsi="Arial" w:cs="Arial"/>
          <w:sz w:val="24"/>
          <w:szCs w:val="24"/>
        </w:rPr>
        <w:t>i</w:t>
      </w:r>
      <w:r>
        <w:rPr>
          <w:rFonts w:ascii="Arial" w:hAnsi="Arial" w:cs="Arial"/>
          <w:b/>
          <w:sz w:val="24"/>
          <w:szCs w:val="24"/>
        </w:rPr>
        <w:t xml:space="preserve"> </w:t>
      </w: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I.1.1.2.6.1.</w:t>
      </w:r>
    </w:p>
    <w:p w:rsidR="00CA0B63" w:rsidRDefault="00CA0B63" w:rsidP="00CA0B63">
      <w:pPr>
        <w:spacing w:after="120" w:line="240" w:lineRule="auto"/>
        <w:rPr>
          <w:rFonts w:ascii="Arial" w:hAnsi="Arial" w:cs="Arial"/>
          <w:b/>
          <w:sz w:val="24"/>
          <w:szCs w:val="24"/>
        </w:rPr>
      </w:pPr>
    </w:p>
    <w:tbl>
      <w:tblPr>
        <w:tblW w:w="2149" w:type="dxa"/>
        <w:jc w:val="center"/>
        <w:tblInd w:w="103" w:type="dxa"/>
        <w:tblLook w:val="04A0"/>
      </w:tblPr>
      <w:tblGrid>
        <w:gridCol w:w="960"/>
        <w:gridCol w:w="1395"/>
      </w:tblGrid>
      <w:tr w:rsidR="00CA0B63" w:rsidRPr="003A1BE6" w:rsidTr="0074274F">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b/>
                <w:bCs/>
                <w:color w:val="000000"/>
                <w:sz w:val="24"/>
                <w:szCs w:val="24"/>
              </w:rPr>
            </w:pPr>
            <w:r w:rsidRPr="003A1BE6">
              <w:rPr>
                <w:rFonts w:ascii="Arial" w:eastAsia="Times New Roman" w:hAnsi="Arial" w:cs="Arial"/>
                <w:b/>
                <w:bCs/>
                <w:color w:val="000000"/>
                <w:sz w:val="24"/>
                <w:szCs w:val="24"/>
              </w:rPr>
              <w:t>AN</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b/>
                <w:bCs/>
                <w:color w:val="000000"/>
                <w:sz w:val="24"/>
                <w:szCs w:val="24"/>
              </w:rPr>
            </w:pPr>
            <w:r w:rsidRPr="003A1BE6">
              <w:rPr>
                <w:rFonts w:ascii="Arial" w:eastAsia="Times New Roman" w:hAnsi="Arial" w:cs="Arial"/>
                <w:b/>
                <w:bCs/>
                <w:color w:val="000000"/>
                <w:sz w:val="24"/>
                <w:szCs w:val="24"/>
              </w:rPr>
              <w:t>O3(µg/m3)</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1189"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54</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1189"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51</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1189"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40</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1189"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1189"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40</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1189"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r w:rsidRPr="003A1BE6">
              <w:rPr>
                <w:rFonts w:ascii="Arial" w:eastAsia="Times New Roman" w:hAnsi="Arial" w:cs="Arial"/>
                <w:color w:val="000000"/>
                <w:sz w:val="24"/>
                <w:szCs w:val="24"/>
              </w:rPr>
              <w:t>25</w:t>
            </w:r>
          </w:p>
        </w:tc>
      </w:tr>
      <w:tr w:rsidR="00CA0B63" w:rsidRPr="003A1BE6" w:rsidTr="0074274F">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0B63" w:rsidRPr="003A1BE6" w:rsidRDefault="0074274F" w:rsidP="0074274F">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1189" w:type="dxa"/>
            <w:tcBorders>
              <w:top w:val="nil"/>
              <w:left w:val="nil"/>
              <w:bottom w:val="single" w:sz="4" w:space="0" w:color="auto"/>
              <w:right w:val="single" w:sz="4" w:space="0" w:color="auto"/>
            </w:tcBorders>
            <w:shd w:val="clear" w:color="auto" w:fill="auto"/>
            <w:noWrap/>
            <w:vAlign w:val="center"/>
            <w:hideMark/>
          </w:tcPr>
          <w:p w:rsidR="00CA0B63" w:rsidRPr="003A1BE6" w:rsidRDefault="00CA0B63" w:rsidP="0074274F">
            <w:pPr>
              <w:spacing w:after="120" w:line="240" w:lineRule="auto"/>
              <w:jc w:val="center"/>
              <w:rPr>
                <w:rFonts w:ascii="Arial" w:eastAsia="Times New Roman" w:hAnsi="Arial" w:cs="Arial"/>
                <w:color w:val="000000"/>
                <w:sz w:val="24"/>
                <w:szCs w:val="24"/>
              </w:rPr>
            </w:pPr>
          </w:p>
        </w:tc>
      </w:tr>
    </w:tbl>
    <w:p w:rsidR="00CA0B63" w:rsidRPr="003A1BE6" w:rsidRDefault="00CA0B63" w:rsidP="007C3D1D">
      <w:pPr>
        <w:spacing w:before="120" w:after="120" w:line="240" w:lineRule="auto"/>
        <w:jc w:val="center"/>
        <w:rPr>
          <w:rFonts w:ascii="Arial" w:hAnsi="Arial" w:cs="Arial"/>
          <w:sz w:val="24"/>
          <w:szCs w:val="24"/>
        </w:rPr>
      </w:pPr>
      <w:r>
        <w:rPr>
          <w:rFonts w:ascii="Arial" w:hAnsi="Arial" w:cs="Arial"/>
          <w:b/>
          <w:sz w:val="24"/>
          <w:szCs w:val="24"/>
        </w:rPr>
        <w:t>Tabelul I.1.1.2.6.1.</w:t>
      </w:r>
      <w:r w:rsidRPr="003A1BE6">
        <w:rPr>
          <w:rFonts w:ascii="Arial" w:hAnsi="Arial" w:cs="Arial"/>
          <w:b/>
          <w:sz w:val="24"/>
          <w:szCs w:val="24"/>
        </w:rPr>
        <w:t xml:space="preserve"> </w:t>
      </w:r>
      <w:r>
        <w:rPr>
          <w:rFonts w:ascii="Arial" w:hAnsi="Arial" w:cs="Arial"/>
          <w:b/>
          <w:sz w:val="24"/>
          <w:szCs w:val="24"/>
        </w:rPr>
        <w:t>Concentraţii medii anuale O3</w:t>
      </w:r>
    </w:p>
    <w:p w:rsidR="00CA0B63" w:rsidRDefault="00CA0B63" w:rsidP="00CA0B63">
      <w:pPr>
        <w:spacing w:after="120" w:line="240" w:lineRule="auto"/>
        <w:jc w:val="center"/>
        <w:rPr>
          <w:rFonts w:ascii="Arial" w:hAnsi="Arial" w:cs="Arial"/>
          <w:sz w:val="24"/>
          <w:szCs w:val="24"/>
        </w:rPr>
      </w:pPr>
      <w:r w:rsidRPr="001A1DEF">
        <w:rPr>
          <w:rFonts w:ascii="Arial" w:hAnsi="Arial" w:cs="Arial"/>
          <w:noProof/>
          <w:sz w:val="24"/>
          <w:szCs w:val="24"/>
          <w:lang w:val="ro-RO" w:eastAsia="ro-RO"/>
        </w:rPr>
        <w:lastRenderedPageBreak/>
        <w:drawing>
          <wp:inline distT="0" distB="0" distL="0" distR="0">
            <wp:extent cx="4572000" cy="2743200"/>
            <wp:effectExtent l="19050" t="0" r="19050" b="0"/>
            <wp:docPr id="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3D1D" w:rsidRDefault="00CA0B63" w:rsidP="007C3D1D">
      <w:pPr>
        <w:spacing w:before="120" w:after="120" w:line="240" w:lineRule="auto"/>
        <w:jc w:val="center"/>
        <w:rPr>
          <w:rFonts w:ascii="Arial" w:hAnsi="Arial" w:cs="Arial"/>
          <w:b/>
          <w:sz w:val="24"/>
          <w:szCs w:val="24"/>
        </w:rPr>
      </w:pPr>
      <w:r w:rsidRPr="00742B9E">
        <w:rPr>
          <w:rFonts w:ascii="Arial" w:hAnsi="Arial" w:cs="Arial"/>
          <w:b/>
          <w:sz w:val="24"/>
          <w:szCs w:val="24"/>
        </w:rPr>
        <w:t>Fig.</w:t>
      </w:r>
      <w:r>
        <w:rPr>
          <w:rFonts w:ascii="Arial" w:hAnsi="Arial" w:cs="Arial"/>
          <w:sz w:val="24"/>
          <w:szCs w:val="24"/>
        </w:rPr>
        <w:t xml:space="preserve"> </w:t>
      </w:r>
      <w:r>
        <w:rPr>
          <w:rFonts w:ascii="Arial" w:hAnsi="Arial" w:cs="Arial"/>
          <w:b/>
          <w:sz w:val="24"/>
          <w:szCs w:val="24"/>
        </w:rPr>
        <w:t>I.1.1.2.6.1.</w:t>
      </w:r>
      <w:r w:rsidRPr="00767AA8">
        <w:rPr>
          <w:rFonts w:ascii="Arial" w:hAnsi="Arial" w:cs="Arial"/>
          <w:b/>
          <w:sz w:val="24"/>
          <w:szCs w:val="24"/>
        </w:rPr>
        <w:t xml:space="preserve"> </w:t>
      </w:r>
      <w:r>
        <w:rPr>
          <w:rFonts w:ascii="Arial" w:hAnsi="Arial" w:cs="Arial"/>
          <w:b/>
          <w:sz w:val="24"/>
          <w:szCs w:val="24"/>
        </w:rPr>
        <w:t>Concentraţii medii anuale O3</w:t>
      </w:r>
    </w:p>
    <w:p w:rsidR="00CA0B63" w:rsidRPr="007C3D1D" w:rsidRDefault="00CA0B63" w:rsidP="007C3D1D">
      <w:pPr>
        <w:spacing w:before="120" w:after="120" w:line="240" w:lineRule="auto"/>
        <w:jc w:val="both"/>
        <w:rPr>
          <w:rFonts w:ascii="Arial" w:hAnsi="Arial" w:cs="Arial"/>
          <w:b/>
          <w:sz w:val="24"/>
          <w:szCs w:val="24"/>
        </w:rPr>
      </w:pPr>
      <w:r>
        <w:rPr>
          <w:rFonts w:ascii="Arial" w:hAnsi="Arial" w:cs="Arial"/>
          <w:sz w:val="24"/>
          <w:szCs w:val="24"/>
        </w:rPr>
        <w:t>Analizând datele din diagrama de mai sus se poate observa că în cazul acestui indicator nu s-au semnalat probleme deosebite.</w:t>
      </w:r>
    </w:p>
    <w:p w:rsidR="007C3D1D" w:rsidRDefault="007C3D1D" w:rsidP="007C3D1D">
      <w:pPr>
        <w:spacing w:before="120" w:after="120" w:line="240" w:lineRule="auto"/>
        <w:jc w:val="both"/>
        <w:rPr>
          <w:rFonts w:ascii="Arial" w:hAnsi="Arial" w:cs="Arial"/>
          <w:b/>
          <w:sz w:val="24"/>
          <w:szCs w:val="24"/>
        </w:rPr>
      </w:pPr>
    </w:p>
    <w:p w:rsidR="00CA0B63" w:rsidRDefault="00CA0B63" w:rsidP="007C3D1D">
      <w:pPr>
        <w:spacing w:before="120" w:after="120" w:line="240" w:lineRule="auto"/>
        <w:jc w:val="both"/>
        <w:rPr>
          <w:rFonts w:ascii="Arial" w:hAnsi="Arial" w:cs="Arial"/>
          <w:sz w:val="24"/>
          <w:szCs w:val="24"/>
        </w:rPr>
      </w:pPr>
      <w:r>
        <w:rPr>
          <w:rFonts w:ascii="Arial" w:hAnsi="Arial" w:cs="Arial"/>
          <w:b/>
          <w:sz w:val="24"/>
          <w:szCs w:val="24"/>
        </w:rPr>
        <w:t xml:space="preserve">I.1.1.2.7. </w:t>
      </w:r>
      <w:r w:rsidRPr="00901241">
        <w:rPr>
          <w:rFonts w:ascii="Arial" w:hAnsi="Arial" w:cs="Arial"/>
          <w:b/>
          <w:sz w:val="24"/>
          <w:szCs w:val="24"/>
        </w:rPr>
        <w:t>Evoluţia calităţii aerului</w:t>
      </w:r>
    </w:p>
    <w:p w:rsidR="00CA0B63" w:rsidRDefault="00CA0B63" w:rsidP="007C3D1D">
      <w:pPr>
        <w:spacing w:before="120" w:after="120" w:line="240" w:lineRule="auto"/>
        <w:jc w:val="both"/>
        <w:rPr>
          <w:rFonts w:ascii="Arial" w:hAnsi="Arial" w:cs="Arial"/>
          <w:b/>
          <w:sz w:val="24"/>
          <w:szCs w:val="24"/>
        </w:rPr>
      </w:pPr>
      <w:r w:rsidRPr="00901241">
        <w:rPr>
          <w:rFonts w:ascii="Arial" w:hAnsi="Arial" w:cs="Arial"/>
          <w:sz w:val="24"/>
          <w:szCs w:val="24"/>
        </w:rPr>
        <w:t xml:space="preserve">Evoluţia concentraţiilor medii ale </w:t>
      </w:r>
      <w:r>
        <w:rPr>
          <w:rFonts w:ascii="Arial" w:hAnsi="Arial" w:cs="Arial"/>
          <w:sz w:val="24"/>
          <w:szCs w:val="24"/>
        </w:rPr>
        <w:t xml:space="preserve">tuturor </w:t>
      </w:r>
      <w:r w:rsidRPr="00901241">
        <w:rPr>
          <w:rFonts w:ascii="Arial" w:hAnsi="Arial" w:cs="Arial"/>
          <w:sz w:val="24"/>
          <w:szCs w:val="24"/>
        </w:rPr>
        <w:t>indicatorilor monitorizaţi de staţia</w:t>
      </w:r>
      <w:r>
        <w:rPr>
          <w:rFonts w:ascii="Arial" w:hAnsi="Arial" w:cs="Arial"/>
          <w:sz w:val="24"/>
          <w:szCs w:val="24"/>
        </w:rPr>
        <w:t xml:space="preserve"> de fond urban </w:t>
      </w:r>
      <w:r w:rsidRPr="00901241">
        <w:rPr>
          <w:rFonts w:ascii="Arial" w:hAnsi="Arial" w:cs="Arial"/>
          <w:sz w:val="24"/>
          <w:szCs w:val="24"/>
        </w:rPr>
        <w:t xml:space="preserve"> BZ-1, în </w:t>
      </w:r>
      <w:r>
        <w:rPr>
          <w:rFonts w:ascii="Arial" w:hAnsi="Arial" w:cs="Arial"/>
          <w:sz w:val="24"/>
          <w:szCs w:val="24"/>
        </w:rPr>
        <w:t xml:space="preserve">perioada 2008-2014 este prezentată în </w:t>
      </w:r>
      <w:r>
        <w:rPr>
          <w:rFonts w:ascii="Arial" w:hAnsi="Arial" w:cs="Arial"/>
          <w:b/>
          <w:sz w:val="24"/>
          <w:szCs w:val="24"/>
        </w:rPr>
        <w:t xml:space="preserve">Tabelul I.1.1.2.7.1. </w:t>
      </w:r>
      <w:r>
        <w:rPr>
          <w:rFonts w:ascii="Arial" w:hAnsi="Arial" w:cs="Arial"/>
          <w:sz w:val="24"/>
          <w:szCs w:val="24"/>
        </w:rPr>
        <w:t xml:space="preserve">şi </w:t>
      </w:r>
      <w:r>
        <w:rPr>
          <w:rFonts w:ascii="Arial" w:hAnsi="Arial" w:cs="Arial"/>
          <w:b/>
          <w:sz w:val="24"/>
          <w:szCs w:val="24"/>
        </w:rPr>
        <w:t>Fig. I.1.1.2.7.1.</w:t>
      </w:r>
    </w:p>
    <w:p w:rsidR="007C3D1D" w:rsidRPr="00E860C7" w:rsidRDefault="007C3D1D" w:rsidP="007C3D1D">
      <w:pPr>
        <w:spacing w:before="120" w:after="120" w:line="240" w:lineRule="auto"/>
        <w:jc w:val="both"/>
        <w:rPr>
          <w:rFonts w:ascii="Arial" w:hAnsi="Arial" w:cs="Arial"/>
          <w:b/>
          <w:sz w:val="24"/>
          <w:szCs w:val="24"/>
        </w:rPr>
      </w:pPr>
    </w:p>
    <w:tbl>
      <w:tblPr>
        <w:tblW w:w="8640" w:type="dxa"/>
        <w:jc w:val="center"/>
        <w:tblInd w:w="103" w:type="dxa"/>
        <w:tblLook w:val="04A0"/>
      </w:tblPr>
      <w:tblGrid>
        <w:gridCol w:w="1145"/>
        <w:gridCol w:w="941"/>
        <w:gridCol w:w="933"/>
        <w:gridCol w:w="932"/>
        <w:gridCol w:w="932"/>
        <w:gridCol w:w="942"/>
        <w:gridCol w:w="932"/>
        <w:gridCol w:w="932"/>
        <w:gridCol w:w="951"/>
      </w:tblGrid>
      <w:tr w:rsidR="00CA0B63" w:rsidRPr="003A1BE6" w:rsidTr="0074274F">
        <w:trPr>
          <w:trHeight w:val="300"/>
          <w:jc w:val="center"/>
        </w:trPr>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Indicator</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Tip staţie</w:t>
            </w:r>
          </w:p>
        </w:tc>
        <w:tc>
          <w:tcPr>
            <w:tcW w:w="6661" w:type="dxa"/>
            <w:gridSpan w:val="7"/>
            <w:tcBorders>
              <w:top w:val="single" w:sz="4" w:space="0" w:color="auto"/>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Concentraţie medie anuală</w:t>
            </w:r>
          </w:p>
        </w:tc>
      </w:tr>
      <w:tr w:rsidR="00CA0B63" w:rsidRPr="003A1BE6" w:rsidTr="0074274F">
        <w:trPr>
          <w:trHeight w:val="315"/>
          <w:jc w:val="center"/>
        </w:trPr>
        <w:tc>
          <w:tcPr>
            <w:tcW w:w="1025" w:type="dxa"/>
            <w:vMerge/>
            <w:tcBorders>
              <w:top w:val="single" w:sz="4" w:space="0" w:color="auto"/>
              <w:left w:val="single" w:sz="4" w:space="0" w:color="auto"/>
              <w:bottom w:val="single" w:sz="4" w:space="0" w:color="auto"/>
              <w:right w:val="single" w:sz="4" w:space="0" w:color="auto"/>
            </w:tcBorders>
            <w:vAlign w:val="center"/>
            <w:hideMark/>
          </w:tcPr>
          <w:p w:rsidR="00CA0B63" w:rsidRPr="00FD5944" w:rsidRDefault="00CA0B63" w:rsidP="0074274F">
            <w:pPr>
              <w:spacing w:after="120" w:line="240" w:lineRule="auto"/>
              <w:jc w:val="center"/>
              <w:rPr>
                <w:rFonts w:ascii="Arial" w:hAnsi="Arial" w:cs="Arial"/>
                <w:b/>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rsidR="00CA0B63" w:rsidRPr="00FD5944" w:rsidRDefault="00CA0B63" w:rsidP="0074274F">
            <w:pPr>
              <w:spacing w:after="120" w:line="240" w:lineRule="auto"/>
              <w:jc w:val="center"/>
              <w:rPr>
                <w:rFonts w:ascii="Arial" w:hAnsi="Arial" w:cs="Arial"/>
                <w:b/>
              </w:rPr>
            </w:pP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2008</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2009</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2010</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2011</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2012</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2013</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b/>
              </w:rPr>
            </w:pPr>
            <w:r w:rsidRPr="00FD5944">
              <w:rPr>
                <w:rFonts w:ascii="Arial" w:hAnsi="Arial" w:cs="Arial"/>
                <w:b/>
              </w:rPr>
              <w:t>2014</w:t>
            </w:r>
          </w:p>
        </w:tc>
      </w:tr>
      <w:tr w:rsidR="00CA0B63" w:rsidRPr="003A1BE6" w:rsidTr="0074274F">
        <w:trPr>
          <w:trHeight w:val="597"/>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SO</w:t>
            </w:r>
            <w:r w:rsidRPr="00FD5944">
              <w:rPr>
                <w:rFonts w:ascii="Arial" w:hAnsi="Arial" w:cs="Arial"/>
                <w:vertAlign w:val="subscript"/>
              </w:rPr>
              <w:t>2</w:t>
            </w:r>
            <w:r w:rsidRPr="00FD5944">
              <w:rPr>
                <w:rFonts w:ascii="Arial" w:hAnsi="Arial" w:cs="Arial"/>
              </w:rPr>
              <w:t xml:space="preserve">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2,</w:t>
            </w:r>
            <w:r w:rsidR="00CA0B63" w:rsidRPr="00FD5944">
              <w:rPr>
                <w:rFonts w:ascii="Arial" w:hAnsi="Arial" w:cs="Arial"/>
              </w:rPr>
              <w:t>99</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5,</w:t>
            </w:r>
            <w:r w:rsidR="00CA0B63" w:rsidRPr="00FD5944">
              <w:rPr>
                <w:rFonts w:ascii="Arial" w:hAnsi="Arial" w:cs="Arial"/>
              </w:rPr>
              <w:t>81</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6,19 N</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3,</w:t>
            </w:r>
            <w:r w:rsidR="00CA0B63" w:rsidRPr="00FD5944">
              <w:rPr>
                <w:rFonts w:ascii="Arial" w:hAnsi="Arial" w:cs="Arial"/>
              </w:rPr>
              <w:t>71</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4,</w:t>
            </w:r>
            <w:r w:rsidR="00CA0B63" w:rsidRPr="00FD5944">
              <w:rPr>
                <w:rFonts w:ascii="Arial" w:hAnsi="Arial" w:cs="Arial"/>
              </w:rPr>
              <w:t>92</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4,</w:t>
            </w:r>
            <w:r w:rsidR="00CA0B63" w:rsidRPr="00FD5944">
              <w:rPr>
                <w:rFonts w:ascii="Arial" w:hAnsi="Arial" w:cs="Arial"/>
              </w:rPr>
              <w:t>89</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4,</w:t>
            </w:r>
            <w:r w:rsidR="00CA0B63" w:rsidRPr="00FD5944">
              <w:rPr>
                <w:rFonts w:ascii="Arial" w:hAnsi="Arial" w:cs="Arial"/>
              </w:rPr>
              <w:t>12</w:t>
            </w:r>
          </w:p>
        </w:tc>
      </w:tr>
      <w:tr w:rsidR="00CA0B63" w:rsidRPr="003A1BE6" w:rsidTr="0074274F">
        <w:trPr>
          <w:trHeight w:val="615"/>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PM</w:t>
            </w:r>
            <w:r w:rsidRPr="00FD5944">
              <w:rPr>
                <w:rFonts w:ascii="Arial" w:hAnsi="Arial" w:cs="Arial"/>
                <w:vertAlign w:val="subscript"/>
              </w:rPr>
              <w:t xml:space="preserve">10 </w:t>
            </w:r>
            <w:r w:rsidRPr="00FD5944">
              <w:rPr>
                <w:rFonts w:ascii="Arial" w:hAnsi="Arial" w:cs="Arial"/>
              </w:rPr>
              <w:t>aut</w:t>
            </w:r>
            <w:r w:rsidRPr="00FD5944">
              <w:rPr>
                <w:rFonts w:ascii="Arial" w:hAnsi="Arial" w:cs="Arial"/>
                <w:vertAlign w:val="subscript"/>
              </w:rPr>
              <w:t xml:space="preserve"> </w:t>
            </w:r>
            <w:r w:rsidRPr="00FD5944">
              <w:rPr>
                <w:rFonts w:ascii="Arial" w:hAnsi="Arial" w:cs="Arial"/>
              </w:rPr>
              <w:t xml:space="preserve">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22</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45 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33</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22</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FD5944" w:rsidRDefault="00CA0B63" w:rsidP="0074274F">
            <w:pPr>
              <w:spacing w:after="120" w:line="240" w:lineRule="auto"/>
              <w:jc w:val="center"/>
              <w:rPr>
                <w:rFonts w:ascii="Arial" w:hAnsi="Arial" w:cs="Arial"/>
              </w:rPr>
            </w:pPr>
          </w:p>
        </w:tc>
      </w:tr>
      <w:tr w:rsidR="00CA0B63" w:rsidRPr="003A1BE6" w:rsidTr="0074274F">
        <w:trPr>
          <w:trHeight w:val="543"/>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PM</w:t>
            </w:r>
            <w:r w:rsidRPr="00FD5944">
              <w:rPr>
                <w:rFonts w:ascii="Arial" w:hAnsi="Arial" w:cs="Arial"/>
                <w:vertAlign w:val="subscript"/>
              </w:rPr>
              <w:t>10</w:t>
            </w:r>
            <w:r w:rsidRPr="00FD5944">
              <w:rPr>
                <w:rFonts w:ascii="Arial" w:hAnsi="Arial" w:cs="Arial"/>
              </w:rPr>
              <w:t xml:space="preserve"> grv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40N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32</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25</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22</w:t>
            </w:r>
          </w:p>
        </w:tc>
      </w:tr>
      <w:tr w:rsidR="00CA0B63" w:rsidRPr="003A1BE6" w:rsidTr="0074274F">
        <w:trPr>
          <w:trHeight w:val="705"/>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PM</w:t>
            </w:r>
            <w:r w:rsidRPr="00FD5944">
              <w:rPr>
                <w:rFonts w:ascii="Arial" w:hAnsi="Arial" w:cs="Arial"/>
                <w:vertAlign w:val="subscript"/>
              </w:rPr>
              <w:t>2,5</w:t>
            </w:r>
            <w:r w:rsidRPr="00FD5944">
              <w:rPr>
                <w:rFonts w:ascii="Arial" w:hAnsi="Arial" w:cs="Arial"/>
              </w:rPr>
              <w:t xml:space="preserve"> aut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10</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13</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14N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FD5944" w:rsidRDefault="00CA0B63" w:rsidP="0074274F">
            <w:pPr>
              <w:spacing w:after="120" w:line="240" w:lineRule="auto"/>
              <w:jc w:val="center"/>
              <w:rPr>
                <w:rFonts w:ascii="Arial" w:hAnsi="Arial" w:cs="Arial"/>
              </w:rPr>
            </w:pPr>
          </w:p>
        </w:tc>
      </w:tr>
      <w:tr w:rsidR="00CA0B63" w:rsidRPr="003A1BE6" w:rsidTr="0074274F">
        <w:trPr>
          <w:trHeight w:val="705"/>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PM</w:t>
            </w:r>
            <w:r w:rsidRPr="00FD5944">
              <w:rPr>
                <w:rFonts w:ascii="Arial" w:hAnsi="Arial" w:cs="Arial"/>
                <w:vertAlign w:val="subscript"/>
              </w:rPr>
              <w:t>2,5</w:t>
            </w:r>
            <w:r w:rsidRPr="00FD5944">
              <w:rPr>
                <w:rFonts w:ascii="Arial" w:hAnsi="Arial" w:cs="Arial"/>
              </w:rPr>
              <w:t xml:space="preserve"> grv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13</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15</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30N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28</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21N</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FD5944" w:rsidRDefault="00CA0B63" w:rsidP="0074274F">
            <w:pPr>
              <w:spacing w:after="120" w:line="240" w:lineRule="auto"/>
              <w:jc w:val="center"/>
              <w:rPr>
                <w:rFonts w:ascii="Arial" w:hAnsi="Arial" w:cs="Arial"/>
              </w:rPr>
            </w:pPr>
          </w:p>
        </w:tc>
      </w:tr>
      <w:tr w:rsidR="00CA0B63" w:rsidRPr="003A1BE6" w:rsidTr="0074274F">
        <w:trPr>
          <w:trHeight w:val="597"/>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O</w:t>
            </w:r>
            <w:r w:rsidRPr="00FD5944">
              <w:rPr>
                <w:rFonts w:ascii="Arial" w:hAnsi="Arial" w:cs="Arial"/>
                <w:vertAlign w:val="subscript"/>
              </w:rPr>
              <w:t>3</w:t>
            </w:r>
            <w:r w:rsidRPr="00FD5944">
              <w:rPr>
                <w:rFonts w:ascii="Arial" w:hAnsi="Arial" w:cs="Arial"/>
              </w:rPr>
              <w:t xml:space="preserve">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54</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51</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40</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33N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40</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25</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21</w:t>
            </w:r>
          </w:p>
        </w:tc>
      </w:tr>
      <w:tr w:rsidR="00CA0B63" w:rsidRPr="003A1BE6" w:rsidTr="0074274F">
        <w:trPr>
          <w:trHeight w:val="615"/>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NO</w:t>
            </w:r>
            <w:r w:rsidRPr="00FD5944">
              <w:rPr>
                <w:rFonts w:ascii="Arial" w:hAnsi="Arial" w:cs="Arial"/>
                <w:vertAlign w:val="subscript"/>
              </w:rPr>
              <w:t>2</w:t>
            </w:r>
            <w:r w:rsidRPr="00FD5944">
              <w:rPr>
                <w:rFonts w:ascii="Arial" w:hAnsi="Arial" w:cs="Arial"/>
              </w:rPr>
              <w:t xml:space="preserve">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27</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23</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19 N</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29N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24</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27N</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FD5944" w:rsidRDefault="00CA0B63" w:rsidP="0074274F">
            <w:pPr>
              <w:spacing w:after="120" w:line="240" w:lineRule="auto"/>
              <w:jc w:val="center"/>
              <w:rPr>
                <w:rFonts w:ascii="Arial" w:hAnsi="Arial" w:cs="Arial"/>
              </w:rPr>
            </w:pPr>
          </w:p>
        </w:tc>
      </w:tr>
      <w:tr w:rsidR="00CA0B63" w:rsidRPr="003A1BE6" w:rsidTr="0074274F">
        <w:trPr>
          <w:trHeight w:val="615"/>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NO</w:t>
            </w:r>
            <w:r w:rsidRPr="00FD5944">
              <w:rPr>
                <w:rFonts w:ascii="Arial" w:hAnsi="Arial" w:cs="Arial"/>
                <w:vertAlign w:val="subscript"/>
              </w:rPr>
              <w:t>X</w:t>
            </w:r>
            <w:r w:rsidRPr="00FD5944">
              <w:rPr>
                <w:rFonts w:ascii="Arial" w:hAnsi="Arial" w:cs="Arial"/>
              </w:rPr>
              <w:t xml:space="preserve">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40</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36</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29 N</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47N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36</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40N</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FD5944" w:rsidRDefault="00CA0B63" w:rsidP="0074274F">
            <w:pPr>
              <w:spacing w:after="120" w:line="240" w:lineRule="auto"/>
              <w:jc w:val="center"/>
              <w:rPr>
                <w:rFonts w:ascii="Arial" w:hAnsi="Arial" w:cs="Arial"/>
              </w:rPr>
            </w:pPr>
          </w:p>
        </w:tc>
      </w:tr>
      <w:tr w:rsidR="00CA0B63" w:rsidRPr="003A1BE6" w:rsidTr="0074274F">
        <w:trPr>
          <w:trHeight w:val="543"/>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CO (mg/mc)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0,</w:t>
            </w:r>
            <w:r w:rsidR="00CA0B63" w:rsidRPr="00FD5944">
              <w:rPr>
                <w:rFonts w:ascii="Arial" w:hAnsi="Arial" w:cs="Arial"/>
              </w:rPr>
              <w:t>24</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0,</w:t>
            </w:r>
            <w:r w:rsidR="00CA0B63" w:rsidRPr="00FD5944">
              <w:rPr>
                <w:rFonts w:ascii="Arial" w:hAnsi="Arial" w:cs="Arial"/>
              </w:rPr>
              <w:t>25</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0,</w:t>
            </w:r>
            <w:r w:rsidR="00CA0B63" w:rsidRPr="00FD5944">
              <w:rPr>
                <w:rFonts w:ascii="Arial" w:hAnsi="Arial" w:cs="Arial"/>
              </w:rPr>
              <w:t>36</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0,38N</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0,</w:t>
            </w:r>
            <w:r w:rsidR="00CA0B63" w:rsidRPr="00FD5944">
              <w:rPr>
                <w:rFonts w:ascii="Arial" w:hAnsi="Arial" w:cs="Arial"/>
              </w:rPr>
              <w:t>23</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0,</w:t>
            </w:r>
            <w:r w:rsidR="00CA0B63" w:rsidRPr="00FD5944">
              <w:rPr>
                <w:rFonts w:ascii="Arial" w:hAnsi="Arial" w:cs="Arial"/>
              </w:rPr>
              <w:t>25</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0,</w:t>
            </w:r>
            <w:r w:rsidR="00CA0B63" w:rsidRPr="00FD5944">
              <w:rPr>
                <w:rFonts w:ascii="Arial" w:hAnsi="Arial" w:cs="Arial"/>
              </w:rPr>
              <w:t>3</w:t>
            </w:r>
          </w:p>
        </w:tc>
      </w:tr>
      <w:tr w:rsidR="00CA0B63" w:rsidRPr="003A1BE6" w:rsidTr="0074274F">
        <w:trPr>
          <w:trHeight w:val="678"/>
          <w:jc w:val="center"/>
        </w:trPr>
        <w:tc>
          <w:tcPr>
            <w:tcW w:w="1025" w:type="dxa"/>
            <w:tcBorders>
              <w:top w:val="nil"/>
              <w:left w:val="single" w:sz="4" w:space="0" w:color="auto"/>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Benzen (μg/mc)</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CA0B63" w:rsidP="0074274F">
            <w:pPr>
              <w:spacing w:after="120" w:line="240" w:lineRule="auto"/>
              <w:jc w:val="center"/>
              <w:rPr>
                <w:rFonts w:ascii="Arial" w:hAnsi="Arial" w:cs="Arial"/>
              </w:rPr>
            </w:pPr>
            <w:r w:rsidRPr="00FD5944">
              <w:rPr>
                <w:rFonts w:ascii="Arial" w:hAnsi="Arial" w:cs="Arial"/>
              </w:rPr>
              <w:t>FU</w:t>
            </w:r>
          </w:p>
        </w:tc>
        <w:tc>
          <w:tcPr>
            <w:tcW w:w="952"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4,</w:t>
            </w:r>
            <w:r w:rsidR="00CA0B63" w:rsidRPr="00FD5944">
              <w:rPr>
                <w:rFonts w:ascii="Arial" w:hAnsi="Arial" w:cs="Arial"/>
              </w:rPr>
              <w:t>9</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3,</w:t>
            </w:r>
            <w:r w:rsidR="00CA0B63" w:rsidRPr="00FD5944">
              <w:rPr>
                <w:rFonts w:ascii="Arial" w:hAnsi="Arial" w:cs="Arial"/>
              </w:rPr>
              <w:t>8</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3,</w:t>
            </w:r>
            <w:r w:rsidR="00CA0B63" w:rsidRPr="00FD5944">
              <w:rPr>
                <w:rFonts w:ascii="Arial" w:hAnsi="Arial" w:cs="Arial"/>
              </w:rPr>
              <w:t>7</w:t>
            </w:r>
          </w:p>
        </w:tc>
        <w:tc>
          <w:tcPr>
            <w:tcW w:w="954"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3,</w:t>
            </w:r>
            <w:r w:rsidR="00CA0B63" w:rsidRPr="00FD5944">
              <w:rPr>
                <w:rFonts w:ascii="Arial" w:hAnsi="Arial" w:cs="Arial"/>
              </w:rPr>
              <w:t>2</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2,</w:t>
            </w:r>
            <w:r w:rsidR="00CA0B63" w:rsidRPr="00FD5944">
              <w:rPr>
                <w:rFonts w:ascii="Arial" w:hAnsi="Arial" w:cs="Arial"/>
              </w:rPr>
              <w:t>8</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2,</w:t>
            </w:r>
            <w:r w:rsidR="00CA0B63" w:rsidRPr="00FD5944">
              <w:rPr>
                <w:rFonts w:ascii="Arial" w:hAnsi="Arial" w:cs="Arial"/>
              </w:rPr>
              <w:t>5</w:t>
            </w:r>
          </w:p>
        </w:tc>
        <w:tc>
          <w:tcPr>
            <w:tcW w:w="951" w:type="dxa"/>
            <w:tcBorders>
              <w:top w:val="nil"/>
              <w:left w:val="nil"/>
              <w:bottom w:val="single" w:sz="4" w:space="0" w:color="auto"/>
              <w:right w:val="single" w:sz="4" w:space="0" w:color="auto"/>
            </w:tcBorders>
            <w:shd w:val="clear" w:color="auto" w:fill="auto"/>
            <w:vAlign w:val="center"/>
            <w:hideMark/>
          </w:tcPr>
          <w:p w:rsidR="00CA0B63" w:rsidRPr="00FD5944" w:rsidRDefault="0074274F" w:rsidP="0074274F">
            <w:pPr>
              <w:spacing w:after="120" w:line="240" w:lineRule="auto"/>
              <w:jc w:val="center"/>
              <w:rPr>
                <w:rFonts w:ascii="Arial" w:hAnsi="Arial" w:cs="Arial"/>
              </w:rPr>
            </w:pPr>
            <w:r>
              <w:rPr>
                <w:rFonts w:ascii="Arial" w:hAnsi="Arial" w:cs="Arial"/>
              </w:rPr>
              <w:t>4,</w:t>
            </w:r>
            <w:r w:rsidR="00CA0B63" w:rsidRPr="00FD5944">
              <w:rPr>
                <w:rFonts w:ascii="Arial" w:hAnsi="Arial" w:cs="Arial"/>
              </w:rPr>
              <w:t>7</w:t>
            </w:r>
          </w:p>
        </w:tc>
      </w:tr>
    </w:tbl>
    <w:p w:rsidR="00CA0B63" w:rsidRPr="003A1BE6" w:rsidRDefault="007C3D1D" w:rsidP="007C3D1D">
      <w:pPr>
        <w:spacing w:before="120" w:after="120" w:line="240" w:lineRule="auto"/>
        <w:jc w:val="center"/>
        <w:rPr>
          <w:rFonts w:ascii="Arial" w:hAnsi="Arial" w:cs="Arial"/>
          <w:sz w:val="24"/>
          <w:szCs w:val="24"/>
        </w:rPr>
      </w:pPr>
      <w:r>
        <w:rPr>
          <w:rFonts w:ascii="Arial" w:hAnsi="Arial" w:cs="Arial"/>
          <w:b/>
          <w:sz w:val="24"/>
          <w:szCs w:val="24"/>
        </w:rPr>
        <w:t>Tabel</w:t>
      </w:r>
      <w:r w:rsidR="00CA0B63">
        <w:rPr>
          <w:rFonts w:ascii="Arial" w:hAnsi="Arial" w:cs="Arial"/>
          <w:b/>
          <w:sz w:val="24"/>
          <w:szCs w:val="24"/>
        </w:rPr>
        <w:t xml:space="preserve"> I.1.1.2.7.1.</w:t>
      </w:r>
      <w:r w:rsidR="00CA0B63" w:rsidRPr="00FD5944">
        <w:rPr>
          <w:rFonts w:ascii="Arial" w:hAnsi="Arial" w:cs="Arial"/>
          <w:b/>
          <w:bCs/>
          <w:sz w:val="24"/>
          <w:szCs w:val="24"/>
        </w:rPr>
        <w:t xml:space="preserve"> </w:t>
      </w:r>
      <w:r w:rsidR="00CA0B63" w:rsidRPr="00901241">
        <w:rPr>
          <w:rFonts w:ascii="Arial" w:hAnsi="Arial" w:cs="Arial"/>
          <w:b/>
          <w:bCs/>
          <w:sz w:val="24"/>
          <w:szCs w:val="24"/>
        </w:rPr>
        <w:t>Concentraţiile medii</w:t>
      </w:r>
    </w:p>
    <w:p w:rsidR="00CA0B63" w:rsidRDefault="00CA0B63" w:rsidP="00CA0B63">
      <w:pPr>
        <w:spacing w:after="120" w:line="240" w:lineRule="auto"/>
        <w:jc w:val="center"/>
        <w:rPr>
          <w:rFonts w:ascii="Arial" w:hAnsi="Arial" w:cs="Arial"/>
          <w:sz w:val="24"/>
          <w:szCs w:val="24"/>
        </w:rPr>
      </w:pPr>
      <w:r w:rsidRPr="001A1DEF">
        <w:rPr>
          <w:rFonts w:ascii="Arial" w:hAnsi="Arial" w:cs="Arial"/>
          <w:noProof/>
          <w:sz w:val="24"/>
          <w:szCs w:val="24"/>
          <w:lang w:val="ro-RO" w:eastAsia="ro-RO"/>
        </w:rPr>
        <w:lastRenderedPageBreak/>
        <w:drawing>
          <wp:inline distT="0" distB="0" distL="0" distR="0">
            <wp:extent cx="4572000" cy="2743200"/>
            <wp:effectExtent l="19050" t="0" r="19050" b="0"/>
            <wp:docPr id="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0B63" w:rsidRPr="00901241" w:rsidRDefault="00CA0B63" w:rsidP="007C3D1D">
      <w:pPr>
        <w:tabs>
          <w:tab w:val="left" w:pos="3945"/>
        </w:tabs>
        <w:spacing w:before="120" w:after="120" w:line="240" w:lineRule="auto"/>
        <w:jc w:val="center"/>
        <w:rPr>
          <w:rFonts w:ascii="Arial" w:hAnsi="Arial" w:cs="Arial"/>
          <w:sz w:val="24"/>
          <w:szCs w:val="24"/>
        </w:rPr>
      </w:pPr>
      <w:r>
        <w:rPr>
          <w:rFonts w:ascii="Arial" w:hAnsi="Arial" w:cs="Arial"/>
          <w:b/>
          <w:bCs/>
          <w:sz w:val="24"/>
          <w:szCs w:val="24"/>
        </w:rPr>
        <w:t>Fig</w:t>
      </w:r>
      <w:r w:rsidR="007C3D1D">
        <w:rPr>
          <w:rFonts w:ascii="Arial" w:hAnsi="Arial" w:cs="Arial"/>
          <w:b/>
          <w:bCs/>
          <w:sz w:val="24"/>
          <w:szCs w:val="24"/>
        </w:rPr>
        <w:t>ura</w:t>
      </w:r>
      <w:r>
        <w:rPr>
          <w:rFonts w:ascii="Arial" w:hAnsi="Arial" w:cs="Arial"/>
          <w:b/>
          <w:bCs/>
          <w:sz w:val="24"/>
          <w:szCs w:val="24"/>
        </w:rPr>
        <w:t xml:space="preserve"> I.1.1.2.7.1. </w:t>
      </w:r>
      <w:r w:rsidRPr="00901241">
        <w:rPr>
          <w:rFonts w:ascii="Arial" w:hAnsi="Arial" w:cs="Arial"/>
          <w:b/>
          <w:bCs/>
          <w:sz w:val="24"/>
          <w:szCs w:val="24"/>
        </w:rPr>
        <w:t>Concentraţiile medii</w:t>
      </w:r>
    </w:p>
    <w:p w:rsidR="00CA0B63" w:rsidRDefault="00CA0B63" w:rsidP="007C3D1D">
      <w:pPr>
        <w:spacing w:before="120" w:after="120" w:line="240" w:lineRule="auto"/>
        <w:jc w:val="both"/>
        <w:rPr>
          <w:rFonts w:ascii="Arial" w:hAnsi="Arial" w:cs="Arial"/>
          <w:sz w:val="24"/>
          <w:szCs w:val="24"/>
        </w:rPr>
      </w:pPr>
      <w:r>
        <w:rPr>
          <w:rFonts w:ascii="Arial" w:hAnsi="Arial" w:cs="Arial"/>
          <w:sz w:val="24"/>
          <w:szCs w:val="24"/>
        </w:rPr>
        <w:t>Din analiza datelor din diagrama de mai sus se poate trage concluzia că evoluţia calităţii aerului în perioada  2008-2014 a fost bună manifestându-se tendiţa de scădere a valorilor medii pentru majoritatea indicatorilor monitorizaţi.</w:t>
      </w:r>
    </w:p>
    <w:p w:rsidR="00CA0B63" w:rsidRDefault="00CA0B63" w:rsidP="007C3D1D">
      <w:pPr>
        <w:spacing w:before="120" w:after="120" w:line="240" w:lineRule="auto"/>
        <w:jc w:val="both"/>
        <w:rPr>
          <w:rFonts w:ascii="Arial" w:hAnsi="Arial" w:cs="Arial"/>
          <w:sz w:val="24"/>
          <w:szCs w:val="24"/>
        </w:rPr>
      </w:pPr>
    </w:p>
    <w:p w:rsidR="00CA0B63" w:rsidRDefault="00CA0B63" w:rsidP="007C3D1D">
      <w:pPr>
        <w:tabs>
          <w:tab w:val="left" w:pos="4065"/>
        </w:tabs>
        <w:spacing w:before="120" w:after="120" w:line="240" w:lineRule="auto"/>
        <w:jc w:val="both"/>
        <w:rPr>
          <w:rFonts w:ascii="Arial" w:hAnsi="Arial" w:cs="Arial"/>
          <w:sz w:val="24"/>
          <w:szCs w:val="24"/>
        </w:rPr>
      </w:pPr>
      <w:r>
        <w:rPr>
          <w:rFonts w:ascii="Arial" w:hAnsi="Arial" w:cs="Arial"/>
          <w:b/>
          <w:sz w:val="24"/>
          <w:szCs w:val="24"/>
        </w:rPr>
        <w:t>I.1.1.3. Depăşiri ale valorilor limită şi valorilor ţintă privind calitatea aerului înconjurător în zonele urbane</w:t>
      </w:r>
      <w:r>
        <w:rPr>
          <w:rFonts w:ascii="Arial" w:hAnsi="Arial" w:cs="Arial"/>
          <w:sz w:val="24"/>
          <w:szCs w:val="24"/>
        </w:rPr>
        <w:tab/>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Din analiza datelor furnizate de staţia automată de monitorizare a calităţii aerului BZ-1, în cursul anului 2014 se constată că  pentru indicatorii SO2, NO2, CO, O3 şi Benzen </w:t>
      </w:r>
      <w:r w:rsidRPr="00404BE2">
        <w:rPr>
          <w:rFonts w:ascii="Arial" w:hAnsi="Arial" w:cs="Arial"/>
          <w:b/>
          <w:sz w:val="24"/>
          <w:szCs w:val="24"/>
        </w:rPr>
        <w:t>nu s-au înregistrat depă</w:t>
      </w:r>
      <w:r>
        <w:rPr>
          <w:rFonts w:ascii="Arial" w:hAnsi="Arial" w:cs="Arial"/>
          <w:b/>
          <w:sz w:val="24"/>
          <w:szCs w:val="24"/>
        </w:rPr>
        <w:t>ş</w:t>
      </w:r>
      <w:r w:rsidRPr="00404BE2">
        <w:rPr>
          <w:rFonts w:ascii="Arial" w:hAnsi="Arial" w:cs="Arial"/>
          <w:b/>
          <w:sz w:val="24"/>
          <w:szCs w:val="24"/>
        </w:rPr>
        <w:t xml:space="preserve">iri ale valorilor limită </w:t>
      </w:r>
      <w:r>
        <w:rPr>
          <w:rFonts w:ascii="Arial" w:hAnsi="Arial" w:cs="Arial"/>
          <w:b/>
          <w:sz w:val="24"/>
          <w:szCs w:val="24"/>
        </w:rPr>
        <w:t>ş</w:t>
      </w:r>
      <w:r w:rsidRPr="00404BE2">
        <w:rPr>
          <w:rFonts w:ascii="Arial" w:hAnsi="Arial" w:cs="Arial"/>
          <w:b/>
          <w:sz w:val="24"/>
          <w:szCs w:val="24"/>
        </w:rPr>
        <w:t xml:space="preserve">i a valorii </w:t>
      </w:r>
      <w:r>
        <w:rPr>
          <w:rFonts w:ascii="Arial" w:hAnsi="Arial" w:cs="Arial"/>
          <w:b/>
          <w:sz w:val="24"/>
          <w:szCs w:val="24"/>
        </w:rPr>
        <w:t>ţ</w:t>
      </w:r>
      <w:r w:rsidRPr="00404BE2">
        <w:rPr>
          <w:rFonts w:ascii="Arial" w:hAnsi="Arial" w:cs="Arial"/>
          <w:b/>
          <w:sz w:val="24"/>
          <w:szCs w:val="24"/>
        </w:rPr>
        <w:t>intă</w:t>
      </w:r>
      <w:r>
        <w:rPr>
          <w:rFonts w:ascii="Arial" w:hAnsi="Arial" w:cs="Arial"/>
          <w:b/>
          <w:sz w:val="24"/>
          <w:szCs w:val="24"/>
        </w:rPr>
        <w:t xml:space="preserve">. </w:t>
      </w:r>
    </w:p>
    <w:p w:rsidR="00CA0B63" w:rsidRDefault="00CA0B63" w:rsidP="007C3D1D">
      <w:pPr>
        <w:spacing w:before="120" w:after="120" w:line="240" w:lineRule="auto"/>
        <w:jc w:val="both"/>
        <w:rPr>
          <w:rFonts w:ascii="Arial" w:hAnsi="Arial" w:cs="Arial"/>
          <w:sz w:val="24"/>
          <w:szCs w:val="24"/>
        </w:rPr>
      </w:pPr>
      <w:r>
        <w:rPr>
          <w:rFonts w:ascii="Arial" w:hAnsi="Arial" w:cs="Arial"/>
          <w:sz w:val="24"/>
          <w:szCs w:val="24"/>
        </w:rPr>
        <w:t>În cazul indicatorului PM10 gravimetric au fost înregistrate 11 depăşiri ale valorii medii zi</w:t>
      </w:r>
      <w:r>
        <w:rPr>
          <w:rFonts w:ascii="Arial" w:hAnsi="Arial" w:cs="Arial"/>
          <w:sz w:val="24"/>
          <w:szCs w:val="24"/>
        </w:rPr>
        <w:t>l</w:t>
      </w:r>
      <w:r>
        <w:rPr>
          <w:rFonts w:ascii="Arial" w:hAnsi="Arial" w:cs="Arial"/>
          <w:sz w:val="24"/>
          <w:szCs w:val="24"/>
        </w:rPr>
        <w:t>nice, depăşiri datorate arderilor rezidenţiale, traficului şi condiţiilor meteo (calm atmosfe</w:t>
      </w:r>
      <w:r>
        <w:rPr>
          <w:rFonts w:ascii="Arial" w:hAnsi="Arial" w:cs="Arial"/>
          <w:sz w:val="24"/>
          <w:szCs w:val="24"/>
        </w:rPr>
        <w:t>r</w:t>
      </w:r>
      <w:r>
        <w:rPr>
          <w:rFonts w:ascii="Arial" w:hAnsi="Arial" w:cs="Arial"/>
          <w:sz w:val="24"/>
          <w:szCs w:val="24"/>
        </w:rPr>
        <w:t>ic). În susţinerea cauzelor care au generat aceste depăşiri vine şi faptul că ele s-au produs în perioadele reci ale anului, astfel: ianuarie - 1, februarie - 6, octombrie – 1 şi noiembrie - 3.</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Prin aplicarea măsurilor cuprinse în Programul de Gestiune a Calităţii Aerului se constată o scădere  a numărului de depăşiri în perioada 2008-2014, aşa cum reiese din </w:t>
      </w:r>
      <w:r>
        <w:rPr>
          <w:rFonts w:ascii="Arial" w:hAnsi="Arial" w:cs="Arial"/>
          <w:b/>
          <w:sz w:val="24"/>
          <w:szCs w:val="24"/>
        </w:rPr>
        <w:t xml:space="preserve">Tabelul I.1.1.3.1. </w:t>
      </w:r>
      <w:r>
        <w:rPr>
          <w:rFonts w:ascii="Arial" w:hAnsi="Arial" w:cs="Arial"/>
          <w:sz w:val="24"/>
          <w:szCs w:val="24"/>
        </w:rPr>
        <w:t xml:space="preserve">şi </w:t>
      </w:r>
      <w:r>
        <w:rPr>
          <w:rFonts w:ascii="Arial" w:hAnsi="Arial" w:cs="Arial"/>
          <w:b/>
          <w:sz w:val="24"/>
          <w:szCs w:val="24"/>
        </w:rPr>
        <w:t>Fig. I.1.1.3.1.</w:t>
      </w:r>
    </w:p>
    <w:p w:rsidR="007C3D1D" w:rsidRDefault="007C3D1D" w:rsidP="00CA0B63">
      <w:pPr>
        <w:spacing w:after="120" w:line="240" w:lineRule="auto"/>
        <w:jc w:val="both"/>
        <w:rPr>
          <w:rFonts w:ascii="Arial" w:hAnsi="Arial" w:cs="Arial"/>
          <w:b/>
          <w:sz w:val="24"/>
          <w:szCs w:val="24"/>
        </w:rPr>
      </w:pPr>
    </w:p>
    <w:tbl>
      <w:tblPr>
        <w:tblW w:w="3234" w:type="dxa"/>
        <w:jc w:val="center"/>
        <w:tblInd w:w="103" w:type="dxa"/>
        <w:tblLook w:val="04A0"/>
      </w:tblPr>
      <w:tblGrid>
        <w:gridCol w:w="960"/>
        <w:gridCol w:w="1137"/>
        <w:gridCol w:w="1137"/>
      </w:tblGrid>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b/>
                <w:bCs/>
                <w:color w:val="000000"/>
                <w:sz w:val="24"/>
                <w:szCs w:val="24"/>
              </w:rPr>
            </w:pPr>
            <w:r w:rsidRPr="00FD5944">
              <w:rPr>
                <w:rFonts w:ascii="Arial" w:eastAsia="Times New Roman" w:hAnsi="Arial" w:cs="Arial"/>
                <w:b/>
                <w:bCs/>
                <w:color w:val="000000"/>
                <w:sz w:val="24"/>
                <w:szCs w:val="24"/>
              </w:rPr>
              <w:t>AN</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b/>
                <w:bCs/>
                <w:color w:val="000000"/>
                <w:sz w:val="24"/>
                <w:szCs w:val="24"/>
              </w:rPr>
            </w:pPr>
            <w:r w:rsidRPr="00FD5944">
              <w:rPr>
                <w:rFonts w:ascii="Arial" w:eastAsia="Times New Roman" w:hAnsi="Arial" w:cs="Arial"/>
                <w:b/>
                <w:bCs/>
                <w:color w:val="000000"/>
                <w:sz w:val="24"/>
                <w:szCs w:val="24"/>
              </w:rPr>
              <w:t>Nr. depă</w:t>
            </w:r>
            <w:r>
              <w:rPr>
                <w:rFonts w:ascii="Arial" w:eastAsia="Times New Roman" w:hAnsi="Arial" w:cs="Arial"/>
                <w:b/>
                <w:bCs/>
                <w:color w:val="000000"/>
                <w:sz w:val="24"/>
                <w:szCs w:val="24"/>
              </w:rPr>
              <w:t>ş</w:t>
            </w:r>
            <w:r w:rsidRPr="00FD5944">
              <w:rPr>
                <w:rFonts w:ascii="Arial" w:eastAsia="Times New Roman" w:hAnsi="Arial" w:cs="Arial"/>
                <w:b/>
                <w:bCs/>
                <w:color w:val="000000"/>
                <w:sz w:val="24"/>
                <w:szCs w:val="24"/>
              </w:rPr>
              <w:t>iri PM10 grv</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b/>
                <w:bCs/>
                <w:color w:val="000000"/>
                <w:sz w:val="24"/>
                <w:szCs w:val="24"/>
              </w:rPr>
            </w:pPr>
            <w:r w:rsidRPr="00FD5944">
              <w:rPr>
                <w:rFonts w:ascii="Arial" w:eastAsia="Times New Roman" w:hAnsi="Arial" w:cs="Arial"/>
                <w:b/>
                <w:bCs/>
                <w:color w:val="000000"/>
                <w:sz w:val="24"/>
                <w:szCs w:val="24"/>
              </w:rPr>
              <w:t>Nr. maxim de depă</w:t>
            </w:r>
            <w:r>
              <w:rPr>
                <w:rFonts w:ascii="Arial" w:eastAsia="Times New Roman" w:hAnsi="Arial" w:cs="Arial"/>
                <w:b/>
                <w:bCs/>
                <w:color w:val="000000"/>
                <w:sz w:val="24"/>
                <w:szCs w:val="24"/>
              </w:rPr>
              <w:t>ş</w:t>
            </w:r>
            <w:r w:rsidRPr="00FD5944">
              <w:rPr>
                <w:rFonts w:ascii="Arial" w:eastAsia="Times New Roman" w:hAnsi="Arial" w:cs="Arial"/>
                <w:b/>
                <w:bCs/>
                <w:color w:val="000000"/>
                <w:sz w:val="24"/>
                <w:szCs w:val="24"/>
              </w:rPr>
              <w:t>iri</w:t>
            </w:r>
          </w:p>
        </w:tc>
      </w:tr>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4274F" w:rsidP="007C3D1D">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2008</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r>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4274F" w:rsidP="007C3D1D">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2009</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r>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4274F" w:rsidP="007C3D1D">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2010</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r>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4274F" w:rsidP="007C3D1D">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2011</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22</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r>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4274F" w:rsidP="007C3D1D">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2012</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r>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4274F" w:rsidP="007C3D1D">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2013</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20</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r>
      <w:tr w:rsidR="007C3D1D" w:rsidRPr="00FD5944" w:rsidTr="007C3D1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D1D" w:rsidRPr="00FD5944" w:rsidRDefault="0074274F" w:rsidP="007C3D1D">
            <w:pPr>
              <w:spacing w:after="12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2014</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11</w:t>
            </w:r>
          </w:p>
        </w:tc>
        <w:tc>
          <w:tcPr>
            <w:tcW w:w="1137" w:type="dxa"/>
            <w:tcBorders>
              <w:top w:val="nil"/>
              <w:left w:val="nil"/>
              <w:bottom w:val="single" w:sz="4" w:space="0" w:color="auto"/>
              <w:right w:val="single" w:sz="4" w:space="0" w:color="auto"/>
            </w:tcBorders>
            <w:shd w:val="clear" w:color="auto" w:fill="auto"/>
            <w:noWrap/>
            <w:vAlign w:val="center"/>
            <w:hideMark/>
          </w:tcPr>
          <w:p w:rsidR="007C3D1D" w:rsidRPr="00FD5944" w:rsidRDefault="007C3D1D" w:rsidP="007C3D1D">
            <w:pPr>
              <w:spacing w:after="120" w:line="240" w:lineRule="auto"/>
              <w:jc w:val="center"/>
              <w:rPr>
                <w:rFonts w:ascii="Arial" w:eastAsia="Times New Roman" w:hAnsi="Arial" w:cs="Arial"/>
                <w:color w:val="000000"/>
                <w:sz w:val="24"/>
                <w:szCs w:val="24"/>
              </w:rPr>
            </w:pPr>
            <w:r w:rsidRPr="00FD5944">
              <w:rPr>
                <w:rFonts w:ascii="Arial" w:eastAsia="Times New Roman" w:hAnsi="Arial" w:cs="Arial"/>
                <w:color w:val="000000"/>
                <w:sz w:val="24"/>
                <w:szCs w:val="24"/>
              </w:rPr>
              <w:t>35</w:t>
            </w:r>
          </w:p>
        </w:tc>
      </w:tr>
    </w:tbl>
    <w:p w:rsidR="00CA0B63" w:rsidRDefault="00CA0B63" w:rsidP="007C3D1D">
      <w:pPr>
        <w:spacing w:before="120" w:after="120" w:line="240" w:lineRule="auto"/>
        <w:jc w:val="center"/>
        <w:rPr>
          <w:rFonts w:ascii="Arial" w:hAnsi="Arial" w:cs="Arial"/>
          <w:b/>
          <w:sz w:val="24"/>
          <w:szCs w:val="24"/>
        </w:rPr>
      </w:pPr>
      <w:r>
        <w:rPr>
          <w:rFonts w:ascii="Arial" w:hAnsi="Arial" w:cs="Arial"/>
          <w:b/>
          <w:sz w:val="24"/>
          <w:szCs w:val="24"/>
        </w:rPr>
        <w:t>Tabelul I.1.1.3.1.</w:t>
      </w:r>
      <w:r w:rsidRPr="00FD5944">
        <w:rPr>
          <w:rFonts w:ascii="Arial" w:hAnsi="Arial" w:cs="Arial"/>
          <w:b/>
          <w:sz w:val="24"/>
          <w:szCs w:val="24"/>
        </w:rPr>
        <w:t xml:space="preserve"> </w:t>
      </w:r>
      <w:r>
        <w:rPr>
          <w:rFonts w:ascii="Arial" w:hAnsi="Arial" w:cs="Arial"/>
          <w:b/>
          <w:sz w:val="24"/>
          <w:szCs w:val="24"/>
        </w:rPr>
        <w:t>Variaţia numărului de depăşiri la PM10 gravimetric, staţia BZ-1</w:t>
      </w:r>
    </w:p>
    <w:p w:rsidR="00CA0B63" w:rsidRPr="00FD5944" w:rsidRDefault="00CA0B63" w:rsidP="00CA0B63">
      <w:pPr>
        <w:spacing w:after="120" w:line="240" w:lineRule="auto"/>
        <w:jc w:val="center"/>
        <w:rPr>
          <w:rFonts w:ascii="Arial" w:hAnsi="Arial" w:cs="Arial"/>
          <w:sz w:val="24"/>
          <w:szCs w:val="24"/>
        </w:rPr>
      </w:pPr>
    </w:p>
    <w:p w:rsidR="00CA0B63" w:rsidRDefault="00CA0B63" w:rsidP="00CA0B63">
      <w:pPr>
        <w:tabs>
          <w:tab w:val="left" w:pos="4320"/>
        </w:tabs>
        <w:spacing w:after="120" w:line="240" w:lineRule="auto"/>
        <w:jc w:val="center"/>
        <w:rPr>
          <w:rFonts w:ascii="Arial" w:hAnsi="Arial" w:cs="Arial"/>
          <w:sz w:val="24"/>
          <w:szCs w:val="24"/>
        </w:rPr>
      </w:pPr>
      <w:r w:rsidRPr="00A02947">
        <w:rPr>
          <w:rFonts w:ascii="Arial" w:hAnsi="Arial" w:cs="Arial"/>
          <w:noProof/>
          <w:sz w:val="24"/>
          <w:szCs w:val="24"/>
          <w:lang w:val="ro-RO" w:eastAsia="ro-RO"/>
        </w:rPr>
        <w:drawing>
          <wp:inline distT="0" distB="0" distL="0" distR="0">
            <wp:extent cx="4572000" cy="2743200"/>
            <wp:effectExtent l="19050" t="0" r="19050"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0B63" w:rsidRDefault="007C3D1D" w:rsidP="007C3D1D">
      <w:pPr>
        <w:spacing w:before="120" w:after="120" w:line="240" w:lineRule="auto"/>
        <w:jc w:val="center"/>
        <w:rPr>
          <w:rFonts w:ascii="Arial" w:hAnsi="Arial" w:cs="Arial"/>
          <w:b/>
          <w:sz w:val="24"/>
          <w:szCs w:val="24"/>
        </w:rPr>
      </w:pPr>
      <w:r>
        <w:rPr>
          <w:rFonts w:ascii="Arial" w:hAnsi="Arial" w:cs="Arial"/>
          <w:b/>
          <w:sz w:val="24"/>
          <w:szCs w:val="24"/>
        </w:rPr>
        <w:t>Figura</w:t>
      </w:r>
      <w:r w:rsidR="00CA0B63">
        <w:rPr>
          <w:rFonts w:ascii="Arial" w:hAnsi="Arial" w:cs="Arial"/>
          <w:b/>
          <w:sz w:val="24"/>
          <w:szCs w:val="24"/>
        </w:rPr>
        <w:t xml:space="preserve"> I.1.1.3.1. Variaţia numărului de depăşiri la PM10 gravimetric, staţia BZ-1</w:t>
      </w:r>
    </w:p>
    <w:p w:rsidR="00CA0B63" w:rsidRDefault="00CA0B63" w:rsidP="007C3D1D">
      <w:pPr>
        <w:spacing w:before="120" w:after="120" w:line="240" w:lineRule="auto"/>
        <w:jc w:val="both"/>
        <w:rPr>
          <w:rFonts w:ascii="Arial" w:hAnsi="Arial" w:cs="Arial"/>
          <w:sz w:val="24"/>
          <w:szCs w:val="24"/>
        </w:rPr>
      </w:pPr>
      <w:r>
        <w:rPr>
          <w:rFonts w:ascii="Arial" w:hAnsi="Arial" w:cs="Arial"/>
          <w:sz w:val="24"/>
          <w:szCs w:val="24"/>
        </w:rPr>
        <w:t>În municipiul Râmnicu Sărat monitorizarea indicatorului PM10 gravimetric este realizată cu un aparat SVEN LECKEL, aparat care nu face parte din RNMCA, dar care are ca principiu de măsurare tot metoda gravimetrică. În anul 2014 au fost înregistrate 24 de depăşiri ale valorii limită, depăşiri înregistrate în perioada rece a anului ( ianuarie – 3, februarie- 10, martie – 2, octombrie – 2 şi noiembrie – 7) şi datorate arderilor rezidenşiale, traficului şi condiţiilor meteo (calm atmosferic).</w:t>
      </w:r>
    </w:p>
    <w:p w:rsidR="00CA0B63" w:rsidRDefault="00CA0B63" w:rsidP="007C3D1D">
      <w:pPr>
        <w:spacing w:before="120" w:after="120" w:line="240" w:lineRule="auto"/>
        <w:jc w:val="both"/>
        <w:rPr>
          <w:rFonts w:ascii="Arial" w:hAnsi="Arial" w:cs="Arial"/>
          <w:b/>
          <w:sz w:val="24"/>
          <w:szCs w:val="24"/>
        </w:rPr>
      </w:pPr>
      <w:r>
        <w:rPr>
          <w:rFonts w:ascii="Arial" w:hAnsi="Arial" w:cs="Arial"/>
          <w:sz w:val="24"/>
          <w:szCs w:val="24"/>
        </w:rPr>
        <w:t xml:space="preserve">Variaţia numărului de depăşiri ale valorii limită, in municipiul Râmnicu Sărat, în perioada 2012-2014 este prezentată în </w:t>
      </w:r>
      <w:r>
        <w:rPr>
          <w:rFonts w:ascii="Arial" w:hAnsi="Arial" w:cs="Arial"/>
          <w:b/>
          <w:sz w:val="24"/>
          <w:szCs w:val="24"/>
        </w:rPr>
        <w:t>Fig. I.1.1.3.2.</w:t>
      </w:r>
    </w:p>
    <w:p w:rsidR="00CA0B63" w:rsidRDefault="00CA0B63" w:rsidP="00CA0B63">
      <w:pPr>
        <w:spacing w:after="120" w:line="240" w:lineRule="auto"/>
        <w:jc w:val="center"/>
        <w:rPr>
          <w:rFonts w:ascii="Arial" w:hAnsi="Arial" w:cs="Arial"/>
          <w:b/>
          <w:sz w:val="24"/>
          <w:szCs w:val="24"/>
        </w:rPr>
      </w:pPr>
      <w:r w:rsidRPr="00D867BD">
        <w:rPr>
          <w:rFonts w:ascii="Arial" w:hAnsi="Arial" w:cs="Arial"/>
          <w:b/>
          <w:noProof/>
          <w:sz w:val="24"/>
          <w:szCs w:val="24"/>
          <w:lang w:val="ro-RO" w:eastAsia="ro-RO"/>
        </w:rPr>
        <w:drawing>
          <wp:inline distT="0" distB="0" distL="0" distR="0">
            <wp:extent cx="4572000" cy="2743200"/>
            <wp:effectExtent l="19050" t="0" r="19050" b="0"/>
            <wp:docPr id="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0B63" w:rsidRDefault="007C3D1D" w:rsidP="007C3D1D">
      <w:pPr>
        <w:spacing w:before="120" w:after="120" w:line="240" w:lineRule="auto"/>
        <w:jc w:val="center"/>
        <w:rPr>
          <w:rFonts w:ascii="Arial" w:hAnsi="Arial" w:cs="Arial"/>
          <w:sz w:val="24"/>
          <w:szCs w:val="24"/>
        </w:rPr>
      </w:pPr>
      <w:r>
        <w:rPr>
          <w:rFonts w:ascii="Arial" w:hAnsi="Arial" w:cs="Arial"/>
          <w:b/>
          <w:sz w:val="24"/>
          <w:szCs w:val="24"/>
        </w:rPr>
        <w:t>Figura</w:t>
      </w:r>
      <w:r w:rsidR="00CA0B63">
        <w:rPr>
          <w:rFonts w:ascii="Arial" w:hAnsi="Arial" w:cs="Arial"/>
          <w:b/>
          <w:sz w:val="24"/>
          <w:szCs w:val="24"/>
        </w:rPr>
        <w:t xml:space="preserve"> I.1.1.3.2. Variaţia numărului de depăşiri la PM10 gravimetric Râmnicu Sărat</w:t>
      </w:r>
    </w:p>
    <w:p w:rsidR="007C3D1D" w:rsidRDefault="007C3D1D" w:rsidP="00CA0B63">
      <w:pPr>
        <w:spacing w:after="120" w:line="240" w:lineRule="auto"/>
        <w:rPr>
          <w:rFonts w:ascii="Arial" w:hAnsi="Arial" w:cs="Arial"/>
          <w:b/>
          <w:sz w:val="24"/>
          <w:szCs w:val="24"/>
        </w:rPr>
      </w:pPr>
    </w:p>
    <w:p w:rsidR="00CA0B63" w:rsidRDefault="00CA0B63" w:rsidP="007C3D1D">
      <w:pPr>
        <w:spacing w:before="120" w:after="120" w:line="240" w:lineRule="auto"/>
        <w:jc w:val="both"/>
        <w:rPr>
          <w:rFonts w:ascii="Arial" w:hAnsi="Arial" w:cs="Arial"/>
          <w:b/>
          <w:sz w:val="24"/>
          <w:szCs w:val="24"/>
        </w:rPr>
      </w:pPr>
      <w:r w:rsidRPr="00B306EF">
        <w:rPr>
          <w:rFonts w:ascii="Arial" w:hAnsi="Arial" w:cs="Arial"/>
          <w:b/>
          <w:sz w:val="24"/>
          <w:szCs w:val="24"/>
        </w:rPr>
        <w:t>I.1.2. Efectele poluării aerului înconjurător</w:t>
      </w:r>
    </w:p>
    <w:p w:rsidR="00CA0B63" w:rsidRPr="001660D9" w:rsidRDefault="00CA0B63" w:rsidP="007C3D1D">
      <w:pPr>
        <w:pStyle w:val="Default"/>
        <w:spacing w:before="120" w:after="120"/>
        <w:jc w:val="both"/>
      </w:pPr>
      <w:r w:rsidRPr="001660D9">
        <w:t xml:space="preserve">Conform Legii 104/2011 privind calitatea aerului înconjurător, se consideră că sunt înregistrate depăşiri ale valorilor limită a concentraţiilor de poluanţi în aerul înconjurător dacă: </w:t>
      </w:r>
    </w:p>
    <w:p w:rsidR="00CA0B63" w:rsidRPr="001660D9" w:rsidRDefault="00CA0B63" w:rsidP="007C3D1D">
      <w:pPr>
        <w:pStyle w:val="Default"/>
        <w:spacing w:before="120" w:after="120"/>
        <w:jc w:val="both"/>
      </w:pPr>
      <w:r>
        <w:rPr>
          <w:iCs/>
        </w:rPr>
        <w:t xml:space="preserve">- </w:t>
      </w:r>
      <w:r w:rsidRPr="001660D9">
        <w:rPr>
          <w:iCs/>
        </w:rPr>
        <w:t xml:space="preserve">se depăşeşte valorea limită zilnică/anuală a concentraţiilor de PM10 înregistrate la staţiile de fond urbane - a 36 depăşire înregistrată ca medie zilnică la 24 de ore - 50μg/m3)/ca valoare limită anuală - 40μg/m3; </w:t>
      </w:r>
    </w:p>
    <w:p w:rsidR="00CA0B63" w:rsidRPr="001660D9" w:rsidRDefault="00CA0B63" w:rsidP="007C3D1D">
      <w:pPr>
        <w:pStyle w:val="Default"/>
        <w:spacing w:before="120" w:after="120"/>
        <w:jc w:val="both"/>
      </w:pPr>
      <w:r>
        <w:lastRenderedPageBreak/>
        <w:t>-</w:t>
      </w:r>
      <w:r w:rsidRPr="001660D9">
        <w:t></w:t>
      </w:r>
      <w:r>
        <w:t xml:space="preserve"> </w:t>
      </w:r>
      <w:r w:rsidRPr="001660D9">
        <w:rPr>
          <w:iCs/>
        </w:rPr>
        <w:t xml:space="preserve">se depăşeşte valorea limită orară/anuală a concentraţiilor de NO2 înregistrate la staţiile de fond urbane - a 19-a depăşire înregistrată ca valoare limită orară pe an (200μg/m3)/ca valoare limită anuală - 40μg/m3; </w:t>
      </w:r>
    </w:p>
    <w:p w:rsidR="00CA0B63" w:rsidRPr="001660D9" w:rsidRDefault="00CA0B63" w:rsidP="007C3D1D">
      <w:pPr>
        <w:pStyle w:val="Default"/>
        <w:spacing w:before="120" w:after="120"/>
        <w:jc w:val="both"/>
      </w:pPr>
      <w:r>
        <w:t xml:space="preserve">- </w:t>
      </w:r>
      <w:r w:rsidRPr="001660D9">
        <w:rPr>
          <w:iCs/>
        </w:rPr>
        <w:t xml:space="preserve">se depăşeşte valorea limită zilnică/orară a concentraţiilor de SO2 înregistrate la staţiile urbane - a 4-a depăşire înregistrată ca medie zilnică la 24 de ore pe an (125μg/m3); a 25-a depăşire înregistrată ca medie orară (350μg/m3). </w:t>
      </w:r>
    </w:p>
    <w:p w:rsidR="00CA0B63" w:rsidRPr="001660D9" w:rsidRDefault="00CA0B63" w:rsidP="007C3D1D">
      <w:pPr>
        <w:pStyle w:val="Default"/>
        <w:spacing w:before="120" w:after="120"/>
        <w:jc w:val="both"/>
      </w:pPr>
      <w:r>
        <w:t xml:space="preserve">- </w:t>
      </w:r>
      <w:r w:rsidRPr="001660D9">
        <w:rPr>
          <w:iCs/>
        </w:rPr>
        <w:t xml:space="preserve">se depăşeşte valorea limită anuală a concentraţiilor de C6H6 înregistrate la staţiile urbane - înregistrată ca medie anuală - 5μg/m3; </w:t>
      </w:r>
    </w:p>
    <w:p w:rsidR="00CA0B63" w:rsidRPr="001660D9" w:rsidRDefault="00CA0B63" w:rsidP="007C3D1D">
      <w:pPr>
        <w:pStyle w:val="Default"/>
        <w:spacing w:before="120" w:after="120"/>
        <w:jc w:val="both"/>
      </w:pPr>
      <w:r>
        <w:t xml:space="preserve">- </w:t>
      </w:r>
      <w:r w:rsidRPr="001660D9">
        <w:rPr>
          <w:iCs/>
        </w:rPr>
        <w:t xml:space="preserve">se depăşeşte valorea limită maximă zilnică a mediilor pe 8 ore a concentraţiilor de CO înregistrată la staţiile urbane - 10μg/m3; </w:t>
      </w:r>
    </w:p>
    <w:p w:rsidR="00CA0B63" w:rsidRPr="001660D9" w:rsidRDefault="00CA0B63" w:rsidP="007C3D1D">
      <w:pPr>
        <w:pStyle w:val="Default"/>
        <w:spacing w:before="120" w:after="120"/>
        <w:jc w:val="both"/>
      </w:pPr>
      <w:r>
        <w:t xml:space="preserve">- </w:t>
      </w:r>
      <w:r w:rsidRPr="001660D9">
        <w:rPr>
          <w:iCs/>
        </w:rPr>
        <w:t xml:space="preserve">se depăşeşte valoarea limită anuală a concentraţiilor de Pb pentru protecţia sănătăţii umane înregistrată la staţiile urbane - 0,5μg/m3, se depăşeşte valoarea ţintă a concentraţiilor de As, Cd, Ni, pentru conţinutul total din fracţia PM10, mediata pentru un an calendaristic: 6ng/m3, 5ng/m3, 20ng/m3; </w:t>
      </w:r>
    </w:p>
    <w:p w:rsidR="00CA0B63" w:rsidRPr="001660D9" w:rsidRDefault="00CA0B63" w:rsidP="007C3D1D">
      <w:pPr>
        <w:pStyle w:val="Default"/>
        <w:spacing w:before="120" w:after="120"/>
        <w:jc w:val="both"/>
      </w:pPr>
      <w:r>
        <w:t xml:space="preserve">- </w:t>
      </w:r>
      <w:r w:rsidRPr="001660D9">
        <w:rPr>
          <w:iCs/>
        </w:rPr>
        <w:t xml:space="preserve">se depăşeşte valoarea ţintă a concentraţiilor de O3 pentru protecţia sănătăţii umane înregistrată la staţiile urbane - 120μg/m3, maxima zilnică, medie orară la 8 ore, de mai mult de 25 de ori pe an calendaristic. </w:t>
      </w:r>
    </w:p>
    <w:p w:rsidR="00CA0B63" w:rsidRDefault="00CA0B63" w:rsidP="007C3D1D">
      <w:pPr>
        <w:spacing w:before="120" w:after="120" w:line="240" w:lineRule="auto"/>
        <w:jc w:val="both"/>
        <w:rPr>
          <w:rFonts w:ascii="Arial" w:hAnsi="Arial" w:cs="Arial"/>
          <w:sz w:val="24"/>
          <w:szCs w:val="24"/>
        </w:rPr>
      </w:pPr>
      <w:r>
        <w:rPr>
          <w:rFonts w:ascii="Arial" w:hAnsi="Arial" w:cs="Arial"/>
          <w:sz w:val="24"/>
          <w:szCs w:val="24"/>
        </w:rPr>
        <w:t>Din datele prezentate la punctul I.1.1.3., în judeţul Buzău nu s-au înregistrat depăşiri ale valorilor limită şi valorii ţintă pentru indicatorii monitorizaţi de staţia de fond urban BZ-1.</w:t>
      </w:r>
    </w:p>
    <w:p w:rsidR="007C3D1D" w:rsidRDefault="007C3D1D" w:rsidP="00CA0B63">
      <w:pPr>
        <w:spacing w:after="120" w:line="240" w:lineRule="auto"/>
        <w:jc w:val="both"/>
        <w:rPr>
          <w:rFonts w:ascii="Arial" w:hAnsi="Arial" w:cs="Arial"/>
          <w:b/>
          <w:sz w:val="24"/>
          <w:szCs w:val="24"/>
        </w:rPr>
      </w:pPr>
    </w:p>
    <w:p w:rsidR="00CA0B63" w:rsidRDefault="00CA0B63" w:rsidP="00F232F6">
      <w:pPr>
        <w:spacing w:before="120" w:after="120" w:line="240" w:lineRule="auto"/>
        <w:jc w:val="both"/>
        <w:rPr>
          <w:rFonts w:ascii="Arial" w:hAnsi="Arial" w:cs="Arial"/>
          <w:b/>
          <w:sz w:val="24"/>
          <w:szCs w:val="24"/>
        </w:rPr>
      </w:pPr>
      <w:r w:rsidRPr="00684D17">
        <w:rPr>
          <w:rFonts w:ascii="Arial" w:hAnsi="Arial" w:cs="Arial"/>
          <w:b/>
          <w:sz w:val="24"/>
          <w:szCs w:val="24"/>
        </w:rPr>
        <w:t>I.2. Factorii determinanţi şi presiunile care afectează starea de calitate a aerului înconjurător în judeţul Buzău</w:t>
      </w:r>
    </w:p>
    <w:p w:rsidR="00CA0B63" w:rsidRDefault="00CA0B63" w:rsidP="00F232F6">
      <w:pPr>
        <w:spacing w:before="120" w:after="120" w:line="240" w:lineRule="auto"/>
        <w:jc w:val="both"/>
        <w:rPr>
          <w:rFonts w:ascii="Arial" w:hAnsi="Arial" w:cs="Arial"/>
          <w:b/>
          <w:sz w:val="24"/>
          <w:szCs w:val="24"/>
        </w:rPr>
      </w:pPr>
      <w:r w:rsidRPr="00684D17">
        <w:rPr>
          <w:rFonts w:ascii="Arial" w:hAnsi="Arial" w:cs="Arial"/>
          <w:b/>
          <w:sz w:val="24"/>
          <w:szCs w:val="24"/>
        </w:rPr>
        <w:t>I.2.1. Emisiile de poluanţi atmosferici şi principalele surse</w:t>
      </w:r>
    </w:p>
    <w:p w:rsidR="00CA0B63" w:rsidRDefault="00CA0B63" w:rsidP="00F232F6">
      <w:pPr>
        <w:spacing w:before="120" w:after="120" w:line="240" w:lineRule="auto"/>
        <w:jc w:val="both"/>
        <w:rPr>
          <w:rFonts w:ascii="Arial" w:hAnsi="Arial" w:cs="Arial"/>
          <w:sz w:val="24"/>
          <w:szCs w:val="24"/>
        </w:rPr>
      </w:pPr>
      <w:r w:rsidRPr="00684D17">
        <w:rPr>
          <w:rFonts w:ascii="Arial" w:hAnsi="Arial" w:cs="Arial"/>
          <w:sz w:val="24"/>
          <w:szCs w:val="24"/>
        </w:rPr>
        <w:t>La nivelul judeţului Buzău</w:t>
      </w:r>
      <w:r>
        <w:rPr>
          <w:rFonts w:ascii="Arial" w:hAnsi="Arial" w:cs="Arial"/>
          <w:sz w:val="24"/>
          <w:szCs w:val="24"/>
        </w:rPr>
        <w:t xml:space="preserve">, principalele surse de emisie de poluanţi atmosferici sunt activităţile antropice legate de producerea energiei, procesele industriale, transporturile şi agricultura. </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Cele mai semnificative emisii de poluanţi, cu efecte importante asupra sănătăţii mediului şi populaţiei sunt:</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a) emisiile de substanţe acidifiante;</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b) emisiile de precursori ai ozonului;</w:t>
      </w:r>
    </w:p>
    <w:p w:rsidR="00CA0B63" w:rsidRDefault="00CA0B63" w:rsidP="00F232F6">
      <w:pPr>
        <w:spacing w:before="120" w:after="120" w:line="240" w:lineRule="auto"/>
        <w:jc w:val="both"/>
        <w:rPr>
          <w:rFonts w:ascii="Arial" w:hAnsi="Arial" w:cs="Arial"/>
          <w:bCs/>
          <w:sz w:val="24"/>
          <w:szCs w:val="24"/>
        </w:rPr>
      </w:pPr>
      <w:r w:rsidRPr="00E4060F">
        <w:rPr>
          <w:rFonts w:ascii="Arial" w:hAnsi="Arial" w:cs="Arial"/>
          <w:sz w:val="24"/>
          <w:szCs w:val="24"/>
        </w:rPr>
        <w:t xml:space="preserve">c) </w:t>
      </w:r>
      <w:r w:rsidRPr="00E4060F">
        <w:rPr>
          <w:rFonts w:ascii="Arial" w:hAnsi="Arial" w:cs="Arial"/>
          <w:bCs/>
          <w:sz w:val="24"/>
          <w:szCs w:val="24"/>
        </w:rPr>
        <w:t>emisii</w:t>
      </w:r>
      <w:r>
        <w:rPr>
          <w:rFonts w:ascii="Arial" w:hAnsi="Arial" w:cs="Arial"/>
          <w:bCs/>
          <w:sz w:val="24"/>
          <w:szCs w:val="24"/>
        </w:rPr>
        <w:t xml:space="preserve">le </w:t>
      </w:r>
      <w:r w:rsidRPr="00E4060F">
        <w:rPr>
          <w:rFonts w:ascii="Arial" w:hAnsi="Arial" w:cs="Arial"/>
          <w:bCs/>
          <w:sz w:val="24"/>
          <w:szCs w:val="24"/>
        </w:rPr>
        <w:t>de particule primare şi precursori secundari de particule</w:t>
      </w:r>
      <w:r>
        <w:rPr>
          <w:rFonts w:ascii="Arial" w:hAnsi="Arial" w:cs="Arial"/>
          <w:bCs/>
          <w:sz w:val="24"/>
          <w:szCs w:val="24"/>
        </w:rPr>
        <w:t>;</w:t>
      </w:r>
    </w:p>
    <w:p w:rsidR="00CA0B63" w:rsidRDefault="00CA0B63" w:rsidP="00F232F6">
      <w:pPr>
        <w:spacing w:before="120" w:after="120" w:line="240" w:lineRule="auto"/>
        <w:jc w:val="both"/>
        <w:rPr>
          <w:rFonts w:ascii="Arial" w:hAnsi="Arial" w:cs="Arial"/>
          <w:bCs/>
          <w:sz w:val="24"/>
          <w:szCs w:val="24"/>
        </w:rPr>
      </w:pPr>
      <w:r>
        <w:rPr>
          <w:rFonts w:ascii="Arial" w:hAnsi="Arial" w:cs="Arial"/>
          <w:bCs/>
          <w:sz w:val="24"/>
          <w:szCs w:val="24"/>
        </w:rPr>
        <w:t>d) emisiile de metale grele;</w:t>
      </w:r>
    </w:p>
    <w:p w:rsidR="00CA0B63" w:rsidRDefault="00CA0B63" w:rsidP="00F232F6">
      <w:pPr>
        <w:spacing w:before="120" w:after="120" w:line="240" w:lineRule="auto"/>
        <w:jc w:val="both"/>
        <w:rPr>
          <w:rFonts w:ascii="Arial" w:hAnsi="Arial" w:cs="Arial"/>
          <w:bCs/>
          <w:sz w:val="24"/>
          <w:szCs w:val="24"/>
        </w:rPr>
      </w:pPr>
      <w:r>
        <w:rPr>
          <w:rFonts w:ascii="Arial" w:hAnsi="Arial" w:cs="Arial"/>
          <w:bCs/>
          <w:sz w:val="24"/>
          <w:szCs w:val="24"/>
        </w:rPr>
        <w:t>e) emisiile de poluanţi organici persistenţi.</w:t>
      </w:r>
    </w:p>
    <w:p w:rsidR="00CA0B63" w:rsidRPr="00E4060F" w:rsidRDefault="00CA0B63" w:rsidP="00F232F6">
      <w:pPr>
        <w:spacing w:before="120" w:after="120" w:line="240" w:lineRule="auto"/>
        <w:jc w:val="both"/>
        <w:rPr>
          <w:rFonts w:ascii="Arial" w:hAnsi="Arial" w:cs="Arial"/>
          <w:b/>
          <w:sz w:val="24"/>
          <w:szCs w:val="24"/>
        </w:rPr>
      </w:pPr>
      <w:r w:rsidRPr="00E4060F">
        <w:rPr>
          <w:rFonts w:ascii="Arial" w:hAnsi="Arial" w:cs="Arial"/>
          <w:b/>
          <w:bCs/>
          <w:sz w:val="24"/>
          <w:szCs w:val="24"/>
        </w:rPr>
        <w:t xml:space="preserve">a) </w:t>
      </w:r>
      <w:r w:rsidRPr="00E4060F">
        <w:rPr>
          <w:rFonts w:ascii="Arial" w:hAnsi="Arial" w:cs="Arial"/>
          <w:b/>
          <w:sz w:val="24"/>
          <w:szCs w:val="24"/>
        </w:rPr>
        <w:t>Emisiile de substanţe acidifiante</w:t>
      </w:r>
    </w:p>
    <w:p w:rsidR="00CA0B63" w:rsidRPr="00445F9F" w:rsidRDefault="00CA0B63" w:rsidP="00F232F6">
      <w:pPr>
        <w:spacing w:before="120" w:after="120" w:line="240" w:lineRule="auto"/>
        <w:jc w:val="both"/>
        <w:rPr>
          <w:rFonts w:ascii="Arial" w:hAnsi="Arial" w:cs="Arial"/>
          <w:sz w:val="24"/>
          <w:szCs w:val="24"/>
        </w:rPr>
      </w:pPr>
      <w:r w:rsidRPr="00445F9F">
        <w:rPr>
          <w:rFonts w:ascii="Arial" w:hAnsi="Arial" w:cs="Arial"/>
          <w:sz w:val="24"/>
          <w:szCs w:val="24"/>
        </w:rPr>
        <w:t xml:space="preserve">Acidifierea este procesul de modificare a caracterului chimic natural al unui component al mediului, ca urmare a prezenţei unor compuşi care determină o serie de reacţii chimice în atmosferă, conducând la modificarea pH-ului precipitaţiilor şi chiar al solului. </w:t>
      </w:r>
    </w:p>
    <w:p w:rsidR="00CA0B63" w:rsidRPr="00445F9F" w:rsidRDefault="00CA0B63" w:rsidP="00F232F6">
      <w:pPr>
        <w:spacing w:before="120" w:after="120" w:line="240" w:lineRule="auto"/>
        <w:jc w:val="both"/>
        <w:rPr>
          <w:rFonts w:ascii="Arial" w:hAnsi="Arial" w:cs="Arial"/>
          <w:sz w:val="24"/>
          <w:szCs w:val="24"/>
        </w:rPr>
      </w:pPr>
      <w:r w:rsidRPr="00445F9F">
        <w:rPr>
          <w:rFonts w:ascii="Arial" w:hAnsi="Arial" w:cs="Arial"/>
          <w:sz w:val="24"/>
          <w:szCs w:val="24"/>
        </w:rPr>
        <w:t xml:space="preserve">Emisiile de substanţe acidifiante pot prejudicia sănătatea umană, ecosistemele, clădirile şi materialele (prin coroziune chimică). Efectele asociate fiecărui poluant depind de potenţialul de acidifiere al acestuia şi de proprietăţile ecosistemelor şi ale materialelor. </w:t>
      </w:r>
    </w:p>
    <w:p w:rsidR="00CA0B63" w:rsidRDefault="00CA0B63" w:rsidP="00F232F6">
      <w:pPr>
        <w:spacing w:before="120" w:after="120" w:line="240" w:lineRule="auto"/>
        <w:jc w:val="both"/>
        <w:rPr>
          <w:rFonts w:ascii="Arial" w:hAnsi="Arial" w:cs="Arial"/>
          <w:sz w:val="24"/>
          <w:szCs w:val="24"/>
        </w:rPr>
      </w:pPr>
      <w:r w:rsidRPr="00445F9F">
        <w:rPr>
          <w:rFonts w:ascii="Arial" w:hAnsi="Arial" w:cs="Arial"/>
          <w:sz w:val="24"/>
          <w:szCs w:val="24"/>
        </w:rPr>
        <w:t>Indi</w:t>
      </w:r>
      <w:r>
        <w:rPr>
          <w:rFonts w:ascii="Arial" w:hAnsi="Arial" w:cs="Arial"/>
          <w:sz w:val="24"/>
          <w:szCs w:val="24"/>
        </w:rPr>
        <w:t>catorul conţine cantitatea emisiilor</w:t>
      </w:r>
      <w:r w:rsidRPr="00445F9F">
        <w:rPr>
          <w:rFonts w:ascii="Arial" w:hAnsi="Arial" w:cs="Arial"/>
          <w:sz w:val="24"/>
          <w:szCs w:val="24"/>
        </w:rPr>
        <w:t xml:space="preserve"> substanţelor acidifiante</w:t>
      </w:r>
      <w:r>
        <w:rPr>
          <w:rFonts w:ascii="Arial" w:hAnsi="Arial" w:cs="Arial"/>
          <w:sz w:val="24"/>
          <w:szCs w:val="24"/>
        </w:rPr>
        <w:t>,</w:t>
      </w:r>
      <w:r w:rsidRPr="00445F9F">
        <w:rPr>
          <w:rFonts w:ascii="Arial" w:hAnsi="Arial" w:cs="Arial"/>
          <w:sz w:val="24"/>
          <w:szCs w:val="24"/>
        </w:rPr>
        <w:t xml:space="preserve"> oxizi de azot (NOx), am</w:t>
      </w:r>
      <w:r w:rsidRPr="00445F9F">
        <w:rPr>
          <w:rFonts w:ascii="Arial" w:hAnsi="Arial" w:cs="Arial"/>
          <w:sz w:val="24"/>
          <w:szCs w:val="24"/>
        </w:rPr>
        <w:t>o</w:t>
      </w:r>
      <w:r w:rsidRPr="00445F9F">
        <w:rPr>
          <w:rFonts w:ascii="Arial" w:hAnsi="Arial" w:cs="Arial"/>
          <w:sz w:val="24"/>
          <w:szCs w:val="24"/>
        </w:rPr>
        <w:t xml:space="preserve">niac (NH3) şi oxizi de sulf (SOx, SO2), </w:t>
      </w:r>
      <w:r>
        <w:rPr>
          <w:rFonts w:ascii="Arial" w:hAnsi="Arial" w:cs="Arial"/>
          <w:sz w:val="24"/>
          <w:szCs w:val="24"/>
        </w:rPr>
        <w:t>provenite din sectoarele de activitate, în anul 2014, la nivelul judeţului Buzău.</w:t>
      </w:r>
    </w:p>
    <w:p w:rsidR="00CA0B63" w:rsidRPr="00892024" w:rsidRDefault="00CA0B63" w:rsidP="00F232F6">
      <w:pPr>
        <w:spacing w:before="120" w:after="120" w:line="240" w:lineRule="auto"/>
        <w:jc w:val="both"/>
        <w:rPr>
          <w:rFonts w:ascii="Arial" w:hAnsi="Arial" w:cs="Arial"/>
          <w:b/>
          <w:bCs/>
          <w:sz w:val="24"/>
          <w:szCs w:val="24"/>
        </w:rPr>
      </w:pPr>
      <w:r w:rsidRPr="00892024">
        <w:rPr>
          <w:rFonts w:ascii="Arial" w:hAnsi="Arial" w:cs="Arial"/>
          <w:sz w:val="24"/>
          <w:szCs w:val="24"/>
        </w:rPr>
        <w:t>Dioxidul de sulf se datorează arderii combustibililor cu conţinut de sulf.</w:t>
      </w:r>
    </w:p>
    <w:p w:rsidR="00CA0B63" w:rsidRPr="00892024" w:rsidRDefault="00CA0B63" w:rsidP="00F232F6">
      <w:pPr>
        <w:pStyle w:val="BodyText21"/>
        <w:widowControl/>
        <w:snapToGrid/>
        <w:spacing w:before="120" w:after="120"/>
        <w:rPr>
          <w:rFonts w:ascii="Arial" w:hAnsi="Arial" w:cs="Arial"/>
        </w:rPr>
      </w:pPr>
      <w:r w:rsidRPr="00892024">
        <w:rPr>
          <w:rFonts w:ascii="Arial" w:hAnsi="Arial" w:cs="Arial"/>
        </w:rPr>
        <w:lastRenderedPageBreak/>
        <w:t xml:space="preserve"> Este deosebit de toxic, determinând efecte directe asupra florei şi faunei (produce acid</w:t>
      </w:r>
      <w:r w:rsidRPr="00892024">
        <w:rPr>
          <w:rFonts w:ascii="Arial" w:hAnsi="Arial" w:cs="Arial"/>
        </w:rPr>
        <w:t>i</w:t>
      </w:r>
      <w:r w:rsidRPr="00892024">
        <w:rPr>
          <w:rFonts w:ascii="Arial" w:hAnsi="Arial" w:cs="Arial"/>
        </w:rPr>
        <w:t>fierea solului şi degradarea construcţiilor). Prezintă un sinergism ridicat cu praful, negrul de fum etc., este foarte solubil în apǎ şi contribuie în mare măsură la producerea ploilor acide.</w:t>
      </w:r>
    </w:p>
    <w:p w:rsidR="00CA0B63" w:rsidRPr="00892024" w:rsidRDefault="00CA0B63" w:rsidP="00F232F6">
      <w:pPr>
        <w:spacing w:before="120" w:after="120" w:line="240" w:lineRule="auto"/>
        <w:jc w:val="both"/>
        <w:rPr>
          <w:rFonts w:ascii="Arial" w:hAnsi="Arial" w:cs="Arial"/>
          <w:sz w:val="24"/>
          <w:szCs w:val="24"/>
        </w:rPr>
      </w:pPr>
      <w:r w:rsidRPr="00892024">
        <w:rPr>
          <w:rFonts w:ascii="Arial" w:hAnsi="Arial" w:cs="Arial"/>
          <w:sz w:val="24"/>
          <w:szCs w:val="24"/>
        </w:rPr>
        <w:t>Oxizii de azot provin în special din arderea combustibililor</w:t>
      </w:r>
      <w:r>
        <w:rPr>
          <w:rFonts w:ascii="Arial" w:hAnsi="Arial" w:cs="Arial"/>
          <w:sz w:val="24"/>
          <w:szCs w:val="24"/>
        </w:rPr>
        <w:t>, proceselor industriale</w:t>
      </w:r>
      <w:r w:rsidRPr="00892024">
        <w:rPr>
          <w:rFonts w:ascii="Arial" w:hAnsi="Arial" w:cs="Arial"/>
          <w:sz w:val="24"/>
          <w:szCs w:val="24"/>
        </w:rPr>
        <w:t xml:space="preserve"> şi din traficul auto. Sunt toxici, în special NO</w:t>
      </w:r>
      <w:r w:rsidRPr="00892024">
        <w:rPr>
          <w:rFonts w:ascii="Arial" w:hAnsi="Arial" w:cs="Arial"/>
          <w:sz w:val="24"/>
          <w:szCs w:val="24"/>
          <w:vertAlign w:val="subscript"/>
        </w:rPr>
        <w:t>2</w:t>
      </w:r>
      <w:r w:rsidRPr="00892024">
        <w:rPr>
          <w:rFonts w:ascii="Arial" w:hAnsi="Arial" w:cs="Arial"/>
          <w:sz w:val="24"/>
          <w:szCs w:val="24"/>
        </w:rPr>
        <w:t xml:space="preserve">, care provoacă asfixiere prin distrugerea alveolelor pulmonare, produce căderea frunzelor la copaci, reduce vizibilitatea pe şosele ca urmare a formǎrii smogului, generează formarea ploilor acide etc. </w:t>
      </w:r>
    </w:p>
    <w:p w:rsidR="00CA0B63" w:rsidRPr="00892024" w:rsidRDefault="00CA0B63" w:rsidP="00F232F6">
      <w:pPr>
        <w:spacing w:before="120" w:after="120" w:line="240" w:lineRule="auto"/>
        <w:jc w:val="both"/>
        <w:rPr>
          <w:rFonts w:ascii="Arial" w:hAnsi="Arial" w:cs="Arial"/>
          <w:sz w:val="24"/>
          <w:szCs w:val="24"/>
        </w:rPr>
      </w:pPr>
      <w:r w:rsidRPr="00892024">
        <w:rPr>
          <w:rFonts w:ascii="Arial" w:hAnsi="Arial" w:cs="Arial"/>
          <w:sz w:val="24"/>
          <w:szCs w:val="24"/>
        </w:rPr>
        <w:t>Sursele de amoniac atmosferic sunt naturale şi artificiale. Aportul surselor naturale în p</w:t>
      </w:r>
      <w:r w:rsidRPr="00892024">
        <w:rPr>
          <w:rFonts w:ascii="Arial" w:hAnsi="Arial" w:cs="Arial"/>
          <w:sz w:val="24"/>
          <w:szCs w:val="24"/>
        </w:rPr>
        <w:t>o</w:t>
      </w:r>
      <w:r w:rsidRPr="00892024">
        <w:rPr>
          <w:rFonts w:ascii="Arial" w:hAnsi="Arial" w:cs="Arial"/>
          <w:sz w:val="24"/>
          <w:szCs w:val="24"/>
        </w:rPr>
        <w:t>luarea cu amoniac este relativ mic, de aproximativ 15-20%.</w:t>
      </w:r>
    </w:p>
    <w:p w:rsidR="00CA0B63" w:rsidRPr="00892024" w:rsidRDefault="00CA0B63" w:rsidP="00F232F6">
      <w:pPr>
        <w:spacing w:before="120" w:after="120" w:line="240" w:lineRule="auto"/>
        <w:jc w:val="both"/>
        <w:rPr>
          <w:rFonts w:ascii="Arial" w:hAnsi="Arial" w:cs="Arial"/>
          <w:sz w:val="24"/>
          <w:szCs w:val="24"/>
        </w:rPr>
      </w:pPr>
      <w:r w:rsidRPr="00892024">
        <w:rPr>
          <w:rFonts w:ascii="Arial" w:hAnsi="Arial" w:cs="Arial"/>
          <w:sz w:val="24"/>
          <w:szCs w:val="24"/>
        </w:rPr>
        <w:t>Dintre sursele artificiale, cea mai importantǎ este agricultura, iar din cadrul acesteia, zo</w:t>
      </w:r>
      <w:r w:rsidRPr="00892024">
        <w:rPr>
          <w:rFonts w:ascii="Arial" w:hAnsi="Arial" w:cs="Arial"/>
          <w:sz w:val="24"/>
          <w:szCs w:val="24"/>
        </w:rPr>
        <w:t>o</w:t>
      </w:r>
      <w:r w:rsidRPr="00892024">
        <w:rPr>
          <w:rFonts w:ascii="Arial" w:hAnsi="Arial" w:cs="Arial"/>
          <w:sz w:val="24"/>
          <w:szCs w:val="24"/>
        </w:rPr>
        <w:t>tehnia de tip intensiv este cea mai importantă.</w:t>
      </w:r>
    </w:p>
    <w:p w:rsidR="00CA0B63" w:rsidRDefault="00CA0B63" w:rsidP="00F232F6">
      <w:pPr>
        <w:spacing w:before="120" w:after="120" w:line="240" w:lineRule="auto"/>
        <w:jc w:val="both"/>
        <w:rPr>
          <w:rFonts w:ascii="Arial" w:hAnsi="Arial" w:cs="Arial"/>
          <w:sz w:val="24"/>
          <w:szCs w:val="24"/>
        </w:rPr>
      </w:pPr>
      <w:r w:rsidRPr="00892024">
        <w:rPr>
          <w:rFonts w:ascii="Arial" w:hAnsi="Arial" w:cs="Arial"/>
          <w:sz w:val="24"/>
          <w:szCs w:val="24"/>
        </w:rPr>
        <w:t>Amoniacul este un gaz incolor, cu miros caracteristic, înţepător, care se percepe la o concentraţie de 20 ppm, fiind mai uşor decât aerul şi foarte solubil în apǎ. Are efect paral</w:t>
      </w:r>
      <w:r w:rsidRPr="00892024">
        <w:rPr>
          <w:rFonts w:ascii="Arial" w:hAnsi="Arial" w:cs="Arial"/>
          <w:sz w:val="24"/>
          <w:szCs w:val="24"/>
        </w:rPr>
        <w:t>i</w:t>
      </w:r>
      <w:r w:rsidRPr="00892024">
        <w:rPr>
          <w:rFonts w:ascii="Arial" w:hAnsi="Arial" w:cs="Arial"/>
          <w:sz w:val="24"/>
          <w:szCs w:val="24"/>
        </w:rPr>
        <w:t>zant asupra receptorilor olfactivi, motiv pentru care depistarea organolepticǎ este valabilǎ numai pentru o perioadǎ scurtǎ de la intrarea în c</w:t>
      </w:r>
      <w:r>
        <w:rPr>
          <w:rFonts w:ascii="Arial" w:hAnsi="Arial" w:cs="Arial"/>
          <w:sz w:val="24"/>
          <w:szCs w:val="24"/>
        </w:rPr>
        <w:t xml:space="preserve">ontact cu el. </w:t>
      </w:r>
    </w:p>
    <w:p w:rsidR="00CA0B63" w:rsidRPr="00B16227" w:rsidRDefault="00CA0B63" w:rsidP="00F232F6">
      <w:pPr>
        <w:spacing w:before="120" w:after="120" w:line="240" w:lineRule="auto"/>
        <w:jc w:val="both"/>
        <w:rPr>
          <w:rFonts w:ascii="Arial" w:hAnsi="Arial" w:cs="Arial"/>
          <w:b/>
          <w:sz w:val="24"/>
          <w:szCs w:val="24"/>
        </w:rPr>
      </w:pPr>
      <w:r w:rsidRPr="00B16227">
        <w:rPr>
          <w:rFonts w:ascii="Arial" w:hAnsi="Arial" w:cs="Arial"/>
          <w:b/>
          <w:sz w:val="24"/>
          <w:szCs w:val="24"/>
        </w:rPr>
        <w:t>b) Emisii de precursori ai ozonului</w:t>
      </w:r>
    </w:p>
    <w:p w:rsidR="00CA0B63" w:rsidRPr="007117FF" w:rsidRDefault="00CA0B63" w:rsidP="00F232F6">
      <w:pPr>
        <w:spacing w:before="120" w:after="120" w:line="240" w:lineRule="auto"/>
        <w:jc w:val="both"/>
        <w:rPr>
          <w:rFonts w:ascii="Arial" w:hAnsi="Arial" w:cs="Arial"/>
          <w:sz w:val="24"/>
          <w:szCs w:val="24"/>
        </w:rPr>
      </w:pPr>
      <w:r w:rsidRPr="007117FF">
        <w:rPr>
          <w:rFonts w:ascii="Arial" w:hAnsi="Arial" w:cs="Arial"/>
          <w:sz w:val="24"/>
          <w:szCs w:val="24"/>
        </w:rPr>
        <w:t>Emisiile de compuşi organici volatili ne</w:t>
      </w:r>
      <w:r>
        <w:rPr>
          <w:rFonts w:ascii="Arial" w:hAnsi="Arial" w:cs="Arial"/>
          <w:sz w:val="24"/>
          <w:szCs w:val="24"/>
        </w:rPr>
        <w:t>metanici (COVNM), oxizi de azot şi</w:t>
      </w:r>
      <w:r w:rsidRPr="007117FF">
        <w:rPr>
          <w:rFonts w:ascii="Arial" w:hAnsi="Arial" w:cs="Arial"/>
          <w:sz w:val="24"/>
          <w:szCs w:val="24"/>
        </w:rPr>
        <w:t xml:space="preserve"> monoxid de carbon contribuie la formarea ozonului de la nivelul solului (troposferă).</w:t>
      </w:r>
    </w:p>
    <w:p w:rsidR="00CA0B63" w:rsidRDefault="00CA0B63" w:rsidP="00F232F6">
      <w:pPr>
        <w:spacing w:before="120" w:after="120" w:line="240" w:lineRule="auto"/>
        <w:jc w:val="both"/>
        <w:rPr>
          <w:rFonts w:ascii="Arial" w:hAnsi="Arial" w:cs="Arial"/>
          <w:sz w:val="24"/>
          <w:szCs w:val="24"/>
        </w:rPr>
      </w:pPr>
      <w:r w:rsidRPr="007117FF">
        <w:rPr>
          <w:rFonts w:ascii="Arial" w:hAnsi="Arial" w:cs="Arial"/>
          <w:sz w:val="24"/>
          <w:szCs w:val="24"/>
        </w:rPr>
        <w:t>Ozonul este un oxidant puternic, iar ozonul troposferic poate avea efecte adverse asupra sănătăţii umane şi a ecosistemelor. Este o problemă în special în timpul lunilor de vară. Concentraţiile mari de ozon la nivelul solului afectează în mod negativ sistemul respirator uman şi există dovezi că expunerea pe termen lung accelerează declinul funcţiei pulm</w:t>
      </w:r>
      <w:r w:rsidRPr="007117FF">
        <w:rPr>
          <w:rFonts w:ascii="Arial" w:hAnsi="Arial" w:cs="Arial"/>
          <w:sz w:val="24"/>
          <w:szCs w:val="24"/>
        </w:rPr>
        <w:t>o</w:t>
      </w:r>
      <w:r w:rsidRPr="007117FF">
        <w:rPr>
          <w:rFonts w:ascii="Arial" w:hAnsi="Arial" w:cs="Arial"/>
          <w:sz w:val="24"/>
          <w:szCs w:val="24"/>
        </w:rPr>
        <w:t>nare cu vârsta şi poate afecta dezvoltarea funcţiei pulmonare. Unele persoane sunt mai vulnerabile la concentraţii mari decât altele, cu efectele cele mai grave, în general, la copii, astmatici şi persoanele în vârstă. Concentraţiile mari în mediul înconjurător sunt dăunătoare culturilor şi pădurilor, reducerea randamentelor, cauzând pagube frunzelor şi reducând rezistenţa la boli.</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Indicatorul conţine cantitatea emisiilor</w:t>
      </w:r>
      <w:r w:rsidRPr="007117FF">
        <w:rPr>
          <w:rFonts w:ascii="Arial" w:hAnsi="Arial" w:cs="Arial"/>
          <w:sz w:val="24"/>
          <w:szCs w:val="24"/>
        </w:rPr>
        <w:t xml:space="preserve"> de </w:t>
      </w:r>
      <w:r>
        <w:rPr>
          <w:rFonts w:ascii="Arial" w:hAnsi="Arial" w:cs="Arial"/>
          <w:sz w:val="24"/>
          <w:szCs w:val="24"/>
        </w:rPr>
        <w:t>poluanţi precursori ai ozonului,</w:t>
      </w:r>
      <w:r w:rsidRPr="007117FF">
        <w:rPr>
          <w:rFonts w:ascii="Arial" w:hAnsi="Arial" w:cs="Arial"/>
          <w:sz w:val="24"/>
          <w:szCs w:val="24"/>
        </w:rPr>
        <w:t xml:space="preserve"> oxizi de azot (NOx), mono</w:t>
      </w:r>
      <w:r>
        <w:rPr>
          <w:rFonts w:ascii="Arial" w:hAnsi="Arial" w:cs="Arial"/>
          <w:sz w:val="24"/>
          <w:szCs w:val="24"/>
        </w:rPr>
        <w:t xml:space="preserve">xid de carbon (CO) </w:t>
      </w:r>
      <w:r w:rsidRPr="007117FF">
        <w:rPr>
          <w:rFonts w:ascii="Arial" w:hAnsi="Arial" w:cs="Arial"/>
          <w:sz w:val="24"/>
          <w:szCs w:val="24"/>
        </w:rPr>
        <w:t>şi compuşi organ</w:t>
      </w:r>
      <w:r>
        <w:rPr>
          <w:rFonts w:ascii="Arial" w:hAnsi="Arial" w:cs="Arial"/>
          <w:sz w:val="24"/>
          <w:szCs w:val="24"/>
        </w:rPr>
        <w:t>ici volatili nemetanici (COVNM), prov</w:t>
      </w:r>
      <w:r>
        <w:rPr>
          <w:rFonts w:ascii="Arial" w:hAnsi="Arial" w:cs="Arial"/>
          <w:sz w:val="24"/>
          <w:szCs w:val="24"/>
        </w:rPr>
        <w:t>e</w:t>
      </w:r>
      <w:r>
        <w:rPr>
          <w:rFonts w:ascii="Arial" w:hAnsi="Arial" w:cs="Arial"/>
          <w:sz w:val="24"/>
          <w:szCs w:val="24"/>
        </w:rPr>
        <w:t xml:space="preserve">nite din sectoarele de activitate antropică, în anul 2014, în judeţul Buzău.   </w:t>
      </w:r>
    </w:p>
    <w:p w:rsidR="00CA0B63" w:rsidRDefault="00CA0B63" w:rsidP="00F232F6">
      <w:pPr>
        <w:spacing w:before="120" w:after="120" w:line="240" w:lineRule="auto"/>
        <w:jc w:val="both"/>
        <w:rPr>
          <w:rFonts w:ascii="Arial" w:hAnsi="Arial" w:cs="Arial"/>
          <w:b/>
          <w:bCs/>
          <w:sz w:val="24"/>
          <w:szCs w:val="24"/>
        </w:rPr>
      </w:pPr>
      <w:r w:rsidRPr="00AA228F">
        <w:rPr>
          <w:rFonts w:ascii="Arial" w:hAnsi="Arial" w:cs="Arial"/>
          <w:b/>
          <w:sz w:val="24"/>
          <w:szCs w:val="24"/>
        </w:rPr>
        <w:t xml:space="preserve">c) </w:t>
      </w:r>
      <w:r w:rsidRPr="00AA228F">
        <w:rPr>
          <w:rFonts w:ascii="Arial" w:hAnsi="Arial" w:cs="Arial"/>
          <w:b/>
          <w:bCs/>
          <w:sz w:val="24"/>
          <w:szCs w:val="24"/>
        </w:rPr>
        <w:t>Emisii de particule primare şi precursori secundari de particule</w:t>
      </w:r>
    </w:p>
    <w:p w:rsidR="00CA0B63" w:rsidRDefault="00CA0B63" w:rsidP="00F232F6">
      <w:pPr>
        <w:spacing w:before="120" w:after="120" w:line="240" w:lineRule="auto"/>
        <w:jc w:val="both"/>
        <w:rPr>
          <w:rFonts w:ascii="Arial" w:hAnsi="Arial" w:cs="Arial"/>
          <w:sz w:val="24"/>
          <w:szCs w:val="24"/>
        </w:rPr>
      </w:pPr>
      <w:r w:rsidRPr="006120B3">
        <w:rPr>
          <w:rFonts w:ascii="Arial" w:hAnsi="Arial" w:cs="Arial"/>
          <w:sz w:val="24"/>
          <w:szCs w:val="24"/>
        </w:rPr>
        <w:t>Studiile epidemiologice indică existenţa unei asocieri între expunerea pe termen lung şi scurt la poluarea cu particule fine şi diferite efecte semnificative asupra sănătăţii. Partic</w:t>
      </w:r>
      <w:r w:rsidRPr="006120B3">
        <w:rPr>
          <w:rFonts w:ascii="Arial" w:hAnsi="Arial" w:cs="Arial"/>
          <w:sz w:val="24"/>
          <w:szCs w:val="24"/>
        </w:rPr>
        <w:t>u</w:t>
      </w:r>
      <w:r w:rsidRPr="006120B3">
        <w:rPr>
          <w:rFonts w:ascii="Arial" w:hAnsi="Arial" w:cs="Arial"/>
          <w:sz w:val="24"/>
          <w:szCs w:val="24"/>
        </w:rPr>
        <w:t>lele fine au efecte adverse asupra sănătă</w:t>
      </w:r>
      <w:r w:rsidRPr="006120B3">
        <w:rPr>
          <w:rFonts w:ascii="Cambria Math" w:hAnsi="Cambria Math" w:cs="Cambria Math"/>
          <w:sz w:val="24"/>
          <w:szCs w:val="24"/>
        </w:rPr>
        <w:t>ț</w:t>
      </w:r>
      <w:r w:rsidRPr="006120B3">
        <w:rPr>
          <w:rFonts w:ascii="Arial" w:hAnsi="Arial" w:cs="Arial"/>
          <w:sz w:val="24"/>
          <w:szCs w:val="24"/>
        </w:rPr>
        <w:t>ii umane şi pot fi responsabile pentru şi / sau să contribuie la o serie de probleme respiratorii. În acest context, particulele fine se referă la pariculele primare în suspensie (PM2.5 şi PM10) şi emisiile de precursori ai particulelor secundare (NOx, SO2 şi NH3). Pulberile primare PM2.5 şi PM10 se referă la particule fine (definite ca având diametrul de 2,5 microni, respectiv 10 microni sau mai mic) emise direct în atmosferă. Precursorii secundari de particule sunt poluan</w:t>
      </w:r>
      <w:r w:rsidRPr="006120B3">
        <w:rPr>
          <w:rFonts w:ascii="Cambria Math" w:hAnsi="Cambria Math" w:cs="Cambria Math"/>
          <w:sz w:val="24"/>
          <w:szCs w:val="24"/>
        </w:rPr>
        <w:t>ț</w:t>
      </w:r>
      <w:r w:rsidRPr="006120B3">
        <w:rPr>
          <w:rFonts w:ascii="Arial" w:hAnsi="Arial" w:cs="Arial"/>
          <w:sz w:val="24"/>
          <w:szCs w:val="24"/>
        </w:rPr>
        <w:t>i care sunt transformaţi parţial în particule prin reac</w:t>
      </w:r>
      <w:r w:rsidRPr="006120B3">
        <w:rPr>
          <w:rFonts w:ascii="Cambria Math" w:hAnsi="Cambria Math" w:cs="Cambria Math"/>
          <w:sz w:val="24"/>
          <w:szCs w:val="24"/>
        </w:rPr>
        <w:t>ț</w:t>
      </w:r>
      <w:r w:rsidRPr="006120B3">
        <w:rPr>
          <w:rFonts w:ascii="Arial" w:hAnsi="Arial" w:cs="Arial"/>
          <w:sz w:val="24"/>
          <w:szCs w:val="24"/>
        </w:rPr>
        <w:t>ii fotochimice care se produc în atmosferă. O mare parte a popula</w:t>
      </w:r>
      <w:r w:rsidRPr="006120B3">
        <w:rPr>
          <w:rFonts w:ascii="Cambria Math" w:hAnsi="Cambria Math" w:cs="Cambria Math"/>
          <w:sz w:val="24"/>
          <w:szCs w:val="24"/>
        </w:rPr>
        <w:t>ț</w:t>
      </w:r>
      <w:r w:rsidRPr="006120B3">
        <w:rPr>
          <w:rFonts w:ascii="Arial" w:hAnsi="Arial" w:cs="Arial"/>
          <w:sz w:val="24"/>
          <w:szCs w:val="24"/>
        </w:rPr>
        <w:t>iei urbane este expusă la niveluri care depăşesc valorile limită pentru particule fine stabilite pentru protec</w:t>
      </w:r>
      <w:r w:rsidRPr="006120B3">
        <w:rPr>
          <w:rFonts w:ascii="Cambria Math" w:hAnsi="Cambria Math" w:cs="Cambria Math"/>
          <w:sz w:val="24"/>
          <w:szCs w:val="24"/>
        </w:rPr>
        <w:t>ț</w:t>
      </w:r>
      <w:r w:rsidRPr="006120B3">
        <w:rPr>
          <w:rFonts w:ascii="Arial" w:hAnsi="Arial" w:cs="Arial"/>
          <w:sz w:val="24"/>
          <w:szCs w:val="24"/>
        </w:rPr>
        <w:t>ia sănătă</w:t>
      </w:r>
      <w:r w:rsidRPr="006120B3">
        <w:rPr>
          <w:rFonts w:ascii="Cambria Math" w:hAnsi="Cambria Math" w:cs="Cambria Math"/>
          <w:sz w:val="24"/>
          <w:szCs w:val="24"/>
        </w:rPr>
        <w:t>ț</w:t>
      </w:r>
      <w:r w:rsidRPr="006120B3">
        <w:rPr>
          <w:rFonts w:ascii="Arial" w:hAnsi="Arial" w:cs="Arial"/>
          <w:sz w:val="24"/>
          <w:szCs w:val="24"/>
        </w:rPr>
        <w:t>ii umane. Au existat o serie de ini</w:t>
      </w:r>
      <w:r w:rsidRPr="006120B3">
        <w:rPr>
          <w:rFonts w:ascii="Cambria Math" w:hAnsi="Cambria Math" w:cs="Cambria Math"/>
          <w:sz w:val="24"/>
          <w:szCs w:val="24"/>
        </w:rPr>
        <w:t>ț</w:t>
      </w:r>
      <w:r w:rsidRPr="006120B3">
        <w:rPr>
          <w:rFonts w:ascii="Arial" w:hAnsi="Arial" w:cs="Arial"/>
          <w:sz w:val="24"/>
          <w:szCs w:val="24"/>
        </w:rPr>
        <w:t>iative politice recente având scopul de a controla concentra</w:t>
      </w:r>
      <w:r w:rsidRPr="006120B3">
        <w:rPr>
          <w:rFonts w:ascii="Cambria Math" w:hAnsi="Cambria Math" w:cs="Cambria Math"/>
          <w:sz w:val="24"/>
          <w:szCs w:val="24"/>
        </w:rPr>
        <w:t>ț</w:t>
      </w:r>
      <w:r w:rsidRPr="006120B3">
        <w:rPr>
          <w:rFonts w:ascii="Arial" w:hAnsi="Arial" w:cs="Arial"/>
          <w:sz w:val="24"/>
          <w:szCs w:val="24"/>
        </w:rPr>
        <w:t>iile de particule, protejând astfel sănătatea umană.</w:t>
      </w:r>
    </w:p>
    <w:p w:rsidR="00CA0B63" w:rsidRDefault="00CA0B63" w:rsidP="00F232F6">
      <w:pPr>
        <w:spacing w:before="120" w:after="120" w:line="240" w:lineRule="auto"/>
        <w:jc w:val="both"/>
        <w:rPr>
          <w:rFonts w:ascii="Arial" w:hAnsi="Arial" w:cs="Arial"/>
          <w:b/>
          <w:sz w:val="24"/>
          <w:szCs w:val="24"/>
        </w:rPr>
      </w:pPr>
      <w:r w:rsidRPr="006120B3">
        <w:rPr>
          <w:rFonts w:ascii="Arial" w:hAnsi="Arial" w:cs="Arial"/>
          <w:sz w:val="24"/>
          <w:szCs w:val="24"/>
        </w:rPr>
        <w:t xml:space="preserve">Acest indicator </w:t>
      </w:r>
      <w:r>
        <w:rPr>
          <w:rFonts w:ascii="Arial" w:hAnsi="Arial" w:cs="Arial"/>
          <w:sz w:val="24"/>
          <w:szCs w:val="24"/>
        </w:rPr>
        <w:t>conţine cantitatea emisiilor</w:t>
      </w:r>
      <w:r w:rsidRPr="007117FF">
        <w:rPr>
          <w:rFonts w:ascii="Arial" w:hAnsi="Arial" w:cs="Arial"/>
          <w:sz w:val="24"/>
          <w:szCs w:val="24"/>
        </w:rPr>
        <w:t xml:space="preserve"> </w:t>
      </w:r>
      <w:r w:rsidRPr="006120B3">
        <w:rPr>
          <w:rFonts w:ascii="Arial" w:hAnsi="Arial" w:cs="Arial"/>
          <w:sz w:val="24"/>
          <w:szCs w:val="24"/>
        </w:rPr>
        <w:t>de particule primare cu diametrul mai mic de 2,5 μm (P</w:t>
      </w:r>
      <w:r>
        <w:rPr>
          <w:rFonts w:ascii="Arial" w:hAnsi="Arial" w:cs="Arial"/>
          <w:sz w:val="24"/>
          <w:szCs w:val="24"/>
        </w:rPr>
        <w:t>M2,5) şi respectiv 10 μm (PM10)</w:t>
      </w:r>
      <w:r w:rsidRPr="006120B3">
        <w:rPr>
          <w:rFonts w:ascii="Arial" w:hAnsi="Arial" w:cs="Arial"/>
          <w:sz w:val="24"/>
          <w:szCs w:val="24"/>
        </w:rPr>
        <w:t>, provenite</w:t>
      </w:r>
      <w:r>
        <w:rPr>
          <w:rFonts w:ascii="Arial" w:hAnsi="Arial" w:cs="Arial"/>
          <w:sz w:val="24"/>
          <w:szCs w:val="24"/>
        </w:rPr>
        <w:t xml:space="preserve"> din sectoarele de activitate, în anul 2014, în judeţul Buzău. </w:t>
      </w:r>
    </w:p>
    <w:p w:rsidR="00D71325" w:rsidRDefault="00D71325" w:rsidP="00F232F6">
      <w:pPr>
        <w:spacing w:before="120" w:after="120" w:line="240" w:lineRule="auto"/>
        <w:jc w:val="both"/>
        <w:rPr>
          <w:rFonts w:ascii="Arial" w:hAnsi="Arial" w:cs="Arial"/>
          <w:b/>
          <w:sz w:val="24"/>
          <w:szCs w:val="24"/>
        </w:rPr>
      </w:pPr>
    </w:p>
    <w:p w:rsidR="00D71325" w:rsidRDefault="00D71325" w:rsidP="00F232F6">
      <w:pPr>
        <w:spacing w:before="120" w:after="120" w:line="240" w:lineRule="auto"/>
        <w:jc w:val="both"/>
        <w:rPr>
          <w:rFonts w:ascii="Arial" w:hAnsi="Arial" w:cs="Arial"/>
          <w:b/>
          <w:sz w:val="24"/>
          <w:szCs w:val="24"/>
        </w:rPr>
      </w:pPr>
    </w:p>
    <w:p w:rsidR="00CA0B63" w:rsidRPr="00890891" w:rsidRDefault="00CA0B63" w:rsidP="00F232F6">
      <w:pPr>
        <w:spacing w:before="120" w:after="120" w:line="240" w:lineRule="auto"/>
        <w:jc w:val="both"/>
        <w:rPr>
          <w:rFonts w:ascii="Arial" w:hAnsi="Arial" w:cs="Arial"/>
          <w:b/>
          <w:sz w:val="24"/>
          <w:szCs w:val="24"/>
        </w:rPr>
      </w:pPr>
      <w:r w:rsidRPr="00890891">
        <w:rPr>
          <w:rFonts w:ascii="Arial" w:hAnsi="Arial" w:cs="Arial"/>
          <w:b/>
          <w:sz w:val="24"/>
          <w:szCs w:val="24"/>
        </w:rPr>
        <w:lastRenderedPageBreak/>
        <w:t xml:space="preserve">d) </w:t>
      </w:r>
      <w:r w:rsidRPr="00890891">
        <w:rPr>
          <w:rFonts w:ascii="Arial" w:hAnsi="Arial" w:cs="Arial"/>
          <w:b/>
          <w:bCs/>
          <w:sz w:val="24"/>
          <w:szCs w:val="24"/>
        </w:rPr>
        <w:t>Emisii de metale grele</w:t>
      </w:r>
    </w:p>
    <w:p w:rsidR="00CA0B63" w:rsidRPr="00890891" w:rsidRDefault="00CA0B63" w:rsidP="00F232F6">
      <w:pPr>
        <w:spacing w:before="120" w:after="120" w:line="240" w:lineRule="auto"/>
        <w:jc w:val="both"/>
        <w:rPr>
          <w:rFonts w:ascii="Arial" w:hAnsi="Arial" w:cs="Arial"/>
          <w:sz w:val="24"/>
          <w:szCs w:val="24"/>
        </w:rPr>
      </w:pPr>
      <w:r w:rsidRPr="00890891">
        <w:rPr>
          <w:rFonts w:ascii="Arial" w:hAnsi="Arial" w:cs="Arial"/>
          <w:sz w:val="24"/>
          <w:szCs w:val="24"/>
        </w:rPr>
        <w:t>Metalele grele (cum ar fi cadmiul, mercurul şi pl</w:t>
      </w:r>
      <w:r w:rsidR="0074274F">
        <w:rPr>
          <w:rFonts w:ascii="Arial" w:hAnsi="Arial" w:cs="Arial"/>
          <w:sz w:val="24"/>
          <w:szCs w:val="24"/>
        </w:rPr>
        <w:t xml:space="preserve">umbul) sunt toxice </w:t>
      </w:r>
      <w:r w:rsidRPr="00890891">
        <w:rPr>
          <w:rFonts w:ascii="Arial" w:hAnsi="Arial" w:cs="Arial"/>
          <w:sz w:val="24"/>
          <w:szCs w:val="24"/>
        </w:rPr>
        <w:t>şi pot afecta numeroase funcţii ale organismului. Pot avea efecte pe termen lung prin capacitatea de acumulare în ţesuturi.</w:t>
      </w:r>
    </w:p>
    <w:p w:rsidR="00CA0B63" w:rsidRPr="00890891" w:rsidRDefault="00CA0B63" w:rsidP="00F232F6">
      <w:pPr>
        <w:spacing w:before="120" w:after="120" w:line="240" w:lineRule="auto"/>
        <w:jc w:val="both"/>
        <w:rPr>
          <w:rFonts w:ascii="Arial" w:hAnsi="Arial" w:cs="Arial"/>
          <w:sz w:val="24"/>
          <w:szCs w:val="24"/>
        </w:rPr>
      </w:pPr>
      <w:r w:rsidRPr="00890891">
        <w:rPr>
          <w:rFonts w:ascii="Arial" w:hAnsi="Arial" w:cs="Arial"/>
          <w:sz w:val="24"/>
          <w:szCs w:val="24"/>
        </w:rPr>
        <w:t>Răspândirea lor în mediu este din ce în ce mai mare şi foarte important este faptul că se acumulează în mediu şi organismul uman cu posibilitatea de a produce în mod insidios alterări patologice grave.</w:t>
      </w:r>
    </w:p>
    <w:p w:rsidR="00CA0B63" w:rsidRPr="00890891" w:rsidRDefault="00CA0B63" w:rsidP="00F232F6">
      <w:pPr>
        <w:spacing w:before="120" w:after="120" w:line="240" w:lineRule="auto"/>
        <w:jc w:val="both"/>
        <w:rPr>
          <w:rFonts w:ascii="Arial" w:hAnsi="Arial" w:cs="Arial"/>
          <w:sz w:val="24"/>
          <w:szCs w:val="24"/>
        </w:rPr>
      </w:pPr>
      <w:r w:rsidRPr="00890891">
        <w:rPr>
          <w:rFonts w:ascii="Arial" w:hAnsi="Arial" w:cs="Arial"/>
          <w:sz w:val="24"/>
          <w:szCs w:val="24"/>
        </w:rPr>
        <w:t>Metalele grele se concentrează la nivelul fiecărui nivel trofic datorită slabei lor mobilităţi, respectiv concentraţia lor în plante este mai mare decât în sol, în animalele ierbivore mai mare decât în plante, în ţesuturile carnivorelor mai mare decât la ierbivore, concentraţia cea mai mare fiind atinsă la capetele lanţurilor trofice, respectiv la răpitorii de vârf şi impl</w:t>
      </w:r>
      <w:r w:rsidRPr="00890891">
        <w:rPr>
          <w:rFonts w:ascii="Arial" w:hAnsi="Arial" w:cs="Arial"/>
          <w:sz w:val="24"/>
          <w:szCs w:val="24"/>
        </w:rPr>
        <w:t>i</w:t>
      </w:r>
      <w:r w:rsidRPr="00890891">
        <w:rPr>
          <w:rFonts w:ascii="Arial" w:hAnsi="Arial" w:cs="Arial"/>
          <w:sz w:val="24"/>
          <w:szCs w:val="24"/>
        </w:rPr>
        <w:t>cit la om. Poluanţii de tip metale grele sunt deosebit de periculoşi prin remanenţa de lungă durată în sol, precum şi datorită preluării lor de către plante şi animale. Acestor elemente de toxicitate se adaugă posibilitatea combinării metalelor grele cu minerale şi oligomin</w:t>
      </w:r>
      <w:r w:rsidRPr="00890891">
        <w:rPr>
          <w:rFonts w:ascii="Arial" w:hAnsi="Arial" w:cs="Arial"/>
          <w:sz w:val="24"/>
          <w:szCs w:val="24"/>
        </w:rPr>
        <w:t>e</w:t>
      </w:r>
      <w:r w:rsidRPr="00890891">
        <w:rPr>
          <w:rFonts w:ascii="Arial" w:hAnsi="Arial" w:cs="Arial"/>
          <w:sz w:val="24"/>
          <w:szCs w:val="24"/>
        </w:rPr>
        <w:t>rale devenind blocanţi ai acestora, frustrând organismele de aceste elemente indispens</w:t>
      </w:r>
      <w:r w:rsidRPr="00890891">
        <w:rPr>
          <w:rFonts w:ascii="Arial" w:hAnsi="Arial" w:cs="Arial"/>
          <w:sz w:val="24"/>
          <w:szCs w:val="24"/>
        </w:rPr>
        <w:t>a</w:t>
      </w:r>
      <w:r w:rsidRPr="00890891">
        <w:rPr>
          <w:rFonts w:ascii="Arial" w:hAnsi="Arial" w:cs="Arial"/>
          <w:sz w:val="24"/>
          <w:szCs w:val="24"/>
        </w:rPr>
        <w:t>bile vieţii.</w:t>
      </w:r>
    </w:p>
    <w:p w:rsidR="00CA0B63" w:rsidRPr="00890891" w:rsidRDefault="00CA0B63" w:rsidP="00F232F6">
      <w:pPr>
        <w:spacing w:before="120" w:after="120" w:line="240" w:lineRule="auto"/>
        <w:jc w:val="both"/>
        <w:rPr>
          <w:rFonts w:ascii="Arial" w:hAnsi="Arial" w:cs="Arial"/>
          <w:sz w:val="24"/>
          <w:szCs w:val="24"/>
        </w:rPr>
      </w:pPr>
      <w:r w:rsidRPr="00890891">
        <w:rPr>
          <w:rFonts w:ascii="Arial" w:hAnsi="Arial" w:cs="Arial"/>
          <w:sz w:val="24"/>
          <w:szCs w:val="24"/>
        </w:rPr>
        <w:t>Metalele grele se concentrează la nivelul fiecărui nivel trofic datorită slabei lor mobilităţi, respectiv concentraţia lor în plante este mai mare decât în sol, în animalele ierbivore mai mare decât în plante, în ţesuturile carnivorelor mai mare decât la ierbivore, concentraţia cea mai mare fiind atinsă la capetele lanţurilor trofice, respectiv la răpitorii de vârf şi impl</w:t>
      </w:r>
      <w:r w:rsidRPr="00890891">
        <w:rPr>
          <w:rFonts w:ascii="Arial" w:hAnsi="Arial" w:cs="Arial"/>
          <w:sz w:val="24"/>
          <w:szCs w:val="24"/>
        </w:rPr>
        <w:t>i</w:t>
      </w:r>
      <w:r w:rsidRPr="00890891">
        <w:rPr>
          <w:rFonts w:ascii="Arial" w:hAnsi="Arial" w:cs="Arial"/>
          <w:sz w:val="24"/>
          <w:szCs w:val="24"/>
        </w:rPr>
        <w:t>cit la om. Poluanţii de tip metale grele sunt deosebit de periculoşi prin remanenţa de lungă durată în sol, precum şi datorită preluării lor de către plante şi animale. Acestor elemente de toxicitate se adaugă posibilitatea combinării metalelor grele cu minerale şi oligomin</w:t>
      </w:r>
      <w:r w:rsidRPr="00890891">
        <w:rPr>
          <w:rFonts w:ascii="Arial" w:hAnsi="Arial" w:cs="Arial"/>
          <w:sz w:val="24"/>
          <w:szCs w:val="24"/>
        </w:rPr>
        <w:t>e</w:t>
      </w:r>
      <w:r w:rsidRPr="00890891">
        <w:rPr>
          <w:rFonts w:ascii="Arial" w:hAnsi="Arial" w:cs="Arial"/>
          <w:sz w:val="24"/>
          <w:szCs w:val="24"/>
        </w:rPr>
        <w:t>rale devenind blocanţi ai acestora, frustrând organismele de aceste elemente indispens</w:t>
      </w:r>
      <w:r w:rsidRPr="00890891">
        <w:rPr>
          <w:rFonts w:ascii="Arial" w:hAnsi="Arial" w:cs="Arial"/>
          <w:sz w:val="24"/>
          <w:szCs w:val="24"/>
        </w:rPr>
        <w:t>a</w:t>
      </w:r>
      <w:r w:rsidRPr="00890891">
        <w:rPr>
          <w:rFonts w:ascii="Arial" w:hAnsi="Arial" w:cs="Arial"/>
          <w:sz w:val="24"/>
          <w:szCs w:val="24"/>
        </w:rPr>
        <w:t>bile vieţii.</w:t>
      </w:r>
    </w:p>
    <w:p w:rsidR="00CA0B63" w:rsidRPr="00890891" w:rsidRDefault="00CA0B63" w:rsidP="00F232F6">
      <w:pPr>
        <w:spacing w:before="120" w:after="120" w:line="240" w:lineRule="auto"/>
        <w:jc w:val="both"/>
        <w:rPr>
          <w:rFonts w:ascii="Arial" w:hAnsi="Arial" w:cs="Arial"/>
          <w:sz w:val="24"/>
          <w:szCs w:val="24"/>
        </w:rPr>
      </w:pPr>
      <w:r w:rsidRPr="00890891">
        <w:rPr>
          <w:rFonts w:ascii="Arial" w:hAnsi="Arial" w:cs="Arial"/>
          <w:sz w:val="24"/>
          <w:szCs w:val="24"/>
        </w:rPr>
        <w:t>Anual, milioane de tone de poluanţi toxici sunt eliberate în aer, atât din surse naturale, dar mai ales din cele antropogene. Există patru categorii de surse de emisie: staţionare (pr</w:t>
      </w:r>
      <w:r w:rsidRPr="00890891">
        <w:rPr>
          <w:rFonts w:ascii="Arial" w:hAnsi="Arial" w:cs="Arial"/>
          <w:sz w:val="24"/>
          <w:szCs w:val="24"/>
        </w:rPr>
        <w:t>o</w:t>
      </w:r>
      <w:r w:rsidRPr="00890891">
        <w:rPr>
          <w:rFonts w:ascii="Arial" w:hAnsi="Arial" w:cs="Arial"/>
          <w:sz w:val="24"/>
          <w:szCs w:val="24"/>
        </w:rPr>
        <w:t>cesele industriale, arderile industriale şi casnice), mobile (trafic auto), naturale (erupţii vu</w:t>
      </w:r>
      <w:r w:rsidRPr="00890891">
        <w:rPr>
          <w:rFonts w:ascii="Arial" w:hAnsi="Arial" w:cs="Arial"/>
          <w:sz w:val="24"/>
          <w:szCs w:val="24"/>
        </w:rPr>
        <w:t>l</w:t>
      </w:r>
      <w:r w:rsidRPr="00890891">
        <w:rPr>
          <w:rFonts w:ascii="Arial" w:hAnsi="Arial" w:cs="Arial"/>
          <w:sz w:val="24"/>
          <w:szCs w:val="24"/>
        </w:rPr>
        <w:t>canice, incendii de pădure) şi poluările accidentale (deversări, incendii industriale).</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O</w:t>
      </w:r>
      <w:r w:rsidRPr="00890891">
        <w:rPr>
          <w:rFonts w:ascii="Arial" w:hAnsi="Arial" w:cs="Arial"/>
          <w:sz w:val="24"/>
          <w:szCs w:val="24"/>
        </w:rPr>
        <w:t>dată ajunse în mediu, metalele grele suferă un proces de absorbţie între diferitele medii de viaţă (aer, apă, sol), dar şi între organismele din ecosistemele respective. Astfel, din aer, metalele grele pot fi inhalate direct sau pot contribui la poluarea solului prin precipitaţii. Din solul contaminat, plantele, pe de o parte, asimilează metalele dizolvate, iar, pe de altă parte, se produce poluarea prin infiltraţie a apelor subterane, din care, ulterior, are loc transferul poluanţilor spre apele de suprafaţă şi spre cele potabile. Plantele cont</w:t>
      </w:r>
      <w:r w:rsidRPr="00890891">
        <w:rPr>
          <w:rFonts w:ascii="Arial" w:hAnsi="Arial" w:cs="Arial"/>
          <w:sz w:val="24"/>
          <w:szCs w:val="24"/>
        </w:rPr>
        <w:t>a</w:t>
      </w:r>
      <w:r w:rsidRPr="00890891">
        <w:rPr>
          <w:rFonts w:ascii="Arial" w:hAnsi="Arial" w:cs="Arial"/>
          <w:sz w:val="24"/>
          <w:szCs w:val="24"/>
        </w:rPr>
        <w:t>minate cu metale grele reprezintă hrană pentru animale şi om.</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I</w:t>
      </w:r>
      <w:r w:rsidRPr="00B24FA8">
        <w:rPr>
          <w:rFonts w:ascii="Arial" w:hAnsi="Arial" w:cs="Arial"/>
          <w:sz w:val="24"/>
          <w:szCs w:val="24"/>
        </w:rPr>
        <w:t>ndicatorul oferă informaţii cu privire la emisiile de metale grele din diferite sectoare de a</w:t>
      </w:r>
      <w:r w:rsidRPr="00B24FA8">
        <w:rPr>
          <w:rFonts w:ascii="Arial" w:hAnsi="Arial" w:cs="Arial"/>
          <w:sz w:val="24"/>
          <w:szCs w:val="24"/>
        </w:rPr>
        <w:t>c</w:t>
      </w:r>
      <w:r w:rsidRPr="00B24FA8">
        <w:rPr>
          <w:rFonts w:ascii="Arial" w:hAnsi="Arial" w:cs="Arial"/>
          <w:sz w:val="24"/>
          <w:szCs w:val="24"/>
        </w:rPr>
        <w:t>tivitate: energie – producţie şi distribuţie; utilizarea energiei în industrie; procese indu</w:t>
      </w:r>
      <w:r w:rsidRPr="00B24FA8">
        <w:rPr>
          <w:rFonts w:ascii="Arial" w:hAnsi="Arial" w:cs="Arial"/>
          <w:sz w:val="24"/>
          <w:szCs w:val="24"/>
        </w:rPr>
        <w:t>s</w:t>
      </w:r>
      <w:r w:rsidRPr="00B24FA8">
        <w:rPr>
          <w:rFonts w:ascii="Arial" w:hAnsi="Arial" w:cs="Arial"/>
          <w:sz w:val="24"/>
          <w:szCs w:val="24"/>
        </w:rPr>
        <w:t>triale; transport rutier; transport nerutier; comercial, instituţional şi gospodări</w:t>
      </w:r>
      <w:r>
        <w:rPr>
          <w:rFonts w:ascii="Arial" w:hAnsi="Arial" w:cs="Arial"/>
          <w:sz w:val="24"/>
          <w:szCs w:val="24"/>
        </w:rPr>
        <w:t>i; agricultură; deşeuri; altele, în anul 2014, la nivelul judeţului Buzău.</w:t>
      </w:r>
    </w:p>
    <w:p w:rsidR="00041208" w:rsidRDefault="00041208" w:rsidP="00F232F6">
      <w:pPr>
        <w:spacing w:before="120" w:after="120" w:line="240" w:lineRule="auto"/>
        <w:jc w:val="both"/>
        <w:rPr>
          <w:rFonts w:ascii="Arial" w:hAnsi="Arial" w:cs="Arial"/>
          <w:b/>
          <w:bCs/>
          <w:sz w:val="24"/>
          <w:szCs w:val="24"/>
        </w:rPr>
      </w:pPr>
    </w:p>
    <w:p w:rsidR="00CA0B63" w:rsidRPr="00B24FA8" w:rsidRDefault="00CA0B63" w:rsidP="00F232F6">
      <w:pPr>
        <w:spacing w:before="120" w:after="120" w:line="240" w:lineRule="auto"/>
        <w:jc w:val="both"/>
        <w:rPr>
          <w:rFonts w:ascii="Arial" w:hAnsi="Arial" w:cs="Arial"/>
          <w:b/>
          <w:bCs/>
          <w:sz w:val="24"/>
          <w:szCs w:val="24"/>
        </w:rPr>
      </w:pPr>
      <w:r>
        <w:rPr>
          <w:rFonts w:ascii="Arial" w:hAnsi="Arial" w:cs="Arial"/>
          <w:b/>
          <w:bCs/>
          <w:sz w:val="24"/>
          <w:szCs w:val="24"/>
        </w:rPr>
        <w:t>e) Emisii</w:t>
      </w:r>
      <w:r w:rsidRPr="00B24FA8">
        <w:rPr>
          <w:rFonts w:ascii="Arial" w:hAnsi="Arial" w:cs="Arial"/>
          <w:b/>
          <w:bCs/>
          <w:sz w:val="24"/>
          <w:szCs w:val="24"/>
        </w:rPr>
        <w:t xml:space="preserve"> d</w:t>
      </w:r>
      <w:r>
        <w:rPr>
          <w:rFonts w:ascii="Arial" w:hAnsi="Arial" w:cs="Arial"/>
          <w:b/>
          <w:bCs/>
          <w:sz w:val="24"/>
          <w:szCs w:val="24"/>
        </w:rPr>
        <w:t>e poluanţi organici persistenţi</w:t>
      </w:r>
    </w:p>
    <w:p w:rsidR="00CA0B63" w:rsidRPr="006F6419" w:rsidRDefault="00CA0B63" w:rsidP="00F232F6">
      <w:pPr>
        <w:spacing w:before="120" w:after="120" w:line="240" w:lineRule="auto"/>
        <w:jc w:val="both"/>
        <w:rPr>
          <w:rFonts w:ascii="Arial" w:hAnsi="Arial" w:cs="Arial"/>
          <w:sz w:val="24"/>
          <w:szCs w:val="24"/>
        </w:rPr>
      </w:pPr>
      <w:r w:rsidRPr="006F6419">
        <w:rPr>
          <w:rFonts w:ascii="Arial" w:hAnsi="Arial" w:cs="Arial"/>
          <w:sz w:val="24"/>
          <w:szCs w:val="24"/>
        </w:rPr>
        <w:t>Poluanţii Organici Persistenţi sunt substanţe chimice, care persistă perioade lungi în m</w:t>
      </w:r>
      <w:r w:rsidRPr="006F6419">
        <w:rPr>
          <w:rFonts w:ascii="Arial" w:hAnsi="Arial" w:cs="Arial"/>
          <w:sz w:val="24"/>
          <w:szCs w:val="24"/>
        </w:rPr>
        <w:t>e</w:t>
      </w:r>
      <w:r w:rsidRPr="006F6419">
        <w:rPr>
          <w:rFonts w:ascii="Arial" w:hAnsi="Arial" w:cs="Arial"/>
          <w:sz w:val="24"/>
          <w:szCs w:val="24"/>
        </w:rPr>
        <w:t>diul înconjurător, se bioacumulează în organismele vii şi sunt toxice pentru om şi viaţa sălbatică. POP-urile circulă la nivel global prin atmosferă, apa mărilor şi oceanelor.</w:t>
      </w:r>
    </w:p>
    <w:p w:rsidR="00CA0B63" w:rsidRDefault="00CA0B63" w:rsidP="00F232F6">
      <w:pPr>
        <w:spacing w:before="120" w:after="120" w:line="240" w:lineRule="auto"/>
        <w:jc w:val="both"/>
        <w:rPr>
          <w:rFonts w:ascii="Arial" w:hAnsi="Arial" w:cs="Arial"/>
          <w:sz w:val="24"/>
          <w:szCs w:val="24"/>
        </w:rPr>
      </w:pPr>
      <w:r w:rsidRPr="006F6419">
        <w:rPr>
          <w:rFonts w:ascii="Arial" w:hAnsi="Arial" w:cs="Arial"/>
          <w:sz w:val="24"/>
          <w:szCs w:val="24"/>
        </w:rPr>
        <w:t>Efectele POP-urilor asupra sănătăţii omului sunt deosebit de grave: afectează sistemul imunitar, majoritatea sunt cancerigene, influenţează negativ graviditatea, afectează ficatul, tiroida, rinichii şi multe altele.</w:t>
      </w:r>
      <w:r>
        <w:rPr>
          <w:rFonts w:ascii="Arial" w:hAnsi="Arial" w:cs="Arial"/>
          <w:sz w:val="24"/>
          <w:szCs w:val="24"/>
        </w:rPr>
        <w:t xml:space="preserve"> </w:t>
      </w:r>
      <w:r w:rsidRPr="006F6419">
        <w:rPr>
          <w:rFonts w:ascii="Arial" w:hAnsi="Arial" w:cs="Arial"/>
          <w:sz w:val="24"/>
          <w:szCs w:val="24"/>
        </w:rPr>
        <w:t>Un aspect unic al POP-urilor este că acestea pătrund în lanţul trofic, avănd posibilitatea de a trece de la mamă la copil</w:t>
      </w:r>
      <w:r>
        <w:rPr>
          <w:rFonts w:ascii="Arial" w:hAnsi="Arial" w:cs="Arial"/>
          <w:sz w:val="24"/>
          <w:szCs w:val="24"/>
        </w:rPr>
        <w:t>,</w:t>
      </w:r>
      <w:r w:rsidRPr="006F6419">
        <w:rPr>
          <w:rFonts w:ascii="Arial" w:hAnsi="Arial" w:cs="Arial"/>
          <w:sz w:val="24"/>
          <w:szCs w:val="24"/>
        </w:rPr>
        <w:t xml:space="preserve"> prin placentă şi laptele m</w:t>
      </w:r>
      <w:r w:rsidRPr="006F6419">
        <w:rPr>
          <w:rFonts w:ascii="Arial" w:hAnsi="Arial" w:cs="Arial"/>
          <w:sz w:val="24"/>
          <w:szCs w:val="24"/>
        </w:rPr>
        <w:t>a</w:t>
      </w:r>
      <w:r w:rsidRPr="006F6419">
        <w:rPr>
          <w:rFonts w:ascii="Arial" w:hAnsi="Arial" w:cs="Arial"/>
          <w:sz w:val="24"/>
          <w:szCs w:val="24"/>
        </w:rPr>
        <w:lastRenderedPageBreak/>
        <w:t>tern. Astfel, s-au descoperit concentraţii de POP-uri mai mari în laptele matern decât în laptele de origine animală.</w:t>
      </w:r>
    </w:p>
    <w:p w:rsidR="00CA0B63" w:rsidRPr="006F6419" w:rsidRDefault="00CA0B63" w:rsidP="00F232F6">
      <w:pPr>
        <w:spacing w:before="120" w:after="120" w:line="240" w:lineRule="auto"/>
        <w:jc w:val="both"/>
        <w:rPr>
          <w:rFonts w:ascii="Arial" w:hAnsi="Arial" w:cs="Arial"/>
          <w:sz w:val="24"/>
          <w:szCs w:val="24"/>
        </w:rPr>
      </w:pPr>
      <w:r>
        <w:rPr>
          <w:rFonts w:ascii="Arial" w:hAnsi="Arial" w:cs="Arial"/>
          <w:sz w:val="24"/>
          <w:szCs w:val="24"/>
        </w:rPr>
        <w:t xml:space="preserve">Indicatorul oferă </w:t>
      </w:r>
      <w:r w:rsidRPr="006F6419">
        <w:rPr>
          <w:rFonts w:ascii="Arial" w:hAnsi="Arial" w:cs="Arial"/>
          <w:sz w:val="24"/>
          <w:szCs w:val="24"/>
        </w:rPr>
        <w:t xml:space="preserve">informaţii privind emisiile de poluanţi organici persistenţi pe sectoare de activitate: producţia şi distribuţia de energie, utilizarea </w:t>
      </w:r>
      <w:r>
        <w:rPr>
          <w:rFonts w:ascii="Arial" w:hAnsi="Arial" w:cs="Arial"/>
          <w:sz w:val="24"/>
          <w:szCs w:val="24"/>
        </w:rPr>
        <w:t>energiei în industrie,</w:t>
      </w:r>
      <w:r w:rsidRPr="006F6419">
        <w:rPr>
          <w:rFonts w:ascii="Arial" w:hAnsi="Arial" w:cs="Arial"/>
          <w:sz w:val="24"/>
          <w:szCs w:val="24"/>
        </w:rPr>
        <w:t xml:space="preserve"> procese indu</w:t>
      </w:r>
      <w:r w:rsidRPr="006F6419">
        <w:rPr>
          <w:rFonts w:ascii="Arial" w:hAnsi="Arial" w:cs="Arial"/>
          <w:sz w:val="24"/>
          <w:szCs w:val="24"/>
        </w:rPr>
        <w:t>s</w:t>
      </w:r>
      <w:r w:rsidRPr="006F6419">
        <w:rPr>
          <w:rFonts w:ascii="Arial" w:hAnsi="Arial" w:cs="Arial"/>
          <w:sz w:val="24"/>
          <w:szCs w:val="24"/>
        </w:rPr>
        <w:t>triale, transport rutier, non-transport rutier, produc</w:t>
      </w:r>
      <w:r>
        <w:rPr>
          <w:rFonts w:ascii="Arial" w:hAnsi="Arial" w:cs="Arial"/>
          <w:sz w:val="24"/>
          <w:szCs w:val="24"/>
        </w:rPr>
        <w:t xml:space="preserve">erea şi utilizarea solvenţilor, </w:t>
      </w:r>
      <w:r w:rsidRPr="006F6419">
        <w:rPr>
          <w:rFonts w:ascii="Arial" w:hAnsi="Arial" w:cs="Arial"/>
          <w:sz w:val="24"/>
          <w:szCs w:val="24"/>
        </w:rPr>
        <w:t>comerci</w:t>
      </w:r>
      <w:r>
        <w:rPr>
          <w:rFonts w:ascii="Arial" w:hAnsi="Arial" w:cs="Arial"/>
          <w:sz w:val="24"/>
          <w:szCs w:val="24"/>
        </w:rPr>
        <w:t>al, instituţional şi gospodării, agricultură, deşeuri şi</w:t>
      </w:r>
      <w:r w:rsidRPr="006F6419">
        <w:rPr>
          <w:rFonts w:ascii="Arial" w:hAnsi="Arial" w:cs="Arial"/>
          <w:sz w:val="24"/>
          <w:szCs w:val="24"/>
        </w:rPr>
        <w:t xml:space="preserve"> alte domenii</w:t>
      </w:r>
      <w:r>
        <w:rPr>
          <w:rFonts w:ascii="Arial" w:hAnsi="Arial" w:cs="Arial"/>
          <w:sz w:val="24"/>
          <w:szCs w:val="24"/>
        </w:rPr>
        <w:t>, în anul 2014, la nivelul judeţului Buzău.</w:t>
      </w:r>
    </w:p>
    <w:p w:rsidR="00CA0B63" w:rsidRPr="006F6419" w:rsidRDefault="00CA0B63" w:rsidP="00F232F6">
      <w:pPr>
        <w:spacing w:before="120" w:after="120" w:line="240" w:lineRule="auto"/>
        <w:jc w:val="both"/>
        <w:rPr>
          <w:rFonts w:ascii="Arial" w:hAnsi="Arial" w:cs="Arial"/>
          <w:sz w:val="24"/>
          <w:szCs w:val="24"/>
        </w:rPr>
      </w:pPr>
      <w:r w:rsidRPr="006F6419">
        <w:rPr>
          <w:rFonts w:ascii="Arial" w:hAnsi="Arial" w:cs="Arial"/>
          <w:sz w:val="24"/>
          <w:szCs w:val="24"/>
        </w:rPr>
        <w:t>Principalele surse de emisie de dioxine sunt reprezentate de arderile în sectorul rezidenţial, incinerarea deşeurilor, arderile în industriile energetice şi procesele de producţie.</w:t>
      </w:r>
    </w:p>
    <w:p w:rsidR="00CA0B63" w:rsidRPr="006F6419" w:rsidRDefault="00CA0B63" w:rsidP="00F232F6">
      <w:pPr>
        <w:spacing w:before="120" w:after="120" w:line="240" w:lineRule="auto"/>
        <w:jc w:val="both"/>
        <w:rPr>
          <w:rFonts w:ascii="Arial" w:hAnsi="Arial" w:cs="Arial"/>
          <w:sz w:val="24"/>
          <w:szCs w:val="24"/>
        </w:rPr>
      </w:pPr>
      <w:r w:rsidRPr="006F6419">
        <w:rPr>
          <w:rFonts w:ascii="Arial" w:hAnsi="Arial" w:cs="Arial"/>
          <w:sz w:val="24"/>
          <w:szCs w:val="24"/>
        </w:rPr>
        <w:t>Ponderea emisiilor naţionale anuale de hidrocarburi aromatice policiclice (HAP) este reprezentată de procesele de combustie din sectorul rezidenţial, urmate de procesele de producţie.</w:t>
      </w:r>
    </w:p>
    <w:p w:rsidR="00CA0B63" w:rsidRDefault="00CA0B63" w:rsidP="00F232F6">
      <w:pPr>
        <w:spacing w:before="120" w:after="120" w:line="240" w:lineRule="auto"/>
        <w:jc w:val="both"/>
        <w:rPr>
          <w:rFonts w:ascii="Arial" w:hAnsi="Arial" w:cs="Arial"/>
          <w:sz w:val="24"/>
          <w:szCs w:val="24"/>
        </w:rPr>
      </w:pPr>
      <w:r w:rsidRPr="006F6419">
        <w:rPr>
          <w:rFonts w:ascii="Arial" w:hAnsi="Arial" w:cs="Arial"/>
          <w:sz w:val="24"/>
          <w:szCs w:val="24"/>
        </w:rPr>
        <w:t>Principala sursa de emisie a bifenililor policloruraţi este reprezentată de siderurgie şi met</w:t>
      </w:r>
      <w:r w:rsidRPr="006F6419">
        <w:rPr>
          <w:rFonts w:ascii="Arial" w:hAnsi="Arial" w:cs="Arial"/>
          <w:sz w:val="24"/>
          <w:szCs w:val="24"/>
        </w:rPr>
        <w:t>a</w:t>
      </w:r>
      <w:r w:rsidRPr="006F6419">
        <w:rPr>
          <w:rFonts w:ascii="Arial" w:hAnsi="Arial" w:cs="Arial"/>
          <w:sz w:val="24"/>
          <w:szCs w:val="24"/>
        </w:rPr>
        <w:t>lurgie urmată de incinerarea deşeurilor.</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Menţionăm că datele referitoare la emisiile prezentate mai sus sunt preluate din Inventarul emisiilor de poluanţi atmosferici la nivelul judeţului Buzău, întocmit conform Ordinului MMP nr. 3299/2012, pentru aprobarea Metodologiei de realizare şi raportare a inventarelor pr</w:t>
      </w:r>
      <w:r>
        <w:rPr>
          <w:rFonts w:ascii="Arial" w:hAnsi="Arial" w:cs="Arial"/>
          <w:sz w:val="24"/>
          <w:szCs w:val="24"/>
        </w:rPr>
        <w:t>i</w:t>
      </w:r>
      <w:r>
        <w:rPr>
          <w:rFonts w:ascii="Arial" w:hAnsi="Arial" w:cs="Arial"/>
          <w:sz w:val="24"/>
          <w:szCs w:val="24"/>
        </w:rPr>
        <w:t>vind emisiile de poluanţi în atmosferă.</w:t>
      </w:r>
    </w:p>
    <w:p w:rsidR="00F232F6" w:rsidRDefault="00F232F6" w:rsidP="00F232F6">
      <w:pPr>
        <w:spacing w:before="120" w:after="120" w:line="240" w:lineRule="auto"/>
        <w:jc w:val="both"/>
        <w:rPr>
          <w:rFonts w:ascii="Arial" w:hAnsi="Arial" w:cs="Arial"/>
          <w:b/>
          <w:sz w:val="24"/>
          <w:szCs w:val="24"/>
        </w:rPr>
      </w:pPr>
    </w:p>
    <w:p w:rsidR="00CA0B63" w:rsidRDefault="00CA0B63" w:rsidP="00F232F6">
      <w:pPr>
        <w:spacing w:before="120" w:after="120" w:line="240" w:lineRule="auto"/>
        <w:jc w:val="both"/>
        <w:rPr>
          <w:rFonts w:ascii="Arial" w:hAnsi="Arial" w:cs="Arial"/>
          <w:b/>
          <w:sz w:val="24"/>
          <w:szCs w:val="24"/>
        </w:rPr>
      </w:pPr>
      <w:r w:rsidRPr="00CD1251">
        <w:rPr>
          <w:rFonts w:ascii="Arial" w:hAnsi="Arial" w:cs="Arial"/>
          <w:b/>
          <w:sz w:val="24"/>
          <w:szCs w:val="24"/>
        </w:rPr>
        <w:t>I.2.1.1. Energia</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În judeţul Buzău, energia electrică este obţinută în hidrocentrale şi în cele trei parcuri e</w:t>
      </w:r>
      <w:r>
        <w:rPr>
          <w:rFonts w:ascii="Arial" w:hAnsi="Arial" w:cs="Arial"/>
          <w:sz w:val="24"/>
          <w:szCs w:val="24"/>
        </w:rPr>
        <w:t>o</w:t>
      </w:r>
      <w:r>
        <w:rPr>
          <w:rFonts w:ascii="Arial" w:hAnsi="Arial" w:cs="Arial"/>
          <w:sz w:val="24"/>
          <w:szCs w:val="24"/>
        </w:rPr>
        <w:t>liene, iar energia termică este obţinută prin arderea gazelor naturale, a lemnului şi biom</w:t>
      </w:r>
      <w:r>
        <w:rPr>
          <w:rFonts w:ascii="Arial" w:hAnsi="Arial" w:cs="Arial"/>
          <w:sz w:val="24"/>
          <w:szCs w:val="24"/>
        </w:rPr>
        <w:t>a</w:t>
      </w:r>
      <w:r>
        <w:rPr>
          <w:rFonts w:ascii="Arial" w:hAnsi="Arial" w:cs="Arial"/>
          <w:sz w:val="24"/>
          <w:szCs w:val="24"/>
        </w:rPr>
        <w:t xml:space="preserve">sei. </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Menţionăm că nu deţinem date la nivelul judeţului legate de consumul final de energie pe tip de sector şi pe tip de combustibil.</w:t>
      </w:r>
    </w:p>
    <w:p w:rsidR="00CA0B63" w:rsidRPr="00E4060F" w:rsidRDefault="00CA0B63" w:rsidP="00F232F6">
      <w:pPr>
        <w:spacing w:before="120" w:after="120" w:line="240" w:lineRule="auto"/>
        <w:jc w:val="both"/>
        <w:rPr>
          <w:rFonts w:ascii="Arial" w:hAnsi="Arial" w:cs="Arial"/>
          <w:b/>
          <w:sz w:val="24"/>
          <w:szCs w:val="24"/>
        </w:rPr>
      </w:pPr>
      <w:r w:rsidRPr="00E4060F">
        <w:rPr>
          <w:rFonts w:ascii="Arial" w:hAnsi="Arial" w:cs="Arial"/>
          <w:b/>
          <w:bCs/>
          <w:sz w:val="24"/>
          <w:szCs w:val="24"/>
        </w:rPr>
        <w:t xml:space="preserve">a) </w:t>
      </w:r>
      <w:r w:rsidRPr="00E4060F">
        <w:rPr>
          <w:rFonts w:ascii="Arial" w:hAnsi="Arial" w:cs="Arial"/>
          <w:b/>
          <w:sz w:val="24"/>
          <w:szCs w:val="24"/>
        </w:rPr>
        <w:t>Emisiile de substanţe acidifiante</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Contribuţia sectoarelor de activitate din energie la emisiile de poluanţi cu efect de acid</w:t>
      </w:r>
      <w:r>
        <w:rPr>
          <w:rFonts w:ascii="Arial" w:hAnsi="Arial" w:cs="Arial"/>
          <w:sz w:val="24"/>
          <w:szCs w:val="24"/>
        </w:rPr>
        <w:t>i</w:t>
      </w:r>
      <w:r>
        <w:rPr>
          <w:rFonts w:ascii="Arial" w:hAnsi="Arial" w:cs="Arial"/>
          <w:sz w:val="24"/>
          <w:szCs w:val="24"/>
        </w:rPr>
        <w:t>fiere, la nivelul judeţului Buzău, în anul 2014, este prezentată în tabelul I.2.1.1.1. şi figura I.2.1.1.1.</w:t>
      </w:r>
    </w:p>
    <w:p w:rsidR="00F232F6" w:rsidRDefault="00F232F6" w:rsidP="00F232F6">
      <w:pPr>
        <w:spacing w:before="120" w:after="120" w:line="240" w:lineRule="auto"/>
        <w:jc w:val="both"/>
        <w:rPr>
          <w:rFonts w:ascii="Arial" w:hAnsi="Arial" w:cs="Arial"/>
          <w:sz w:val="24"/>
          <w:szCs w:val="24"/>
        </w:rPr>
      </w:pPr>
    </w:p>
    <w:tbl>
      <w:tblPr>
        <w:tblW w:w="6091" w:type="dxa"/>
        <w:jc w:val="center"/>
        <w:tblInd w:w="103" w:type="dxa"/>
        <w:tblLook w:val="04A0"/>
      </w:tblPr>
      <w:tblGrid>
        <w:gridCol w:w="1937"/>
        <w:gridCol w:w="1180"/>
        <w:gridCol w:w="1516"/>
        <w:gridCol w:w="1458"/>
      </w:tblGrid>
      <w:tr w:rsidR="00CA0B63" w:rsidRPr="005B4393" w:rsidTr="00F232F6">
        <w:trPr>
          <w:trHeight w:val="3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b/>
                <w:color w:val="000000"/>
                <w:sz w:val="24"/>
                <w:szCs w:val="24"/>
                <w:lang w:eastAsia="ro-RO"/>
              </w:rPr>
            </w:pPr>
            <w:r w:rsidRPr="006E3B04">
              <w:rPr>
                <w:rFonts w:ascii="Arial" w:eastAsia="Times New Roman" w:hAnsi="Arial" w:cs="Arial"/>
                <w:b/>
                <w:color w:val="000000"/>
                <w:sz w:val="24"/>
                <w:szCs w:val="24"/>
                <w:lang w:eastAsia="ro-RO"/>
              </w:rPr>
              <w:t>SECTOR A</w:t>
            </w:r>
            <w:r w:rsidRPr="006E3B04">
              <w:rPr>
                <w:rFonts w:ascii="Arial" w:eastAsia="Times New Roman" w:hAnsi="Arial" w:cs="Arial"/>
                <w:b/>
                <w:color w:val="000000"/>
                <w:sz w:val="24"/>
                <w:szCs w:val="24"/>
                <w:lang w:eastAsia="ro-RO"/>
              </w:rPr>
              <w:t>C</w:t>
            </w:r>
            <w:r w:rsidRPr="006E3B04">
              <w:rPr>
                <w:rFonts w:ascii="Arial" w:eastAsia="Times New Roman" w:hAnsi="Arial" w:cs="Arial"/>
                <w:b/>
                <w:color w:val="000000"/>
                <w:sz w:val="24"/>
                <w:szCs w:val="24"/>
                <w:lang w:eastAsia="ro-RO"/>
              </w:rPr>
              <w:t>TIVITATE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b/>
                <w:color w:val="000000"/>
                <w:sz w:val="24"/>
                <w:szCs w:val="24"/>
                <w:lang w:eastAsia="ro-RO"/>
              </w:rPr>
            </w:pPr>
            <w:r w:rsidRPr="005B4393">
              <w:rPr>
                <w:rFonts w:ascii="Arial" w:eastAsia="Times New Roman" w:hAnsi="Arial" w:cs="Arial"/>
                <w:b/>
                <w:color w:val="000000"/>
                <w:sz w:val="24"/>
                <w:szCs w:val="24"/>
                <w:lang w:eastAsia="ro-RO"/>
              </w:rPr>
              <w:t>S</w:t>
            </w:r>
            <w:r w:rsidRPr="006E3B04">
              <w:rPr>
                <w:rFonts w:ascii="Arial" w:eastAsia="Times New Roman" w:hAnsi="Arial" w:cs="Arial"/>
                <w:b/>
                <w:color w:val="000000"/>
                <w:sz w:val="24"/>
                <w:szCs w:val="24"/>
                <w:lang w:eastAsia="ro-RO"/>
              </w:rPr>
              <w:t>O</w:t>
            </w:r>
            <w:r w:rsidRPr="005B4393">
              <w:rPr>
                <w:rFonts w:ascii="Arial" w:eastAsia="Times New Roman" w:hAnsi="Arial" w:cs="Arial"/>
                <w:b/>
                <w:color w:val="000000"/>
                <w:sz w:val="24"/>
                <w:szCs w:val="24"/>
                <w:lang w:eastAsia="ro-RO"/>
              </w:rPr>
              <w:t>x</w:t>
            </w:r>
            <w:r w:rsidRPr="006E3B04">
              <w:rPr>
                <w:rFonts w:ascii="Arial" w:eastAsia="Times New Roman" w:hAnsi="Arial" w:cs="Arial"/>
                <w:b/>
                <w:color w:val="000000"/>
                <w:sz w:val="24"/>
                <w:szCs w:val="24"/>
                <w:lang w:eastAsia="ro-RO"/>
              </w:rPr>
              <w:t>, %</w:t>
            </w:r>
          </w:p>
        </w:tc>
        <w:tc>
          <w:tcPr>
            <w:tcW w:w="1516" w:type="dxa"/>
            <w:tcBorders>
              <w:top w:val="single" w:sz="4" w:space="0" w:color="auto"/>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b/>
                <w:color w:val="000000"/>
                <w:sz w:val="24"/>
                <w:szCs w:val="24"/>
                <w:lang w:eastAsia="ro-RO"/>
              </w:rPr>
            </w:pPr>
            <w:r w:rsidRPr="005B4393">
              <w:rPr>
                <w:rFonts w:ascii="Arial" w:eastAsia="Times New Roman" w:hAnsi="Arial" w:cs="Arial"/>
                <w:b/>
                <w:color w:val="000000"/>
                <w:sz w:val="24"/>
                <w:szCs w:val="24"/>
                <w:lang w:eastAsia="ro-RO"/>
              </w:rPr>
              <w:t>NOx</w:t>
            </w:r>
            <w:r w:rsidRPr="006E3B04">
              <w:rPr>
                <w:rFonts w:ascii="Arial" w:eastAsia="Times New Roman" w:hAnsi="Arial" w:cs="Arial"/>
                <w:b/>
                <w:color w:val="000000"/>
                <w:sz w:val="24"/>
                <w:szCs w:val="24"/>
                <w:lang w:eastAsia="ro-RO"/>
              </w:rPr>
              <w:t>, %</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b/>
                <w:color w:val="000000"/>
                <w:sz w:val="24"/>
                <w:szCs w:val="24"/>
                <w:lang w:eastAsia="ro-RO"/>
              </w:rPr>
            </w:pPr>
            <w:r w:rsidRPr="005B4393">
              <w:rPr>
                <w:rFonts w:ascii="Arial" w:eastAsia="Times New Roman" w:hAnsi="Arial" w:cs="Arial"/>
                <w:b/>
                <w:color w:val="000000"/>
                <w:sz w:val="24"/>
                <w:szCs w:val="24"/>
                <w:lang w:eastAsia="ro-RO"/>
              </w:rPr>
              <w:t>NH3</w:t>
            </w:r>
            <w:r w:rsidRPr="006E3B04">
              <w:rPr>
                <w:rFonts w:ascii="Arial" w:eastAsia="Times New Roman" w:hAnsi="Arial" w:cs="Arial"/>
                <w:b/>
                <w:color w:val="000000"/>
                <w:sz w:val="24"/>
                <w:szCs w:val="24"/>
                <w:lang w:eastAsia="ro-RO"/>
              </w:rPr>
              <w:t>, %</w:t>
            </w:r>
          </w:p>
        </w:tc>
      </w:tr>
      <w:tr w:rsidR="00CA0B63" w:rsidRPr="005B4393" w:rsidTr="00F232F6">
        <w:trPr>
          <w:trHeight w:val="9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5B4393" w:rsidRDefault="00CA0B63" w:rsidP="0056118B">
            <w:pPr>
              <w:spacing w:after="120" w:line="240" w:lineRule="auto"/>
              <w:jc w:val="center"/>
              <w:rPr>
                <w:rFonts w:ascii="Arial" w:eastAsia="Times New Roman" w:hAnsi="Arial" w:cs="Arial"/>
                <w:sz w:val="24"/>
                <w:szCs w:val="24"/>
                <w:lang w:eastAsia="ro-RO"/>
              </w:rPr>
            </w:pPr>
            <w:r w:rsidRPr="005B4393">
              <w:rPr>
                <w:rFonts w:ascii="Arial" w:eastAsia="Times New Roman" w:hAnsi="Arial" w:cs="Arial"/>
                <w:sz w:val="24"/>
                <w:szCs w:val="24"/>
                <w:lang w:eastAsia="ro-RO"/>
              </w:rPr>
              <w:t>PROD. ENE</w:t>
            </w:r>
            <w:r w:rsidRPr="005B4393">
              <w:rPr>
                <w:rFonts w:ascii="Arial" w:eastAsia="Times New Roman" w:hAnsi="Arial" w:cs="Arial"/>
                <w:sz w:val="24"/>
                <w:szCs w:val="24"/>
                <w:lang w:eastAsia="ro-RO"/>
              </w:rPr>
              <w:t>R</w:t>
            </w:r>
            <w:r w:rsidRPr="005B4393">
              <w:rPr>
                <w:rFonts w:ascii="Arial" w:eastAsia="Times New Roman" w:hAnsi="Arial" w:cs="Arial"/>
                <w:sz w:val="24"/>
                <w:szCs w:val="24"/>
                <w:lang w:eastAsia="ro-RO"/>
              </w:rPr>
              <w:t>GIE ELECTR</w:t>
            </w:r>
            <w:r w:rsidRPr="005B4393">
              <w:rPr>
                <w:rFonts w:ascii="Arial" w:eastAsia="Times New Roman" w:hAnsi="Arial" w:cs="Arial"/>
                <w:sz w:val="24"/>
                <w:szCs w:val="24"/>
                <w:lang w:eastAsia="ro-RO"/>
              </w:rPr>
              <w:t>I</w:t>
            </w:r>
            <w:r w:rsidRPr="005B4393">
              <w:rPr>
                <w:rFonts w:ascii="Arial" w:eastAsia="Times New Roman" w:hAnsi="Arial" w:cs="Arial"/>
                <w:sz w:val="24"/>
                <w:szCs w:val="24"/>
                <w:lang w:eastAsia="ro-RO"/>
              </w:rPr>
              <w:t>CA SI TERM</w:t>
            </w:r>
            <w:r w:rsidRPr="005B4393">
              <w:rPr>
                <w:rFonts w:ascii="Arial" w:eastAsia="Times New Roman" w:hAnsi="Arial" w:cs="Arial"/>
                <w:sz w:val="24"/>
                <w:szCs w:val="24"/>
                <w:lang w:eastAsia="ro-RO"/>
              </w:rPr>
              <w:t>I</w:t>
            </w:r>
            <w:r w:rsidRPr="005B4393">
              <w:rPr>
                <w:rFonts w:ascii="Arial" w:eastAsia="Times New Roman" w:hAnsi="Arial" w:cs="Arial"/>
                <w:sz w:val="24"/>
                <w:szCs w:val="24"/>
                <w:lang w:eastAsia="ro-RO"/>
              </w:rPr>
              <w:t>CA</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w:t>
            </w:r>
            <w:r w:rsidR="00CA0B63" w:rsidRPr="005B4393">
              <w:rPr>
                <w:rFonts w:ascii="Arial" w:eastAsia="Times New Roman" w:hAnsi="Arial" w:cs="Arial"/>
                <w:sz w:val="24"/>
                <w:szCs w:val="24"/>
                <w:lang w:eastAsia="ro-RO"/>
              </w:rPr>
              <w:t>06</w:t>
            </w:r>
          </w:p>
        </w:tc>
        <w:tc>
          <w:tcPr>
            <w:tcW w:w="1516"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6,</w:t>
            </w:r>
            <w:r w:rsidR="00CA0B63" w:rsidRPr="005B4393">
              <w:rPr>
                <w:rFonts w:ascii="Arial" w:eastAsia="Times New Roman" w:hAnsi="Arial" w:cs="Arial"/>
                <w:sz w:val="24"/>
                <w:szCs w:val="24"/>
                <w:lang w:eastAsia="ro-RO"/>
              </w:rPr>
              <w:t>12</w:t>
            </w:r>
          </w:p>
        </w:tc>
        <w:tc>
          <w:tcPr>
            <w:tcW w:w="1458"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6E3B04">
              <w:rPr>
                <w:rFonts w:ascii="Arial" w:eastAsia="Times New Roman" w:hAnsi="Arial" w:cs="Arial"/>
                <w:color w:val="000000"/>
                <w:sz w:val="24"/>
                <w:szCs w:val="24"/>
                <w:lang w:eastAsia="ro-RO"/>
              </w:rPr>
              <w:t>0</w:t>
            </w:r>
          </w:p>
        </w:tc>
      </w:tr>
      <w:tr w:rsidR="00CA0B63" w:rsidRPr="005B4393" w:rsidTr="00F232F6">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5B4393">
              <w:rPr>
                <w:rFonts w:ascii="Arial" w:eastAsia="Times New Roman" w:hAnsi="Arial" w:cs="Arial"/>
                <w:color w:val="000000"/>
                <w:sz w:val="24"/>
                <w:szCs w:val="24"/>
                <w:lang w:eastAsia="ro-RO"/>
              </w:rPr>
              <w:t>ARDERI ÎN METALURGIE</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10,</w:t>
            </w:r>
            <w:r w:rsidR="00CA0B63" w:rsidRPr="005B4393">
              <w:rPr>
                <w:rFonts w:ascii="Arial" w:eastAsia="Times New Roman" w:hAnsi="Arial" w:cs="Arial"/>
                <w:sz w:val="24"/>
                <w:szCs w:val="24"/>
                <w:lang w:eastAsia="ro-RO"/>
              </w:rPr>
              <w:t>11</w:t>
            </w:r>
          </w:p>
        </w:tc>
        <w:tc>
          <w:tcPr>
            <w:tcW w:w="1516"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w:t>
            </w:r>
            <w:r w:rsidR="00CA0B63" w:rsidRPr="005B4393">
              <w:rPr>
                <w:rFonts w:ascii="Arial" w:eastAsia="Times New Roman" w:hAnsi="Arial" w:cs="Arial"/>
                <w:sz w:val="24"/>
                <w:szCs w:val="24"/>
                <w:lang w:eastAsia="ro-RO"/>
              </w:rPr>
              <w:t>84</w:t>
            </w:r>
          </w:p>
        </w:tc>
        <w:tc>
          <w:tcPr>
            <w:tcW w:w="1458"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6E3B04">
              <w:rPr>
                <w:rFonts w:ascii="Arial" w:eastAsia="Times New Roman" w:hAnsi="Arial" w:cs="Arial"/>
                <w:color w:val="000000"/>
                <w:sz w:val="24"/>
                <w:szCs w:val="24"/>
                <w:lang w:eastAsia="ro-RO"/>
              </w:rPr>
              <w:t>0</w:t>
            </w:r>
          </w:p>
        </w:tc>
      </w:tr>
      <w:tr w:rsidR="00CA0B63" w:rsidRPr="005B4393" w:rsidTr="00F232F6">
        <w:trPr>
          <w:trHeight w:val="9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5B4393">
              <w:rPr>
                <w:rFonts w:ascii="Arial" w:eastAsia="Times New Roman" w:hAnsi="Arial" w:cs="Arial"/>
                <w:color w:val="000000"/>
                <w:sz w:val="24"/>
                <w:szCs w:val="24"/>
                <w:lang w:eastAsia="ro-RO"/>
              </w:rPr>
              <w:t>ARDERI ÎN EXTRACŢIE PETROL ŞI GAZE</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5B4393">
              <w:rPr>
                <w:rFonts w:ascii="Arial" w:eastAsia="Times New Roman" w:hAnsi="Arial" w:cs="Arial"/>
                <w:sz w:val="24"/>
                <w:szCs w:val="24"/>
                <w:lang w:eastAsia="ro-RO"/>
              </w:rPr>
              <w:t>07</w:t>
            </w:r>
          </w:p>
        </w:tc>
        <w:tc>
          <w:tcPr>
            <w:tcW w:w="1516"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w:t>
            </w:r>
            <w:r w:rsidR="00CA0B63" w:rsidRPr="005B4393">
              <w:rPr>
                <w:rFonts w:ascii="Arial" w:eastAsia="Times New Roman" w:hAnsi="Arial" w:cs="Arial"/>
                <w:sz w:val="24"/>
                <w:szCs w:val="24"/>
                <w:lang w:eastAsia="ro-RO"/>
              </w:rPr>
              <w:t>69</w:t>
            </w:r>
          </w:p>
        </w:tc>
        <w:tc>
          <w:tcPr>
            <w:tcW w:w="1458"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6E3B04">
              <w:rPr>
                <w:rFonts w:ascii="Arial" w:eastAsia="Times New Roman" w:hAnsi="Arial" w:cs="Arial"/>
                <w:color w:val="000000"/>
                <w:sz w:val="24"/>
                <w:szCs w:val="24"/>
                <w:lang w:eastAsia="ro-RO"/>
              </w:rPr>
              <w:t>0</w:t>
            </w:r>
          </w:p>
        </w:tc>
      </w:tr>
      <w:tr w:rsidR="00CA0B63" w:rsidRPr="005B4393" w:rsidTr="00F232F6">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5B4393">
              <w:rPr>
                <w:rFonts w:ascii="Arial" w:eastAsia="Times New Roman" w:hAnsi="Arial" w:cs="Arial"/>
                <w:color w:val="000000"/>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9,</w:t>
            </w:r>
            <w:r w:rsidR="00CA0B63" w:rsidRPr="005B4393">
              <w:rPr>
                <w:rFonts w:ascii="Arial" w:eastAsia="Times New Roman" w:hAnsi="Arial" w:cs="Arial"/>
                <w:sz w:val="24"/>
                <w:szCs w:val="24"/>
                <w:lang w:eastAsia="ro-RO"/>
              </w:rPr>
              <w:t>06</w:t>
            </w:r>
          </w:p>
        </w:tc>
        <w:tc>
          <w:tcPr>
            <w:tcW w:w="1516"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041208">
            <w:pPr>
              <w:spacing w:after="120" w:line="240" w:lineRule="auto"/>
              <w:jc w:val="center"/>
              <w:rPr>
                <w:rFonts w:ascii="Arial" w:eastAsia="Times New Roman" w:hAnsi="Arial" w:cs="Arial"/>
                <w:sz w:val="24"/>
                <w:szCs w:val="24"/>
                <w:lang w:eastAsia="ro-RO"/>
              </w:rPr>
            </w:pPr>
            <w:r w:rsidRPr="005B4393">
              <w:rPr>
                <w:rFonts w:ascii="Arial" w:eastAsia="Times New Roman" w:hAnsi="Arial" w:cs="Arial"/>
                <w:sz w:val="24"/>
                <w:szCs w:val="24"/>
                <w:lang w:eastAsia="ro-RO"/>
              </w:rPr>
              <w:t>11</w:t>
            </w:r>
            <w:r w:rsidR="00041208">
              <w:rPr>
                <w:rFonts w:ascii="Arial" w:eastAsia="Times New Roman" w:hAnsi="Arial" w:cs="Arial"/>
                <w:sz w:val="24"/>
                <w:szCs w:val="24"/>
                <w:lang w:eastAsia="ro-RO"/>
              </w:rPr>
              <w:t>,</w:t>
            </w:r>
            <w:r w:rsidRPr="005B4393">
              <w:rPr>
                <w:rFonts w:ascii="Arial" w:eastAsia="Times New Roman" w:hAnsi="Arial" w:cs="Arial"/>
                <w:sz w:val="24"/>
                <w:szCs w:val="24"/>
                <w:lang w:eastAsia="ro-RO"/>
              </w:rPr>
              <w:t>38</w:t>
            </w:r>
          </w:p>
        </w:tc>
        <w:tc>
          <w:tcPr>
            <w:tcW w:w="1458"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6E3B04">
              <w:rPr>
                <w:rFonts w:ascii="Arial" w:eastAsia="Times New Roman" w:hAnsi="Arial" w:cs="Arial"/>
                <w:color w:val="000000"/>
                <w:sz w:val="24"/>
                <w:szCs w:val="24"/>
                <w:lang w:eastAsia="ro-RO"/>
              </w:rPr>
              <w:t>0</w:t>
            </w:r>
          </w:p>
        </w:tc>
      </w:tr>
      <w:tr w:rsidR="00CA0B63" w:rsidRPr="005B4393" w:rsidTr="00F232F6">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5B4393">
              <w:rPr>
                <w:rFonts w:ascii="Arial" w:eastAsia="Times New Roman" w:hAnsi="Arial" w:cs="Arial"/>
                <w:color w:val="000000"/>
                <w:sz w:val="24"/>
                <w:szCs w:val="24"/>
                <w:lang w:eastAsia="ro-RO"/>
              </w:rPr>
              <w:lastRenderedPageBreak/>
              <w:t>ARDERI ÎN ALTE DOMENII</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5B4393">
              <w:rPr>
                <w:rFonts w:ascii="Arial" w:eastAsia="Times New Roman" w:hAnsi="Arial" w:cs="Arial"/>
                <w:sz w:val="24"/>
                <w:szCs w:val="24"/>
                <w:lang w:eastAsia="ro-RO"/>
              </w:rPr>
              <w:t>7</w:t>
            </w:r>
          </w:p>
        </w:tc>
        <w:tc>
          <w:tcPr>
            <w:tcW w:w="1516"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9,</w:t>
            </w:r>
            <w:r w:rsidR="00CA0B63" w:rsidRPr="005B4393">
              <w:rPr>
                <w:rFonts w:ascii="Arial" w:eastAsia="Times New Roman" w:hAnsi="Arial" w:cs="Arial"/>
                <w:sz w:val="24"/>
                <w:szCs w:val="24"/>
                <w:lang w:eastAsia="ro-RO"/>
              </w:rPr>
              <w:t>9</w:t>
            </w:r>
          </w:p>
        </w:tc>
        <w:tc>
          <w:tcPr>
            <w:tcW w:w="1458"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6E3B04">
              <w:rPr>
                <w:rFonts w:ascii="Arial" w:eastAsia="Times New Roman" w:hAnsi="Arial" w:cs="Arial"/>
                <w:color w:val="000000"/>
                <w:sz w:val="24"/>
                <w:szCs w:val="24"/>
                <w:lang w:eastAsia="ro-RO"/>
              </w:rPr>
              <w:t>0</w:t>
            </w:r>
          </w:p>
        </w:tc>
      </w:tr>
      <w:tr w:rsidR="00CA0B63" w:rsidRPr="005B4393" w:rsidTr="00F232F6">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5B4393">
              <w:rPr>
                <w:rFonts w:ascii="Arial" w:eastAsia="Times New Roman" w:hAnsi="Arial" w:cs="Arial"/>
                <w:color w:val="000000"/>
                <w:sz w:val="24"/>
                <w:szCs w:val="24"/>
                <w:lang w:eastAsia="ro-RO"/>
              </w:rPr>
              <w:t>ÎNCĂLZIRE REZIDENŢIALĂ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sz w:val="24"/>
                <w:szCs w:val="24"/>
                <w:lang w:eastAsia="ro-RO"/>
              </w:rPr>
            </w:pPr>
            <w:r w:rsidRPr="005B4393">
              <w:rPr>
                <w:rFonts w:ascii="Arial" w:eastAsia="Times New Roman" w:hAnsi="Arial" w:cs="Arial"/>
                <w:sz w:val="24"/>
                <w:szCs w:val="24"/>
                <w:lang w:eastAsia="ro-RO"/>
              </w:rPr>
              <w:t>74</w:t>
            </w:r>
          </w:p>
        </w:tc>
        <w:tc>
          <w:tcPr>
            <w:tcW w:w="1516"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45,</w:t>
            </w:r>
            <w:r w:rsidR="00CA0B63" w:rsidRPr="005B4393">
              <w:rPr>
                <w:rFonts w:ascii="Arial" w:eastAsia="Times New Roman" w:hAnsi="Arial" w:cs="Arial"/>
                <w:sz w:val="24"/>
                <w:szCs w:val="24"/>
                <w:lang w:eastAsia="ro-RO"/>
              </w:rPr>
              <w:t>27</w:t>
            </w:r>
          </w:p>
        </w:tc>
        <w:tc>
          <w:tcPr>
            <w:tcW w:w="1458"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99,</w:t>
            </w:r>
            <w:r w:rsidR="00CA0B63" w:rsidRPr="005B4393">
              <w:rPr>
                <w:rFonts w:ascii="Arial" w:eastAsia="Times New Roman" w:hAnsi="Arial" w:cs="Arial"/>
                <w:sz w:val="24"/>
                <w:szCs w:val="24"/>
                <w:lang w:eastAsia="ro-RO"/>
              </w:rPr>
              <w:t>8</w:t>
            </w:r>
          </w:p>
        </w:tc>
      </w:tr>
      <w:tr w:rsidR="00CA0B63" w:rsidRPr="005B4393" w:rsidTr="00F232F6">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r w:rsidRPr="005B4393">
              <w:rPr>
                <w:rFonts w:ascii="Arial" w:eastAsia="Times New Roman" w:hAnsi="Arial" w:cs="Arial"/>
                <w:color w:val="000000"/>
                <w:sz w:val="24"/>
                <w:szCs w:val="24"/>
                <w:lang w:eastAsia="ro-RO"/>
              </w:rPr>
              <w:t>VEHICULE NERUTIERE</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5B4393" w:rsidRDefault="00CA0B63" w:rsidP="0056118B">
            <w:pPr>
              <w:spacing w:after="120" w:line="240" w:lineRule="auto"/>
              <w:jc w:val="center"/>
              <w:rPr>
                <w:rFonts w:ascii="Arial" w:eastAsia="Times New Roman" w:hAnsi="Arial" w:cs="Arial"/>
                <w:color w:val="000000"/>
                <w:sz w:val="24"/>
                <w:szCs w:val="24"/>
                <w:lang w:eastAsia="ro-RO"/>
              </w:rPr>
            </w:pPr>
          </w:p>
        </w:tc>
        <w:tc>
          <w:tcPr>
            <w:tcW w:w="1516"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23,</w:t>
            </w:r>
            <w:r w:rsidR="00CA0B63" w:rsidRPr="005B4393">
              <w:rPr>
                <w:rFonts w:ascii="Arial" w:eastAsia="Times New Roman" w:hAnsi="Arial" w:cs="Arial"/>
                <w:sz w:val="24"/>
                <w:szCs w:val="24"/>
                <w:lang w:eastAsia="ro-RO"/>
              </w:rPr>
              <w:t>8</w:t>
            </w:r>
          </w:p>
        </w:tc>
        <w:tc>
          <w:tcPr>
            <w:tcW w:w="1458" w:type="dxa"/>
            <w:tcBorders>
              <w:top w:val="nil"/>
              <w:left w:val="nil"/>
              <w:bottom w:val="single" w:sz="4" w:space="0" w:color="auto"/>
              <w:right w:val="single" w:sz="4" w:space="0" w:color="auto"/>
            </w:tcBorders>
            <w:shd w:val="clear" w:color="auto" w:fill="auto"/>
            <w:noWrap/>
            <w:vAlign w:val="center"/>
            <w:hideMark/>
          </w:tcPr>
          <w:p w:rsidR="00CA0B63" w:rsidRPr="005B4393" w:rsidRDefault="00041208"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5B4393">
              <w:rPr>
                <w:rFonts w:ascii="Arial" w:eastAsia="Times New Roman" w:hAnsi="Arial" w:cs="Arial"/>
                <w:sz w:val="24"/>
                <w:szCs w:val="24"/>
                <w:lang w:eastAsia="ro-RO"/>
              </w:rPr>
              <w:t>2</w:t>
            </w:r>
          </w:p>
        </w:tc>
      </w:tr>
    </w:tbl>
    <w:p w:rsidR="00CA0B63" w:rsidRDefault="00F232F6" w:rsidP="00F232F6">
      <w:pPr>
        <w:tabs>
          <w:tab w:val="left" w:pos="1942"/>
        </w:tabs>
        <w:spacing w:before="120" w:after="120" w:line="240" w:lineRule="auto"/>
        <w:jc w:val="center"/>
        <w:rPr>
          <w:rFonts w:ascii="Arial" w:hAnsi="Arial" w:cs="Arial"/>
          <w:b/>
          <w:sz w:val="24"/>
          <w:szCs w:val="24"/>
        </w:rPr>
      </w:pPr>
      <w:r>
        <w:rPr>
          <w:rFonts w:ascii="Arial" w:hAnsi="Arial" w:cs="Arial"/>
          <w:b/>
          <w:sz w:val="24"/>
          <w:szCs w:val="24"/>
        </w:rPr>
        <w:t>Tabel</w:t>
      </w:r>
      <w:r w:rsidR="00CA0B63" w:rsidRPr="00BF16F9">
        <w:rPr>
          <w:rFonts w:ascii="Arial" w:hAnsi="Arial" w:cs="Arial"/>
          <w:b/>
          <w:sz w:val="24"/>
          <w:szCs w:val="24"/>
        </w:rPr>
        <w:t xml:space="preserve"> I.2.1.1.1. Contribuţia sectoarelor de activitate din energie la emisiile de poluanţi cu efect de acidifiere</w:t>
      </w:r>
    </w:p>
    <w:p w:rsidR="00D71325" w:rsidRDefault="00D71325" w:rsidP="00F232F6">
      <w:pPr>
        <w:tabs>
          <w:tab w:val="left" w:pos="1942"/>
        </w:tabs>
        <w:spacing w:before="120" w:after="120" w:line="240" w:lineRule="auto"/>
        <w:jc w:val="center"/>
        <w:rPr>
          <w:rFonts w:ascii="Arial" w:hAnsi="Arial" w:cs="Arial"/>
          <w:b/>
          <w:sz w:val="24"/>
          <w:szCs w:val="24"/>
        </w:rPr>
      </w:pPr>
    </w:p>
    <w:p w:rsidR="00CA0B63" w:rsidRDefault="00CA0B63" w:rsidP="00CA0B63">
      <w:pPr>
        <w:tabs>
          <w:tab w:val="left" w:pos="1942"/>
        </w:tabs>
        <w:spacing w:after="120" w:line="240" w:lineRule="auto"/>
        <w:jc w:val="center"/>
        <w:rPr>
          <w:rFonts w:ascii="Arial" w:hAnsi="Arial" w:cs="Arial"/>
          <w:b/>
          <w:sz w:val="24"/>
          <w:szCs w:val="24"/>
        </w:rPr>
      </w:pPr>
      <w:r w:rsidRPr="00BF16F9">
        <w:rPr>
          <w:rFonts w:ascii="Arial" w:hAnsi="Arial" w:cs="Arial"/>
          <w:b/>
          <w:noProof/>
          <w:sz w:val="24"/>
          <w:szCs w:val="24"/>
          <w:lang w:val="ro-RO" w:eastAsia="ro-RO"/>
        </w:rPr>
        <w:drawing>
          <wp:inline distT="0" distB="0" distL="0" distR="0">
            <wp:extent cx="5648325" cy="3743325"/>
            <wp:effectExtent l="19050" t="0" r="9525"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0B63" w:rsidRDefault="00CA0B63" w:rsidP="00F232F6">
      <w:pPr>
        <w:tabs>
          <w:tab w:val="left" w:pos="1942"/>
        </w:tabs>
        <w:spacing w:before="120" w:after="120" w:line="240" w:lineRule="auto"/>
        <w:jc w:val="center"/>
        <w:rPr>
          <w:rFonts w:ascii="Arial" w:hAnsi="Arial" w:cs="Arial"/>
          <w:b/>
          <w:sz w:val="24"/>
          <w:szCs w:val="24"/>
        </w:rPr>
      </w:pPr>
      <w:r>
        <w:rPr>
          <w:rFonts w:ascii="Arial" w:hAnsi="Arial" w:cs="Arial"/>
          <w:b/>
          <w:sz w:val="24"/>
          <w:szCs w:val="24"/>
        </w:rPr>
        <w:t xml:space="preserve">Figura </w:t>
      </w:r>
      <w:r w:rsidRPr="00BF16F9">
        <w:rPr>
          <w:rFonts w:ascii="Arial" w:hAnsi="Arial" w:cs="Arial"/>
          <w:b/>
          <w:sz w:val="24"/>
          <w:szCs w:val="24"/>
        </w:rPr>
        <w:t>I.2.1.1.1. Contribuţia sectoarelor de activitate din energie la emisiile de poluanţi cu efect de acidifiere</w:t>
      </w:r>
    </w:p>
    <w:p w:rsidR="00D71325" w:rsidRDefault="00D71325" w:rsidP="00F232F6">
      <w:pPr>
        <w:spacing w:before="120" w:after="120" w:line="240" w:lineRule="auto"/>
        <w:jc w:val="both"/>
        <w:rPr>
          <w:rFonts w:ascii="Arial" w:hAnsi="Arial" w:cs="Arial"/>
          <w:sz w:val="24"/>
          <w:szCs w:val="24"/>
        </w:rPr>
      </w:pPr>
    </w:p>
    <w:p w:rsidR="00CA0B63" w:rsidRPr="006E3B04" w:rsidRDefault="00CA0B63" w:rsidP="00F232F6">
      <w:pPr>
        <w:spacing w:before="120" w:after="120" w:line="240" w:lineRule="auto"/>
        <w:jc w:val="both"/>
        <w:rPr>
          <w:rFonts w:ascii="Arial" w:hAnsi="Arial" w:cs="Arial"/>
          <w:sz w:val="24"/>
          <w:szCs w:val="24"/>
        </w:rPr>
      </w:pPr>
      <w:r w:rsidRPr="006E3B04">
        <w:rPr>
          <w:rFonts w:ascii="Arial" w:hAnsi="Arial" w:cs="Arial"/>
          <w:sz w:val="24"/>
          <w:szCs w:val="24"/>
        </w:rPr>
        <w:t>Din analiza datelor</w:t>
      </w:r>
      <w:r>
        <w:rPr>
          <w:rFonts w:ascii="Arial" w:hAnsi="Arial" w:cs="Arial"/>
          <w:sz w:val="24"/>
          <w:szCs w:val="24"/>
        </w:rPr>
        <w:t>,</w:t>
      </w:r>
      <w:r w:rsidRPr="006E3B04">
        <w:rPr>
          <w:rFonts w:ascii="Arial" w:hAnsi="Arial" w:cs="Arial"/>
          <w:sz w:val="24"/>
          <w:szCs w:val="24"/>
        </w:rPr>
        <w:t xml:space="preserve"> se observă că încălzirea rezidenţială are cea mai mare pondere în  emisiile </w:t>
      </w:r>
      <w:r>
        <w:rPr>
          <w:rFonts w:ascii="Arial" w:hAnsi="Arial" w:cs="Arial"/>
          <w:sz w:val="24"/>
          <w:szCs w:val="24"/>
        </w:rPr>
        <w:t>de substanţe acidifiante, cauzată, în special, de utilizarea drept combustibil, a lemnului şi biomasei.</w:t>
      </w:r>
    </w:p>
    <w:p w:rsidR="00CA0B63" w:rsidRPr="00B16227" w:rsidRDefault="00CA0B63" w:rsidP="00F232F6">
      <w:pPr>
        <w:spacing w:before="120" w:after="120" w:line="240" w:lineRule="auto"/>
        <w:jc w:val="both"/>
        <w:rPr>
          <w:rFonts w:ascii="Arial" w:hAnsi="Arial" w:cs="Arial"/>
          <w:b/>
          <w:sz w:val="24"/>
          <w:szCs w:val="24"/>
        </w:rPr>
      </w:pPr>
      <w:r w:rsidRPr="00B16227">
        <w:rPr>
          <w:rFonts w:ascii="Arial" w:hAnsi="Arial" w:cs="Arial"/>
          <w:b/>
          <w:sz w:val="24"/>
          <w:szCs w:val="24"/>
        </w:rPr>
        <w:t>b) Emisii de precursori ai ozonului</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Contribuţia sectoarelor de activitate din energie la emisiile de precursori ai ozonului, la n</w:t>
      </w:r>
      <w:r>
        <w:rPr>
          <w:rFonts w:ascii="Arial" w:hAnsi="Arial" w:cs="Arial"/>
          <w:sz w:val="24"/>
          <w:szCs w:val="24"/>
        </w:rPr>
        <w:t>i</w:t>
      </w:r>
      <w:r>
        <w:rPr>
          <w:rFonts w:ascii="Arial" w:hAnsi="Arial" w:cs="Arial"/>
          <w:sz w:val="24"/>
          <w:szCs w:val="24"/>
        </w:rPr>
        <w:t>velul judeţului Buzău, în anul 2014, este prezentată în tabelul I.2.1.1.2. şi figura I.2.1.1.2.</w:t>
      </w:r>
    </w:p>
    <w:p w:rsidR="00F232F6" w:rsidRDefault="00F232F6" w:rsidP="00F232F6">
      <w:pPr>
        <w:spacing w:before="120" w:after="120" w:line="240" w:lineRule="auto"/>
        <w:jc w:val="both"/>
        <w:rPr>
          <w:rFonts w:ascii="Arial" w:hAnsi="Arial" w:cs="Arial"/>
          <w:sz w:val="24"/>
          <w:szCs w:val="24"/>
        </w:rPr>
      </w:pPr>
    </w:p>
    <w:tbl>
      <w:tblPr>
        <w:tblW w:w="4700" w:type="dxa"/>
        <w:jc w:val="center"/>
        <w:tblInd w:w="103" w:type="dxa"/>
        <w:tblLook w:val="04A0"/>
      </w:tblPr>
      <w:tblGrid>
        <w:gridCol w:w="1937"/>
        <w:gridCol w:w="1180"/>
        <w:gridCol w:w="1176"/>
        <w:gridCol w:w="960"/>
      </w:tblGrid>
      <w:tr w:rsidR="00CA0B63" w:rsidRPr="007F6523" w:rsidTr="0056118B">
        <w:trPr>
          <w:trHeight w:val="6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b/>
                <w:color w:val="000000"/>
                <w:sz w:val="24"/>
                <w:szCs w:val="24"/>
                <w:lang w:eastAsia="ro-RO"/>
              </w:rPr>
            </w:pPr>
            <w:r w:rsidRPr="007F6523">
              <w:rPr>
                <w:rFonts w:ascii="Arial" w:eastAsia="Times New Roman" w:hAnsi="Arial" w:cs="Arial"/>
                <w:b/>
                <w:color w:val="000000"/>
                <w:sz w:val="24"/>
                <w:szCs w:val="24"/>
                <w:lang w:eastAsia="ro-RO"/>
              </w:rPr>
              <w:t>SECTOR DE ACTIVITATE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b/>
                <w:color w:val="000000"/>
                <w:sz w:val="24"/>
                <w:szCs w:val="24"/>
                <w:lang w:eastAsia="ro-RO"/>
              </w:rPr>
            </w:pPr>
            <w:r w:rsidRPr="007F6523">
              <w:rPr>
                <w:rFonts w:ascii="Arial" w:eastAsia="Times New Roman" w:hAnsi="Arial" w:cs="Arial"/>
                <w:b/>
                <w:color w:val="000000"/>
                <w:sz w:val="24"/>
                <w:szCs w:val="24"/>
                <w:lang w:eastAsia="ro-RO"/>
              </w:rPr>
              <w:t>NOx</w:t>
            </w:r>
            <w:r>
              <w:rPr>
                <w:rFonts w:ascii="Arial" w:eastAsia="Times New Roman" w:hAnsi="Arial" w:cs="Arial"/>
                <w:b/>
                <w:color w:val="000000"/>
                <w:sz w:val="24"/>
                <w:szCs w:val="24"/>
                <w:lang w:eastAsia="ro-RO"/>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b/>
                <w:color w:val="000000"/>
                <w:sz w:val="24"/>
                <w:szCs w:val="24"/>
                <w:lang w:eastAsia="ro-RO"/>
              </w:rPr>
            </w:pPr>
            <w:r w:rsidRPr="007F6523">
              <w:rPr>
                <w:rFonts w:ascii="Arial" w:eastAsia="Times New Roman" w:hAnsi="Arial" w:cs="Arial"/>
                <w:b/>
                <w:color w:val="000000"/>
                <w:sz w:val="24"/>
                <w:szCs w:val="24"/>
                <w:lang w:eastAsia="ro-RO"/>
              </w:rPr>
              <w:t>NMVOC</w:t>
            </w:r>
            <w:r>
              <w:rPr>
                <w:rFonts w:ascii="Arial" w:eastAsia="Times New Roman" w:hAnsi="Arial" w:cs="Arial"/>
                <w:b/>
                <w:color w:val="000000"/>
                <w:sz w:val="24"/>
                <w:szCs w:val="24"/>
                <w:lang w:eastAsia="ro-RO"/>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b/>
                <w:color w:val="000000"/>
                <w:sz w:val="24"/>
                <w:szCs w:val="24"/>
                <w:lang w:eastAsia="ro-RO"/>
              </w:rPr>
            </w:pPr>
            <w:r w:rsidRPr="007F6523">
              <w:rPr>
                <w:rFonts w:ascii="Arial" w:eastAsia="Times New Roman" w:hAnsi="Arial" w:cs="Arial"/>
                <w:b/>
                <w:color w:val="000000"/>
                <w:sz w:val="24"/>
                <w:szCs w:val="24"/>
                <w:lang w:eastAsia="ro-RO"/>
              </w:rPr>
              <w:t>CO</w:t>
            </w:r>
            <w:r>
              <w:rPr>
                <w:rFonts w:ascii="Arial" w:eastAsia="Times New Roman" w:hAnsi="Arial" w:cs="Arial"/>
                <w:b/>
                <w:color w:val="000000"/>
                <w:sz w:val="24"/>
                <w:szCs w:val="24"/>
                <w:lang w:eastAsia="ro-RO"/>
              </w:rPr>
              <w:t>, %</w:t>
            </w:r>
          </w:p>
        </w:tc>
      </w:tr>
      <w:tr w:rsidR="00CA0B63" w:rsidRPr="007F6523" w:rsidTr="0056118B">
        <w:trPr>
          <w:trHeight w:val="9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sz w:val="24"/>
                <w:szCs w:val="24"/>
                <w:lang w:eastAsia="ro-RO"/>
              </w:rPr>
            </w:pPr>
            <w:r w:rsidRPr="007F6523">
              <w:rPr>
                <w:rFonts w:ascii="Arial" w:eastAsia="Times New Roman" w:hAnsi="Arial" w:cs="Arial"/>
                <w:sz w:val="24"/>
                <w:szCs w:val="24"/>
                <w:lang w:eastAsia="ro-RO"/>
              </w:rPr>
              <w:t>PROD. ENE</w:t>
            </w:r>
            <w:r w:rsidRPr="007F6523">
              <w:rPr>
                <w:rFonts w:ascii="Arial" w:eastAsia="Times New Roman" w:hAnsi="Arial" w:cs="Arial"/>
                <w:sz w:val="24"/>
                <w:szCs w:val="24"/>
                <w:lang w:eastAsia="ro-RO"/>
              </w:rPr>
              <w:t>R</w:t>
            </w:r>
            <w:r w:rsidRPr="007F6523">
              <w:rPr>
                <w:rFonts w:ascii="Arial" w:eastAsia="Times New Roman" w:hAnsi="Arial" w:cs="Arial"/>
                <w:sz w:val="24"/>
                <w:szCs w:val="24"/>
                <w:lang w:eastAsia="ro-RO"/>
              </w:rPr>
              <w:t>GIE ELECTR</w:t>
            </w:r>
            <w:r w:rsidRPr="007F6523">
              <w:rPr>
                <w:rFonts w:ascii="Arial" w:eastAsia="Times New Roman" w:hAnsi="Arial" w:cs="Arial"/>
                <w:sz w:val="24"/>
                <w:szCs w:val="24"/>
                <w:lang w:eastAsia="ro-RO"/>
              </w:rPr>
              <w:t>I</w:t>
            </w:r>
            <w:r w:rsidRPr="007F6523">
              <w:rPr>
                <w:rFonts w:ascii="Arial" w:eastAsia="Times New Roman" w:hAnsi="Arial" w:cs="Arial"/>
                <w:sz w:val="24"/>
                <w:szCs w:val="24"/>
                <w:lang w:eastAsia="ro-RO"/>
              </w:rPr>
              <w:t>CA SI TERM</w:t>
            </w:r>
            <w:r w:rsidRPr="007F6523">
              <w:rPr>
                <w:rFonts w:ascii="Arial" w:eastAsia="Times New Roman" w:hAnsi="Arial" w:cs="Arial"/>
                <w:sz w:val="24"/>
                <w:szCs w:val="24"/>
                <w:lang w:eastAsia="ro-RO"/>
              </w:rPr>
              <w:t>I</w:t>
            </w:r>
            <w:r w:rsidRPr="007F6523">
              <w:rPr>
                <w:rFonts w:ascii="Arial" w:eastAsia="Times New Roman" w:hAnsi="Arial" w:cs="Arial"/>
                <w:sz w:val="24"/>
                <w:szCs w:val="24"/>
                <w:lang w:eastAsia="ro-RO"/>
              </w:rPr>
              <w:t>CA</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w:t>
            </w:r>
            <w:r w:rsidR="00CA0B63" w:rsidRPr="007F6523">
              <w:rPr>
                <w:rFonts w:ascii="Arial" w:eastAsia="Times New Roman" w:hAnsi="Arial" w:cs="Arial"/>
                <w:color w:val="000000"/>
                <w:sz w:val="24"/>
                <w:szCs w:val="24"/>
                <w:lang w:eastAsia="ro-RO"/>
              </w:rPr>
              <w:t>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23</w:t>
            </w:r>
          </w:p>
        </w:tc>
      </w:tr>
      <w:tr w:rsidR="00CA0B63" w:rsidRPr="007F6523" w:rsidTr="0056118B">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lastRenderedPageBreak/>
              <w:t>ARDERI ÎN METALURGIE</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7F6523">
              <w:rPr>
                <w:rFonts w:ascii="Arial" w:eastAsia="Times New Roman" w:hAnsi="Arial" w:cs="Arial"/>
                <w:color w:val="000000"/>
                <w:sz w:val="24"/>
                <w:szCs w:val="24"/>
                <w:lang w:eastAsia="ro-RO"/>
              </w:rPr>
              <w:t>36</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03</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06</w:t>
            </w:r>
          </w:p>
        </w:tc>
      </w:tr>
      <w:tr w:rsidR="00CA0B63" w:rsidRPr="007F6523" w:rsidTr="0056118B">
        <w:trPr>
          <w:trHeight w:val="9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ARDERI ÎN EXTRACŢIE PETROL ŞI GAZE</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7F6523">
              <w:rPr>
                <w:rFonts w:ascii="Arial" w:eastAsia="Times New Roman" w:hAnsi="Arial" w:cs="Arial"/>
                <w:color w:val="000000"/>
                <w:sz w:val="24"/>
                <w:szCs w:val="24"/>
                <w:lang w:eastAsia="ro-RO"/>
              </w:rPr>
              <w:t>16</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01</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02</w:t>
            </w:r>
          </w:p>
        </w:tc>
      </w:tr>
      <w:tr w:rsidR="00CA0B63" w:rsidRPr="007F6523" w:rsidTr="0056118B">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CA0B63" w:rsidP="00041208">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14</w:t>
            </w:r>
            <w:r w:rsidR="00041208">
              <w:rPr>
                <w:rFonts w:ascii="Arial" w:eastAsia="Times New Roman" w:hAnsi="Arial" w:cs="Arial"/>
                <w:color w:val="000000"/>
                <w:sz w:val="24"/>
                <w:szCs w:val="24"/>
                <w:lang w:eastAsia="ro-RO"/>
              </w:rPr>
              <w:t>,</w:t>
            </w:r>
            <w:r w:rsidRPr="007F6523">
              <w:rPr>
                <w:rFonts w:ascii="Arial" w:eastAsia="Times New Roman" w:hAnsi="Arial" w:cs="Arial"/>
                <w:color w:val="000000"/>
                <w:sz w:val="24"/>
                <w:szCs w:val="24"/>
                <w:lang w:eastAsia="ro-RO"/>
              </w:rPr>
              <w:t>6</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CA0B63" w:rsidP="00041208">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0</w:t>
            </w:r>
            <w:r w:rsidR="00041208">
              <w:rPr>
                <w:rFonts w:ascii="Arial" w:eastAsia="Times New Roman" w:hAnsi="Arial" w:cs="Arial"/>
                <w:color w:val="000000"/>
                <w:sz w:val="24"/>
                <w:szCs w:val="24"/>
                <w:lang w:eastAsia="ro-RO"/>
              </w:rPr>
              <w:t>,</w:t>
            </w:r>
            <w:r w:rsidRPr="007F6523">
              <w:rPr>
                <w:rFonts w:ascii="Arial" w:eastAsia="Times New Roman" w:hAnsi="Arial" w:cs="Arial"/>
                <w:color w:val="000000"/>
                <w:sz w:val="24"/>
                <w:szCs w:val="24"/>
                <w:lang w:eastAsia="ro-RO"/>
              </w:rPr>
              <w:t>6</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7F6523">
              <w:rPr>
                <w:rFonts w:ascii="Arial" w:eastAsia="Times New Roman" w:hAnsi="Arial" w:cs="Arial"/>
                <w:color w:val="000000"/>
                <w:sz w:val="24"/>
                <w:szCs w:val="24"/>
                <w:lang w:eastAsia="ro-RO"/>
              </w:rPr>
              <w:t>26</w:t>
            </w:r>
          </w:p>
        </w:tc>
      </w:tr>
      <w:tr w:rsidR="00CA0B63" w:rsidRPr="007F6523" w:rsidTr="0056118B">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ARDERI ÎN ALTE DOMENII</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12,</w:t>
            </w:r>
            <w:r w:rsidR="00CA0B63" w:rsidRPr="007F6523">
              <w:rPr>
                <w:rFonts w:ascii="Arial" w:eastAsia="Times New Roman" w:hAnsi="Arial" w:cs="Arial"/>
                <w:color w:val="000000"/>
                <w:sz w:val="24"/>
                <w:szCs w:val="24"/>
                <w:lang w:eastAsia="ro-RO"/>
              </w:rPr>
              <w:t>68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18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43</w:t>
            </w:r>
          </w:p>
        </w:tc>
      </w:tr>
      <w:tr w:rsidR="00CA0B63" w:rsidRPr="007F6523" w:rsidTr="0056118B">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ÎNCĂLZIRE REZIDENŢIALĂ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58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CA0B63" w:rsidP="00041208">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98</w:t>
            </w:r>
            <w:r w:rsidR="00041208">
              <w:rPr>
                <w:rFonts w:ascii="Arial" w:eastAsia="Times New Roman" w:hAnsi="Arial" w:cs="Arial"/>
                <w:color w:val="000000"/>
                <w:sz w:val="24"/>
                <w:szCs w:val="24"/>
                <w:lang w:eastAsia="ro-RO"/>
              </w:rPr>
              <w:t>,</w:t>
            </w:r>
            <w:r w:rsidRPr="007F6523">
              <w:rPr>
                <w:rFonts w:ascii="Arial" w:eastAsia="Times New Roman" w:hAnsi="Arial" w:cs="Arial"/>
                <w:color w:val="000000"/>
                <w:sz w:val="24"/>
                <w:szCs w:val="24"/>
                <w:lang w:eastAsia="ro-RO"/>
              </w:rPr>
              <w:t>97</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98</w:t>
            </w:r>
          </w:p>
        </w:tc>
      </w:tr>
      <w:tr w:rsidR="00CA0B63" w:rsidRPr="007F6523" w:rsidTr="0056118B">
        <w:trPr>
          <w:trHeight w:val="9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INCALZIRE SPATII AGR</w:t>
            </w:r>
            <w:r w:rsidRPr="007F6523">
              <w:rPr>
                <w:rFonts w:ascii="Arial" w:eastAsia="Times New Roman" w:hAnsi="Arial" w:cs="Arial"/>
                <w:color w:val="000000"/>
                <w:sz w:val="24"/>
                <w:szCs w:val="24"/>
                <w:lang w:eastAsia="ro-RO"/>
              </w:rPr>
              <w:t>I</w:t>
            </w:r>
            <w:r w:rsidRPr="007F6523">
              <w:rPr>
                <w:rFonts w:ascii="Arial" w:eastAsia="Times New Roman" w:hAnsi="Arial" w:cs="Arial"/>
                <w:color w:val="000000"/>
                <w:sz w:val="24"/>
                <w:szCs w:val="24"/>
                <w:lang w:eastAsia="ro-RO"/>
              </w:rPr>
              <w:t>CULTURA</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7F6523">
              <w:rPr>
                <w:rFonts w:ascii="Arial" w:eastAsia="Times New Roman" w:hAnsi="Arial" w:cs="Arial"/>
                <w:color w:val="000000"/>
                <w:sz w:val="24"/>
                <w:szCs w:val="24"/>
                <w:lang w:eastAsia="ro-RO"/>
              </w:rPr>
              <w:t>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41208"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01</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0</w:t>
            </w:r>
          </w:p>
        </w:tc>
      </w:tr>
    </w:tbl>
    <w:p w:rsidR="00CA0B63" w:rsidRDefault="001B23A4" w:rsidP="00F232F6">
      <w:pPr>
        <w:spacing w:before="120" w:after="120" w:line="240" w:lineRule="auto"/>
        <w:jc w:val="center"/>
        <w:rPr>
          <w:rFonts w:ascii="Arial" w:hAnsi="Arial" w:cs="Arial"/>
          <w:b/>
          <w:sz w:val="24"/>
          <w:szCs w:val="24"/>
        </w:rPr>
      </w:pPr>
      <w:r>
        <w:rPr>
          <w:rFonts w:ascii="Arial" w:hAnsi="Arial" w:cs="Arial"/>
          <w:b/>
          <w:sz w:val="24"/>
          <w:szCs w:val="24"/>
        </w:rPr>
        <w:t xml:space="preserve">Tabel </w:t>
      </w:r>
      <w:r w:rsidR="00CA0B63" w:rsidRPr="006E3B04">
        <w:rPr>
          <w:rFonts w:ascii="Arial" w:hAnsi="Arial" w:cs="Arial"/>
          <w:b/>
          <w:sz w:val="24"/>
          <w:szCs w:val="24"/>
        </w:rPr>
        <w:t>I.2.1.1.2. Contribuţia sectoarelor de activitate din energie la emisiile de pr</w:t>
      </w:r>
      <w:r w:rsidR="00CA0B63" w:rsidRPr="006E3B04">
        <w:rPr>
          <w:rFonts w:ascii="Arial" w:hAnsi="Arial" w:cs="Arial"/>
          <w:b/>
          <w:sz w:val="24"/>
          <w:szCs w:val="24"/>
        </w:rPr>
        <w:t>e</w:t>
      </w:r>
      <w:r w:rsidR="00CA0B63" w:rsidRPr="006E3B04">
        <w:rPr>
          <w:rFonts w:ascii="Arial" w:hAnsi="Arial" w:cs="Arial"/>
          <w:b/>
          <w:sz w:val="24"/>
          <w:szCs w:val="24"/>
        </w:rPr>
        <w:t>cursori ai ozonului</w:t>
      </w:r>
    </w:p>
    <w:p w:rsidR="00F232F6" w:rsidRDefault="00F232F6" w:rsidP="00F232F6">
      <w:pPr>
        <w:spacing w:before="120" w:after="120" w:line="240" w:lineRule="auto"/>
        <w:jc w:val="center"/>
        <w:rPr>
          <w:rFonts w:ascii="Arial" w:hAnsi="Arial" w:cs="Arial"/>
          <w:b/>
          <w:sz w:val="24"/>
          <w:szCs w:val="24"/>
        </w:rPr>
      </w:pPr>
    </w:p>
    <w:p w:rsidR="00CA0B63" w:rsidRDefault="00CA0B63" w:rsidP="00CA0B63">
      <w:pPr>
        <w:spacing w:after="120" w:line="240" w:lineRule="auto"/>
        <w:jc w:val="center"/>
        <w:rPr>
          <w:rFonts w:ascii="Arial" w:hAnsi="Arial" w:cs="Arial"/>
          <w:sz w:val="24"/>
          <w:szCs w:val="24"/>
        </w:rPr>
      </w:pPr>
      <w:r w:rsidRPr="006E3B04">
        <w:rPr>
          <w:rFonts w:ascii="Arial" w:hAnsi="Arial" w:cs="Arial"/>
          <w:noProof/>
          <w:sz w:val="24"/>
          <w:szCs w:val="24"/>
          <w:lang w:val="ro-RO" w:eastAsia="ro-RO"/>
        </w:rPr>
        <w:drawing>
          <wp:inline distT="0" distB="0" distL="0" distR="0">
            <wp:extent cx="4714875" cy="3257551"/>
            <wp:effectExtent l="19050" t="0" r="9525" b="0"/>
            <wp:docPr id="4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0B63" w:rsidRPr="006E3B04" w:rsidRDefault="00CA0B63" w:rsidP="00F232F6">
      <w:pPr>
        <w:spacing w:before="120" w:after="120" w:line="240" w:lineRule="auto"/>
        <w:jc w:val="center"/>
        <w:rPr>
          <w:rFonts w:ascii="Arial" w:hAnsi="Arial" w:cs="Arial"/>
          <w:b/>
          <w:sz w:val="24"/>
          <w:szCs w:val="24"/>
        </w:rPr>
      </w:pPr>
      <w:r>
        <w:rPr>
          <w:rFonts w:ascii="Arial" w:hAnsi="Arial" w:cs="Arial"/>
          <w:sz w:val="24"/>
          <w:szCs w:val="24"/>
        </w:rPr>
        <w:tab/>
      </w:r>
      <w:r>
        <w:rPr>
          <w:rFonts w:ascii="Arial" w:hAnsi="Arial" w:cs="Arial"/>
          <w:b/>
          <w:sz w:val="24"/>
          <w:szCs w:val="24"/>
        </w:rPr>
        <w:t>Figura</w:t>
      </w:r>
      <w:r w:rsidRPr="006E3B04">
        <w:rPr>
          <w:rFonts w:ascii="Arial" w:hAnsi="Arial" w:cs="Arial"/>
          <w:b/>
          <w:sz w:val="24"/>
          <w:szCs w:val="24"/>
        </w:rPr>
        <w:t xml:space="preserve"> I.2.1.1.2. Contribuţia sectoarelor de activitate din energie la emisiile de precursori ai ozonului</w:t>
      </w:r>
    </w:p>
    <w:p w:rsidR="00F232F6" w:rsidRDefault="00F232F6" w:rsidP="00F232F6">
      <w:pPr>
        <w:spacing w:before="120" w:after="120" w:line="240" w:lineRule="auto"/>
        <w:jc w:val="both"/>
        <w:rPr>
          <w:rFonts w:ascii="Arial" w:hAnsi="Arial" w:cs="Arial"/>
          <w:sz w:val="24"/>
          <w:szCs w:val="24"/>
        </w:rPr>
      </w:pPr>
    </w:p>
    <w:p w:rsidR="00CA0B63" w:rsidRPr="006E3B04"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 xml:space="preserve">Din analiza datelor, reiese faptul că încălzirea rezidenţială reprezintă principala sursă de emisii de </w:t>
      </w:r>
      <w:r>
        <w:rPr>
          <w:rFonts w:ascii="Arial" w:hAnsi="Arial" w:cs="Arial"/>
          <w:sz w:val="24"/>
          <w:szCs w:val="24"/>
        </w:rPr>
        <w:t>poluanţi precursori ai ozonului, cauzată, în special, de utilizarea drept combust</w:t>
      </w:r>
      <w:r>
        <w:rPr>
          <w:rFonts w:ascii="Arial" w:hAnsi="Arial" w:cs="Arial"/>
          <w:sz w:val="24"/>
          <w:szCs w:val="24"/>
        </w:rPr>
        <w:t>i</w:t>
      </w:r>
      <w:r>
        <w:rPr>
          <w:rFonts w:ascii="Arial" w:hAnsi="Arial" w:cs="Arial"/>
          <w:sz w:val="24"/>
          <w:szCs w:val="24"/>
        </w:rPr>
        <w:t>bil, a lemnului şi biomasei.</w:t>
      </w:r>
    </w:p>
    <w:p w:rsidR="00D71325" w:rsidRDefault="00D71325" w:rsidP="00F232F6">
      <w:pPr>
        <w:spacing w:before="120" w:after="120" w:line="240" w:lineRule="auto"/>
        <w:jc w:val="both"/>
        <w:rPr>
          <w:rFonts w:ascii="Arial" w:hAnsi="Arial" w:cs="Arial"/>
          <w:b/>
          <w:sz w:val="24"/>
          <w:szCs w:val="24"/>
        </w:rPr>
      </w:pPr>
    </w:p>
    <w:p w:rsidR="00004D77" w:rsidRDefault="00004D77" w:rsidP="00F232F6">
      <w:pPr>
        <w:spacing w:before="120" w:after="120" w:line="240" w:lineRule="auto"/>
        <w:jc w:val="both"/>
        <w:rPr>
          <w:rFonts w:ascii="Arial" w:hAnsi="Arial" w:cs="Arial"/>
          <w:b/>
          <w:sz w:val="24"/>
          <w:szCs w:val="24"/>
        </w:rPr>
      </w:pPr>
    </w:p>
    <w:p w:rsidR="00004D77" w:rsidRDefault="00004D77" w:rsidP="00F232F6">
      <w:pPr>
        <w:spacing w:before="120" w:after="120" w:line="240" w:lineRule="auto"/>
        <w:jc w:val="both"/>
        <w:rPr>
          <w:rFonts w:ascii="Arial" w:hAnsi="Arial" w:cs="Arial"/>
          <w:b/>
          <w:sz w:val="24"/>
          <w:szCs w:val="24"/>
        </w:rPr>
      </w:pPr>
    </w:p>
    <w:p w:rsidR="00004D77" w:rsidRDefault="00004D77" w:rsidP="00F232F6">
      <w:pPr>
        <w:spacing w:before="120" w:after="120" w:line="240" w:lineRule="auto"/>
        <w:jc w:val="both"/>
        <w:rPr>
          <w:rFonts w:ascii="Arial" w:hAnsi="Arial" w:cs="Arial"/>
          <w:b/>
          <w:sz w:val="24"/>
          <w:szCs w:val="24"/>
        </w:rPr>
      </w:pPr>
    </w:p>
    <w:p w:rsidR="00CA0B63" w:rsidRDefault="00CA0B63" w:rsidP="00F232F6">
      <w:pPr>
        <w:spacing w:before="120" w:after="120" w:line="240" w:lineRule="auto"/>
        <w:jc w:val="both"/>
        <w:rPr>
          <w:rFonts w:ascii="Arial" w:hAnsi="Arial" w:cs="Arial"/>
          <w:b/>
          <w:bCs/>
          <w:sz w:val="24"/>
          <w:szCs w:val="24"/>
        </w:rPr>
      </w:pPr>
      <w:r w:rsidRPr="00AA228F">
        <w:rPr>
          <w:rFonts w:ascii="Arial" w:hAnsi="Arial" w:cs="Arial"/>
          <w:b/>
          <w:sz w:val="24"/>
          <w:szCs w:val="24"/>
        </w:rPr>
        <w:lastRenderedPageBreak/>
        <w:t xml:space="preserve">c) </w:t>
      </w:r>
      <w:r w:rsidRPr="00AA228F">
        <w:rPr>
          <w:rFonts w:ascii="Arial" w:hAnsi="Arial" w:cs="Arial"/>
          <w:b/>
          <w:bCs/>
          <w:sz w:val="24"/>
          <w:szCs w:val="24"/>
        </w:rPr>
        <w:t>Emisii de particule primare şi precursori secundari de particule</w:t>
      </w:r>
    </w:p>
    <w:p w:rsidR="00CA0B63"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 xml:space="preserve">Contribuţia sectoarelor de activitate din energie la emisiile de </w:t>
      </w:r>
      <w:r w:rsidRPr="007F6523">
        <w:rPr>
          <w:rFonts w:ascii="Arial" w:hAnsi="Arial" w:cs="Arial"/>
          <w:bCs/>
          <w:sz w:val="24"/>
          <w:szCs w:val="24"/>
        </w:rPr>
        <w:t>particule primare şi precu</w:t>
      </w:r>
      <w:r w:rsidRPr="007F6523">
        <w:rPr>
          <w:rFonts w:ascii="Arial" w:hAnsi="Arial" w:cs="Arial"/>
          <w:bCs/>
          <w:sz w:val="24"/>
          <w:szCs w:val="24"/>
        </w:rPr>
        <w:t>r</w:t>
      </w:r>
      <w:r w:rsidRPr="007F6523">
        <w:rPr>
          <w:rFonts w:ascii="Arial" w:hAnsi="Arial" w:cs="Arial"/>
          <w:bCs/>
          <w:sz w:val="24"/>
          <w:szCs w:val="24"/>
        </w:rPr>
        <w:t>sori secundari de particule</w:t>
      </w:r>
      <w:r w:rsidRPr="007F6523">
        <w:rPr>
          <w:rFonts w:ascii="Arial" w:hAnsi="Arial" w:cs="Arial"/>
          <w:sz w:val="24"/>
          <w:szCs w:val="24"/>
        </w:rPr>
        <w:t>, la nivelul judeţului Buzău, în anul 2014, este prezentată în t</w:t>
      </w:r>
      <w:r w:rsidRPr="007F6523">
        <w:rPr>
          <w:rFonts w:ascii="Arial" w:hAnsi="Arial" w:cs="Arial"/>
          <w:sz w:val="24"/>
          <w:szCs w:val="24"/>
        </w:rPr>
        <w:t>a</w:t>
      </w:r>
      <w:r w:rsidRPr="007F6523">
        <w:rPr>
          <w:rFonts w:ascii="Arial" w:hAnsi="Arial" w:cs="Arial"/>
          <w:sz w:val="24"/>
          <w:szCs w:val="24"/>
        </w:rPr>
        <w:t>belul I.2.1.1.3. şi figura I.2.1.1.3.</w:t>
      </w:r>
    </w:p>
    <w:p w:rsidR="00F232F6" w:rsidRDefault="00F232F6" w:rsidP="00F232F6">
      <w:pPr>
        <w:spacing w:before="120" w:after="120" w:line="240" w:lineRule="auto"/>
        <w:jc w:val="both"/>
        <w:rPr>
          <w:rFonts w:ascii="Arial" w:hAnsi="Arial" w:cs="Arial"/>
          <w:sz w:val="24"/>
          <w:szCs w:val="24"/>
        </w:rPr>
      </w:pPr>
    </w:p>
    <w:tbl>
      <w:tblPr>
        <w:tblW w:w="5156" w:type="dxa"/>
        <w:jc w:val="center"/>
        <w:tblInd w:w="-976" w:type="dxa"/>
        <w:tblLook w:val="04A0"/>
      </w:tblPr>
      <w:tblGrid>
        <w:gridCol w:w="3016"/>
        <w:gridCol w:w="1180"/>
        <w:gridCol w:w="960"/>
      </w:tblGrid>
      <w:tr w:rsidR="00CA0B63" w:rsidRPr="007F6523" w:rsidTr="0056118B">
        <w:trPr>
          <w:trHeight w:val="600"/>
          <w:jc w:val="center"/>
        </w:trPr>
        <w:tc>
          <w:tcPr>
            <w:tcW w:w="3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b/>
                <w:color w:val="000000"/>
                <w:sz w:val="24"/>
                <w:szCs w:val="24"/>
                <w:lang w:eastAsia="ro-RO"/>
              </w:rPr>
            </w:pPr>
            <w:r w:rsidRPr="007F6523">
              <w:rPr>
                <w:rFonts w:ascii="Arial" w:eastAsia="Times New Roman" w:hAnsi="Arial" w:cs="Arial"/>
                <w:b/>
                <w:color w:val="000000"/>
                <w:sz w:val="24"/>
                <w:szCs w:val="24"/>
                <w:lang w:eastAsia="ro-RO"/>
              </w:rPr>
              <w:t>SECTOR DE ACTIV</w:t>
            </w:r>
            <w:r w:rsidRPr="007F6523">
              <w:rPr>
                <w:rFonts w:ascii="Arial" w:eastAsia="Times New Roman" w:hAnsi="Arial" w:cs="Arial"/>
                <w:b/>
                <w:color w:val="000000"/>
                <w:sz w:val="24"/>
                <w:szCs w:val="24"/>
                <w:lang w:eastAsia="ro-RO"/>
              </w:rPr>
              <w:t>I</w:t>
            </w:r>
            <w:r w:rsidRPr="007F6523">
              <w:rPr>
                <w:rFonts w:ascii="Arial" w:eastAsia="Times New Roman" w:hAnsi="Arial" w:cs="Arial"/>
                <w:b/>
                <w:color w:val="000000"/>
                <w:sz w:val="24"/>
                <w:szCs w:val="24"/>
                <w:lang w:eastAsia="ro-RO"/>
              </w:rPr>
              <w:t>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b/>
                <w:color w:val="000000"/>
                <w:sz w:val="24"/>
                <w:szCs w:val="24"/>
                <w:lang w:eastAsia="ro-RO"/>
              </w:rPr>
            </w:pPr>
            <w:r w:rsidRPr="007F6523">
              <w:rPr>
                <w:rFonts w:ascii="Arial" w:eastAsia="Times New Roman" w:hAnsi="Arial" w:cs="Arial"/>
                <w:b/>
                <w:color w:val="000000"/>
                <w:sz w:val="24"/>
                <w:szCs w:val="24"/>
                <w:lang w:eastAsia="ro-RO"/>
              </w:rPr>
              <w:t>PM2,5</w:t>
            </w:r>
            <w:r>
              <w:rPr>
                <w:rFonts w:ascii="Arial" w:eastAsia="Times New Roman" w:hAnsi="Arial" w:cs="Arial"/>
                <w:b/>
                <w:color w:val="000000"/>
                <w:sz w:val="24"/>
                <w:szCs w:val="24"/>
                <w:lang w:eastAsia="ro-RO"/>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F6523" w:rsidRDefault="00CA0B63" w:rsidP="0056118B">
            <w:pPr>
              <w:spacing w:after="120" w:line="240" w:lineRule="auto"/>
              <w:jc w:val="center"/>
              <w:rPr>
                <w:rFonts w:ascii="Arial" w:eastAsia="Times New Roman" w:hAnsi="Arial" w:cs="Arial"/>
                <w:b/>
                <w:color w:val="000000"/>
                <w:sz w:val="24"/>
                <w:szCs w:val="24"/>
                <w:lang w:eastAsia="ro-RO"/>
              </w:rPr>
            </w:pPr>
            <w:r w:rsidRPr="007F6523">
              <w:rPr>
                <w:rFonts w:ascii="Arial" w:eastAsia="Times New Roman" w:hAnsi="Arial" w:cs="Arial"/>
                <w:b/>
                <w:color w:val="000000"/>
                <w:sz w:val="24"/>
                <w:szCs w:val="24"/>
                <w:lang w:eastAsia="ro-RO"/>
              </w:rPr>
              <w:t>PM10</w:t>
            </w:r>
            <w:r>
              <w:rPr>
                <w:rFonts w:ascii="Arial" w:eastAsia="Times New Roman" w:hAnsi="Arial" w:cs="Arial"/>
                <w:b/>
                <w:color w:val="000000"/>
                <w:sz w:val="24"/>
                <w:szCs w:val="24"/>
                <w:lang w:eastAsia="ro-RO"/>
              </w:rPr>
              <w:t>, %</w:t>
            </w:r>
          </w:p>
        </w:tc>
      </w:tr>
      <w:tr w:rsidR="00CA0B63" w:rsidRPr="007F6523" w:rsidTr="0056118B">
        <w:trPr>
          <w:trHeight w:val="900"/>
          <w:jc w:val="center"/>
        </w:trPr>
        <w:tc>
          <w:tcPr>
            <w:tcW w:w="3016"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sz w:val="24"/>
                <w:szCs w:val="24"/>
                <w:lang w:eastAsia="ro-RO"/>
              </w:rPr>
            </w:pPr>
            <w:r w:rsidRPr="007F6523">
              <w:rPr>
                <w:rFonts w:ascii="Arial" w:eastAsia="Times New Roman" w:hAnsi="Arial" w:cs="Arial"/>
                <w:sz w:val="24"/>
                <w:szCs w:val="24"/>
                <w:lang w:eastAsia="ro-RO"/>
              </w:rPr>
              <w:t>PROD. ENERGIE ELE</w:t>
            </w:r>
            <w:r w:rsidRPr="007F6523">
              <w:rPr>
                <w:rFonts w:ascii="Arial" w:eastAsia="Times New Roman" w:hAnsi="Arial" w:cs="Arial"/>
                <w:sz w:val="24"/>
                <w:szCs w:val="24"/>
                <w:lang w:eastAsia="ro-RO"/>
              </w:rPr>
              <w:t>C</w:t>
            </w:r>
            <w:r w:rsidRPr="007F6523">
              <w:rPr>
                <w:rFonts w:ascii="Arial" w:eastAsia="Times New Roman" w:hAnsi="Arial" w:cs="Arial"/>
                <w:sz w:val="24"/>
                <w:szCs w:val="24"/>
                <w:lang w:eastAsia="ro-RO"/>
              </w:rPr>
              <w:t>TRICA SI TERMICA</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11</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12</w:t>
            </w:r>
          </w:p>
        </w:tc>
      </w:tr>
      <w:tr w:rsidR="00CA0B63" w:rsidRPr="007F6523" w:rsidTr="0056118B">
        <w:trPr>
          <w:trHeight w:val="600"/>
          <w:jc w:val="center"/>
        </w:trPr>
        <w:tc>
          <w:tcPr>
            <w:tcW w:w="3016"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ARDERI ÎN METALU</w:t>
            </w:r>
            <w:r w:rsidRPr="007F6523">
              <w:rPr>
                <w:rFonts w:ascii="Arial" w:eastAsia="Times New Roman" w:hAnsi="Arial" w:cs="Arial"/>
                <w:color w:val="000000"/>
                <w:sz w:val="24"/>
                <w:szCs w:val="24"/>
                <w:lang w:eastAsia="ro-RO"/>
              </w:rPr>
              <w:t>R</w:t>
            </w:r>
            <w:r w:rsidRPr="007F6523">
              <w:rPr>
                <w:rFonts w:ascii="Arial" w:eastAsia="Times New Roman" w:hAnsi="Arial" w:cs="Arial"/>
                <w:color w:val="000000"/>
                <w:sz w:val="24"/>
                <w:szCs w:val="24"/>
                <w:lang w:eastAsia="ro-RO"/>
              </w:rPr>
              <w:t>GIE</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04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05</w:t>
            </w:r>
          </w:p>
        </w:tc>
      </w:tr>
      <w:tr w:rsidR="00CA0B63" w:rsidRPr="007F6523" w:rsidTr="0056118B">
        <w:trPr>
          <w:trHeight w:val="600"/>
          <w:jc w:val="center"/>
        </w:trPr>
        <w:tc>
          <w:tcPr>
            <w:tcW w:w="3016"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87</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32</w:t>
            </w:r>
          </w:p>
        </w:tc>
      </w:tr>
      <w:tr w:rsidR="00CA0B63" w:rsidRPr="007F6523" w:rsidTr="0056118B">
        <w:trPr>
          <w:trHeight w:val="600"/>
          <w:jc w:val="center"/>
        </w:trPr>
        <w:tc>
          <w:tcPr>
            <w:tcW w:w="3016"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ARDERI ÎN ALTE D</w:t>
            </w:r>
            <w:r w:rsidRPr="007F6523">
              <w:rPr>
                <w:rFonts w:ascii="Arial" w:eastAsia="Times New Roman" w:hAnsi="Arial" w:cs="Arial"/>
                <w:color w:val="000000"/>
                <w:sz w:val="24"/>
                <w:szCs w:val="24"/>
                <w:lang w:eastAsia="ro-RO"/>
              </w:rPr>
              <w:t>O</w:t>
            </w:r>
            <w:r w:rsidRPr="007F6523">
              <w:rPr>
                <w:rFonts w:ascii="Arial" w:eastAsia="Times New Roman" w:hAnsi="Arial" w:cs="Arial"/>
                <w:color w:val="000000"/>
                <w:sz w:val="24"/>
                <w:szCs w:val="24"/>
                <w:lang w:eastAsia="ro-RO"/>
              </w:rPr>
              <w:t>MENII</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24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7F6523">
              <w:rPr>
                <w:rFonts w:ascii="Arial" w:eastAsia="Times New Roman" w:hAnsi="Arial" w:cs="Arial"/>
                <w:color w:val="000000"/>
                <w:sz w:val="24"/>
                <w:szCs w:val="24"/>
                <w:lang w:eastAsia="ro-RO"/>
              </w:rPr>
              <w:t>25</w:t>
            </w:r>
          </w:p>
        </w:tc>
      </w:tr>
      <w:tr w:rsidR="00CA0B63" w:rsidRPr="007F6523" w:rsidTr="0056118B">
        <w:trPr>
          <w:trHeight w:val="600"/>
          <w:jc w:val="center"/>
        </w:trPr>
        <w:tc>
          <w:tcPr>
            <w:tcW w:w="3016" w:type="dxa"/>
            <w:tcBorders>
              <w:top w:val="nil"/>
              <w:left w:val="single" w:sz="4" w:space="0" w:color="auto"/>
              <w:bottom w:val="single" w:sz="4" w:space="0" w:color="auto"/>
              <w:right w:val="single" w:sz="4" w:space="0" w:color="auto"/>
            </w:tcBorders>
            <w:shd w:val="clear" w:color="auto" w:fill="auto"/>
            <w:vAlign w:val="center"/>
            <w:hideMark/>
          </w:tcPr>
          <w:p w:rsidR="00CA0B63" w:rsidRPr="007F6523" w:rsidRDefault="00CA0B63" w:rsidP="0056118B">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ÎNCĂLZIRE REZIDENŢIALĂ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7F652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98,</w:t>
            </w:r>
            <w:r w:rsidR="00CA0B63" w:rsidRPr="007F6523">
              <w:rPr>
                <w:rFonts w:ascii="Arial" w:eastAsia="Times New Roman" w:hAnsi="Arial" w:cs="Arial"/>
                <w:color w:val="000000"/>
                <w:sz w:val="24"/>
                <w:szCs w:val="24"/>
                <w:lang w:eastAsia="ro-RO"/>
              </w:rPr>
              <w:t>74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7F6523" w:rsidRDefault="00CA0B63" w:rsidP="00004D77">
            <w:pPr>
              <w:spacing w:after="120" w:line="240" w:lineRule="auto"/>
              <w:jc w:val="center"/>
              <w:rPr>
                <w:rFonts w:ascii="Arial" w:eastAsia="Times New Roman" w:hAnsi="Arial" w:cs="Arial"/>
                <w:color w:val="000000"/>
                <w:sz w:val="24"/>
                <w:szCs w:val="24"/>
                <w:lang w:eastAsia="ro-RO"/>
              </w:rPr>
            </w:pPr>
            <w:r w:rsidRPr="007F6523">
              <w:rPr>
                <w:rFonts w:ascii="Arial" w:eastAsia="Times New Roman" w:hAnsi="Arial" w:cs="Arial"/>
                <w:color w:val="000000"/>
                <w:sz w:val="24"/>
                <w:szCs w:val="24"/>
                <w:lang w:eastAsia="ro-RO"/>
              </w:rPr>
              <w:t>99</w:t>
            </w:r>
            <w:r w:rsidR="00004D77">
              <w:rPr>
                <w:rFonts w:ascii="Arial" w:eastAsia="Times New Roman" w:hAnsi="Arial" w:cs="Arial"/>
                <w:color w:val="000000"/>
                <w:sz w:val="24"/>
                <w:szCs w:val="24"/>
                <w:lang w:eastAsia="ro-RO"/>
              </w:rPr>
              <w:t>,</w:t>
            </w:r>
            <w:r w:rsidRPr="007F6523">
              <w:rPr>
                <w:rFonts w:ascii="Arial" w:eastAsia="Times New Roman" w:hAnsi="Arial" w:cs="Arial"/>
                <w:color w:val="000000"/>
                <w:sz w:val="24"/>
                <w:szCs w:val="24"/>
                <w:lang w:eastAsia="ro-RO"/>
              </w:rPr>
              <w:t>26</w:t>
            </w:r>
          </w:p>
        </w:tc>
      </w:tr>
    </w:tbl>
    <w:p w:rsidR="00CA0B63" w:rsidRDefault="001B23A4" w:rsidP="00F232F6">
      <w:pPr>
        <w:spacing w:before="120" w:after="120" w:line="240" w:lineRule="auto"/>
        <w:jc w:val="center"/>
        <w:rPr>
          <w:rFonts w:ascii="Arial" w:hAnsi="Arial" w:cs="Arial"/>
          <w:b/>
          <w:bCs/>
          <w:sz w:val="24"/>
          <w:szCs w:val="24"/>
        </w:rPr>
      </w:pPr>
      <w:r>
        <w:rPr>
          <w:rFonts w:ascii="Arial" w:hAnsi="Arial" w:cs="Arial"/>
          <w:b/>
          <w:sz w:val="24"/>
          <w:szCs w:val="24"/>
        </w:rPr>
        <w:t>Tabel</w:t>
      </w:r>
      <w:r w:rsidR="00CA0B63" w:rsidRPr="007F6523">
        <w:rPr>
          <w:rFonts w:ascii="Arial" w:hAnsi="Arial" w:cs="Arial"/>
          <w:b/>
          <w:sz w:val="24"/>
          <w:szCs w:val="24"/>
        </w:rPr>
        <w:t xml:space="preserve"> I.2.1.1.3. Contribuţia sectoarelor de activitate din energie la emisiile de </w:t>
      </w:r>
      <w:r w:rsidR="00CA0B63" w:rsidRPr="007F6523">
        <w:rPr>
          <w:rFonts w:ascii="Arial" w:hAnsi="Arial" w:cs="Arial"/>
          <w:b/>
          <w:bCs/>
          <w:sz w:val="24"/>
          <w:szCs w:val="24"/>
        </w:rPr>
        <w:t>part</w:t>
      </w:r>
      <w:r w:rsidR="00CA0B63" w:rsidRPr="007F6523">
        <w:rPr>
          <w:rFonts w:ascii="Arial" w:hAnsi="Arial" w:cs="Arial"/>
          <w:b/>
          <w:bCs/>
          <w:sz w:val="24"/>
          <w:szCs w:val="24"/>
        </w:rPr>
        <w:t>i</w:t>
      </w:r>
      <w:r w:rsidR="00CA0B63" w:rsidRPr="007F6523">
        <w:rPr>
          <w:rFonts w:ascii="Arial" w:hAnsi="Arial" w:cs="Arial"/>
          <w:b/>
          <w:bCs/>
          <w:sz w:val="24"/>
          <w:szCs w:val="24"/>
        </w:rPr>
        <w:t>cule primare şi precursori secundari de particule</w:t>
      </w:r>
    </w:p>
    <w:p w:rsidR="00F232F6" w:rsidRDefault="00F232F6" w:rsidP="00F232F6">
      <w:pPr>
        <w:spacing w:before="120" w:after="120" w:line="240" w:lineRule="auto"/>
        <w:jc w:val="center"/>
        <w:rPr>
          <w:rFonts w:ascii="Arial" w:hAnsi="Arial" w:cs="Arial"/>
          <w:b/>
          <w:sz w:val="24"/>
          <w:szCs w:val="24"/>
        </w:rPr>
      </w:pPr>
    </w:p>
    <w:p w:rsidR="00CA0B63" w:rsidRDefault="00CA0B63" w:rsidP="00CA0B63">
      <w:pPr>
        <w:tabs>
          <w:tab w:val="left" w:pos="4337"/>
        </w:tabs>
        <w:spacing w:after="120" w:line="240" w:lineRule="auto"/>
        <w:jc w:val="center"/>
        <w:rPr>
          <w:rFonts w:ascii="Arial" w:hAnsi="Arial" w:cs="Arial"/>
          <w:sz w:val="24"/>
          <w:szCs w:val="24"/>
        </w:rPr>
      </w:pPr>
      <w:r w:rsidRPr="007F6523">
        <w:rPr>
          <w:rFonts w:ascii="Arial" w:hAnsi="Arial" w:cs="Arial"/>
          <w:noProof/>
          <w:sz w:val="24"/>
          <w:szCs w:val="24"/>
          <w:lang w:val="ro-RO" w:eastAsia="ro-RO"/>
        </w:rPr>
        <w:drawing>
          <wp:inline distT="0" distB="0" distL="0" distR="0">
            <wp:extent cx="5040453" cy="3434316"/>
            <wp:effectExtent l="19050" t="0" r="26847" b="0"/>
            <wp:docPr id="4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0B63" w:rsidRDefault="00CA0B63" w:rsidP="00CA0B63">
      <w:pPr>
        <w:spacing w:after="120" w:line="240" w:lineRule="auto"/>
        <w:jc w:val="center"/>
        <w:rPr>
          <w:rFonts w:ascii="Arial" w:hAnsi="Arial" w:cs="Arial"/>
          <w:b/>
          <w:sz w:val="24"/>
          <w:szCs w:val="24"/>
        </w:rPr>
      </w:pPr>
      <w:r>
        <w:rPr>
          <w:rFonts w:ascii="Arial" w:hAnsi="Arial" w:cs="Arial"/>
          <w:b/>
          <w:sz w:val="24"/>
          <w:szCs w:val="24"/>
        </w:rPr>
        <w:t>Figura</w:t>
      </w:r>
      <w:r w:rsidRPr="007F6523">
        <w:rPr>
          <w:rFonts w:ascii="Arial" w:hAnsi="Arial" w:cs="Arial"/>
          <w:b/>
          <w:sz w:val="24"/>
          <w:szCs w:val="24"/>
        </w:rPr>
        <w:t xml:space="preserve"> I.2.1.1.3. Contribuţia sectoarelor de activitate din energie la emisiile de </w:t>
      </w:r>
      <w:r w:rsidRPr="007F6523">
        <w:rPr>
          <w:rFonts w:ascii="Arial" w:hAnsi="Arial" w:cs="Arial"/>
          <w:b/>
          <w:bCs/>
          <w:sz w:val="24"/>
          <w:szCs w:val="24"/>
        </w:rPr>
        <w:t>part</w:t>
      </w:r>
      <w:r w:rsidRPr="007F6523">
        <w:rPr>
          <w:rFonts w:ascii="Arial" w:hAnsi="Arial" w:cs="Arial"/>
          <w:b/>
          <w:bCs/>
          <w:sz w:val="24"/>
          <w:szCs w:val="24"/>
        </w:rPr>
        <w:t>i</w:t>
      </w:r>
      <w:r w:rsidRPr="007F6523">
        <w:rPr>
          <w:rFonts w:ascii="Arial" w:hAnsi="Arial" w:cs="Arial"/>
          <w:b/>
          <w:bCs/>
          <w:sz w:val="24"/>
          <w:szCs w:val="24"/>
        </w:rPr>
        <w:t>cule primare şi precursori secundari de particule</w:t>
      </w:r>
    </w:p>
    <w:p w:rsidR="00F232F6" w:rsidRDefault="00F232F6" w:rsidP="00CA0B63">
      <w:pPr>
        <w:spacing w:after="120" w:line="240" w:lineRule="auto"/>
        <w:jc w:val="both"/>
        <w:rPr>
          <w:rFonts w:ascii="Arial" w:hAnsi="Arial" w:cs="Arial"/>
          <w:sz w:val="24"/>
          <w:szCs w:val="24"/>
        </w:rPr>
      </w:pPr>
    </w:p>
    <w:p w:rsidR="00CA0B63" w:rsidRPr="006E3B04"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 xml:space="preserve">Din analiza datelor, reiese faptul că încălzirea rezidenţială reprezintă principala sursă de emisii de </w:t>
      </w:r>
      <w:r w:rsidRPr="007F6523">
        <w:rPr>
          <w:rFonts w:ascii="Arial" w:hAnsi="Arial" w:cs="Arial"/>
          <w:bCs/>
          <w:sz w:val="24"/>
          <w:szCs w:val="24"/>
        </w:rPr>
        <w:t>particule primare şi precursori secundari de particule</w:t>
      </w:r>
      <w:r>
        <w:rPr>
          <w:rFonts w:ascii="Arial" w:hAnsi="Arial" w:cs="Arial"/>
          <w:bCs/>
          <w:sz w:val="24"/>
          <w:szCs w:val="24"/>
        </w:rPr>
        <w:t xml:space="preserve">, </w:t>
      </w:r>
      <w:r>
        <w:rPr>
          <w:rFonts w:ascii="Arial" w:hAnsi="Arial" w:cs="Arial"/>
          <w:sz w:val="24"/>
          <w:szCs w:val="24"/>
        </w:rPr>
        <w:t>cauzată, în special, de ut</w:t>
      </w:r>
      <w:r>
        <w:rPr>
          <w:rFonts w:ascii="Arial" w:hAnsi="Arial" w:cs="Arial"/>
          <w:sz w:val="24"/>
          <w:szCs w:val="24"/>
        </w:rPr>
        <w:t>i</w:t>
      </w:r>
      <w:r>
        <w:rPr>
          <w:rFonts w:ascii="Arial" w:hAnsi="Arial" w:cs="Arial"/>
          <w:sz w:val="24"/>
          <w:szCs w:val="24"/>
        </w:rPr>
        <w:t>lizarea drept combustibil, a lemnului şi biomasei.</w:t>
      </w:r>
    </w:p>
    <w:p w:rsidR="00D71325" w:rsidRDefault="00D71325" w:rsidP="00F232F6">
      <w:pPr>
        <w:spacing w:before="120" w:after="120" w:line="240" w:lineRule="auto"/>
        <w:jc w:val="both"/>
        <w:rPr>
          <w:rFonts w:ascii="Arial" w:hAnsi="Arial" w:cs="Arial"/>
          <w:b/>
          <w:sz w:val="24"/>
          <w:szCs w:val="24"/>
        </w:rPr>
      </w:pPr>
    </w:p>
    <w:p w:rsidR="00CA0B63" w:rsidRPr="00890891" w:rsidRDefault="00CA0B63" w:rsidP="00F232F6">
      <w:pPr>
        <w:spacing w:before="120" w:after="120" w:line="240" w:lineRule="auto"/>
        <w:jc w:val="both"/>
        <w:rPr>
          <w:rFonts w:ascii="Arial" w:hAnsi="Arial" w:cs="Arial"/>
          <w:b/>
          <w:sz w:val="24"/>
          <w:szCs w:val="24"/>
        </w:rPr>
      </w:pPr>
      <w:r w:rsidRPr="00890891">
        <w:rPr>
          <w:rFonts w:ascii="Arial" w:hAnsi="Arial" w:cs="Arial"/>
          <w:b/>
          <w:sz w:val="24"/>
          <w:szCs w:val="24"/>
        </w:rPr>
        <w:lastRenderedPageBreak/>
        <w:t xml:space="preserve">d) </w:t>
      </w:r>
      <w:r w:rsidRPr="00890891">
        <w:rPr>
          <w:rFonts w:ascii="Arial" w:hAnsi="Arial" w:cs="Arial"/>
          <w:b/>
          <w:bCs/>
          <w:sz w:val="24"/>
          <w:szCs w:val="24"/>
        </w:rPr>
        <w:t>Emisii de metale grele</w:t>
      </w:r>
    </w:p>
    <w:p w:rsidR="00CA0B63"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 xml:space="preserve">Contribuţia sectoarelor de activitate din energie la emisiile de </w:t>
      </w:r>
      <w:r>
        <w:rPr>
          <w:rFonts w:ascii="Arial" w:hAnsi="Arial" w:cs="Arial"/>
          <w:sz w:val="24"/>
          <w:szCs w:val="24"/>
        </w:rPr>
        <w:t>metale grele</w:t>
      </w:r>
      <w:r w:rsidRPr="007F6523">
        <w:rPr>
          <w:rFonts w:ascii="Arial" w:hAnsi="Arial" w:cs="Arial"/>
          <w:sz w:val="24"/>
          <w:szCs w:val="24"/>
        </w:rPr>
        <w:t xml:space="preserve">, la nivelul judeţului Buzău, în anul 2014, este </w:t>
      </w:r>
      <w:r>
        <w:rPr>
          <w:rFonts w:ascii="Arial" w:hAnsi="Arial" w:cs="Arial"/>
          <w:sz w:val="24"/>
          <w:szCs w:val="24"/>
        </w:rPr>
        <w:t>prezentată în tabelul I.2.1.1.4</w:t>
      </w:r>
      <w:r w:rsidRPr="007F6523">
        <w:rPr>
          <w:rFonts w:ascii="Arial" w:hAnsi="Arial" w:cs="Arial"/>
          <w:sz w:val="24"/>
          <w:szCs w:val="24"/>
        </w:rPr>
        <w:t>. şi figura I.2.1.1.</w:t>
      </w:r>
      <w:r>
        <w:rPr>
          <w:rFonts w:ascii="Arial" w:hAnsi="Arial" w:cs="Arial"/>
          <w:sz w:val="24"/>
          <w:szCs w:val="24"/>
        </w:rPr>
        <w:t>4</w:t>
      </w:r>
      <w:r w:rsidRPr="007F6523">
        <w:rPr>
          <w:rFonts w:ascii="Arial" w:hAnsi="Arial" w:cs="Arial"/>
          <w:sz w:val="24"/>
          <w:szCs w:val="24"/>
        </w:rPr>
        <w:t>.</w:t>
      </w:r>
    </w:p>
    <w:p w:rsidR="00F232F6" w:rsidRDefault="00F232F6" w:rsidP="00CA0B63">
      <w:pPr>
        <w:spacing w:after="120" w:line="240" w:lineRule="auto"/>
        <w:jc w:val="both"/>
        <w:rPr>
          <w:rFonts w:ascii="Arial" w:hAnsi="Arial" w:cs="Arial"/>
          <w:sz w:val="24"/>
          <w:szCs w:val="24"/>
        </w:rPr>
      </w:pPr>
    </w:p>
    <w:tbl>
      <w:tblPr>
        <w:tblW w:w="6431" w:type="dxa"/>
        <w:jc w:val="center"/>
        <w:tblInd w:w="-1291" w:type="dxa"/>
        <w:tblLook w:val="04A0"/>
      </w:tblPr>
      <w:tblGrid>
        <w:gridCol w:w="3331"/>
        <w:gridCol w:w="1180"/>
        <w:gridCol w:w="960"/>
        <w:gridCol w:w="960"/>
      </w:tblGrid>
      <w:tr w:rsidR="00CA0B63" w:rsidRPr="003A735B" w:rsidTr="0056118B">
        <w:trPr>
          <w:trHeight w:val="600"/>
          <w:jc w:val="center"/>
        </w:trPr>
        <w:tc>
          <w:tcPr>
            <w:tcW w:w="3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3A735B" w:rsidRDefault="00CA0B63" w:rsidP="0056118B">
            <w:pPr>
              <w:spacing w:after="120" w:line="240" w:lineRule="auto"/>
              <w:jc w:val="center"/>
              <w:rPr>
                <w:rFonts w:ascii="Arial" w:eastAsia="Times New Roman" w:hAnsi="Arial" w:cs="Arial"/>
                <w:b/>
                <w:color w:val="000000"/>
                <w:sz w:val="24"/>
                <w:szCs w:val="24"/>
                <w:lang w:eastAsia="ro-RO"/>
              </w:rPr>
            </w:pPr>
            <w:r w:rsidRPr="003A735B">
              <w:rPr>
                <w:rFonts w:ascii="Arial" w:eastAsia="Times New Roman" w:hAnsi="Arial" w:cs="Arial"/>
                <w:b/>
                <w:color w:val="000000"/>
                <w:sz w:val="24"/>
                <w:szCs w:val="24"/>
                <w:lang w:eastAsia="ro-RO"/>
              </w:rPr>
              <w:t>SECTOR DE ACTIVITATE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3A735B" w:rsidRDefault="00CA0B63" w:rsidP="0056118B">
            <w:pPr>
              <w:spacing w:after="120" w:line="240" w:lineRule="auto"/>
              <w:jc w:val="center"/>
              <w:rPr>
                <w:rFonts w:ascii="Arial" w:eastAsia="Times New Roman" w:hAnsi="Arial" w:cs="Arial"/>
                <w:b/>
                <w:color w:val="000000"/>
                <w:sz w:val="24"/>
                <w:szCs w:val="24"/>
                <w:lang w:eastAsia="ro-RO"/>
              </w:rPr>
            </w:pPr>
            <w:r w:rsidRPr="003A735B">
              <w:rPr>
                <w:rFonts w:ascii="Arial" w:eastAsia="Times New Roman" w:hAnsi="Arial" w:cs="Arial"/>
                <w:b/>
                <w:color w:val="000000"/>
                <w:sz w:val="24"/>
                <w:szCs w:val="24"/>
                <w:lang w:eastAsia="ro-RO"/>
              </w:rPr>
              <w:t>Pb</w:t>
            </w:r>
            <w:r>
              <w:rPr>
                <w:rFonts w:ascii="Arial" w:eastAsia="Times New Roman" w:hAnsi="Arial" w:cs="Arial"/>
                <w:b/>
                <w:color w:val="000000"/>
                <w:sz w:val="24"/>
                <w:szCs w:val="24"/>
                <w:lang w:eastAsia="ro-RO"/>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0B63" w:rsidRPr="003A735B" w:rsidRDefault="00CA0B63" w:rsidP="0056118B">
            <w:pPr>
              <w:spacing w:after="120" w:line="240" w:lineRule="auto"/>
              <w:jc w:val="center"/>
              <w:rPr>
                <w:rFonts w:ascii="Arial" w:eastAsia="Times New Roman" w:hAnsi="Arial" w:cs="Arial"/>
                <w:b/>
                <w:color w:val="000000"/>
                <w:sz w:val="24"/>
                <w:szCs w:val="24"/>
                <w:lang w:eastAsia="ro-RO"/>
              </w:rPr>
            </w:pPr>
            <w:r w:rsidRPr="003A735B">
              <w:rPr>
                <w:rFonts w:ascii="Arial" w:eastAsia="Times New Roman" w:hAnsi="Arial" w:cs="Arial"/>
                <w:b/>
                <w:color w:val="000000"/>
                <w:sz w:val="24"/>
                <w:szCs w:val="24"/>
                <w:lang w:eastAsia="ro-RO"/>
              </w:rPr>
              <w:t>Cd</w:t>
            </w:r>
            <w:r>
              <w:rPr>
                <w:rFonts w:ascii="Arial" w:eastAsia="Times New Roman" w:hAnsi="Arial" w:cs="Arial"/>
                <w:b/>
                <w:color w:val="000000"/>
                <w:sz w:val="24"/>
                <w:szCs w:val="24"/>
                <w:lang w:eastAsia="ro-RO"/>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0B63" w:rsidRPr="003A735B" w:rsidRDefault="00CA0B63" w:rsidP="0056118B">
            <w:pPr>
              <w:spacing w:after="120" w:line="240" w:lineRule="auto"/>
              <w:jc w:val="center"/>
              <w:rPr>
                <w:rFonts w:ascii="Arial" w:eastAsia="Times New Roman" w:hAnsi="Arial" w:cs="Arial"/>
                <w:b/>
                <w:color w:val="000000"/>
                <w:sz w:val="24"/>
                <w:szCs w:val="24"/>
                <w:lang w:eastAsia="ro-RO"/>
              </w:rPr>
            </w:pPr>
            <w:r w:rsidRPr="003A735B">
              <w:rPr>
                <w:rFonts w:ascii="Arial" w:eastAsia="Times New Roman" w:hAnsi="Arial" w:cs="Arial"/>
                <w:b/>
                <w:color w:val="000000"/>
                <w:sz w:val="24"/>
                <w:szCs w:val="24"/>
                <w:lang w:eastAsia="ro-RO"/>
              </w:rPr>
              <w:t>Hg</w:t>
            </w:r>
            <w:r>
              <w:rPr>
                <w:rFonts w:ascii="Arial" w:eastAsia="Times New Roman" w:hAnsi="Arial" w:cs="Arial"/>
                <w:b/>
                <w:color w:val="000000"/>
                <w:sz w:val="24"/>
                <w:szCs w:val="24"/>
                <w:lang w:eastAsia="ro-RO"/>
              </w:rPr>
              <w:t>, %</w:t>
            </w:r>
          </w:p>
        </w:tc>
      </w:tr>
      <w:tr w:rsidR="00CA0B63" w:rsidRPr="003A735B" w:rsidTr="0056118B">
        <w:trPr>
          <w:trHeight w:val="900"/>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CA0B63" w:rsidRPr="003A735B" w:rsidRDefault="00CA0B63" w:rsidP="0056118B">
            <w:pPr>
              <w:spacing w:after="120" w:line="240" w:lineRule="auto"/>
              <w:jc w:val="center"/>
              <w:rPr>
                <w:rFonts w:ascii="Arial" w:eastAsia="Times New Roman" w:hAnsi="Arial" w:cs="Arial"/>
                <w:sz w:val="24"/>
                <w:szCs w:val="24"/>
                <w:lang w:eastAsia="ro-RO"/>
              </w:rPr>
            </w:pPr>
            <w:r w:rsidRPr="003A735B">
              <w:rPr>
                <w:rFonts w:ascii="Arial" w:eastAsia="Times New Roman" w:hAnsi="Arial" w:cs="Arial"/>
                <w:sz w:val="24"/>
                <w:szCs w:val="24"/>
                <w:lang w:eastAsia="ro-RO"/>
              </w:rPr>
              <w:t>PROD. ENERGIE ELE</w:t>
            </w:r>
            <w:r w:rsidRPr="003A735B">
              <w:rPr>
                <w:rFonts w:ascii="Arial" w:eastAsia="Times New Roman" w:hAnsi="Arial" w:cs="Arial"/>
                <w:sz w:val="24"/>
                <w:szCs w:val="24"/>
                <w:lang w:eastAsia="ro-RO"/>
              </w:rPr>
              <w:t>C</w:t>
            </w:r>
            <w:r w:rsidRPr="003A735B">
              <w:rPr>
                <w:rFonts w:ascii="Arial" w:eastAsia="Times New Roman" w:hAnsi="Arial" w:cs="Arial"/>
                <w:sz w:val="24"/>
                <w:szCs w:val="24"/>
                <w:lang w:eastAsia="ro-RO"/>
              </w:rPr>
              <w:t>TRICA SI TERMICA</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A735B">
              <w:rPr>
                <w:rFonts w:ascii="Arial" w:eastAsia="Times New Roman" w:hAnsi="Arial" w:cs="Arial"/>
                <w:color w:val="000000"/>
                <w:sz w:val="24"/>
                <w:szCs w:val="24"/>
                <w:lang w:eastAsia="ro-RO"/>
              </w:rPr>
              <w:t>67</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3A735B">
              <w:rPr>
                <w:rFonts w:ascii="Arial" w:eastAsia="Times New Roman" w:hAnsi="Arial" w:cs="Arial"/>
                <w:color w:val="000000"/>
                <w:sz w:val="24"/>
                <w:szCs w:val="24"/>
                <w:lang w:eastAsia="ro-RO"/>
              </w:rPr>
              <w:t>38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3A735B">
              <w:rPr>
                <w:rFonts w:ascii="Arial" w:eastAsia="Times New Roman" w:hAnsi="Arial" w:cs="Arial"/>
                <w:color w:val="000000"/>
                <w:sz w:val="24"/>
                <w:szCs w:val="24"/>
                <w:lang w:eastAsia="ro-RO"/>
              </w:rPr>
              <w:t>9</w:t>
            </w:r>
          </w:p>
        </w:tc>
      </w:tr>
      <w:tr w:rsidR="00CA0B63" w:rsidRPr="003A735B" w:rsidTr="0056118B">
        <w:trPr>
          <w:trHeight w:val="600"/>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CA0B63" w:rsidRPr="003A735B" w:rsidRDefault="00CA0B63" w:rsidP="0056118B">
            <w:pPr>
              <w:spacing w:after="120" w:line="240" w:lineRule="auto"/>
              <w:jc w:val="center"/>
              <w:rPr>
                <w:rFonts w:ascii="Arial" w:eastAsia="Times New Roman" w:hAnsi="Arial" w:cs="Arial"/>
                <w:color w:val="000000"/>
                <w:sz w:val="24"/>
                <w:szCs w:val="24"/>
                <w:lang w:eastAsia="ro-RO"/>
              </w:rPr>
            </w:pPr>
            <w:r w:rsidRPr="003A735B">
              <w:rPr>
                <w:rFonts w:ascii="Arial" w:eastAsia="Times New Roman" w:hAnsi="Arial" w:cs="Arial"/>
                <w:color w:val="000000"/>
                <w:sz w:val="24"/>
                <w:szCs w:val="24"/>
                <w:lang w:eastAsia="ro-RO"/>
              </w:rPr>
              <w:t>ARDERI ÎN METALURGIE</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A735B">
              <w:rPr>
                <w:rFonts w:ascii="Arial" w:eastAsia="Times New Roman" w:hAnsi="Arial" w:cs="Arial"/>
                <w:color w:val="000000"/>
                <w:sz w:val="24"/>
                <w:szCs w:val="24"/>
                <w:lang w:eastAsia="ro-RO"/>
              </w:rPr>
              <w:t>98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3A735B">
              <w:rPr>
                <w:rFonts w:ascii="Arial" w:eastAsia="Times New Roman" w:hAnsi="Arial" w:cs="Arial"/>
                <w:color w:val="000000"/>
                <w:sz w:val="24"/>
                <w:szCs w:val="24"/>
                <w:lang w:eastAsia="ro-RO"/>
              </w:rPr>
              <w:t>33</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3A735B">
              <w:rPr>
                <w:rFonts w:ascii="Arial" w:eastAsia="Times New Roman" w:hAnsi="Arial" w:cs="Arial"/>
                <w:color w:val="000000"/>
                <w:sz w:val="24"/>
                <w:szCs w:val="24"/>
                <w:lang w:eastAsia="ro-RO"/>
              </w:rPr>
              <w:t>7</w:t>
            </w:r>
          </w:p>
        </w:tc>
      </w:tr>
      <w:tr w:rsidR="00CA0B63" w:rsidRPr="003A735B" w:rsidTr="0056118B">
        <w:trPr>
          <w:trHeight w:val="600"/>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CA0B63" w:rsidRPr="003A735B" w:rsidRDefault="00CA0B63" w:rsidP="0056118B">
            <w:pPr>
              <w:spacing w:after="120" w:line="240" w:lineRule="auto"/>
              <w:jc w:val="center"/>
              <w:rPr>
                <w:rFonts w:ascii="Arial" w:eastAsia="Times New Roman" w:hAnsi="Arial" w:cs="Arial"/>
                <w:color w:val="000000"/>
                <w:sz w:val="24"/>
                <w:szCs w:val="24"/>
                <w:lang w:eastAsia="ro-RO"/>
              </w:rPr>
            </w:pPr>
            <w:r w:rsidRPr="003A735B">
              <w:rPr>
                <w:rFonts w:ascii="Arial" w:eastAsia="Times New Roman" w:hAnsi="Arial" w:cs="Arial"/>
                <w:color w:val="000000"/>
                <w:sz w:val="24"/>
                <w:szCs w:val="24"/>
                <w:lang w:eastAsia="ro-RO"/>
              </w:rPr>
              <w:t>ARDERI ÎN IND. ALIMENTARĂ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w:t>
            </w:r>
            <w:r w:rsidR="00CA0B63" w:rsidRPr="003A735B">
              <w:rPr>
                <w:rFonts w:ascii="Arial" w:eastAsia="Times New Roman" w:hAnsi="Arial" w:cs="Arial"/>
                <w:color w:val="000000"/>
                <w:sz w:val="24"/>
                <w:szCs w:val="24"/>
                <w:lang w:eastAsia="ro-RO"/>
              </w:rPr>
              <w:t>19</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CA0B63" w:rsidP="00004D77">
            <w:pPr>
              <w:spacing w:after="120" w:line="240" w:lineRule="auto"/>
              <w:jc w:val="center"/>
              <w:rPr>
                <w:rFonts w:ascii="Arial" w:eastAsia="Times New Roman" w:hAnsi="Arial" w:cs="Arial"/>
                <w:color w:val="000000"/>
                <w:sz w:val="24"/>
                <w:szCs w:val="24"/>
                <w:lang w:eastAsia="ro-RO"/>
              </w:rPr>
            </w:pPr>
            <w:r w:rsidRPr="003A735B">
              <w:rPr>
                <w:rFonts w:ascii="Arial" w:eastAsia="Times New Roman" w:hAnsi="Arial" w:cs="Arial"/>
                <w:color w:val="000000"/>
                <w:sz w:val="24"/>
                <w:szCs w:val="24"/>
                <w:lang w:eastAsia="ro-RO"/>
              </w:rPr>
              <w:t>9</w:t>
            </w:r>
            <w:r w:rsidR="00004D77">
              <w:rPr>
                <w:rFonts w:ascii="Arial" w:eastAsia="Times New Roman" w:hAnsi="Arial" w:cs="Arial"/>
                <w:color w:val="000000"/>
                <w:sz w:val="24"/>
                <w:szCs w:val="24"/>
                <w:lang w:eastAsia="ro-RO"/>
              </w:rPr>
              <w:t>,</w:t>
            </w:r>
            <w:r w:rsidRPr="003A735B">
              <w:rPr>
                <w:rFonts w:ascii="Arial" w:eastAsia="Times New Roman" w:hAnsi="Arial" w:cs="Arial"/>
                <w:color w:val="000000"/>
                <w:sz w:val="24"/>
                <w:szCs w:val="24"/>
                <w:lang w:eastAsia="ro-RO"/>
              </w:rPr>
              <w:t>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CA0B63" w:rsidP="0056118B">
            <w:pPr>
              <w:spacing w:after="120" w:line="240" w:lineRule="auto"/>
              <w:jc w:val="center"/>
              <w:rPr>
                <w:rFonts w:ascii="Arial" w:eastAsia="Times New Roman" w:hAnsi="Arial" w:cs="Arial"/>
                <w:color w:val="000000"/>
                <w:sz w:val="24"/>
                <w:szCs w:val="24"/>
                <w:lang w:eastAsia="ro-RO"/>
              </w:rPr>
            </w:pPr>
            <w:r w:rsidRPr="003A735B">
              <w:rPr>
                <w:rFonts w:ascii="Arial" w:eastAsia="Times New Roman" w:hAnsi="Arial" w:cs="Arial"/>
                <w:color w:val="000000"/>
                <w:sz w:val="24"/>
                <w:szCs w:val="24"/>
                <w:lang w:eastAsia="ro-RO"/>
              </w:rPr>
              <w:t>10</w:t>
            </w:r>
          </w:p>
        </w:tc>
      </w:tr>
      <w:tr w:rsidR="00CA0B63" w:rsidRPr="003A735B" w:rsidTr="0056118B">
        <w:trPr>
          <w:trHeight w:val="735"/>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CA0B63" w:rsidRPr="003A735B" w:rsidRDefault="00CA0B63" w:rsidP="0056118B">
            <w:pPr>
              <w:spacing w:after="120" w:line="240" w:lineRule="auto"/>
              <w:jc w:val="center"/>
              <w:rPr>
                <w:rFonts w:ascii="Arial" w:eastAsia="Times New Roman" w:hAnsi="Arial" w:cs="Arial"/>
                <w:color w:val="000000"/>
                <w:sz w:val="24"/>
                <w:szCs w:val="24"/>
                <w:lang w:eastAsia="ro-RO"/>
              </w:rPr>
            </w:pPr>
            <w:r w:rsidRPr="003A735B">
              <w:rPr>
                <w:rFonts w:ascii="Arial" w:eastAsia="Times New Roman" w:hAnsi="Arial" w:cs="Arial"/>
                <w:color w:val="000000"/>
                <w:sz w:val="24"/>
                <w:szCs w:val="24"/>
                <w:lang w:eastAsia="ro-RO"/>
              </w:rPr>
              <w:t>ARDERI ÎN ALTE DOMENII</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3A735B">
              <w:rPr>
                <w:rFonts w:ascii="Arial" w:eastAsia="Times New Roman" w:hAnsi="Arial" w:cs="Arial"/>
                <w:color w:val="000000"/>
                <w:sz w:val="24"/>
                <w:szCs w:val="24"/>
                <w:lang w:eastAsia="ro-RO"/>
              </w:rPr>
              <w:t>26</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w:t>
            </w:r>
            <w:r w:rsidR="00CA0B63" w:rsidRPr="003A735B">
              <w:rPr>
                <w:rFonts w:ascii="Arial" w:eastAsia="Times New Roman" w:hAnsi="Arial" w:cs="Arial"/>
                <w:color w:val="000000"/>
                <w:sz w:val="24"/>
                <w:szCs w:val="24"/>
                <w:lang w:eastAsia="ro-RO"/>
              </w:rPr>
              <w:t>19</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w:t>
            </w:r>
            <w:r w:rsidR="00CA0B63" w:rsidRPr="003A735B">
              <w:rPr>
                <w:rFonts w:ascii="Arial" w:eastAsia="Times New Roman" w:hAnsi="Arial" w:cs="Arial"/>
                <w:color w:val="000000"/>
                <w:sz w:val="24"/>
                <w:szCs w:val="24"/>
                <w:lang w:eastAsia="ro-RO"/>
              </w:rPr>
              <w:t>7</w:t>
            </w:r>
          </w:p>
        </w:tc>
      </w:tr>
      <w:tr w:rsidR="00CA0B63" w:rsidRPr="003A735B" w:rsidTr="0056118B">
        <w:trPr>
          <w:trHeight w:val="600"/>
          <w:jc w:val="center"/>
        </w:trPr>
        <w:tc>
          <w:tcPr>
            <w:tcW w:w="3331" w:type="dxa"/>
            <w:tcBorders>
              <w:top w:val="nil"/>
              <w:left w:val="single" w:sz="4" w:space="0" w:color="auto"/>
              <w:bottom w:val="single" w:sz="4" w:space="0" w:color="auto"/>
              <w:right w:val="single" w:sz="4" w:space="0" w:color="auto"/>
            </w:tcBorders>
            <w:shd w:val="clear" w:color="auto" w:fill="auto"/>
            <w:vAlign w:val="center"/>
            <w:hideMark/>
          </w:tcPr>
          <w:p w:rsidR="00CA0B63" w:rsidRPr="003A735B" w:rsidRDefault="00CA0B63" w:rsidP="0056118B">
            <w:pPr>
              <w:spacing w:after="120" w:line="240" w:lineRule="auto"/>
              <w:jc w:val="center"/>
              <w:rPr>
                <w:rFonts w:ascii="Arial" w:eastAsia="Times New Roman" w:hAnsi="Arial" w:cs="Arial"/>
                <w:color w:val="000000"/>
                <w:sz w:val="24"/>
                <w:szCs w:val="24"/>
                <w:lang w:eastAsia="ro-RO"/>
              </w:rPr>
            </w:pPr>
            <w:r w:rsidRPr="003A735B">
              <w:rPr>
                <w:rFonts w:ascii="Arial" w:eastAsia="Times New Roman" w:hAnsi="Arial" w:cs="Arial"/>
                <w:color w:val="000000"/>
                <w:sz w:val="24"/>
                <w:szCs w:val="24"/>
                <w:lang w:eastAsia="ro-RO"/>
              </w:rPr>
              <w:t>ÎNCĂLZIRE REZIDENŢIALĂ</w:t>
            </w:r>
          </w:p>
        </w:tc>
        <w:tc>
          <w:tcPr>
            <w:tcW w:w="118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93,</w:t>
            </w:r>
            <w:r w:rsidR="00CA0B63" w:rsidRPr="003A735B">
              <w:rPr>
                <w:rFonts w:ascii="Arial" w:eastAsia="Times New Roman" w:hAnsi="Arial" w:cs="Arial"/>
                <w:sz w:val="24"/>
                <w:szCs w:val="24"/>
                <w:lang w:eastAsia="ro-RO"/>
              </w:rPr>
              <w:t>9</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75,</w:t>
            </w:r>
            <w:r w:rsidR="00CA0B63" w:rsidRPr="003A735B">
              <w:rPr>
                <w:rFonts w:ascii="Arial" w:eastAsia="Times New Roman" w:hAnsi="Arial" w:cs="Arial"/>
                <w:sz w:val="24"/>
                <w:szCs w:val="24"/>
                <w:lang w:eastAsia="ro-RO"/>
              </w:rPr>
              <w:t>3</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A735B" w:rsidRDefault="00004D77" w:rsidP="0056118B">
            <w:pPr>
              <w:spacing w:after="12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70,</w:t>
            </w:r>
            <w:r w:rsidR="00CA0B63" w:rsidRPr="003A735B">
              <w:rPr>
                <w:rFonts w:ascii="Arial" w:eastAsia="Times New Roman" w:hAnsi="Arial" w:cs="Arial"/>
                <w:sz w:val="24"/>
                <w:szCs w:val="24"/>
                <w:lang w:eastAsia="ro-RO"/>
              </w:rPr>
              <w:t>7</w:t>
            </w:r>
          </w:p>
        </w:tc>
      </w:tr>
    </w:tbl>
    <w:p w:rsidR="00CA0B63" w:rsidRDefault="001B23A4" w:rsidP="00F232F6">
      <w:pPr>
        <w:spacing w:before="120" w:after="120" w:line="240" w:lineRule="auto"/>
        <w:jc w:val="center"/>
        <w:rPr>
          <w:rFonts w:ascii="Arial" w:hAnsi="Arial" w:cs="Arial"/>
          <w:b/>
          <w:sz w:val="24"/>
          <w:szCs w:val="24"/>
        </w:rPr>
      </w:pPr>
      <w:r>
        <w:rPr>
          <w:rFonts w:ascii="Arial" w:hAnsi="Arial" w:cs="Arial"/>
          <w:b/>
          <w:sz w:val="24"/>
          <w:szCs w:val="24"/>
        </w:rPr>
        <w:t>Tabel</w:t>
      </w:r>
      <w:r w:rsidR="00CA0B63" w:rsidRPr="007F6523">
        <w:rPr>
          <w:rFonts w:ascii="Arial" w:hAnsi="Arial" w:cs="Arial"/>
          <w:b/>
          <w:sz w:val="24"/>
          <w:szCs w:val="24"/>
        </w:rPr>
        <w:t xml:space="preserve"> I.2.1.1.</w:t>
      </w:r>
      <w:r w:rsidR="00CA0B63">
        <w:rPr>
          <w:rFonts w:ascii="Arial" w:hAnsi="Arial" w:cs="Arial"/>
          <w:b/>
          <w:sz w:val="24"/>
          <w:szCs w:val="24"/>
        </w:rPr>
        <w:t>4</w:t>
      </w:r>
      <w:r w:rsidR="00CA0B63" w:rsidRPr="007F6523">
        <w:rPr>
          <w:rFonts w:ascii="Arial" w:hAnsi="Arial" w:cs="Arial"/>
          <w:b/>
          <w:sz w:val="24"/>
          <w:szCs w:val="24"/>
        </w:rPr>
        <w:t>. Contribuţia sectoarelor de activitate din energie la emisiile de</w:t>
      </w:r>
      <w:r w:rsidR="00CA0B63">
        <w:rPr>
          <w:rFonts w:ascii="Arial" w:hAnsi="Arial" w:cs="Arial"/>
          <w:b/>
          <w:sz w:val="24"/>
          <w:szCs w:val="24"/>
        </w:rPr>
        <w:t xml:space="preserve"> metale grele</w:t>
      </w:r>
    </w:p>
    <w:p w:rsidR="00F232F6" w:rsidRDefault="00F232F6" w:rsidP="00F232F6">
      <w:pPr>
        <w:spacing w:before="120" w:after="120" w:line="240" w:lineRule="auto"/>
        <w:jc w:val="center"/>
        <w:rPr>
          <w:rFonts w:ascii="Arial" w:hAnsi="Arial" w:cs="Arial"/>
          <w:sz w:val="24"/>
          <w:szCs w:val="24"/>
        </w:rPr>
      </w:pPr>
    </w:p>
    <w:p w:rsidR="00CA0B63" w:rsidRDefault="00CA0B63" w:rsidP="00CA0B63">
      <w:pPr>
        <w:spacing w:after="120" w:line="240" w:lineRule="auto"/>
        <w:jc w:val="center"/>
        <w:rPr>
          <w:rFonts w:ascii="Arial" w:hAnsi="Arial" w:cs="Arial"/>
          <w:sz w:val="24"/>
          <w:szCs w:val="24"/>
        </w:rPr>
      </w:pPr>
      <w:r w:rsidRPr="003A735B">
        <w:rPr>
          <w:rFonts w:ascii="Arial" w:hAnsi="Arial" w:cs="Arial"/>
          <w:noProof/>
          <w:sz w:val="24"/>
          <w:szCs w:val="24"/>
          <w:lang w:val="ro-RO" w:eastAsia="ro-RO"/>
        </w:rPr>
        <w:drawing>
          <wp:inline distT="0" distB="0" distL="0" distR="0">
            <wp:extent cx="5419725" cy="3086100"/>
            <wp:effectExtent l="19050" t="0" r="9525" b="0"/>
            <wp:docPr id="4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0B63" w:rsidRDefault="00CA0B63" w:rsidP="00CA0B63">
      <w:pPr>
        <w:spacing w:after="120" w:line="240" w:lineRule="auto"/>
        <w:jc w:val="center"/>
        <w:rPr>
          <w:rFonts w:ascii="Arial" w:hAnsi="Arial" w:cs="Arial"/>
          <w:sz w:val="24"/>
          <w:szCs w:val="24"/>
        </w:rPr>
      </w:pPr>
      <w:r>
        <w:rPr>
          <w:rFonts w:ascii="Arial" w:hAnsi="Arial" w:cs="Arial"/>
          <w:sz w:val="24"/>
          <w:szCs w:val="24"/>
        </w:rPr>
        <w:tab/>
      </w:r>
      <w:r>
        <w:rPr>
          <w:rFonts w:ascii="Arial" w:hAnsi="Arial" w:cs="Arial"/>
          <w:b/>
          <w:sz w:val="24"/>
          <w:szCs w:val="24"/>
        </w:rPr>
        <w:t xml:space="preserve">Figura </w:t>
      </w:r>
      <w:r w:rsidRPr="007F6523">
        <w:rPr>
          <w:rFonts w:ascii="Arial" w:hAnsi="Arial" w:cs="Arial"/>
          <w:b/>
          <w:sz w:val="24"/>
          <w:szCs w:val="24"/>
        </w:rPr>
        <w:t>I.2.1.1.</w:t>
      </w:r>
      <w:r>
        <w:rPr>
          <w:rFonts w:ascii="Arial" w:hAnsi="Arial" w:cs="Arial"/>
          <w:b/>
          <w:sz w:val="24"/>
          <w:szCs w:val="24"/>
        </w:rPr>
        <w:t>4</w:t>
      </w:r>
      <w:r w:rsidRPr="007F6523">
        <w:rPr>
          <w:rFonts w:ascii="Arial" w:hAnsi="Arial" w:cs="Arial"/>
          <w:b/>
          <w:sz w:val="24"/>
          <w:szCs w:val="24"/>
        </w:rPr>
        <w:t>. Contribuţia sectoarelor de activitate din energie la emisiile de</w:t>
      </w:r>
      <w:r>
        <w:rPr>
          <w:rFonts w:ascii="Arial" w:hAnsi="Arial" w:cs="Arial"/>
          <w:b/>
          <w:sz w:val="24"/>
          <w:szCs w:val="24"/>
        </w:rPr>
        <w:t xml:space="preserve"> metale grele</w:t>
      </w:r>
    </w:p>
    <w:p w:rsidR="00F232F6" w:rsidRDefault="00F232F6" w:rsidP="00F232F6">
      <w:pPr>
        <w:spacing w:before="120" w:after="120" w:line="240" w:lineRule="auto"/>
        <w:jc w:val="both"/>
        <w:rPr>
          <w:rFonts w:ascii="Arial" w:hAnsi="Arial" w:cs="Arial"/>
          <w:sz w:val="24"/>
          <w:szCs w:val="24"/>
        </w:rPr>
      </w:pPr>
    </w:p>
    <w:p w:rsidR="00CA0B63" w:rsidRPr="006E3B04"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 xml:space="preserve">Din analiza datelor, reiese faptul că încălzirea rezidenţială reprezintă principala sursă de emisii de </w:t>
      </w:r>
      <w:r>
        <w:rPr>
          <w:rFonts w:ascii="Arial" w:hAnsi="Arial" w:cs="Arial"/>
          <w:sz w:val="24"/>
          <w:szCs w:val="24"/>
        </w:rPr>
        <w:t>metale grele, cauzată, în special, de utilizarea drept combustibil, a lemnului şi biomasei.</w:t>
      </w:r>
    </w:p>
    <w:p w:rsidR="00D71325" w:rsidRDefault="00D71325" w:rsidP="00F232F6">
      <w:pPr>
        <w:spacing w:before="120" w:after="120" w:line="240" w:lineRule="auto"/>
        <w:jc w:val="both"/>
        <w:rPr>
          <w:rFonts w:ascii="Arial" w:hAnsi="Arial" w:cs="Arial"/>
          <w:b/>
          <w:bCs/>
          <w:sz w:val="24"/>
          <w:szCs w:val="24"/>
        </w:rPr>
      </w:pPr>
    </w:p>
    <w:p w:rsidR="00004D77" w:rsidRDefault="00004D77" w:rsidP="00F232F6">
      <w:pPr>
        <w:spacing w:before="120" w:after="120" w:line="240" w:lineRule="auto"/>
        <w:jc w:val="both"/>
        <w:rPr>
          <w:rFonts w:ascii="Arial" w:hAnsi="Arial" w:cs="Arial"/>
          <w:b/>
          <w:bCs/>
          <w:sz w:val="24"/>
          <w:szCs w:val="24"/>
        </w:rPr>
      </w:pPr>
    </w:p>
    <w:p w:rsidR="00004D77" w:rsidRDefault="00004D77" w:rsidP="00F232F6">
      <w:pPr>
        <w:spacing w:before="120" w:after="120" w:line="240" w:lineRule="auto"/>
        <w:jc w:val="both"/>
        <w:rPr>
          <w:rFonts w:ascii="Arial" w:hAnsi="Arial" w:cs="Arial"/>
          <w:b/>
          <w:bCs/>
          <w:sz w:val="24"/>
          <w:szCs w:val="24"/>
        </w:rPr>
      </w:pPr>
    </w:p>
    <w:p w:rsidR="00CA0B63" w:rsidRPr="00B24FA8" w:rsidRDefault="00CA0B63" w:rsidP="00F232F6">
      <w:pPr>
        <w:spacing w:before="120" w:after="120" w:line="240" w:lineRule="auto"/>
        <w:jc w:val="both"/>
        <w:rPr>
          <w:rFonts w:ascii="Arial" w:hAnsi="Arial" w:cs="Arial"/>
          <w:b/>
          <w:bCs/>
          <w:sz w:val="24"/>
          <w:szCs w:val="24"/>
        </w:rPr>
      </w:pPr>
      <w:r>
        <w:rPr>
          <w:rFonts w:ascii="Arial" w:hAnsi="Arial" w:cs="Arial"/>
          <w:b/>
          <w:bCs/>
          <w:sz w:val="24"/>
          <w:szCs w:val="24"/>
        </w:rPr>
        <w:lastRenderedPageBreak/>
        <w:t>e) Emisii</w:t>
      </w:r>
      <w:r w:rsidRPr="00B24FA8">
        <w:rPr>
          <w:rFonts w:ascii="Arial" w:hAnsi="Arial" w:cs="Arial"/>
          <w:b/>
          <w:bCs/>
          <w:sz w:val="24"/>
          <w:szCs w:val="24"/>
        </w:rPr>
        <w:t xml:space="preserve"> d</w:t>
      </w:r>
      <w:r>
        <w:rPr>
          <w:rFonts w:ascii="Arial" w:hAnsi="Arial" w:cs="Arial"/>
          <w:b/>
          <w:bCs/>
          <w:sz w:val="24"/>
          <w:szCs w:val="24"/>
        </w:rPr>
        <w:t>e poluanţi organici persistenţi</w:t>
      </w:r>
    </w:p>
    <w:p w:rsidR="00CA0B63"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 xml:space="preserve">Contribuţia sectoarelor de activitate din energie la emisiile de </w:t>
      </w:r>
      <w:r>
        <w:rPr>
          <w:rFonts w:ascii="Arial" w:hAnsi="Arial" w:cs="Arial"/>
          <w:sz w:val="24"/>
          <w:szCs w:val="24"/>
        </w:rPr>
        <w:t>poluanţi organici persistenţi</w:t>
      </w:r>
      <w:r w:rsidRPr="007F6523">
        <w:rPr>
          <w:rFonts w:ascii="Arial" w:hAnsi="Arial" w:cs="Arial"/>
          <w:sz w:val="24"/>
          <w:szCs w:val="24"/>
        </w:rPr>
        <w:t xml:space="preserve">, la nivelul judeţului Buzău, în anul 2014, este </w:t>
      </w:r>
      <w:r>
        <w:rPr>
          <w:rFonts w:ascii="Arial" w:hAnsi="Arial" w:cs="Arial"/>
          <w:sz w:val="24"/>
          <w:szCs w:val="24"/>
        </w:rPr>
        <w:t>prezentată în tabelul I.2.1.1.5</w:t>
      </w:r>
      <w:r w:rsidRPr="007F6523">
        <w:rPr>
          <w:rFonts w:ascii="Arial" w:hAnsi="Arial" w:cs="Arial"/>
          <w:sz w:val="24"/>
          <w:szCs w:val="24"/>
        </w:rPr>
        <w:t>. şi figura I.2.1.1.</w:t>
      </w:r>
      <w:r>
        <w:rPr>
          <w:rFonts w:ascii="Arial" w:hAnsi="Arial" w:cs="Arial"/>
          <w:sz w:val="24"/>
          <w:szCs w:val="24"/>
        </w:rPr>
        <w:t>5</w:t>
      </w:r>
      <w:r w:rsidRPr="007F6523">
        <w:rPr>
          <w:rFonts w:ascii="Arial" w:hAnsi="Arial" w:cs="Arial"/>
          <w:sz w:val="24"/>
          <w:szCs w:val="24"/>
        </w:rPr>
        <w:t>.</w:t>
      </w:r>
    </w:p>
    <w:p w:rsidR="00F232F6" w:rsidRDefault="00F232F6" w:rsidP="00CA0B63">
      <w:pPr>
        <w:spacing w:after="120" w:line="240" w:lineRule="auto"/>
        <w:jc w:val="both"/>
        <w:rPr>
          <w:rFonts w:ascii="Arial" w:hAnsi="Arial" w:cs="Arial"/>
          <w:sz w:val="24"/>
          <w:szCs w:val="24"/>
        </w:rPr>
      </w:pPr>
    </w:p>
    <w:p w:rsidR="00F232F6" w:rsidRPr="007F6523" w:rsidRDefault="00F232F6" w:rsidP="00CA0B63">
      <w:pPr>
        <w:spacing w:after="120" w:line="240" w:lineRule="auto"/>
        <w:jc w:val="both"/>
        <w:rPr>
          <w:rFonts w:ascii="Arial" w:hAnsi="Arial" w:cs="Arial"/>
          <w:sz w:val="24"/>
          <w:szCs w:val="24"/>
        </w:rPr>
      </w:pPr>
    </w:p>
    <w:tbl>
      <w:tblPr>
        <w:tblW w:w="6637" w:type="dxa"/>
        <w:jc w:val="center"/>
        <w:tblInd w:w="103" w:type="dxa"/>
        <w:tblLook w:val="04A0"/>
      </w:tblPr>
      <w:tblGrid>
        <w:gridCol w:w="1937"/>
        <w:gridCol w:w="1683"/>
        <w:gridCol w:w="960"/>
        <w:gridCol w:w="960"/>
        <w:gridCol w:w="1097"/>
      </w:tblGrid>
      <w:tr w:rsidR="00CA0B63" w:rsidRPr="00463DA3" w:rsidTr="0056118B">
        <w:trPr>
          <w:trHeight w:val="600"/>
          <w:jc w:val="center"/>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463DA3" w:rsidRDefault="00CA0B63" w:rsidP="0056118B">
            <w:pPr>
              <w:spacing w:after="120" w:line="240" w:lineRule="auto"/>
              <w:jc w:val="center"/>
              <w:rPr>
                <w:rFonts w:ascii="Arial" w:eastAsia="Times New Roman" w:hAnsi="Arial" w:cs="Arial"/>
                <w:b/>
                <w:color w:val="000000"/>
                <w:sz w:val="24"/>
                <w:szCs w:val="24"/>
                <w:lang w:eastAsia="ro-RO"/>
              </w:rPr>
            </w:pPr>
            <w:r w:rsidRPr="00463DA3">
              <w:rPr>
                <w:rFonts w:ascii="Arial" w:eastAsia="Times New Roman" w:hAnsi="Arial" w:cs="Arial"/>
                <w:b/>
                <w:color w:val="000000"/>
                <w:sz w:val="24"/>
                <w:szCs w:val="24"/>
                <w:lang w:eastAsia="ro-RO"/>
              </w:rPr>
              <w:t>SECTOR DE ACTIVITATE</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CA0B63" w:rsidRPr="00463DA3" w:rsidRDefault="00CA0B63" w:rsidP="0056118B">
            <w:pPr>
              <w:spacing w:after="120" w:line="240" w:lineRule="auto"/>
              <w:jc w:val="center"/>
              <w:rPr>
                <w:rFonts w:ascii="Arial" w:eastAsia="Times New Roman" w:hAnsi="Arial" w:cs="Arial"/>
                <w:b/>
                <w:color w:val="000000"/>
                <w:sz w:val="24"/>
                <w:szCs w:val="24"/>
                <w:lang w:eastAsia="ro-RO"/>
              </w:rPr>
            </w:pPr>
            <w:r w:rsidRPr="00463DA3">
              <w:rPr>
                <w:rFonts w:ascii="Arial" w:eastAsia="Times New Roman" w:hAnsi="Arial" w:cs="Arial"/>
                <w:b/>
                <w:color w:val="000000"/>
                <w:sz w:val="24"/>
                <w:szCs w:val="24"/>
                <w:lang w:eastAsia="ro-RO"/>
              </w:rPr>
              <w:t>PCDD/PCDF</w:t>
            </w:r>
            <w:r>
              <w:rPr>
                <w:rFonts w:ascii="Arial" w:eastAsia="Times New Roman" w:hAnsi="Arial" w:cs="Arial"/>
                <w:b/>
                <w:color w:val="000000"/>
                <w:sz w:val="24"/>
                <w:szCs w:val="24"/>
                <w:lang w:eastAsia="ro-RO"/>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b/>
                <w:color w:val="000000"/>
                <w:sz w:val="24"/>
                <w:szCs w:val="24"/>
                <w:lang w:eastAsia="ro-RO"/>
              </w:rPr>
            </w:pPr>
            <w:r w:rsidRPr="00463DA3">
              <w:rPr>
                <w:rFonts w:ascii="Arial" w:eastAsia="Times New Roman" w:hAnsi="Arial" w:cs="Arial"/>
                <w:b/>
                <w:color w:val="000000"/>
                <w:sz w:val="24"/>
                <w:szCs w:val="24"/>
                <w:lang w:eastAsia="ro-RO"/>
              </w:rPr>
              <w:t>PAH</w:t>
            </w:r>
            <w:r>
              <w:rPr>
                <w:rFonts w:ascii="Arial" w:eastAsia="Times New Roman" w:hAnsi="Arial" w:cs="Arial"/>
                <w:b/>
                <w:color w:val="000000"/>
                <w:sz w:val="24"/>
                <w:szCs w:val="24"/>
                <w:lang w:eastAsia="ro-RO"/>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b/>
                <w:color w:val="000000"/>
                <w:sz w:val="24"/>
                <w:szCs w:val="24"/>
                <w:lang w:eastAsia="ro-RO"/>
              </w:rPr>
            </w:pPr>
            <w:r w:rsidRPr="00463DA3">
              <w:rPr>
                <w:rFonts w:ascii="Arial" w:eastAsia="Times New Roman" w:hAnsi="Arial" w:cs="Arial"/>
                <w:b/>
                <w:color w:val="000000"/>
                <w:sz w:val="24"/>
                <w:szCs w:val="24"/>
                <w:lang w:eastAsia="ro-RO"/>
              </w:rPr>
              <w:t>HCB</w:t>
            </w:r>
            <w:r>
              <w:rPr>
                <w:rFonts w:ascii="Arial" w:eastAsia="Times New Roman" w:hAnsi="Arial" w:cs="Arial"/>
                <w:b/>
                <w:color w:val="000000"/>
                <w:sz w:val="24"/>
                <w:szCs w:val="24"/>
                <w:lang w:eastAsia="ro-RO"/>
              </w:rPr>
              <w:t>, %</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b/>
                <w:color w:val="000000"/>
                <w:sz w:val="24"/>
                <w:szCs w:val="24"/>
                <w:lang w:eastAsia="ro-RO"/>
              </w:rPr>
            </w:pPr>
            <w:r w:rsidRPr="00463DA3">
              <w:rPr>
                <w:rFonts w:ascii="Arial" w:eastAsia="Times New Roman" w:hAnsi="Arial" w:cs="Arial"/>
                <w:b/>
                <w:color w:val="000000"/>
                <w:sz w:val="24"/>
                <w:szCs w:val="24"/>
                <w:lang w:eastAsia="ro-RO"/>
              </w:rPr>
              <w:t>PCBDs</w:t>
            </w:r>
            <w:r>
              <w:rPr>
                <w:rFonts w:ascii="Arial" w:eastAsia="Times New Roman" w:hAnsi="Arial" w:cs="Arial"/>
                <w:b/>
                <w:color w:val="000000"/>
                <w:sz w:val="24"/>
                <w:szCs w:val="24"/>
                <w:lang w:eastAsia="ro-RO"/>
              </w:rPr>
              <w:t>, %</w:t>
            </w:r>
          </w:p>
        </w:tc>
      </w:tr>
      <w:tr w:rsidR="00CA0B63" w:rsidRPr="00463DA3" w:rsidTr="0056118B">
        <w:trPr>
          <w:trHeight w:val="9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463DA3" w:rsidRDefault="00CA0B63" w:rsidP="0056118B">
            <w:pPr>
              <w:spacing w:after="120" w:line="240" w:lineRule="auto"/>
              <w:jc w:val="center"/>
              <w:rPr>
                <w:rFonts w:ascii="Arial" w:eastAsia="Times New Roman" w:hAnsi="Arial" w:cs="Arial"/>
                <w:sz w:val="24"/>
                <w:szCs w:val="24"/>
                <w:lang w:eastAsia="ro-RO"/>
              </w:rPr>
            </w:pPr>
            <w:r w:rsidRPr="00463DA3">
              <w:rPr>
                <w:rFonts w:ascii="Arial" w:eastAsia="Times New Roman" w:hAnsi="Arial" w:cs="Arial"/>
                <w:sz w:val="24"/>
                <w:szCs w:val="24"/>
                <w:lang w:eastAsia="ro-RO"/>
              </w:rPr>
              <w:t>PROD. ENE</w:t>
            </w:r>
            <w:r w:rsidRPr="00463DA3">
              <w:rPr>
                <w:rFonts w:ascii="Arial" w:eastAsia="Times New Roman" w:hAnsi="Arial" w:cs="Arial"/>
                <w:sz w:val="24"/>
                <w:szCs w:val="24"/>
                <w:lang w:eastAsia="ro-RO"/>
              </w:rPr>
              <w:t>R</w:t>
            </w:r>
            <w:r w:rsidRPr="00463DA3">
              <w:rPr>
                <w:rFonts w:ascii="Arial" w:eastAsia="Times New Roman" w:hAnsi="Arial" w:cs="Arial"/>
                <w:sz w:val="24"/>
                <w:szCs w:val="24"/>
                <w:lang w:eastAsia="ro-RO"/>
              </w:rPr>
              <w:t>GIE ELECTR</w:t>
            </w:r>
            <w:r w:rsidRPr="00463DA3">
              <w:rPr>
                <w:rFonts w:ascii="Arial" w:eastAsia="Times New Roman" w:hAnsi="Arial" w:cs="Arial"/>
                <w:sz w:val="24"/>
                <w:szCs w:val="24"/>
                <w:lang w:eastAsia="ro-RO"/>
              </w:rPr>
              <w:t>I</w:t>
            </w:r>
            <w:r w:rsidRPr="00463DA3">
              <w:rPr>
                <w:rFonts w:ascii="Arial" w:eastAsia="Times New Roman" w:hAnsi="Arial" w:cs="Arial"/>
                <w:sz w:val="24"/>
                <w:szCs w:val="24"/>
                <w:lang w:eastAsia="ro-RO"/>
              </w:rPr>
              <w:t>CA SI TERM</w:t>
            </w:r>
            <w:r w:rsidRPr="00463DA3">
              <w:rPr>
                <w:rFonts w:ascii="Arial" w:eastAsia="Times New Roman" w:hAnsi="Arial" w:cs="Arial"/>
                <w:sz w:val="24"/>
                <w:szCs w:val="24"/>
                <w:lang w:eastAsia="ro-RO"/>
              </w:rPr>
              <w:t>I</w:t>
            </w:r>
            <w:r w:rsidRPr="00463DA3">
              <w:rPr>
                <w:rFonts w:ascii="Arial" w:eastAsia="Times New Roman" w:hAnsi="Arial" w:cs="Arial"/>
                <w:sz w:val="24"/>
                <w:szCs w:val="24"/>
                <w:lang w:eastAsia="ro-RO"/>
              </w:rPr>
              <w:t>CA</w:t>
            </w:r>
          </w:p>
        </w:tc>
        <w:tc>
          <w:tcPr>
            <w:tcW w:w="1683"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3DA3">
              <w:rPr>
                <w:rFonts w:ascii="Arial" w:eastAsia="Times New Roman" w:hAnsi="Arial" w:cs="Arial"/>
                <w:color w:val="000000"/>
                <w:sz w:val="24"/>
                <w:szCs w:val="24"/>
                <w:lang w:eastAsia="ro-RO"/>
              </w:rPr>
              <w:t>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3DA3">
              <w:rPr>
                <w:rFonts w:ascii="Arial" w:eastAsia="Times New Roman" w:hAnsi="Arial" w:cs="Arial"/>
                <w:color w:val="000000"/>
                <w:sz w:val="24"/>
                <w:szCs w:val="24"/>
                <w:lang w:eastAsia="ro-RO"/>
              </w:rPr>
              <w:t>98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3DA3">
              <w:rPr>
                <w:rFonts w:ascii="Arial" w:eastAsia="Times New Roman" w:hAnsi="Arial" w:cs="Arial"/>
                <w:color w:val="000000"/>
                <w:sz w:val="24"/>
                <w:szCs w:val="24"/>
                <w:lang w:eastAsia="ro-RO"/>
              </w:rPr>
              <w:t>5</w:t>
            </w:r>
          </w:p>
        </w:tc>
        <w:tc>
          <w:tcPr>
            <w:tcW w:w="1097"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3DA3">
              <w:rPr>
                <w:rFonts w:ascii="Arial" w:eastAsia="Times New Roman" w:hAnsi="Arial" w:cs="Arial"/>
                <w:color w:val="000000"/>
                <w:sz w:val="24"/>
                <w:szCs w:val="24"/>
                <w:lang w:eastAsia="ro-RO"/>
              </w:rPr>
              <w:t>5</w:t>
            </w:r>
          </w:p>
        </w:tc>
      </w:tr>
      <w:tr w:rsidR="00CA0B63" w:rsidRPr="00463DA3" w:rsidTr="0056118B">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ARDERI ÎN METALURGIE</w:t>
            </w:r>
          </w:p>
        </w:tc>
        <w:tc>
          <w:tcPr>
            <w:tcW w:w="1683"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3DA3">
              <w:rPr>
                <w:rFonts w:ascii="Arial" w:eastAsia="Times New Roman" w:hAnsi="Arial" w:cs="Arial"/>
                <w:color w:val="000000"/>
                <w:sz w:val="24"/>
                <w:szCs w:val="24"/>
                <w:lang w:eastAsia="ro-RO"/>
              </w:rPr>
              <w:t>09</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CA0B63" w:rsidP="00004D77">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0</w:t>
            </w:r>
            <w:r w:rsidR="00004D77">
              <w:rPr>
                <w:rFonts w:ascii="Arial" w:eastAsia="Times New Roman" w:hAnsi="Arial" w:cs="Arial"/>
                <w:color w:val="000000"/>
                <w:sz w:val="24"/>
                <w:szCs w:val="24"/>
                <w:lang w:eastAsia="ro-RO"/>
              </w:rPr>
              <w:t>,</w:t>
            </w:r>
            <w:r w:rsidRPr="00463DA3">
              <w:rPr>
                <w:rFonts w:ascii="Arial" w:eastAsia="Times New Roman" w:hAnsi="Arial" w:cs="Arial"/>
                <w:color w:val="000000"/>
                <w:sz w:val="24"/>
                <w:szCs w:val="24"/>
                <w:lang w:eastAsia="ro-RO"/>
              </w:rPr>
              <w:t>5</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0</w:t>
            </w:r>
          </w:p>
        </w:tc>
        <w:tc>
          <w:tcPr>
            <w:tcW w:w="1097" w:type="dxa"/>
            <w:tcBorders>
              <w:top w:val="nil"/>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0</w:t>
            </w:r>
          </w:p>
        </w:tc>
      </w:tr>
      <w:tr w:rsidR="00CA0B63" w:rsidRPr="00463DA3" w:rsidTr="0056118B">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ARDERI ÎN IND. ALIMENTARĂ</w:t>
            </w:r>
          </w:p>
        </w:tc>
        <w:tc>
          <w:tcPr>
            <w:tcW w:w="1683" w:type="dxa"/>
            <w:tcBorders>
              <w:top w:val="nil"/>
              <w:left w:val="nil"/>
              <w:bottom w:val="single" w:sz="4" w:space="0" w:color="auto"/>
              <w:right w:val="single" w:sz="4" w:space="0" w:color="auto"/>
            </w:tcBorders>
            <w:shd w:val="clear" w:color="auto" w:fill="auto"/>
            <w:noWrap/>
            <w:vAlign w:val="center"/>
            <w:hideMark/>
          </w:tcPr>
          <w:p w:rsidR="00CA0B63" w:rsidRPr="00463DA3" w:rsidRDefault="00CA0B63" w:rsidP="00004D77">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1</w:t>
            </w:r>
            <w:r w:rsidR="00004D77">
              <w:rPr>
                <w:rFonts w:ascii="Arial" w:eastAsia="Times New Roman" w:hAnsi="Arial" w:cs="Arial"/>
                <w:color w:val="000000"/>
                <w:sz w:val="24"/>
                <w:szCs w:val="24"/>
                <w:lang w:eastAsia="ro-RO"/>
              </w:rPr>
              <w:t>,</w:t>
            </w:r>
            <w:r w:rsidRPr="00463DA3">
              <w:rPr>
                <w:rFonts w:ascii="Arial" w:eastAsia="Times New Roman" w:hAnsi="Arial" w:cs="Arial"/>
                <w:color w:val="000000"/>
                <w:sz w:val="24"/>
                <w:szCs w:val="24"/>
                <w:lang w:eastAsia="ro-RO"/>
              </w:rPr>
              <w:t>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w:t>
            </w:r>
            <w:r w:rsidR="00CA0B63" w:rsidRPr="00463DA3">
              <w:rPr>
                <w:rFonts w:ascii="Arial" w:eastAsia="Times New Roman" w:hAnsi="Arial" w:cs="Arial"/>
                <w:color w:val="000000"/>
                <w:sz w:val="24"/>
                <w:szCs w:val="24"/>
                <w:lang w:eastAsia="ro-RO"/>
              </w:rPr>
              <w:t>1</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463DA3">
              <w:rPr>
                <w:rFonts w:ascii="Arial" w:eastAsia="Times New Roman" w:hAnsi="Arial" w:cs="Arial"/>
                <w:color w:val="000000"/>
                <w:sz w:val="24"/>
                <w:szCs w:val="24"/>
                <w:lang w:eastAsia="ro-RO"/>
              </w:rPr>
              <w:t>5</w:t>
            </w:r>
          </w:p>
        </w:tc>
        <w:tc>
          <w:tcPr>
            <w:tcW w:w="1097"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463DA3">
              <w:rPr>
                <w:rFonts w:ascii="Arial" w:eastAsia="Times New Roman" w:hAnsi="Arial" w:cs="Arial"/>
                <w:color w:val="000000"/>
                <w:sz w:val="24"/>
                <w:szCs w:val="24"/>
                <w:lang w:eastAsia="ro-RO"/>
              </w:rPr>
              <w:t>4</w:t>
            </w:r>
          </w:p>
        </w:tc>
      </w:tr>
      <w:tr w:rsidR="00CA0B63" w:rsidRPr="00463DA3" w:rsidTr="0056118B">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ARDERI ÎN ALTE DOMENII</w:t>
            </w:r>
          </w:p>
        </w:tc>
        <w:tc>
          <w:tcPr>
            <w:tcW w:w="1683"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3DA3">
              <w:rPr>
                <w:rFonts w:ascii="Arial" w:eastAsia="Times New Roman" w:hAnsi="Arial" w:cs="Arial"/>
                <w:color w:val="000000"/>
                <w:sz w:val="24"/>
                <w:szCs w:val="24"/>
                <w:lang w:eastAsia="ro-RO"/>
              </w:rPr>
              <w:t>51</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3DA3">
              <w:rPr>
                <w:rFonts w:ascii="Arial" w:eastAsia="Times New Roman" w:hAnsi="Arial" w:cs="Arial"/>
                <w:color w:val="000000"/>
                <w:sz w:val="24"/>
                <w:szCs w:val="24"/>
                <w:lang w:eastAsia="ro-RO"/>
              </w:rPr>
              <w:t>02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0</w:t>
            </w:r>
          </w:p>
        </w:tc>
        <w:tc>
          <w:tcPr>
            <w:tcW w:w="1097"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463DA3">
              <w:rPr>
                <w:rFonts w:ascii="Arial" w:eastAsia="Times New Roman" w:hAnsi="Arial" w:cs="Arial"/>
                <w:color w:val="000000"/>
                <w:sz w:val="24"/>
                <w:szCs w:val="24"/>
                <w:lang w:eastAsia="ro-RO"/>
              </w:rPr>
              <w:t>1</w:t>
            </w:r>
          </w:p>
        </w:tc>
      </w:tr>
      <w:tr w:rsidR="00CA0B63" w:rsidRPr="00463DA3" w:rsidTr="0056118B">
        <w:trPr>
          <w:trHeight w:val="60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ÎNCĂLZIRE REZIDENŢIALĂ</w:t>
            </w:r>
          </w:p>
        </w:tc>
        <w:tc>
          <w:tcPr>
            <w:tcW w:w="1683"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97,</w:t>
            </w:r>
            <w:r w:rsidR="00CA0B63" w:rsidRPr="00463DA3">
              <w:rPr>
                <w:rFonts w:ascii="Arial" w:eastAsia="Times New Roman" w:hAnsi="Arial" w:cs="Arial"/>
                <w:color w:val="000000"/>
                <w:sz w:val="24"/>
                <w:szCs w:val="24"/>
                <w:lang w:eastAsia="ro-RO"/>
              </w:rPr>
              <w:t>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004D77" w:rsidP="0056118B">
            <w:pPr>
              <w:spacing w:after="12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90,</w:t>
            </w:r>
            <w:r w:rsidR="00CA0B63" w:rsidRPr="00463DA3">
              <w:rPr>
                <w:rFonts w:ascii="Arial" w:eastAsia="Times New Roman" w:hAnsi="Arial" w:cs="Arial"/>
                <w:color w:val="000000"/>
                <w:sz w:val="24"/>
                <w:szCs w:val="24"/>
                <w:lang w:eastAsia="ro-RO"/>
              </w:rPr>
              <w:t>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95</w:t>
            </w:r>
          </w:p>
        </w:tc>
        <w:tc>
          <w:tcPr>
            <w:tcW w:w="1097" w:type="dxa"/>
            <w:tcBorders>
              <w:top w:val="nil"/>
              <w:left w:val="nil"/>
              <w:bottom w:val="single" w:sz="4" w:space="0" w:color="auto"/>
              <w:right w:val="single" w:sz="4" w:space="0" w:color="auto"/>
            </w:tcBorders>
            <w:shd w:val="clear" w:color="auto" w:fill="auto"/>
            <w:noWrap/>
            <w:vAlign w:val="center"/>
            <w:hideMark/>
          </w:tcPr>
          <w:p w:rsidR="00CA0B63" w:rsidRPr="00463DA3" w:rsidRDefault="00CA0B63" w:rsidP="0056118B">
            <w:pPr>
              <w:spacing w:after="120" w:line="240" w:lineRule="auto"/>
              <w:jc w:val="center"/>
              <w:rPr>
                <w:rFonts w:ascii="Arial" w:eastAsia="Times New Roman" w:hAnsi="Arial" w:cs="Arial"/>
                <w:color w:val="000000"/>
                <w:sz w:val="24"/>
                <w:szCs w:val="24"/>
                <w:lang w:eastAsia="ro-RO"/>
              </w:rPr>
            </w:pPr>
            <w:r w:rsidRPr="00463DA3">
              <w:rPr>
                <w:rFonts w:ascii="Arial" w:eastAsia="Times New Roman" w:hAnsi="Arial" w:cs="Arial"/>
                <w:color w:val="000000"/>
                <w:sz w:val="24"/>
                <w:szCs w:val="24"/>
                <w:lang w:eastAsia="ro-RO"/>
              </w:rPr>
              <w:t>94</w:t>
            </w:r>
          </w:p>
        </w:tc>
      </w:tr>
    </w:tbl>
    <w:p w:rsidR="00CA0B63" w:rsidRDefault="001B23A4" w:rsidP="00F232F6">
      <w:pPr>
        <w:spacing w:before="120" w:after="120" w:line="240" w:lineRule="auto"/>
        <w:jc w:val="center"/>
        <w:rPr>
          <w:rFonts w:ascii="Arial" w:hAnsi="Arial" w:cs="Arial"/>
          <w:b/>
          <w:sz w:val="24"/>
          <w:szCs w:val="24"/>
        </w:rPr>
      </w:pPr>
      <w:r>
        <w:rPr>
          <w:rFonts w:ascii="Arial" w:hAnsi="Arial" w:cs="Arial"/>
          <w:b/>
          <w:sz w:val="24"/>
          <w:szCs w:val="24"/>
        </w:rPr>
        <w:t>Tabel</w:t>
      </w:r>
      <w:r w:rsidR="00CA0B63" w:rsidRPr="007F6523">
        <w:rPr>
          <w:rFonts w:ascii="Arial" w:hAnsi="Arial" w:cs="Arial"/>
          <w:b/>
          <w:sz w:val="24"/>
          <w:szCs w:val="24"/>
        </w:rPr>
        <w:t xml:space="preserve"> I.2.1.1.</w:t>
      </w:r>
      <w:r w:rsidR="00CA0B63">
        <w:rPr>
          <w:rFonts w:ascii="Arial" w:hAnsi="Arial" w:cs="Arial"/>
          <w:b/>
          <w:sz w:val="24"/>
          <w:szCs w:val="24"/>
        </w:rPr>
        <w:t>5</w:t>
      </w:r>
      <w:r w:rsidR="00CA0B63" w:rsidRPr="007F6523">
        <w:rPr>
          <w:rFonts w:ascii="Arial" w:hAnsi="Arial" w:cs="Arial"/>
          <w:b/>
          <w:sz w:val="24"/>
          <w:szCs w:val="24"/>
        </w:rPr>
        <w:t>. Contribuţia sectoarelor de activitate din energie la emisiile de</w:t>
      </w:r>
      <w:r w:rsidR="00CA0B63">
        <w:rPr>
          <w:rFonts w:ascii="Arial" w:hAnsi="Arial" w:cs="Arial"/>
          <w:b/>
          <w:sz w:val="24"/>
          <w:szCs w:val="24"/>
        </w:rPr>
        <w:t xml:space="preserve"> poluanţi organici persistenţi</w:t>
      </w:r>
    </w:p>
    <w:p w:rsidR="00F232F6" w:rsidRDefault="00F232F6" w:rsidP="00F232F6">
      <w:pPr>
        <w:spacing w:before="120" w:after="120" w:line="240" w:lineRule="auto"/>
        <w:jc w:val="center"/>
        <w:rPr>
          <w:rFonts w:ascii="Arial" w:hAnsi="Arial" w:cs="Arial"/>
          <w:sz w:val="24"/>
          <w:szCs w:val="24"/>
        </w:rPr>
      </w:pPr>
    </w:p>
    <w:p w:rsidR="00CA0B63" w:rsidRDefault="00CA0B63" w:rsidP="00CA0B63">
      <w:pPr>
        <w:tabs>
          <w:tab w:val="left" w:pos="4253"/>
        </w:tabs>
        <w:spacing w:after="120" w:line="240" w:lineRule="auto"/>
        <w:jc w:val="center"/>
        <w:rPr>
          <w:rFonts w:ascii="Arial" w:hAnsi="Arial" w:cs="Arial"/>
          <w:sz w:val="24"/>
          <w:szCs w:val="24"/>
        </w:rPr>
      </w:pPr>
      <w:r w:rsidRPr="00463DA3">
        <w:rPr>
          <w:rFonts w:ascii="Arial" w:hAnsi="Arial" w:cs="Arial"/>
          <w:noProof/>
          <w:sz w:val="24"/>
          <w:szCs w:val="24"/>
          <w:lang w:val="ro-RO" w:eastAsia="ro-RO"/>
        </w:rPr>
        <w:drawing>
          <wp:inline distT="0" distB="0" distL="0" distR="0">
            <wp:extent cx="5095875" cy="3219450"/>
            <wp:effectExtent l="19050" t="0" r="9525" b="0"/>
            <wp:docPr id="4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A0B63" w:rsidRDefault="00CA0B63" w:rsidP="00F232F6">
      <w:pPr>
        <w:spacing w:before="120" w:after="120" w:line="240" w:lineRule="auto"/>
        <w:jc w:val="center"/>
        <w:rPr>
          <w:rFonts w:ascii="Arial" w:hAnsi="Arial" w:cs="Arial"/>
          <w:sz w:val="24"/>
          <w:szCs w:val="24"/>
        </w:rPr>
      </w:pPr>
      <w:r>
        <w:rPr>
          <w:rFonts w:ascii="Arial" w:hAnsi="Arial" w:cs="Arial"/>
          <w:b/>
          <w:sz w:val="24"/>
          <w:szCs w:val="24"/>
        </w:rPr>
        <w:t>Figura</w:t>
      </w:r>
      <w:r w:rsidRPr="007F6523">
        <w:rPr>
          <w:rFonts w:ascii="Arial" w:hAnsi="Arial" w:cs="Arial"/>
          <w:b/>
          <w:sz w:val="24"/>
          <w:szCs w:val="24"/>
        </w:rPr>
        <w:t xml:space="preserve"> I.2.1.1.</w:t>
      </w:r>
      <w:r>
        <w:rPr>
          <w:rFonts w:ascii="Arial" w:hAnsi="Arial" w:cs="Arial"/>
          <w:b/>
          <w:sz w:val="24"/>
          <w:szCs w:val="24"/>
        </w:rPr>
        <w:t>5</w:t>
      </w:r>
      <w:r w:rsidRPr="007F6523">
        <w:rPr>
          <w:rFonts w:ascii="Arial" w:hAnsi="Arial" w:cs="Arial"/>
          <w:b/>
          <w:sz w:val="24"/>
          <w:szCs w:val="24"/>
        </w:rPr>
        <w:t>. Contribuţia sectoarelor de activitate din energie la emisiile de</w:t>
      </w:r>
      <w:r>
        <w:rPr>
          <w:rFonts w:ascii="Arial" w:hAnsi="Arial" w:cs="Arial"/>
          <w:b/>
          <w:sz w:val="24"/>
          <w:szCs w:val="24"/>
        </w:rPr>
        <w:t xml:space="preserve"> poluanţi organici persistenţi</w:t>
      </w:r>
    </w:p>
    <w:p w:rsidR="00CA0B63" w:rsidRPr="006E3B04"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 xml:space="preserve">Din analiza datelor, reiese faptul că încălzirea rezidenţială reprezintă principala sursă de emisii de </w:t>
      </w:r>
      <w:r>
        <w:rPr>
          <w:rFonts w:ascii="Arial" w:hAnsi="Arial" w:cs="Arial"/>
          <w:sz w:val="24"/>
          <w:szCs w:val="24"/>
        </w:rPr>
        <w:t>poluanţi organici persistenţi, cauzată, în special, de utilizarea drept combustibil, a lemnului şi biomasei.</w:t>
      </w:r>
    </w:p>
    <w:p w:rsidR="00CA0B63" w:rsidRPr="00C2714B" w:rsidRDefault="00CA0B63" w:rsidP="00F232F6">
      <w:pPr>
        <w:tabs>
          <w:tab w:val="left" w:pos="3232"/>
        </w:tabs>
        <w:spacing w:before="120" w:after="120" w:line="240" w:lineRule="auto"/>
        <w:jc w:val="both"/>
        <w:rPr>
          <w:rFonts w:ascii="Arial" w:hAnsi="Arial" w:cs="Arial"/>
          <w:b/>
          <w:sz w:val="24"/>
          <w:szCs w:val="24"/>
        </w:rPr>
      </w:pPr>
      <w:r w:rsidRPr="00C2714B">
        <w:rPr>
          <w:rFonts w:ascii="Arial" w:hAnsi="Arial" w:cs="Arial"/>
          <w:b/>
          <w:sz w:val="24"/>
          <w:szCs w:val="24"/>
        </w:rPr>
        <w:lastRenderedPageBreak/>
        <w:t>I.2.1.2. Industria</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Ramurile principale de activitate industrială din judeţul Buzău sunt: industria metalurgică, alimentară, textilă, materiale de construcţie, chimică (prelucrare mase plastice, fabricare lacuri şi vopsele), extractivă (petrol şi gaze) şi altele. În exprimarea contribuţiilor acestor ramuri la cantităţile de poluanţi emise s-au luat în calcul rezultatele obţinute din Inventarul de emisii la nivel local.</w:t>
      </w:r>
    </w:p>
    <w:p w:rsidR="00CA0B63" w:rsidRPr="00E4060F" w:rsidRDefault="00CA0B63" w:rsidP="00F232F6">
      <w:pPr>
        <w:spacing w:before="120" w:after="120" w:line="240" w:lineRule="auto"/>
        <w:jc w:val="both"/>
        <w:rPr>
          <w:rFonts w:ascii="Arial" w:hAnsi="Arial" w:cs="Arial"/>
          <w:b/>
          <w:sz w:val="24"/>
          <w:szCs w:val="24"/>
        </w:rPr>
      </w:pPr>
      <w:r w:rsidRPr="00E4060F">
        <w:rPr>
          <w:rFonts w:ascii="Arial" w:hAnsi="Arial" w:cs="Arial"/>
          <w:b/>
          <w:bCs/>
          <w:sz w:val="24"/>
          <w:szCs w:val="24"/>
        </w:rPr>
        <w:t xml:space="preserve">a) </w:t>
      </w:r>
      <w:r w:rsidRPr="00E4060F">
        <w:rPr>
          <w:rFonts w:ascii="Arial" w:hAnsi="Arial" w:cs="Arial"/>
          <w:b/>
          <w:sz w:val="24"/>
          <w:szCs w:val="24"/>
        </w:rPr>
        <w:t>Emisiile de substanţe acidifiante</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Contribuţia sectoarelor de activitate la emisiile de poluanţi cu efect de acidifiere, la nivelul judeţului Buzău, în anul 2014, este prezentată în tabelul I.2.1.2.1. şi figura I.2.1.2.1.</w:t>
      </w:r>
    </w:p>
    <w:p w:rsidR="00CA0B63" w:rsidRDefault="00CA0B63" w:rsidP="00CA0B63">
      <w:pPr>
        <w:rPr>
          <w:rFonts w:ascii="Arial" w:hAnsi="Arial" w:cs="Arial"/>
          <w:sz w:val="24"/>
          <w:szCs w:val="24"/>
        </w:rPr>
      </w:pPr>
    </w:p>
    <w:tbl>
      <w:tblPr>
        <w:tblW w:w="5630" w:type="dxa"/>
        <w:jc w:val="center"/>
        <w:tblInd w:w="103" w:type="dxa"/>
        <w:tblLook w:val="04A0"/>
      </w:tblPr>
      <w:tblGrid>
        <w:gridCol w:w="2110"/>
        <w:gridCol w:w="1220"/>
        <w:gridCol w:w="1220"/>
        <w:gridCol w:w="1780"/>
      </w:tblGrid>
      <w:tr w:rsidR="00CA0B63" w:rsidRPr="00301C37" w:rsidTr="0056118B">
        <w:trPr>
          <w:trHeight w:val="1200"/>
          <w:jc w:val="center"/>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301C37" w:rsidRDefault="00CA0B63" w:rsidP="0056118B">
            <w:pPr>
              <w:spacing w:after="0" w:line="240" w:lineRule="auto"/>
              <w:jc w:val="center"/>
              <w:rPr>
                <w:rFonts w:ascii="Arial" w:eastAsia="Times New Roman" w:hAnsi="Arial" w:cs="Arial"/>
                <w:b/>
                <w:color w:val="000000"/>
                <w:sz w:val="24"/>
                <w:szCs w:val="24"/>
                <w:lang w:eastAsia="ro-RO"/>
              </w:rPr>
            </w:pPr>
            <w:r w:rsidRPr="00301C37">
              <w:rPr>
                <w:rFonts w:ascii="Arial" w:eastAsia="Times New Roman" w:hAnsi="Arial" w:cs="Arial"/>
                <w:b/>
                <w:color w:val="000000"/>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b/>
                <w:color w:val="000000"/>
                <w:sz w:val="24"/>
                <w:szCs w:val="24"/>
                <w:lang w:eastAsia="ro-RO"/>
              </w:rPr>
            </w:pPr>
            <w:r w:rsidRPr="00301C37">
              <w:rPr>
                <w:rFonts w:ascii="Arial" w:eastAsia="Times New Roman" w:hAnsi="Arial" w:cs="Arial"/>
                <w:b/>
                <w:color w:val="000000"/>
                <w:sz w:val="24"/>
                <w:szCs w:val="24"/>
                <w:lang w:eastAsia="ro-RO"/>
              </w:rPr>
              <w:t>SOx,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b/>
                <w:color w:val="000000"/>
                <w:sz w:val="24"/>
                <w:szCs w:val="24"/>
                <w:lang w:eastAsia="ro-RO"/>
              </w:rPr>
            </w:pPr>
            <w:r w:rsidRPr="00301C37">
              <w:rPr>
                <w:rFonts w:ascii="Arial" w:eastAsia="Times New Roman" w:hAnsi="Arial" w:cs="Arial"/>
                <w:b/>
                <w:color w:val="000000"/>
                <w:sz w:val="24"/>
                <w:szCs w:val="24"/>
                <w:lang w:eastAsia="ro-RO"/>
              </w:rPr>
              <w:t>NOx,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b/>
                <w:color w:val="000000"/>
                <w:sz w:val="24"/>
                <w:szCs w:val="24"/>
                <w:lang w:eastAsia="ro-RO"/>
              </w:rPr>
            </w:pPr>
            <w:r w:rsidRPr="00301C37">
              <w:rPr>
                <w:rFonts w:ascii="Arial" w:eastAsia="Times New Roman" w:hAnsi="Arial" w:cs="Arial"/>
                <w:b/>
                <w:color w:val="000000"/>
                <w:sz w:val="24"/>
                <w:szCs w:val="24"/>
                <w:lang w:eastAsia="ro-RO"/>
              </w:rPr>
              <w:t>NH3, %</w:t>
            </w:r>
          </w:p>
        </w:tc>
      </w:tr>
      <w:tr w:rsidR="00CA0B63" w:rsidRPr="00301C37" w:rsidTr="0056118B">
        <w:trPr>
          <w:trHeight w:val="3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ENERGIE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79,</w:t>
            </w:r>
            <w:r w:rsidR="00CA0B63" w:rsidRPr="00301C37">
              <w:rPr>
                <w:rFonts w:ascii="Arial" w:eastAsia="Times New Roman" w:hAnsi="Arial" w:cs="Arial"/>
                <w:color w:val="000000"/>
                <w:sz w:val="24"/>
                <w:szCs w:val="24"/>
                <w:lang w:eastAsia="ro-RO"/>
              </w:rPr>
              <w:t>4</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64,</w:t>
            </w:r>
            <w:r w:rsidR="00CA0B63" w:rsidRPr="00301C37">
              <w:rPr>
                <w:rFonts w:ascii="Arial" w:eastAsia="Times New Roman" w:hAnsi="Arial" w:cs="Arial"/>
                <w:color w:val="000000"/>
                <w:sz w:val="24"/>
                <w:szCs w:val="24"/>
                <w:lang w:eastAsia="ro-RO"/>
              </w:rPr>
              <w:t>9</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301C37"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01C37">
              <w:rPr>
                <w:rFonts w:ascii="Arial" w:eastAsia="Times New Roman" w:hAnsi="Arial" w:cs="Arial"/>
                <w:color w:val="000000"/>
                <w:sz w:val="24"/>
                <w:szCs w:val="24"/>
                <w:lang w:eastAsia="ro-RO"/>
              </w:rPr>
              <w:t>36</w:t>
            </w:r>
          </w:p>
        </w:tc>
      </w:tr>
      <w:tr w:rsidR="00CA0B63" w:rsidRPr="00301C37" w:rsidTr="0056118B">
        <w:trPr>
          <w:trHeight w:val="6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TRANSPORTURI</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01C37">
              <w:rPr>
                <w:rFonts w:ascii="Arial" w:eastAsia="Times New Roman" w:hAnsi="Arial" w:cs="Arial"/>
                <w:color w:val="000000"/>
                <w:sz w:val="24"/>
                <w:szCs w:val="24"/>
                <w:lang w:eastAsia="ro-RO"/>
              </w:rPr>
              <w:t>1</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22</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0</w:t>
            </w:r>
          </w:p>
        </w:tc>
      </w:tr>
      <w:tr w:rsidR="00CA0B63" w:rsidRPr="00301C37" w:rsidTr="0056118B">
        <w:trPr>
          <w:trHeight w:val="6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INDUSTRIE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20,</w:t>
            </w:r>
            <w:r w:rsidR="00CA0B63" w:rsidRPr="00301C37">
              <w:rPr>
                <w:rFonts w:ascii="Arial" w:eastAsia="Times New Roman" w:hAnsi="Arial" w:cs="Arial"/>
                <w:color w:val="000000"/>
                <w:sz w:val="24"/>
                <w:szCs w:val="24"/>
                <w:lang w:eastAsia="ro-RO"/>
              </w:rPr>
              <w:t>5</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13,</w:t>
            </w:r>
            <w:r w:rsidR="00CA0B63" w:rsidRPr="00301C37">
              <w:rPr>
                <w:rFonts w:ascii="Arial" w:eastAsia="Times New Roman" w:hAnsi="Arial" w:cs="Arial"/>
                <w:color w:val="000000"/>
                <w:sz w:val="24"/>
                <w:szCs w:val="24"/>
                <w:lang w:eastAsia="ro-RO"/>
              </w:rPr>
              <w:t>1</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0</w:t>
            </w:r>
          </w:p>
        </w:tc>
      </w:tr>
      <w:tr w:rsidR="00CA0B63" w:rsidRPr="00301C37" w:rsidTr="0056118B">
        <w:trPr>
          <w:trHeight w:val="6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AGRICULTURA</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0</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301C37"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99,</w:t>
            </w:r>
            <w:r w:rsidR="00CA0B63" w:rsidRPr="00301C37">
              <w:rPr>
                <w:rFonts w:ascii="Arial" w:eastAsia="Times New Roman" w:hAnsi="Arial" w:cs="Arial"/>
                <w:color w:val="000000"/>
                <w:sz w:val="24"/>
                <w:szCs w:val="24"/>
                <w:lang w:eastAsia="ro-RO"/>
              </w:rPr>
              <w:t>64</w:t>
            </w:r>
          </w:p>
        </w:tc>
      </w:tr>
      <w:tr w:rsidR="00CA0B63" w:rsidRPr="00301C37" w:rsidTr="0056118B">
        <w:trPr>
          <w:trHeight w:val="3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DESEURI</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0</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301C37" w:rsidRDefault="00CA0B63" w:rsidP="0056118B">
            <w:pPr>
              <w:spacing w:after="0" w:line="240" w:lineRule="auto"/>
              <w:jc w:val="center"/>
              <w:rPr>
                <w:rFonts w:ascii="Arial" w:eastAsia="Times New Roman" w:hAnsi="Arial" w:cs="Arial"/>
                <w:color w:val="000000"/>
                <w:sz w:val="24"/>
                <w:szCs w:val="24"/>
                <w:lang w:eastAsia="ro-RO"/>
              </w:rPr>
            </w:pPr>
            <w:r w:rsidRPr="00301C37">
              <w:rPr>
                <w:rFonts w:ascii="Arial" w:eastAsia="Times New Roman" w:hAnsi="Arial" w:cs="Arial"/>
                <w:color w:val="000000"/>
                <w:sz w:val="24"/>
                <w:szCs w:val="24"/>
                <w:lang w:eastAsia="ro-RO"/>
              </w:rPr>
              <w:t>0</w:t>
            </w:r>
          </w:p>
        </w:tc>
      </w:tr>
    </w:tbl>
    <w:p w:rsidR="00CA0B63" w:rsidRDefault="001B23A4" w:rsidP="00F232F6">
      <w:pPr>
        <w:spacing w:before="120" w:after="120"/>
        <w:jc w:val="center"/>
        <w:rPr>
          <w:rFonts w:ascii="Arial" w:hAnsi="Arial" w:cs="Arial"/>
          <w:b/>
          <w:sz w:val="24"/>
          <w:szCs w:val="24"/>
        </w:rPr>
      </w:pPr>
      <w:r>
        <w:rPr>
          <w:rFonts w:ascii="Arial" w:hAnsi="Arial" w:cs="Arial"/>
          <w:b/>
          <w:sz w:val="24"/>
          <w:szCs w:val="24"/>
        </w:rPr>
        <w:t>Tabel</w:t>
      </w:r>
      <w:r w:rsidR="00CA0B63" w:rsidRPr="00301C37">
        <w:rPr>
          <w:rFonts w:ascii="Arial" w:hAnsi="Arial" w:cs="Arial"/>
          <w:b/>
          <w:sz w:val="24"/>
          <w:szCs w:val="24"/>
        </w:rPr>
        <w:t xml:space="preserve"> I.2.1.2.1. Contribuţia sectoarelor de activitate la emisiile de poluanţi cu efect de acidifiere</w:t>
      </w:r>
    </w:p>
    <w:p w:rsidR="00F232F6" w:rsidRDefault="00F232F6" w:rsidP="00F232F6">
      <w:pPr>
        <w:spacing w:before="120" w:after="120"/>
        <w:jc w:val="center"/>
        <w:rPr>
          <w:rFonts w:ascii="Arial" w:hAnsi="Arial" w:cs="Arial"/>
          <w:b/>
          <w:sz w:val="24"/>
          <w:szCs w:val="24"/>
        </w:rPr>
      </w:pPr>
    </w:p>
    <w:p w:rsidR="00CA0B63" w:rsidRDefault="00CA0B63" w:rsidP="00CA0B63">
      <w:pPr>
        <w:jc w:val="center"/>
        <w:rPr>
          <w:rFonts w:ascii="Arial" w:hAnsi="Arial" w:cs="Arial"/>
          <w:sz w:val="24"/>
          <w:szCs w:val="24"/>
        </w:rPr>
      </w:pPr>
      <w:r w:rsidRPr="00B81B18">
        <w:rPr>
          <w:rFonts w:ascii="Arial" w:hAnsi="Arial" w:cs="Arial"/>
          <w:noProof/>
          <w:sz w:val="24"/>
          <w:szCs w:val="24"/>
          <w:lang w:val="ro-RO" w:eastAsia="ro-RO"/>
        </w:rPr>
        <w:drawing>
          <wp:inline distT="0" distB="0" distL="0" distR="0">
            <wp:extent cx="5410200" cy="3105150"/>
            <wp:effectExtent l="19050" t="0" r="19050" b="0"/>
            <wp:docPr id="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0B63" w:rsidRDefault="00CA0B63" w:rsidP="00F232F6">
      <w:pPr>
        <w:spacing w:before="120" w:after="120"/>
        <w:jc w:val="center"/>
        <w:rPr>
          <w:rFonts w:ascii="Arial" w:hAnsi="Arial" w:cs="Arial"/>
          <w:b/>
          <w:sz w:val="24"/>
          <w:szCs w:val="24"/>
        </w:rPr>
      </w:pPr>
      <w:r>
        <w:rPr>
          <w:rFonts w:ascii="Arial" w:hAnsi="Arial" w:cs="Arial"/>
          <w:sz w:val="24"/>
          <w:szCs w:val="24"/>
        </w:rPr>
        <w:tab/>
      </w:r>
      <w:r>
        <w:rPr>
          <w:rFonts w:ascii="Arial" w:hAnsi="Arial" w:cs="Arial"/>
          <w:b/>
          <w:sz w:val="24"/>
          <w:szCs w:val="24"/>
        </w:rPr>
        <w:t>Figura</w:t>
      </w:r>
      <w:r w:rsidRPr="00301C37">
        <w:rPr>
          <w:rFonts w:ascii="Arial" w:hAnsi="Arial" w:cs="Arial"/>
          <w:b/>
          <w:sz w:val="24"/>
          <w:szCs w:val="24"/>
        </w:rPr>
        <w:t xml:space="preserve"> I.2.1.2.1. Contribuţia sectoarelor de activitate la emisiile de poluanţi cu efect de acidifiere</w:t>
      </w:r>
    </w:p>
    <w:p w:rsidR="00CA0B63" w:rsidRDefault="00CA0B63" w:rsidP="00F232F6">
      <w:pPr>
        <w:tabs>
          <w:tab w:val="left" w:pos="3332"/>
        </w:tabs>
        <w:spacing w:before="120" w:after="120" w:line="240" w:lineRule="auto"/>
        <w:jc w:val="both"/>
        <w:rPr>
          <w:rFonts w:ascii="Arial" w:hAnsi="Arial" w:cs="Arial"/>
          <w:sz w:val="24"/>
          <w:szCs w:val="24"/>
        </w:rPr>
      </w:pPr>
      <w:r>
        <w:rPr>
          <w:rFonts w:ascii="Arial" w:hAnsi="Arial" w:cs="Arial"/>
          <w:sz w:val="24"/>
          <w:szCs w:val="24"/>
        </w:rPr>
        <w:t>Din analiza acestor date reiese că principalele surse de emisii de gaze acidifiante nu pr</w:t>
      </w:r>
      <w:r>
        <w:rPr>
          <w:rFonts w:ascii="Arial" w:hAnsi="Arial" w:cs="Arial"/>
          <w:sz w:val="24"/>
          <w:szCs w:val="24"/>
        </w:rPr>
        <w:t>o</w:t>
      </w:r>
      <w:r>
        <w:rPr>
          <w:rFonts w:ascii="Arial" w:hAnsi="Arial" w:cs="Arial"/>
          <w:sz w:val="24"/>
          <w:szCs w:val="24"/>
        </w:rPr>
        <w:t>vin din activitatea industrială, ci, preponderent din energie şi agricultură.</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lastRenderedPageBreak/>
        <w:t>Contribuţia sectoarelor de activitate din industrie la emisiile de poluanţi cu efect de acid</w:t>
      </w:r>
      <w:r>
        <w:rPr>
          <w:rFonts w:ascii="Arial" w:hAnsi="Arial" w:cs="Arial"/>
          <w:sz w:val="24"/>
          <w:szCs w:val="24"/>
        </w:rPr>
        <w:t>i</w:t>
      </w:r>
      <w:r>
        <w:rPr>
          <w:rFonts w:ascii="Arial" w:hAnsi="Arial" w:cs="Arial"/>
          <w:sz w:val="24"/>
          <w:szCs w:val="24"/>
        </w:rPr>
        <w:t>fiere, la nivelul judeţului Buzău, în anul 2014, este prezentată în tabelul I.2.1.2.2. şi figura I.2.1.2.2.</w:t>
      </w:r>
    </w:p>
    <w:p w:rsidR="00F232F6" w:rsidRDefault="00F232F6" w:rsidP="00F232F6">
      <w:pPr>
        <w:spacing w:before="120" w:after="120" w:line="240" w:lineRule="auto"/>
        <w:jc w:val="both"/>
        <w:rPr>
          <w:rFonts w:ascii="Arial" w:hAnsi="Arial" w:cs="Arial"/>
          <w:sz w:val="24"/>
          <w:szCs w:val="24"/>
        </w:rPr>
      </w:pPr>
    </w:p>
    <w:p w:rsidR="00F232F6" w:rsidRDefault="00F232F6" w:rsidP="00F232F6">
      <w:pPr>
        <w:spacing w:before="120" w:after="120" w:line="240" w:lineRule="auto"/>
        <w:jc w:val="both"/>
        <w:rPr>
          <w:rFonts w:ascii="Arial" w:hAnsi="Arial" w:cs="Arial"/>
          <w:sz w:val="24"/>
          <w:szCs w:val="24"/>
        </w:rPr>
      </w:pPr>
    </w:p>
    <w:tbl>
      <w:tblPr>
        <w:tblW w:w="6170" w:type="dxa"/>
        <w:jc w:val="center"/>
        <w:tblInd w:w="103" w:type="dxa"/>
        <w:tblLook w:val="04A0"/>
      </w:tblPr>
      <w:tblGrid>
        <w:gridCol w:w="1950"/>
        <w:gridCol w:w="1220"/>
        <w:gridCol w:w="1220"/>
        <w:gridCol w:w="1780"/>
      </w:tblGrid>
      <w:tr w:rsidR="00CA0B63" w:rsidRPr="00B81B18" w:rsidTr="0056118B">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B81B18" w:rsidRDefault="00CA0B63" w:rsidP="0056118B">
            <w:pPr>
              <w:spacing w:after="0" w:line="240" w:lineRule="auto"/>
              <w:jc w:val="center"/>
              <w:rPr>
                <w:rFonts w:ascii="Arial" w:eastAsia="Times New Roman" w:hAnsi="Arial" w:cs="Arial"/>
                <w:b/>
                <w:color w:val="000000"/>
                <w:sz w:val="24"/>
                <w:szCs w:val="24"/>
                <w:lang w:eastAsia="ro-RO"/>
              </w:rPr>
            </w:pPr>
            <w:r w:rsidRPr="00B81B18">
              <w:rPr>
                <w:rFonts w:ascii="Arial" w:eastAsia="Times New Roman" w:hAnsi="Arial" w:cs="Arial"/>
                <w:b/>
                <w:color w:val="000000"/>
                <w:sz w:val="24"/>
                <w:szCs w:val="24"/>
                <w:lang w:eastAsia="ro-RO"/>
              </w:rPr>
              <w:t>SECTOR I</w:t>
            </w:r>
            <w:r w:rsidRPr="00B81B18">
              <w:rPr>
                <w:rFonts w:ascii="Arial" w:eastAsia="Times New Roman" w:hAnsi="Arial" w:cs="Arial"/>
                <w:b/>
                <w:color w:val="000000"/>
                <w:sz w:val="24"/>
                <w:szCs w:val="24"/>
                <w:lang w:eastAsia="ro-RO"/>
              </w:rPr>
              <w:t>N</w:t>
            </w:r>
            <w:r w:rsidRPr="00B81B18">
              <w:rPr>
                <w:rFonts w:ascii="Arial" w:eastAsia="Times New Roman" w:hAnsi="Arial" w:cs="Arial"/>
                <w:b/>
                <w:color w:val="000000"/>
                <w:sz w:val="24"/>
                <w:szCs w:val="24"/>
                <w:lang w:eastAsia="ro-RO"/>
              </w:rPr>
              <w:t>DUSTRIAL</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b/>
                <w:color w:val="000000"/>
                <w:sz w:val="24"/>
                <w:szCs w:val="24"/>
                <w:lang w:eastAsia="ro-RO"/>
              </w:rPr>
            </w:pPr>
            <w:r w:rsidRPr="00B81B18">
              <w:rPr>
                <w:rFonts w:ascii="Arial" w:eastAsia="Times New Roman" w:hAnsi="Arial" w:cs="Arial"/>
                <w:b/>
                <w:color w:val="000000"/>
                <w:sz w:val="24"/>
                <w:szCs w:val="24"/>
                <w:lang w:eastAsia="ro-RO"/>
              </w:rPr>
              <w:t>SOx,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b/>
                <w:color w:val="000000"/>
                <w:sz w:val="24"/>
                <w:szCs w:val="24"/>
                <w:lang w:eastAsia="ro-RO"/>
              </w:rPr>
            </w:pPr>
            <w:r w:rsidRPr="00B81B18">
              <w:rPr>
                <w:rFonts w:ascii="Arial" w:eastAsia="Times New Roman" w:hAnsi="Arial" w:cs="Arial"/>
                <w:b/>
                <w:color w:val="000000"/>
                <w:sz w:val="24"/>
                <w:szCs w:val="24"/>
                <w:lang w:eastAsia="ro-RO"/>
              </w:rPr>
              <w:t>NOx,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b/>
                <w:color w:val="000000"/>
                <w:sz w:val="24"/>
                <w:szCs w:val="24"/>
                <w:lang w:eastAsia="ro-RO"/>
              </w:rPr>
            </w:pPr>
            <w:r w:rsidRPr="00B81B18">
              <w:rPr>
                <w:rFonts w:ascii="Arial" w:eastAsia="Times New Roman" w:hAnsi="Arial" w:cs="Arial"/>
                <w:b/>
                <w:color w:val="000000"/>
                <w:sz w:val="24"/>
                <w:szCs w:val="24"/>
                <w:lang w:eastAsia="ro-RO"/>
              </w:rPr>
              <w:t>NH3, %</w:t>
            </w:r>
          </w:p>
        </w:tc>
      </w:tr>
      <w:tr w:rsidR="00CA0B63" w:rsidRPr="00B81B18"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IND. METALURGICĂ</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47,</w:t>
            </w:r>
            <w:r w:rsidR="00CA0B63" w:rsidRPr="00B81B18">
              <w:rPr>
                <w:rFonts w:ascii="Arial" w:eastAsia="Times New Roman" w:hAnsi="Arial" w:cs="Arial"/>
                <w:color w:val="000000"/>
                <w:sz w:val="24"/>
                <w:szCs w:val="24"/>
                <w:lang w:eastAsia="ro-RO"/>
              </w:rPr>
              <w:t>8</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w:t>
            </w:r>
            <w:r w:rsidR="00CA0B63" w:rsidRPr="00B81B18">
              <w:rPr>
                <w:rFonts w:ascii="Arial" w:eastAsia="Times New Roman" w:hAnsi="Arial" w:cs="Arial"/>
                <w:color w:val="000000"/>
                <w:sz w:val="24"/>
                <w:szCs w:val="24"/>
                <w:lang w:eastAsia="ro-RO"/>
              </w:rPr>
              <w:t>2</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0</w:t>
            </w:r>
          </w:p>
        </w:tc>
      </w:tr>
      <w:tr w:rsidR="00CA0B63" w:rsidRPr="00B81B18"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IND. ALIMENTARĂ</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40,</w:t>
            </w:r>
            <w:r w:rsidR="00CA0B63" w:rsidRPr="00B81B18">
              <w:rPr>
                <w:rFonts w:ascii="Arial" w:eastAsia="Times New Roman" w:hAnsi="Arial" w:cs="Arial"/>
                <w:color w:val="000000"/>
                <w:sz w:val="24"/>
                <w:szCs w:val="24"/>
                <w:lang w:eastAsia="ro-RO"/>
              </w:rPr>
              <w:t>6</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12,</w:t>
            </w:r>
            <w:r w:rsidR="00CA0B63" w:rsidRPr="00B81B18">
              <w:rPr>
                <w:rFonts w:ascii="Arial" w:eastAsia="Times New Roman" w:hAnsi="Arial" w:cs="Arial"/>
                <w:color w:val="000000"/>
                <w:sz w:val="24"/>
                <w:szCs w:val="24"/>
                <w:lang w:eastAsia="ro-RO"/>
              </w:rPr>
              <w:t>8</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0</w:t>
            </w:r>
          </w:p>
        </w:tc>
      </w:tr>
      <w:tr w:rsidR="00CA0B63" w:rsidRPr="00B81B18" w:rsidTr="0056118B">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EXTRACŢIE PETROL ŞI GAZE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81B18">
              <w:rPr>
                <w:rFonts w:ascii="Arial" w:eastAsia="Times New Roman" w:hAnsi="Arial" w:cs="Arial"/>
                <w:color w:val="000000"/>
                <w:sz w:val="24"/>
                <w:szCs w:val="24"/>
                <w:lang w:eastAsia="ro-RO"/>
              </w:rPr>
              <w:t>3</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B81B18">
              <w:rPr>
                <w:rFonts w:ascii="Arial" w:eastAsia="Times New Roman" w:hAnsi="Arial" w:cs="Arial"/>
                <w:color w:val="000000"/>
                <w:sz w:val="24"/>
                <w:szCs w:val="24"/>
                <w:lang w:eastAsia="ro-RO"/>
              </w:rPr>
              <w:t>9</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0</w:t>
            </w:r>
          </w:p>
        </w:tc>
      </w:tr>
      <w:tr w:rsidR="00CA0B63" w:rsidRPr="00B81B18"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PRODUCŢIE ASFALT</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3</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81B18">
              <w:rPr>
                <w:rFonts w:ascii="Arial" w:eastAsia="Times New Roman" w:hAnsi="Arial" w:cs="Arial"/>
                <w:color w:val="000000"/>
                <w:sz w:val="24"/>
                <w:szCs w:val="24"/>
                <w:lang w:eastAsia="ro-RO"/>
              </w:rPr>
              <w:t>3</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0</w:t>
            </w:r>
          </w:p>
        </w:tc>
      </w:tr>
      <w:tr w:rsidR="00CA0B63" w:rsidRPr="00B81B18" w:rsidTr="0056118B">
        <w:trPr>
          <w:trHeight w:val="3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ALTELE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w:t>
            </w:r>
            <w:r w:rsidR="00CA0B63" w:rsidRPr="00B81B18">
              <w:rPr>
                <w:rFonts w:ascii="Arial" w:eastAsia="Times New Roman" w:hAnsi="Arial" w:cs="Arial"/>
                <w:color w:val="000000"/>
                <w:sz w:val="24"/>
                <w:szCs w:val="24"/>
                <w:lang w:eastAsia="ro-RO"/>
              </w:rPr>
              <w:t>3</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B81B1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81,</w:t>
            </w:r>
            <w:r w:rsidR="00CA0B63" w:rsidRPr="00B81B18">
              <w:rPr>
                <w:rFonts w:ascii="Arial" w:eastAsia="Times New Roman" w:hAnsi="Arial" w:cs="Arial"/>
                <w:color w:val="000000"/>
                <w:sz w:val="24"/>
                <w:szCs w:val="24"/>
                <w:lang w:eastAsia="ro-RO"/>
              </w:rPr>
              <w:t>8</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B81B18" w:rsidRDefault="00CA0B63" w:rsidP="0056118B">
            <w:pPr>
              <w:spacing w:after="0" w:line="240" w:lineRule="auto"/>
              <w:jc w:val="center"/>
              <w:rPr>
                <w:rFonts w:ascii="Arial" w:eastAsia="Times New Roman" w:hAnsi="Arial" w:cs="Arial"/>
                <w:color w:val="000000"/>
                <w:sz w:val="24"/>
                <w:szCs w:val="24"/>
                <w:lang w:eastAsia="ro-RO"/>
              </w:rPr>
            </w:pPr>
            <w:r w:rsidRPr="00B81B18">
              <w:rPr>
                <w:rFonts w:ascii="Arial" w:eastAsia="Times New Roman" w:hAnsi="Arial" w:cs="Arial"/>
                <w:color w:val="000000"/>
                <w:sz w:val="24"/>
                <w:szCs w:val="24"/>
                <w:lang w:eastAsia="ro-RO"/>
              </w:rPr>
              <w:t>0</w:t>
            </w:r>
          </w:p>
        </w:tc>
      </w:tr>
    </w:tbl>
    <w:p w:rsidR="00CA0B63" w:rsidRDefault="001B23A4" w:rsidP="00F232F6">
      <w:pPr>
        <w:spacing w:before="120" w:after="120" w:line="240" w:lineRule="auto"/>
        <w:jc w:val="center"/>
        <w:rPr>
          <w:rFonts w:ascii="Arial" w:hAnsi="Arial" w:cs="Arial"/>
          <w:b/>
          <w:sz w:val="24"/>
          <w:szCs w:val="24"/>
        </w:rPr>
      </w:pPr>
      <w:r>
        <w:rPr>
          <w:rFonts w:ascii="Arial" w:hAnsi="Arial" w:cs="Arial"/>
          <w:b/>
          <w:sz w:val="24"/>
          <w:szCs w:val="24"/>
        </w:rPr>
        <w:t>Tabel</w:t>
      </w:r>
      <w:r w:rsidR="00CA0B63" w:rsidRPr="00301C37">
        <w:rPr>
          <w:rFonts w:ascii="Arial" w:hAnsi="Arial" w:cs="Arial"/>
          <w:b/>
          <w:sz w:val="24"/>
          <w:szCs w:val="24"/>
        </w:rPr>
        <w:t xml:space="preserve"> </w:t>
      </w:r>
      <w:r w:rsidR="00CA0B63">
        <w:rPr>
          <w:rFonts w:ascii="Arial" w:hAnsi="Arial" w:cs="Arial"/>
          <w:b/>
          <w:sz w:val="24"/>
          <w:szCs w:val="24"/>
        </w:rPr>
        <w:t>I.2.1.2.2</w:t>
      </w:r>
      <w:r w:rsidR="00CA0B63" w:rsidRPr="00301C37">
        <w:rPr>
          <w:rFonts w:ascii="Arial" w:hAnsi="Arial" w:cs="Arial"/>
          <w:b/>
          <w:sz w:val="24"/>
          <w:szCs w:val="24"/>
        </w:rPr>
        <w:t xml:space="preserve">. Contribuţia sectoarelor de activitate </w:t>
      </w:r>
      <w:r w:rsidR="00CA0B63">
        <w:rPr>
          <w:rFonts w:ascii="Arial" w:hAnsi="Arial" w:cs="Arial"/>
          <w:b/>
          <w:sz w:val="24"/>
          <w:szCs w:val="24"/>
        </w:rPr>
        <w:t xml:space="preserve">din industrie </w:t>
      </w:r>
      <w:r w:rsidR="00CA0B63" w:rsidRPr="00301C37">
        <w:rPr>
          <w:rFonts w:ascii="Arial" w:hAnsi="Arial" w:cs="Arial"/>
          <w:b/>
          <w:sz w:val="24"/>
          <w:szCs w:val="24"/>
        </w:rPr>
        <w:t>la emisiile de poluanţi cu efect de acidifiere</w:t>
      </w:r>
    </w:p>
    <w:p w:rsidR="00F232F6" w:rsidRDefault="00F232F6" w:rsidP="00F232F6">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B81B18">
        <w:rPr>
          <w:rFonts w:ascii="Arial" w:hAnsi="Arial" w:cs="Arial"/>
          <w:noProof/>
          <w:sz w:val="24"/>
          <w:szCs w:val="24"/>
          <w:lang w:val="ro-RO" w:eastAsia="ro-RO"/>
        </w:rPr>
        <w:drawing>
          <wp:inline distT="0" distB="0" distL="0" distR="0">
            <wp:extent cx="5410200" cy="3124200"/>
            <wp:effectExtent l="19050" t="0" r="19050" b="0"/>
            <wp:docPr id="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0B63" w:rsidRDefault="00CA0B63" w:rsidP="00CA0B63">
      <w:pPr>
        <w:jc w:val="center"/>
        <w:rPr>
          <w:rFonts w:ascii="Arial" w:hAnsi="Arial" w:cs="Arial"/>
          <w:b/>
          <w:sz w:val="24"/>
          <w:szCs w:val="24"/>
        </w:rPr>
      </w:pPr>
      <w:r>
        <w:rPr>
          <w:rFonts w:ascii="Arial" w:hAnsi="Arial" w:cs="Arial"/>
          <w:b/>
          <w:sz w:val="24"/>
          <w:szCs w:val="24"/>
        </w:rPr>
        <w:t>Figura</w:t>
      </w:r>
      <w:r w:rsidRPr="00301C37">
        <w:rPr>
          <w:rFonts w:ascii="Arial" w:hAnsi="Arial" w:cs="Arial"/>
          <w:b/>
          <w:sz w:val="24"/>
          <w:szCs w:val="24"/>
        </w:rPr>
        <w:t xml:space="preserve"> </w:t>
      </w:r>
      <w:r>
        <w:rPr>
          <w:rFonts w:ascii="Arial" w:hAnsi="Arial" w:cs="Arial"/>
          <w:b/>
          <w:sz w:val="24"/>
          <w:szCs w:val="24"/>
        </w:rPr>
        <w:t>I.2.1.2.2</w:t>
      </w:r>
      <w:r w:rsidRPr="00301C37">
        <w:rPr>
          <w:rFonts w:ascii="Arial" w:hAnsi="Arial" w:cs="Arial"/>
          <w:b/>
          <w:sz w:val="24"/>
          <w:szCs w:val="24"/>
        </w:rPr>
        <w:t xml:space="preserve">. Contribuţia sectoarelor de activitate </w:t>
      </w:r>
      <w:r>
        <w:rPr>
          <w:rFonts w:ascii="Arial" w:hAnsi="Arial" w:cs="Arial"/>
          <w:b/>
          <w:sz w:val="24"/>
          <w:szCs w:val="24"/>
        </w:rPr>
        <w:t xml:space="preserve">din industrie </w:t>
      </w:r>
      <w:r w:rsidRPr="00301C37">
        <w:rPr>
          <w:rFonts w:ascii="Arial" w:hAnsi="Arial" w:cs="Arial"/>
          <w:b/>
          <w:sz w:val="24"/>
          <w:szCs w:val="24"/>
        </w:rPr>
        <w:t>la emisiile de poluanţi cu efect de acidifiere</w:t>
      </w:r>
    </w:p>
    <w:p w:rsidR="00D71325" w:rsidRDefault="00D71325" w:rsidP="00CA0B63">
      <w:pPr>
        <w:tabs>
          <w:tab w:val="left" w:pos="3332"/>
        </w:tabs>
        <w:jc w:val="both"/>
        <w:rPr>
          <w:rFonts w:ascii="Arial" w:hAnsi="Arial" w:cs="Arial"/>
          <w:sz w:val="24"/>
          <w:szCs w:val="24"/>
        </w:rPr>
      </w:pPr>
    </w:p>
    <w:p w:rsidR="00CA0B63" w:rsidRDefault="00CA0B63" w:rsidP="00CA0B63">
      <w:pPr>
        <w:tabs>
          <w:tab w:val="left" w:pos="3332"/>
        </w:tabs>
        <w:jc w:val="both"/>
        <w:rPr>
          <w:rFonts w:ascii="Arial" w:hAnsi="Arial" w:cs="Arial"/>
          <w:sz w:val="24"/>
          <w:szCs w:val="24"/>
        </w:rPr>
      </w:pPr>
      <w:r>
        <w:rPr>
          <w:rFonts w:ascii="Arial" w:hAnsi="Arial" w:cs="Arial"/>
          <w:sz w:val="24"/>
          <w:szCs w:val="24"/>
        </w:rPr>
        <w:lastRenderedPageBreak/>
        <w:t>Din analiza acestor date reiese că principalele surse industriale de emisii de gaze acid</w:t>
      </w:r>
      <w:r>
        <w:rPr>
          <w:rFonts w:ascii="Arial" w:hAnsi="Arial" w:cs="Arial"/>
          <w:sz w:val="24"/>
          <w:szCs w:val="24"/>
        </w:rPr>
        <w:t>i</w:t>
      </w:r>
      <w:r>
        <w:rPr>
          <w:rFonts w:ascii="Arial" w:hAnsi="Arial" w:cs="Arial"/>
          <w:sz w:val="24"/>
          <w:szCs w:val="24"/>
        </w:rPr>
        <w:t>fiante sunt industria metalurgică şi alimentară, precum şi alte ramuri industriale cumulate.</w:t>
      </w:r>
    </w:p>
    <w:p w:rsidR="00CA0B63" w:rsidRDefault="00CA0B63" w:rsidP="00CA0B63">
      <w:pPr>
        <w:spacing w:after="120" w:line="240" w:lineRule="auto"/>
        <w:jc w:val="both"/>
        <w:rPr>
          <w:rFonts w:ascii="Arial" w:hAnsi="Arial" w:cs="Arial"/>
          <w:sz w:val="24"/>
          <w:szCs w:val="24"/>
        </w:rPr>
      </w:pPr>
      <w:r w:rsidRPr="00076B8B">
        <w:rPr>
          <w:rFonts w:ascii="Arial" w:hAnsi="Arial" w:cs="Arial"/>
          <w:sz w:val="24"/>
          <w:szCs w:val="24"/>
        </w:rPr>
        <w:t>Evolutia emisiilor de poluanti cu efect de acidifiere, la nivelul judeţului Buzău, în anul 2014, este prezentată în tabelul I.2.1.2.3. şi figura I.2.1.2.3.</w:t>
      </w:r>
    </w:p>
    <w:p w:rsidR="00F232F6" w:rsidRDefault="00F232F6" w:rsidP="00CA0B63">
      <w:pPr>
        <w:spacing w:after="120" w:line="240" w:lineRule="auto"/>
        <w:jc w:val="both"/>
        <w:rPr>
          <w:rFonts w:ascii="Arial" w:hAnsi="Arial" w:cs="Arial"/>
          <w:sz w:val="24"/>
          <w:szCs w:val="24"/>
        </w:rPr>
      </w:pPr>
    </w:p>
    <w:p w:rsidR="00F232F6" w:rsidRPr="00076B8B" w:rsidRDefault="00F232F6" w:rsidP="00CA0B63">
      <w:pPr>
        <w:spacing w:after="120" w:line="240" w:lineRule="auto"/>
        <w:jc w:val="both"/>
        <w:rPr>
          <w:rFonts w:ascii="Arial" w:hAnsi="Arial" w:cs="Arial"/>
          <w:sz w:val="24"/>
          <w:szCs w:val="24"/>
        </w:rPr>
      </w:pPr>
    </w:p>
    <w:tbl>
      <w:tblPr>
        <w:tblW w:w="4951" w:type="dxa"/>
        <w:jc w:val="center"/>
        <w:tblInd w:w="103" w:type="dxa"/>
        <w:tblLook w:val="04A0"/>
      </w:tblPr>
      <w:tblGrid>
        <w:gridCol w:w="1297"/>
        <w:gridCol w:w="1484"/>
        <w:gridCol w:w="1218"/>
        <w:gridCol w:w="1351"/>
      </w:tblGrid>
      <w:tr w:rsidR="00CA0B63" w:rsidRPr="00076B8B" w:rsidTr="0056118B">
        <w:trPr>
          <w:trHeight w:val="300"/>
          <w:jc w:val="center"/>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F232F6" w:rsidRDefault="00CA0B63" w:rsidP="0056118B">
            <w:pPr>
              <w:spacing w:after="0" w:line="240" w:lineRule="auto"/>
              <w:jc w:val="center"/>
              <w:rPr>
                <w:rFonts w:ascii="Arial" w:eastAsia="Times New Roman" w:hAnsi="Arial" w:cs="Arial"/>
                <w:b/>
                <w:color w:val="000000"/>
                <w:sz w:val="24"/>
                <w:szCs w:val="24"/>
                <w:lang w:eastAsia="ro-RO"/>
              </w:rPr>
            </w:pP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F232F6" w:rsidRDefault="0074274F"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F232F6" w:rsidRDefault="0074274F"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F232F6" w:rsidRDefault="0074274F"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076B8B" w:rsidTr="0056118B">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CA0B63" w:rsidRPr="00076B8B" w:rsidRDefault="00CA0B63" w:rsidP="0056118B">
            <w:pPr>
              <w:spacing w:after="0" w:line="240" w:lineRule="auto"/>
              <w:jc w:val="center"/>
              <w:rPr>
                <w:rFonts w:ascii="Arial" w:eastAsia="Times New Roman" w:hAnsi="Arial" w:cs="Arial"/>
                <w:sz w:val="24"/>
                <w:szCs w:val="24"/>
                <w:lang w:eastAsia="ro-RO"/>
              </w:rPr>
            </w:pPr>
            <w:r w:rsidRPr="00076B8B">
              <w:rPr>
                <w:rFonts w:ascii="Arial" w:eastAsia="Times New Roman" w:hAnsi="Arial" w:cs="Arial"/>
                <w:sz w:val="24"/>
                <w:szCs w:val="24"/>
                <w:lang w:eastAsia="ro-RO"/>
              </w:rPr>
              <w:t>NOx</w:t>
            </w:r>
            <w:r>
              <w:rPr>
                <w:rFonts w:ascii="Arial" w:eastAsia="Times New Roman" w:hAnsi="Arial" w:cs="Arial"/>
                <w:sz w:val="24"/>
                <w:szCs w:val="24"/>
                <w:lang w:eastAsia="ro-RO"/>
              </w:rPr>
              <w:t>, mii t</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475504</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152087</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165858</w:t>
            </w:r>
          </w:p>
        </w:tc>
      </w:tr>
      <w:tr w:rsidR="00CA0B63" w:rsidRPr="00076B8B" w:rsidTr="0056118B">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CA0B63" w:rsidRPr="00076B8B" w:rsidRDefault="00CA0B63" w:rsidP="0056118B">
            <w:pPr>
              <w:spacing w:after="0" w:line="240" w:lineRule="auto"/>
              <w:jc w:val="center"/>
              <w:rPr>
                <w:rFonts w:ascii="Arial" w:eastAsia="Times New Roman" w:hAnsi="Arial" w:cs="Arial"/>
                <w:sz w:val="24"/>
                <w:szCs w:val="24"/>
                <w:lang w:eastAsia="ro-RO"/>
              </w:rPr>
            </w:pPr>
            <w:r w:rsidRPr="00076B8B">
              <w:rPr>
                <w:rFonts w:ascii="Arial" w:eastAsia="Times New Roman" w:hAnsi="Arial" w:cs="Arial"/>
                <w:sz w:val="24"/>
                <w:szCs w:val="24"/>
                <w:lang w:eastAsia="ro-RO"/>
              </w:rPr>
              <w:t>S</w:t>
            </w:r>
            <w:r>
              <w:rPr>
                <w:rFonts w:ascii="Arial" w:eastAsia="Times New Roman" w:hAnsi="Arial" w:cs="Arial"/>
                <w:sz w:val="24"/>
                <w:szCs w:val="24"/>
                <w:lang w:eastAsia="ro-RO"/>
              </w:rPr>
              <w:t>O</w:t>
            </w:r>
            <w:r w:rsidRPr="00076B8B">
              <w:rPr>
                <w:rFonts w:ascii="Arial" w:eastAsia="Times New Roman" w:hAnsi="Arial" w:cs="Arial"/>
                <w:sz w:val="24"/>
                <w:szCs w:val="24"/>
                <w:lang w:eastAsia="ro-RO"/>
              </w:rPr>
              <w:t>x</w:t>
            </w:r>
            <w:r>
              <w:rPr>
                <w:rFonts w:ascii="Arial" w:eastAsia="Times New Roman" w:hAnsi="Arial" w:cs="Arial"/>
                <w:sz w:val="24"/>
                <w:szCs w:val="24"/>
                <w:lang w:eastAsia="ro-RO"/>
              </w:rPr>
              <w:t>, mii t</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026378</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029689</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051548</w:t>
            </w:r>
          </w:p>
        </w:tc>
      </w:tr>
      <w:tr w:rsidR="00CA0B63" w:rsidRPr="00076B8B" w:rsidTr="0056118B">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CA0B63" w:rsidRPr="00076B8B" w:rsidRDefault="00CA0B63" w:rsidP="0056118B">
            <w:pPr>
              <w:spacing w:after="0" w:line="240" w:lineRule="auto"/>
              <w:jc w:val="center"/>
              <w:rPr>
                <w:rFonts w:ascii="Arial" w:eastAsia="Times New Roman" w:hAnsi="Arial" w:cs="Arial"/>
                <w:sz w:val="24"/>
                <w:szCs w:val="24"/>
                <w:lang w:eastAsia="ro-RO"/>
              </w:rPr>
            </w:pPr>
            <w:r w:rsidRPr="00076B8B">
              <w:rPr>
                <w:rFonts w:ascii="Arial" w:eastAsia="Times New Roman" w:hAnsi="Arial" w:cs="Arial"/>
                <w:sz w:val="24"/>
                <w:szCs w:val="24"/>
                <w:lang w:eastAsia="ro-RO"/>
              </w:rPr>
              <w:t>NH3</w:t>
            </w:r>
            <w:r>
              <w:rPr>
                <w:rFonts w:ascii="Arial" w:eastAsia="Times New Roman" w:hAnsi="Arial" w:cs="Arial"/>
                <w:sz w:val="24"/>
                <w:szCs w:val="24"/>
                <w:lang w:eastAsia="ro-RO"/>
              </w:rPr>
              <w:t>, mii t</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6141B8"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004D77">
              <w:rPr>
                <w:rFonts w:ascii="Arial" w:eastAsia="Times New Roman" w:hAnsi="Arial" w:cs="Arial"/>
                <w:sz w:val="24"/>
                <w:szCs w:val="24"/>
                <w:lang w:eastAsia="ro-RO"/>
              </w:rPr>
              <w:t>,</w:t>
            </w:r>
            <w:r>
              <w:rPr>
                <w:rFonts w:ascii="Arial" w:eastAsia="Times New Roman" w:hAnsi="Arial" w:cs="Arial"/>
                <w:sz w:val="24"/>
                <w:szCs w:val="24"/>
                <w:lang w:eastAsia="ro-RO"/>
              </w:rPr>
              <w:t>00006907</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6141B8"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004D77">
              <w:rPr>
                <w:rFonts w:ascii="Arial" w:eastAsia="Times New Roman" w:hAnsi="Arial" w:cs="Arial"/>
                <w:sz w:val="24"/>
                <w:szCs w:val="24"/>
                <w:lang w:eastAsia="ro-RO"/>
              </w:rPr>
              <w:t>,</w:t>
            </w:r>
            <w:r>
              <w:rPr>
                <w:rFonts w:ascii="Arial" w:eastAsia="Times New Roman" w:hAnsi="Arial" w:cs="Arial"/>
                <w:sz w:val="24"/>
                <w:szCs w:val="24"/>
                <w:lang w:eastAsia="ro-RO"/>
              </w:rPr>
              <w:t>000041</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6141B8"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004D77">
              <w:rPr>
                <w:rFonts w:ascii="Arial" w:eastAsia="Times New Roman" w:hAnsi="Arial" w:cs="Arial"/>
                <w:sz w:val="24"/>
                <w:szCs w:val="24"/>
                <w:lang w:eastAsia="ro-RO"/>
              </w:rPr>
              <w:t>,</w:t>
            </w:r>
            <w:r>
              <w:rPr>
                <w:rFonts w:ascii="Arial" w:eastAsia="Times New Roman" w:hAnsi="Arial" w:cs="Arial"/>
                <w:sz w:val="24"/>
                <w:szCs w:val="24"/>
                <w:lang w:eastAsia="ro-RO"/>
              </w:rPr>
              <w:t>0000019</w:t>
            </w:r>
          </w:p>
        </w:tc>
      </w:tr>
      <w:tr w:rsidR="00CA0B63" w:rsidRPr="00076B8B" w:rsidTr="0056118B">
        <w:trPr>
          <w:trHeight w:val="12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CA0B63" w:rsidRPr="00076B8B" w:rsidRDefault="00CA0B63" w:rsidP="0056118B">
            <w:pPr>
              <w:spacing w:after="0" w:line="240" w:lineRule="auto"/>
              <w:jc w:val="center"/>
              <w:rPr>
                <w:rFonts w:ascii="Arial" w:eastAsia="Times New Roman" w:hAnsi="Arial" w:cs="Arial"/>
                <w:sz w:val="24"/>
                <w:szCs w:val="24"/>
                <w:lang w:eastAsia="ro-RO"/>
              </w:rPr>
            </w:pPr>
            <w:r w:rsidRPr="00076B8B">
              <w:rPr>
                <w:rFonts w:ascii="Arial" w:eastAsia="Times New Roman" w:hAnsi="Arial" w:cs="Arial"/>
                <w:sz w:val="24"/>
                <w:szCs w:val="24"/>
                <w:lang w:eastAsia="ro-RO"/>
              </w:rPr>
              <w:t>echivalent acidifiere</w:t>
            </w:r>
            <w:r>
              <w:rPr>
                <w:rFonts w:ascii="Arial" w:eastAsia="Times New Roman" w:hAnsi="Arial" w:cs="Arial"/>
                <w:sz w:val="24"/>
                <w:szCs w:val="24"/>
                <w:lang w:eastAsia="ro-RO"/>
              </w:rPr>
              <w:t>, mii t</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011134</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CA0B63" w:rsidP="00004D77">
            <w:pPr>
              <w:spacing w:after="0" w:line="240" w:lineRule="auto"/>
              <w:jc w:val="center"/>
              <w:rPr>
                <w:rFonts w:ascii="Arial" w:eastAsia="Times New Roman" w:hAnsi="Arial" w:cs="Arial"/>
                <w:sz w:val="24"/>
                <w:szCs w:val="24"/>
                <w:lang w:eastAsia="ro-RO"/>
              </w:rPr>
            </w:pPr>
            <w:r w:rsidRPr="00076B8B">
              <w:rPr>
                <w:rFonts w:ascii="Arial" w:eastAsia="Times New Roman" w:hAnsi="Arial" w:cs="Arial"/>
                <w:sz w:val="24"/>
                <w:szCs w:val="24"/>
                <w:lang w:eastAsia="ro-RO"/>
              </w:rPr>
              <w:t>0</w:t>
            </w:r>
            <w:r w:rsidR="00004D77">
              <w:rPr>
                <w:rFonts w:ascii="Arial" w:eastAsia="Times New Roman" w:hAnsi="Arial" w:cs="Arial"/>
                <w:sz w:val="24"/>
                <w:szCs w:val="24"/>
                <w:lang w:eastAsia="ro-RO"/>
              </w:rPr>
              <w:t>,</w:t>
            </w:r>
            <w:r w:rsidRPr="00076B8B">
              <w:rPr>
                <w:rFonts w:ascii="Arial" w:eastAsia="Times New Roman" w:hAnsi="Arial" w:cs="Arial"/>
                <w:sz w:val="24"/>
                <w:szCs w:val="24"/>
                <w:lang w:eastAsia="ro-RO"/>
              </w:rPr>
              <w:t>00423</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76B8B" w:rsidRDefault="00004D77"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76B8B">
              <w:rPr>
                <w:rFonts w:ascii="Arial" w:eastAsia="Times New Roman" w:hAnsi="Arial" w:cs="Arial"/>
                <w:sz w:val="24"/>
                <w:szCs w:val="24"/>
                <w:lang w:eastAsia="ro-RO"/>
              </w:rPr>
              <w:t>0052</w:t>
            </w:r>
          </w:p>
        </w:tc>
      </w:tr>
    </w:tbl>
    <w:p w:rsidR="00CA0B63" w:rsidRDefault="001B23A4" w:rsidP="00F232F6">
      <w:pPr>
        <w:spacing w:before="120" w:after="120" w:line="240" w:lineRule="auto"/>
        <w:jc w:val="center"/>
        <w:rPr>
          <w:rFonts w:ascii="Arial" w:hAnsi="Arial" w:cs="Arial"/>
          <w:b/>
          <w:sz w:val="24"/>
          <w:szCs w:val="24"/>
        </w:rPr>
      </w:pPr>
      <w:r>
        <w:rPr>
          <w:rFonts w:ascii="Arial" w:hAnsi="Arial" w:cs="Arial"/>
          <w:b/>
          <w:sz w:val="24"/>
          <w:szCs w:val="24"/>
        </w:rPr>
        <w:t>Tabel</w:t>
      </w:r>
      <w:r w:rsidR="00CA0B63" w:rsidRPr="00C056BB">
        <w:rPr>
          <w:rFonts w:ascii="Arial" w:hAnsi="Arial" w:cs="Arial"/>
          <w:b/>
          <w:sz w:val="24"/>
          <w:szCs w:val="24"/>
        </w:rPr>
        <w:t xml:space="preserve"> I.2.1.2.3. Evolutia emisiilor de poluanti cu efect de acidifiere</w:t>
      </w:r>
    </w:p>
    <w:p w:rsidR="00CA0B63" w:rsidRDefault="00CA0B63" w:rsidP="00CA0B63">
      <w:pPr>
        <w:jc w:val="center"/>
        <w:rPr>
          <w:rFonts w:ascii="Arial" w:hAnsi="Arial" w:cs="Arial"/>
          <w:b/>
          <w:sz w:val="24"/>
          <w:szCs w:val="24"/>
        </w:rPr>
      </w:pPr>
    </w:p>
    <w:p w:rsidR="00CA0B63" w:rsidRDefault="00CA0B63" w:rsidP="00CA0B63">
      <w:pPr>
        <w:jc w:val="center"/>
        <w:rPr>
          <w:rFonts w:ascii="Arial" w:hAnsi="Arial" w:cs="Arial"/>
          <w:b/>
          <w:sz w:val="24"/>
          <w:szCs w:val="24"/>
        </w:rPr>
      </w:pPr>
      <w:r w:rsidRPr="00C056BB">
        <w:rPr>
          <w:rFonts w:ascii="Arial" w:hAnsi="Arial" w:cs="Arial"/>
          <w:b/>
          <w:noProof/>
          <w:sz w:val="24"/>
          <w:szCs w:val="24"/>
          <w:lang w:val="ro-RO" w:eastAsia="ro-RO"/>
        </w:rPr>
        <w:drawing>
          <wp:inline distT="0" distB="0" distL="0" distR="0">
            <wp:extent cx="5410200" cy="3228975"/>
            <wp:effectExtent l="19050" t="0" r="19050" b="0"/>
            <wp:docPr id="5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A0B63" w:rsidRDefault="00CA0B63" w:rsidP="00CA0B63">
      <w:pPr>
        <w:jc w:val="center"/>
        <w:rPr>
          <w:rFonts w:ascii="Arial" w:hAnsi="Arial" w:cs="Arial"/>
          <w:b/>
          <w:sz w:val="24"/>
          <w:szCs w:val="24"/>
        </w:rPr>
      </w:pPr>
      <w:r>
        <w:rPr>
          <w:rFonts w:ascii="Arial" w:hAnsi="Arial" w:cs="Arial"/>
          <w:b/>
          <w:sz w:val="24"/>
          <w:szCs w:val="24"/>
        </w:rPr>
        <w:t>Figura</w:t>
      </w:r>
      <w:r w:rsidRPr="00C056BB">
        <w:rPr>
          <w:rFonts w:ascii="Arial" w:hAnsi="Arial" w:cs="Arial"/>
          <w:b/>
          <w:sz w:val="24"/>
          <w:szCs w:val="24"/>
        </w:rPr>
        <w:t xml:space="preserve"> I.2.1.2.3. Evolutia emisiilor de poluanti cu efect de acidifiere</w:t>
      </w:r>
    </w:p>
    <w:p w:rsidR="00CA0B63" w:rsidRDefault="00CA0B63" w:rsidP="00F232F6">
      <w:pPr>
        <w:tabs>
          <w:tab w:val="left" w:pos="502"/>
        </w:tabs>
        <w:spacing w:before="120" w:after="120" w:line="240" w:lineRule="auto"/>
        <w:jc w:val="both"/>
        <w:rPr>
          <w:rFonts w:ascii="Arial" w:hAnsi="Arial" w:cs="Arial"/>
          <w:sz w:val="24"/>
          <w:szCs w:val="24"/>
        </w:rPr>
      </w:pPr>
      <w:r>
        <w:rPr>
          <w:rFonts w:ascii="Arial" w:hAnsi="Arial" w:cs="Arial"/>
          <w:sz w:val="24"/>
          <w:szCs w:val="24"/>
        </w:rPr>
        <w:t>Din analiza datelor, se observă o scădere semnificativă a emisiilor de NOx, faţă de 2012, datorată atât măsurilor de îmbunătăţire a proceselor tehnologice, cât şi reducerii unor activităţi industriale.</w:t>
      </w:r>
    </w:p>
    <w:p w:rsidR="00D71325" w:rsidRDefault="00D71325" w:rsidP="00F232F6">
      <w:pPr>
        <w:spacing w:before="120" w:after="120" w:line="240" w:lineRule="auto"/>
        <w:jc w:val="both"/>
        <w:rPr>
          <w:rFonts w:ascii="Arial" w:hAnsi="Arial" w:cs="Arial"/>
          <w:b/>
          <w:sz w:val="24"/>
          <w:szCs w:val="24"/>
        </w:rPr>
      </w:pPr>
    </w:p>
    <w:p w:rsidR="00CA0B63" w:rsidRPr="00B16227" w:rsidRDefault="00CA0B63" w:rsidP="00F232F6">
      <w:pPr>
        <w:spacing w:before="120" w:after="120" w:line="240" w:lineRule="auto"/>
        <w:jc w:val="both"/>
        <w:rPr>
          <w:rFonts w:ascii="Arial" w:hAnsi="Arial" w:cs="Arial"/>
          <w:b/>
          <w:sz w:val="24"/>
          <w:szCs w:val="24"/>
        </w:rPr>
      </w:pPr>
      <w:r w:rsidRPr="00B16227">
        <w:rPr>
          <w:rFonts w:ascii="Arial" w:hAnsi="Arial" w:cs="Arial"/>
          <w:b/>
          <w:sz w:val="24"/>
          <w:szCs w:val="24"/>
        </w:rPr>
        <w:t>b) Emisii de precursori ai ozonului</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Contribuţia sectoarelor de activitate la emisiile de precursori ai ozonului, la nivelul judeţului Buzău, în anul 2014, este prezentată în tabelul I.2.1.2.4. şi figura I.2.1.2.4.</w:t>
      </w:r>
    </w:p>
    <w:p w:rsidR="00F232F6" w:rsidRDefault="00F232F6" w:rsidP="00F232F6">
      <w:pPr>
        <w:spacing w:before="120" w:after="120" w:line="240" w:lineRule="auto"/>
        <w:jc w:val="both"/>
        <w:rPr>
          <w:rFonts w:ascii="Arial" w:hAnsi="Arial" w:cs="Arial"/>
          <w:sz w:val="24"/>
          <w:szCs w:val="24"/>
        </w:rPr>
      </w:pPr>
    </w:p>
    <w:tbl>
      <w:tblPr>
        <w:tblW w:w="5630" w:type="dxa"/>
        <w:jc w:val="center"/>
        <w:tblInd w:w="103" w:type="dxa"/>
        <w:tblLook w:val="04A0"/>
      </w:tblPr>
      <w:tblGrid>
        <w:gridCol w:w="2110"/>
        <w:gridCol w:w="1220"/>
        <w:gridCol w:w="1220"/>
        <w:gridCol w:w="1780"/>
      </w:tblGrid>
      <w:tr w:rsidR="00CA0B63" w:rsidRPr="00153174" w:rsidTr="0056118B">
        <w:trPr>
          <w:trHeight w:val="1200"/>
          <w:jc w:val="center"/>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153174" w:rsidRDefault="00CA0B63" w:rsidP="0056118B">
            <w:pPr>
              <w:spacing w:after="0" w:line="240" w:lineRule="auto"/>
              <w:jc w:val="center"/>
              <w:rPr>
                <w:rFonts w:ascii="Arial" w:eastAsia="Times New Roman" w:hAnsi="Arial" w:cs="Arial"/>
                <w:b/>
                <w:color w:val="000000"/>
                <w:sz w:val="24"/>
                <w:szCs w:val="24"/>
                <w:lang w:eastAsia="ro-RO"/>
              </w:rPr>
            </w:pPr>
            <w:r w:rsidRPr="00153174">
              <w:rPr>
                <w:rFonts w:ascii="Arial" w:eastAsia="Times New Roman" w:hAnsi="Arial" w:cs="Arial"/>
                <w:b/>
                <w:color w:val="000000"/>
                <w:sz w:val="24"/>
                <w:szCs w:val="24"/>
                <w:lang w:eastAsia="ro-RO"/>
              </w:rPr>
              <w:lastRenderedPageBreak/>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b/>
                <w:color w:val="000000"/>
                <w:sz w:val="24"/>
                <w:szCs w:val="24"/>
                <w:lang w:eastAsia="ro-RO"/>
              </w:rPr>
            </w:pPr>
            <w:r w:rsidRPr="00153174">
              <w:rPr>
                <w:rFonts w:ascii="Arial" w:eastAsia="Times New Roman" w:hAnsi="Arial" w:cs="Arial"/>
                <w:b/>
                <w:color w:val="000000"/>
                <w:sz w:val="24"/>
                <w:szCs w:val="24"/>
                <w:lang w:eastAsia="ro-RO"/>
              </w:rPr>
              <w:t>NOx,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b/>
                <w:color w:val="000000"/>
                <w:sz w:val="24"/>
                <w:szCs w:val="24"/>
                <w:lang w:eastAsia="ro-RO"/>
              </w:rPr>
            </w:pPr>
            <w:r w:rsidRPr="00153174">
              <w:rPr>
                <w:rFonts w:ascii="Arial" w:eastAsia="Times New Roman" w:hAnsi="Arial" w:cs="Arial"/>
                <w:b/>
                <w:color w:val="000000"/>
                <w:sz w:val="24"/>
                <w:szCs w:val="24"/>
                <w:lang w:eastAsia="ro-RO"/>
              </w:rPr>
              <w:t>CO,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b/>
                <w:color w:val="000000"/>
                <w:sz w:val="24"/>
                <w:szCs w:val="24"/>
                <w:lang w:eastAsia="ro-RO"/>
              </w:rPr>
            </w:pPr>
            <w:r w:rsidRPr="00153174">
              <w:rPr>
                <w:rFonts w:ascii="Arial" w:eastAsia="Times New Roman" w:hAnsi="Arial" w:cs="Arial"/>
                <w:b/>
                <w:color w:val="000000"/>
                <w:sz w:val="24"/>
                <w:szCs w:val="24"/>
                <w:lang w:eastAsia="ro-RO"/>
              </w:rPr>
              <w:t>NMVOC, %</w:t>
            </w:r>
          </w:p>
        </w:tc>
      </w:tr>
      <w:tr w:rsidR="00CA0B63" w:rsidRPr="00153174" w:rsidTr="0056118B">
        <w:trPr>
          <w:trHeight w:val="12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UTILIZAREA PRODUSELOR</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0</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153174">
              <w:rPr>
                <w:rFonts w:ascii="Arial" w:eastAsia="Times New Roman" w:hAnsi="Arial" w:cs="Arial"/>
                <w:color w:val="000000"/>
                <w:sz w:val="24"/>
                <w:szCs w:val="24"/>
                <w:lang w:eastAsia="ro-RO"/>
              </w:rPr>
              <w:t>3</w:t>
            </w:r>
          </w:p>
        </w:tc>
      </w:tr>
      <w:tr w:rsidR="00CA0B63" w:rsidRPr="00153174" w:rsidTr="0056118B">
        <w:trPr>
          <w:trHeight w:val="3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ENERGIE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64,</w:t>
            </w:r>
            <w:r w:rsidR="00CA0B63" w:rsidRPr="00153174">
              <w:rPr>
                <w:rFonts w:ascii="Arial" w:eastAsia="Times New Roman" w:hAnsi="Arial" w:cs="Arial"/>
                <w:color w:val="000000"/>
                <w:sz w:val="24"/>
                <w:szCs w:val="24"/>
                <w:lang w:eastAsia="ro-RO"/>
              </w:rPr>
              <w:t>8</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98,</w:t>
            </w:r>
            <w:r w:rsidR="00CA0B63" w:rsidRPr="00153174">
              <w:rPr>
                <w:rFonts w:ascii="Arial" w:eastAsia="Times New Roman" w:hAnsi="Arial" w:cs="Arial"/>
                <w:color w:val="000000"/>
                <w:sz w:val="24"/>
                <w:szCs w:val="24"/>
                <w:lang w:eastAsia="ro-RO"/>
              </w:rPr>
              <w:t>4</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56,</w:t>
            </w:r>
            <w:r w:rsidR="00CA0B63" w:rsidRPr="00153174">
              <w:rPr>
                <w:rFonts w:ascii="Arial" w:eastAsia="Times New Roman" w:hAnsi="Arial" w:cs="Arial"/>
                <w:color w:val="000000"/>
                <w:sz w:val="24"/>
                <w:szCs w:val="24"/>
                <w:lang w:eastAsia="ro-RO"/>
              </w:rPr>
              <w:t>6</w:t>
            </w:r>
          </w:p>
        </w:tc>
      </w:tr>
      <w:tr w:rsidR="00CA0B63" w:rsidRPr="00153174" w:rsidTr="0056118B">
        <w:trPr>
          <w:trHeight w:val="6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TRANSPORTURI</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22</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153174">
              <w:rPr>
                <w:rFonts w:ascii="Arial" w:eastAsia="Times New Roman" w:hAnsi="Arial" w:cs="Arial"/>
                <w:color w:val="000000"/>
                <w:sz w:val="24"/>
                <w:szCs w:val="24"/>
                <w:lang w:eastAsia="ro-RO"/>
              </w:rPr>
              <w:t>2</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0.2</w:t>
            </w:r>
          </w:p>
        </w:tc>
      </w:tr>
      <w:tr w:rsidR="00CA0B63" w:rsidRPr="00153174" w:rsidTr="0056118B">
        <w:trPr>
          <w:trHeight w:val="6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INDUSTRIE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13,</w:t>
            </w:r>
            <w:r w:rsidR="00CA0B63" w:rsidRPr="00153174">
              <w:rPr>
                <w:rFonts w:ascii="Arial" w:eastAsia="Times New Roman" w:hAnsi="Arial" w:cs="Arial"/>
                <w:color w:val="000000"/>
                <w:sz w:val="24"/>
                <w:szCs w:val="24"/>
                <w:lang w:eastAsia="ro-RO"/>
              </w:rPr>
              <w:t>2</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153174">
              <w:rPr>
                <w:rFonts w:ascii="Arial" w:eastAsia="Times New Roman" w:hAnsi="Arial" w:cs="Arial"/>
                <w:color w:val="000000"/>
                <w:sz w:val="24"/>
                <w:szCs w:val="24"/>
                <w:lang w:eastAsia="ro-RO"/>
              </w:rPr>
              <w:t>4</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36,</w:t>
            </w:r>
            <w:r w:rsidR="00CA0B63" w:rsidRPr="00153174">
              <w:rPr>
                <w:rFonts w:ascii="Arial" w:eastAsia="Times New Roman" w:hAnsi="Arial" w:cs="Arial"/>
                <w:color w:val="000000"/>
                <w:sz w:val="24"/>
                <w:szCs w:val="24"/>
                <w:lang w:eastAsia="ro-RO"/>
              </w:rPr>
              <w:t>2</w:t>
            </w:r>
          </w:p>
        </w:tc>
      </w:tr>
      <w:tr w:rsidR="00CA0B63" w:rsidRPr="00153174" w:rsidTr="0056118B">
        <w:trPr>
          <w:trHeight w:val="6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AGRICULTURA</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0</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153174">
              <w:rPr>
                <w:rFonts w:ascii="Arial" w:eastAsia="Times New Roman" w:hAnsi="Arial" w:cs="Arial"/>
                <w:color w:val="000000"/>
                <w:sz w:val="24"/>
                <w:szCs w:val="24"/>
                <w:lang w:eastAsia="ro-RO"/>
              </w:rPr>
              <w:t>64</w:t>
            </w:r>
          </w:p>
        </w:tc>
      </w:tr>
      <w:tr w:rsidR="00CA0B63" w:rsidRPr="00153174" w:rsidTr="0056118B">
        <w:trPr>
          <w:trHeight w:val="300"/>
          <w:jc w:val="center"/>
        </w:trPr>
        <w:tc>
          <w:tcPr>
            <w:tcW w:w="1410" w:type="dxa"/>
            <w:tcBorders>
              <w:top w:val="nil"/>
              <w:left w:val="single" w:sz="4" w:space="0" w:color="auto"/>
              <w:bottom w:val="single" w:sz="4" w:space="0" w:color="auto"/>
              <w:right w:val="single" w:sz="4" w:space="0" w:color="auto"/>
            </w:tcBorders>
            <w:shd w:val="clear" w:color="auto" w:fill="auto"/>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DESEURI</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0</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153174" w:rsidRDefault="00CA0B63" w:rsidP="0056118B">
            <w:pPr>
              <w:spacing w:after="0" w:line="240" w:lineRule="auto"/>
              <w:jc w:val="center"/>
              <w:rPr>
                <w:rFonts w:ascii="Arial" w:eastAsia="Times New Roman" w:hAnsi="Arial" w:cs="Arial"/>
                <w:color w:val="000000"/>
                <w:sz w:val="24"/>
                <w:szCs w:val="24"/>
                <w:lang w:eastAsia="ro-RO"/>
              </w:rPr>
            </w:pPr>
            <w:r w:rsidRPr="00153174">
              <w:rPr>
                <w:rFonts w:ascii="Arial" w:eastAsia="Times New Roman" w:hAnsi="Arial" w:cs="Arial"/>
                <w:color w:val="000000"/>
                <w:sz w:val="24"/>
                <w:szCs w:val="24"/>
                <w:lang w:eastAsia="ro-RO"/>
              </w:rPr>
              <w:t>0</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15317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153174">
              <w:rPr>
                <w:rFonts w:ascii="Arial" w:eastAsia="Times New Roman" w:hAnsi="Arial" w:cs="Arial"/>
                <w:color w:val="000000"/>
                <w:sz w:val="24"/>
                <w:szCs w:val="24"/>
                <w:lang w:eastAsia="ro-RO"/>
              </w:rPr>
              <w:t>06</w:t>
            </w:r>
          </w:p>
        </w:tc>
      </w:tr>
    </w:tbl>
    <w:p w:rsidR="00CA0B63" w:rsidRDefault="001B23A4" w:rsidP="00F232F6">
      <w:pPr>
        <w:spacing w:before="120" w:after="120" w:line="240" w:lineRule="auto"/>
        <w:jc w:val="center"/>
        <w:rPr>
          <w:rFonts w:ascii="Arial" w:hAnsi="Arial" w:cs="Arial"/>
          <w:b/>
          <w:sz w:val="24"/>
          <w:szCs w:val="24"/>
        </w:rPr>
      </w:pPr>
      <w:r>
        <w:rPr>
          <w:rFonts w:ascii="Arial" w:hAnsi="Arial" w:cs="Arial"/>
          <w:b/>
          <w:sz w:val="24"/>
          <w:szCs w:val="24"/>
        </w:rPr>
        <w:t>Tabel</w:t>
      </w:r>
      <w:r w:rsidR="00CA0B63" w:rsidRPr="00153174">
        <w:rPr>
          <w:rFonts w:ascii="Arial" w:hAnsi="Arial" w:cs="Arial"/>
          <w:b/>
          <w:sz w:val="24"/>
          <w:szCs w:val="24"/>
        </w:rPr>
        <w:t xml:space="preserve"> I.2.1.2.4. Contribuţia sectoarelor de activitate la emisiile de precursori ai oz</w:t>
      </w:r>
      <w:r w:rsidR="00CA0B63" w:rsidRPr="00153174">
        <w:rPr>
          <w:rFonts w:ascii="Arial" w:hAnsi="Arial" w:cs="Arial"/>
          <w:b/>
          <w:sz w:val="24"/>
          <w:szCs w:val="24"/>
        </w:rPr>
        <w:t>o</w:t>
      </w:r>
      <w:r w:rsidR="00CA0B63" w:rsidRPr="00153174">
        <w:rPr>
          <w:rFonts w:ascii="Arial" w:hAnsi="Arial" w:cs="Arial"/>
          <w:b/>
          <w:sz w:val="24"/>
          <w:szCs w:val="24"/>
        </w:rPr>
        <w:t>nului</w:t>
      </w:r>
    </w:p>
    <w:p w:rsidR="00F232F6" w:rsidRDefault="00F232F6" w:rsidP="00F232F6">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153174">
        <w:rPr>
          <w:rFonts w:ascii="Arial" w:hAnsi="Arial" w:cs="Arial"/>
          <w:noProof/>
          <w:sz w:val="24"/>
          <w:szCs w:val="24"/>
          <w:lang w:val="ro-RO" w:eastAsia="ro-RO"/>
        </w:rPr>
        <w:drawing>
          <wp:inline distT="0" distB="0" distL="0" distR="0">
            <wp:extent cx="4572000" cy="3362325"/>
            <wp:effectExtent l="19050" t="0" r="19050" b="0"/>
            <wp:docPr id="5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 xml:space="preserve">Figura </w:t>
      </w:r>
      <w:r w:rsidRPr="00153174">
        <w:rPr>
          <w:rFonts w:ascii="Arial" w:hAnsi="Arial" w:cs="Arial"/>
          <w:b/>
          <w:sz w:val="24"/>
          <w:szCs w:val="24"/>
        </w:rPr>
        <w:t>I.2.1.2.4. Contribuţia sectoarelor de activitate la emisiile de precursori ai oz</w:t>
      </w:r>
      <w:r w:rsidRPr="00153174">
        <w:rPr>
          <w:rFonts w:ascii="Arial" w:hAnsi="Arial" w:cs="Arial"/>
          <w:b/>
          <w:sz w:val="24"/>
          <w:szCs w:val="24"/>
        </w:rPr>
        <w:t>o</w:t>
      </w:r>
      <w:r w:rsidRPr="00153174">
        <w:rPr>
          <w:rFonts w:ascii="Arial" w:hAnsi="Arial" w:cs="Arial"/>
          <w:b/>
          <w:sz w:val="24"/>
          <w:szCs w:val="24"/>
        </w:rPr>
        <w:t>nului</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Analiza datelor prezentate mai sus confirmă faptul că industria nu reprezintă principala sursă de emisii de precursori ai ozonului, atât datorită măsurilor tehnologice luate pentru reducerea emisiilor de poluanţi, cât şi diminuării activităţilor industriale.</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Contribuţia sectoarelor de activitate din industrie la emisiile de precursori ai ozonului, la nivelul judeţului Buzău, în anul 2014, este prezentată în tabelul I.2.1.2.5. şi figura I.2.1.2.5.</w:t>
      </w:r>
    </w:p>
    <w:p w:rsidR="00F232F6" w:rsidRDefault="00F232F6" w:rsidP="00F232F6">
      <w:pPr>
        <w:spacing w:before="120" w:after="120" w:line="240" w:lineRule="auto"/>
        <w:jc w:val="both"/>
        <w:rPr>
          <w:rFonts w:ascii="Arial" w:hAnsi="Arial" w:cs="Arial"/>
          <w:sz w:val="24"/>
          <w:szCs w:val="24"/>
        </w:rPr>
      </w:pPr>
    </w:p>
    <w:tbl>
      <w:tblPr>
        <w:tblW w:w="6170" w:type="dxa"/>
        <w:jc w:val="center"/>
        <w:tblInd w:w="103" w:type="dxa"/>
        <w:tblLook w:val="04A0"/>
      </w:tblPr>
      <w:tblGrid>
        <w:gridCol w:w="1950"/>
        <w:gridCol w:w="1220"/>
        <w:gridCol w:w="1220"/>
        <w:gridCol w:w="1780"/>
      </w:tblGrid>
      <w:tr w:rsidR="00CA0B63" w:rsidRPr="00CF2F10" w:rsidTr="0056118B">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CF2F10" w:rsidRDefault="00CA0B63" w:rsidP="0056118B">
            <w:pPr>
              <w:spacing w:after="0" w:line="240" w:lineRule="auto"/>
              <w:jc w:val="center"/>
              <w:rPr>
                <w:rFonts w:ascii="Arial" w:eastAsia="Times New Roman" w:hAnsi="Arial" w:cs="Arial"/>
                <w:b/>
                <w:color w:val="000000"/>
                <w:sz w:val="24"/>
                <w:szCs w:val="24"/>
                <w:lang w:eastAsia="ro-RO"/>
              </w:rPr>
            </w:pPr>
            <w:r w:rsidRPr="00CF2F10">
              <w:rPr>
                <w:rFonts w:ascii="Arial" w:eastAsia="Times New Roman" w:hAnsi="Arial" w:cs="Arial"/>
                <w:b/>
                <w:color w:val="000000"/>
                <w:sz w:val="24"/>
                <w:szCs w:val="24"/>
                <w:lang w:eastAsia="ro-RO"/>
              </w:rPr>
              <w:lastRenderedPageBreak/>
              <w:t>SECTOR I</w:t>
            </w:r>
            <w:r w:rsidRPr="00CF2F10">
              <w:rPr>
                <w:rFonts w:ascii="Arial" w:eastAsia="Times New Roman" w:hAnsi="Arial" w:cs="Arial"/>
                <w:b/>
                <w:color w:val="000000"/>
                <w:sz w:val="24"/>
                <w:szCs w:val="24"/>
                <w:lang w:eastAsia="ro-RO"/>
              </w:rPr>
              <w:t>N</w:t>
            </w:r>
            <w:r w:rsidRPr="00CF2F10">
              <w:rPr>
                <w:rFonts w:ascii="Arial" w:eastAsia="Times New Roman" w:hAnsi="Arial" w:cs="Arial"/>
                <w:b/>
                <w:color w:val="000000"/>
                <w:sz w:val="24"/>
                <w:szCs w:val="24"/>
                <w:lang w:eastAsia="ro-RO"/>
              </w:rPr>
              <w:t>DUSTRIAL</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CF2F10" w:rsidRDefault="00CA0B63" w:rsidP="0056118B">
            <w:pPr>
              <w:spacing w:after="0" w:line="240" w:lineRule="auto"/>
              <w:jc w:val="center"/>
              <w:rPr>
                <w:rFonts w:ascii="Arial" w:eastAsia="Times New Roman" w:hAnsi="Arial" w:cs="Arial"/>
                <w:b/>
                <w:color w:val="000000"/>
                <w:sz w:val="24"/>
                <w:szCs w:val="24"/>
                <w:lang w:eastAsia="ro-RO"/>
              </w:rPr>
            </w:pPr>
            <w:r w:rsidRPr="00CF2F10">
              <w:rPr>
                <w:rFonts w:ascii="Arial" w:eastAsia="Times New Roman" w:hAnsi="Arial" w:cs="Arial"/>
                <w:b/>
                <w:color w:val="000000"/>
                <w:sz w:val="24"/>
                <w:szCs w:val="24"/>
                <w:lang w:eastAsia="ro-RO"/>
              </w:rPr>
              <w:t>CO,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CF2F10" w:rsidRDefault="00CA0B63" w:rsidP="0056118B">
            <w:pPr>
              <w:spacing w:after="0" w:line="240" w:lineRule="auto"/>
              <w:jc w:val="center"/>
              <w:rPr>
                <w:rFonts w:ascii="Arial" w:eastAsia="Times New Roman" w:hAnsi="Arial" w:cs="Arial"/>
                <w:b/>
                <w:color w:val="000000"/>
                <w:sz w:val="24"/>
                <w:szCs w:val="24"/>
                <w:lang w:eastAsia="ro-RO"/>
              </w:rPr>
            </w:pPr>
            <w:r w:rsidRPr="00CF2F10">
              <w:rPr>
                <w:rFonts w:ascii="Arial" w:eastAsia="Times New Roman" w:hAnsi="Arial" w:cs="Arial"/>
                <w:b/>
                <w:color w:val="000000"/>
                <w:sz w:val="24"/>
                <w:szCs w:val="24"/>
                <w:lang w:eastAsia="ro-RO"/>
              </w:rPr>
              <w:t>NMVOC,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CF2F10" w:rsidRDefault="00CA0B63" w:rsidP="0056118B">
            <w:pPr>
              <w:spacing w:after="0" w:line="240" w:lineRule="auto"/>
              <w:jc w:val="center"/>
              <w:rPr>
                <w:rFonts w:ascii="Arial" w:eastAsia="Times New Roman" w:hAnsi="Arial" w:cs="Arial"/>
                <w:b/>
                <w:color w:val="000000"/>
                <w:sz w:val="24"/>
                <w:szCs w:val="24"/>
                <w:lang w:eastAsia="ro-RO"/>
              </w:rPr>
            </w:pPr>
            <w:r w:rsidRPr="00CF2F10">
              <w:rPr>
                <w:rFonts w:ascii="Arial" w:eastAsia="Times New Roman" w:hAnsi="Arial" w:cs="Arial"/>
                <w:b/>
                <w:color w:val="000000"/>
                <w:sz w:val="24"/>
                <w:szCs w:val="24"/>
                <w:lang w:eastAsia="ro-RO"/>
              </w:rPr>
              <w:t>NOx, %</w:t>
            </w:r>
          </w:p>
        </w:tc>
      </w:tr>
      <w:tr w:rsidR="00CA0B63" w:rsidRPr="00CF2F10"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CF2F10" w:rsidRDefault="00CA0B63" w:rsidP="0056118B">
            <w:pPr>
              <w:spacing w:after="0" w:line="240" w:lineRule="auto"/>
              <w:jc w:val="center"/>
              <w:rPr>
                <w:rFonts w:ascii="Arial" w:eastAsia="Times New Roman" w:hAnsi="Arial" w:cs="Arial"/>
                <w:color w:val="000000"/>
                <w:sz w:val="24"/>
                <w:szCs w:val="24"/>
                <w:lang w:eastAsia="ro-RO"/>
              </w:rPr>
            </w:pPr>
            <w:r w:rsidRPr="00CF2F10">
              <w:rPr>
                <w:rFonts w:ascii="Arial" w:eastAsia="Times New Roman" w:hAnsi="Arial" w:cs="Arial"/>
                <w:color w:val="000000"/>
                <w:sz w:val="24"/>
                <w:szCs w:val="24"/>
                <w:lang w:eastAsia="ro-RO"/>
              </w:rPr>
              <w:t>IND. METALURGICĂ</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CF2F10">
              <w:rPr>
                <w:rFonts w:ascii="Arial" w:eastAsia="Times New Roman" w:hAnsi="Arial" w:cs="Arial"/>
                <w:color w:val="000000"/>
                <w:sz w:val="24"/>
                <w:szCs w:val="24"/>
                <w:lang w:eastAsia="ro-RO"/>
              </w:rPr>
              <w:t>85</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CF2F10">
              <w:rPr>
                <w:rFonts w:ascii="Arial" w:eastAsia="Times New Roman" w:hAnsi="Arial" w:cs="Arial"/>
                <w:color w:val="000000"/>
                <w:sz w:val="24"/>
                <w:szCs w:val="24"/>
                <w:lang w:eastAsia="ro-RO"/>
              </w:rPr>
              <w:t>11</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12,</w:t>
            </w:r>
            <w:r w:rsidR="00CA0B63" w:rsidRPr="00CF2F10">
              <w:rPr>
                <w:rFonts w:ascii="Arial" w:eastAsia="Times New Roman" w:hAnsi="Arial" w:cs="Arial"/>
                <w:color w:val="000000"/>
                <w:sz w:val="24"/>
                <w:szCs w:val="24"/>
                <w:lang w:eastAsia="ro-RO"/>
              </w:rPr>
              <w:t>2</w:t>
            </w:r>
          </w:p>
        </w:tc>
      </w:tr>
      <w:tr w:rsidR="00CA0B63" w:rsidRPr="00CF2F10"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CF2F10" w:rsidRDefault="00CA0B63" w:rsidP="0056118B">
            <w:pPr>
              <w:spacing w:after="0" w:line="240" w:lineRule="auto"/>
              <w:jc w:val="center"/>
              <w:rPr>
                <w:rFonts w:ascii="Arial" w:eastAsia="Times New Roman" w:hAnsi="Arial" w:cs="Arial"/>
                <w:color w:val="000000"/>
                <w:sz w:val="24"/>
                <w:szCs w:val="24"/>
                <w:lang w:eastAsia="ro-RO"/>
              </w:rPr>
            </w:pPr>
            <w:r w:rsidRPr="00CF2F10">
              <w:rPr>
                <w:rFonts w:ascii="Arial" w:eastAsia="Times New Roman" w:hAnsi="Arial" w:cs="Arial"/>
                <w:color w:val="000000"/>
                <w:sz w:val="24"/>
                <w:szCs w:val="24"/>
                <w:lang w:eastAsia="ro-RO"/>
              </w:rPr>
              <w:t>IND. ALIMENTARĂ</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86,</w:t>
            </w:r>
            <w:r w:rsidR="00CA0B63" w:rsidRPr="00CF2F10">
              <w:rPr>
                <w:rFonts w:ascii="Arial" w:eastAsia="Times New Roman" w:hAnsi="Arial" w:cs="Arial"/>
                <w:color w:val="000000"/>
                <w:sz w:val="24"/>
                <w:szCs w:val="24"/>
                <w:lang w:eastAsia="ro-RO"/>
              </w:rPr>
              <w:t>9</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82,</w:t>
            </w:r>
            <w:r w:rsidR="00CA0B63" w:rsidRPr="00CF2F10">
              <w:rPr>
                <w:rFonts w:ascii="Arial" w:eastAsia="Times New Roman" w:hAnsi="Arial" w:cs="Arial"/>
                <w:color w:val="000000"/>
                <w:sz w:val="24"/>
                <w:szCs w:val="24"/>
                <w:lang w:eastAsia="ro-RO"/>
              </w:rPr>
              <w:t>3</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47,</w:t>
            </w:r>
            <w:r w:rsidR="00CA0B63" w:rsidRPr="00CF2F10">
              <w:rPr>
                <w:rFonts w:ascii="Arial" w:eastAsia="Times New Roman" w:hAnsi="Arial" w:cs="Arial"/>
                <w:color w:val="000000"/>
                <w:sz w:val="24"/>
                <w:szCs w:val="24"/>
                <w:lang w:eastAsia="ro-RO"/>
              </w:rPr>
              <w:t>9</w:t>
            </w:r>
          </w:p>
        </w:tc>
      </w:tr>
      <w:tr w:rsidR="00CA0B63" w:rsidRPr="00CF2F10" w:rsidTr="0056118B">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CF2F10" w:rsidRDefault="00CA0B63" w:rsidP="0056118B">
            <w:pPr>
              <w:spacing w:after="0" w:line="240" w:lineRule="auto"/>
              <w:jc w:val="center"/>
              <w:rPr>
                <w:rFonts w:ascii="Arial" w:eastAsia="Times New Roman" w:hAnsi="Arial" w:cs="Arial"/>
                <w:color w:val="000000"/>
                <w:sz w:val="24"/>
                <w:szCs w:val="24"/>
                <w:lang w:eastAsia="ro-RO"/>
              </w:rPr>
            </w:pPr>
            <w:r w:rsidRPr="00CF2F10">
              <w:rPr>
                <w:rFonts w:ascii="Arial" w:eastAsia="Times New Roman" w:hAnsi="Arial" w:cs="Arial"/>
                <w:color w:val="000000"/>
                <w:sz w:val="24"/>
                <w:szCs w:val="24"/>
                <w:lang w:eastAsia="ro-RO"/>
              </w:rPr>
              <w:t>EXTRACŢIE PETROL ŞI GAZE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CF2F10">
              <w:rPr>
                <w:rFonts w:ascii="Arial" w:eastAsia="Times New Roman" w:hAnsi="Arial" w:cs="Arial"/>
                <w:color w:val="000000"/>
                <w:sz w:val="24"/>
                <w:szCs w:val="24"/>
                <w:lang w:eastAsia="ro-RO"/>
              </w:rPr>
              <w:t>1</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w:t>
            </w:r>
            <w:r w:rsidR="00CA0B63" w:rsidRPr="00CF2F10">
              <w:rPr>
                <w:rFonts w:ascii="Arial" w:eastAsia="Times New Roman" w:hAnsi="Arial" w:cs="Arial"/>
                <w:color w:val="000000"/>
                <w:sz w:val="24"/>
                <w:szCs w:val="24"/>
                <w:lang w:eastAsia="ro-RO"/>
              </w:rPr>
              <w:t>7</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w:t>
            </w:r>
            <w:r w:rsidR="00CA0B63" w:rsidRPr="00CF2F10">
              <w:rPr>
                <w:rFonts w:ascii="Arial" w:eastAsia="Times New Roman" w:hAnsi="Arial" w:cs="Arial"/>
                <w:color w:val="000000"/>
                <w:sz w:val="24"/>
                <w:szCs w:val="24"/>
                <w:lang w:eastAsia="ro-RO"/>
              </w:rPr>
              <w:t>25</w:t>
            </w:r>
          </w:p>
        </w:tc>
      </w:tr>
      <w:tr w:rsidR="00CA0B63" w:rsidRPr="00CF2F10"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CF2F10" w:rsidRDefault="00CA0B63" w:rsidP="0056118B">
            <w:pPr>
              <w:spacing w:after="0" w:line="240" w:lineRule="auto"/>
              <w:jc w:val="center"/>
              <w:rPr>
                <w:rFonts w:ascii="Arial" w:eastAsia="Times New Roman" w:hAnsi="Arial" w:cs="Arial"/>
                <w:color w:val="000000"/>
                <w:sz w:val="24"/>
                <w:szCs w:val="24"/>
                <w:lang w:eastAsia="ro-RO"/>
              </w:rPr>
            </w:pPr>
            <w:r w:rsidRPr="00CF2F10">
              <w:rPr>
                <w:rFonts w:ascii="Arial" w:eastAsia="Times New Roman" w:hAnsi="Arial" w:cs="Arial"/>
                <w:color w:val="000000"/>
                <w:sz w:val="24"/>
                <w:szCs w:val="24"/>
                <w:lang w:eastAsia="ro-RO"/>
              </w:rPr>
              <w:t>PRODUCŢIE ASFALT</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CF2F10">
              <w:rPr>
                <w:rFonts w:ascii="Arial" w:eastAsia="Times New Roman" w:hAnsi="Arial" w:cs="Arial"/>
                <w:color w:val="000000"/>
                <w:sz w:val="24"/>
                <w:szCs w:val="24"/>
                <w:lang w:eastAsia="ro-RO"/>
              </w:rPr>
              <w:t>4</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CF2F10">
              <w:rPr>
                <w:rFonts w:ascii="Arial" w:eastAsia="Times New Roman" w:hAnsi="Arial" w:cs="Arial"/>
                <w:color w:val="000000"/>
                <w:sz w:val="24"/>
                <w:szCs w:val="24"/>
                <w:lang w:eastAsia="ro-RO"/>
              </w:rPr>
              <w:t>03</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CF2F10">
              <w:rPr>
                <w:rFonts w:ascii="Arial" w:eastAsia="Times New Roman" w:hAnsi="Arial" w:cs="Arial"/>
                <w:color w:val="000000"/>
                <w:sz w:val="24"/>
                <w:szCs w:val="24"/>
                <w:lang w:eastAsia="ro-RO"/>
              </w:rPr>
              <w:t>1</w:t>
            </w:r>
          </w:p>
        </w:tc>
      </w:tr>
      <w:tr w:rsidR="00CA0B63" w:rsidRPr="00CF2F10" w:rsidTr="0056118B">
        <w:trPr>
          <w:trHeight w:val="3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CF2F10" w:rsidRDefault="00CA0B63" w:rsidP="0056118B">
            <w:pPr>
              <w:spacing w:after="0" w:line="240" w:lineRule="auto"/>
              <w:jc w:val="center"/>
              <w:rPr>
                <w:rFonts w:ascii="Arial" w:eastAsia="Times New Roman" w:hAnsi="Arial" w:cs="Arial"/>
                <w:color w:val="000000"/>
                <w:sz w:val="24"/>
                <w:szCs w:val="24"/>
                <w:lang w:eastAsia="ro-RO"/>
              </w:rPr>
            </w:pPr>
            <w:r w:rsidRPr="00CF2F10">
              <w:rPr>
                <w:rFonts w:ascii="Arial" w:eastAsia="Times New Roman" w:hAnsi="Arial" w:cs="Arial"/>
                <w:color w:val="000000"/>
                <w:sz w:val="24"/>
                <w:szCs w:val="24"/>
                <w:lang w:eastAsia="ro-RO"/>
              </w:rPr>
              <w:t>ALTELE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CF2F10">
              <w:rPr>
                <w:rFonts w:ascii="Arial" w:eastAsia="Times New Roman" w:hAnsi="Arial" w:cs="Arial"/>
                <w:color w:val="000000"/>
                <w:sz w:val="24"/>
                <w:szCs w:val="24"/>
                <w:lang w:eastAsia="ro-RO"/>
              </w:rPr>
              <w:t>75</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10,</w:t>
            </w:r>
            <w:r w:rsidR="00CA0B63" w:rsidRPr="00CF2F10">
              <w:rPr>
                <w:rFonts w:ascii="Arial" w:eastAsia="Times New Roman" w:hAnsi="Arial" w:cs="Arial"/>
                <w:color w:val="000000"/>
                <w:sz w:val="24"/>
                <w:szCs w:val="24"/>
                <w:lang w:eastAsia="ro-RO"/>
              </w:rPr>
              <w:t>86</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CF2F10"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31,</w:t>
            </w:r>
            <w:r w:rsidR="00CA0B63" w:rsidRPr="00CF2F10">
              <w:rPr>
                <w:rFonts w:ascii="Arial" w:eastAsia="Times New Roman" w:hAnsi="Arial" w:cs="Arial"/>
                <w:color w:val="000000"/>
                <w:sz w:val="24"/>
                <w:szCs w:val="24"/>
                <w:lang w:eastAsia="ro-RO"/>
              </w:rPr>
              <w:t>55</w:t>
            </w:r>
          </w:p>
        </w:tc>
      </w:tr>
    </w:tbl>
    <w:p w:rsidR="00CA0B63" w:rsidRDefault="001B23A4" w:rsidP="00F232F6">
      <w:pPr>
        <w:spacing w:before="120" w:after="120" w:line="240" w:lineRule="auto"/>
        <w:jc w:val="center"/>
        <w:rPr>
          <w:rFonts w:ascii="Arial" w:hAnsi="Arial" w:cs="Arial"/>
          <w:b/>
          <w:sz w:val="24"/>
          <w:szCs w:val="24"/>
        </w:rPr>
      </w:pPr>
      <w:r>
        <w:rPr>
          <w:rFonts w:ascii="Arial" w:hAnsi="Arial" w:cs="Arial"/>
          <w:b/>
          <w:sz w:val="24"/>
          <w:szCs w:val="24"/>
        </w:rPr>
        <w:t>Tabel</w:t>
      </w:r>
      <w:r w:rsidR="00CA0B63" w:rsidRPr="00153174">
        <w:rPr>
          <w:rFonts w:ascii="Arial" w:hAnsi="Arial" w:cs="Arial"/>
          <w:b/>
          <w:sz w:val="24"/>
          <w:szCs w:val="24"/>
        </w:rPr>
        <w:t xml:space="preserve"> </w:t>
      </w:r>
      <w:r w:rsidR="00CA0B63">
        <w:rPr>
          <w:rFonts w:ascii="Arial" w:hAnsi="Arial" w:cs="Arial"/>
          <w:b/>
          <w:sz w:val="24"/>
          <w:szCs w:val="24"/>
        </w:rPr>
        <w:t>I.2.1.2.5</w:t>
      </w:r>
      <w:r w:rsidR="00CA0B63" w:rsidRPr="00153174">
        <w:rPr>
          <w:rFonts w:ascii="Arial" w:hAnsi="Arial" w:cs="Arial"/>
          <w:b/>
          <w:sz w:val="24"/>
          <w:szCs w:val="24"/>
        </w:rPr>
        <w:t xml:space="preserve">. Contribuţia sectoarelor de activitate </w:t>
      </w:r>
      <w:r w:rsidR="00CA0B63">
        <w:rPr>
          <w:rFonts w:ascii="Arial" w:hAnsi="Arial" w:cs="Arial"/>
          <w:b/>
          <w:sz w:val="24"/>
          <w:szCs w:val="24"/>
        </w:rPr>
        <w:t xml:space="preserve">din industrie </w:t>
      </w:r>
      <w:r w:rsidR="00CA0B63" w:rsidRPr="00153174">
        <w:rPr>
          <w:rFonts w:ascii="Arial" w:hAnsi="Arial" w:cs="Arial"/>
          <w:b/>
          <w:sz w:val="24"/>
          <w:szCs w:val="24"/>
        </w:rPr>
        <w:t>la emisiile de pr</w:t>
      </w:r>
      <w:r w:rsidR="00CA0B63" w:rsidRPr="00153174">
        <w:rPr>
          <w:rFonts w:ascii="Arial" w:hAnsi="Arial" w:cs="Arial"/>
          <w:b/>
          <w:sz w:val="24"/>
          <w:szCs w:val="24"/>
        </w:rPr>
        <w:t>e</w:t>
      </w:r>
      <w:r w:rsidR="00CA0B63" w:rsidRPr="00153174">
        <w:rPr>
          <w:rFonts w:ascii="Arial" w:hAnsi="Arial" w:cs="Arial"/>
          <w:b/>
          <w:sz w:val="24"/>
          <w:szCs w:val="24"/>
        </w:rPr>
        <w:t>cursori ai ozonului</w:t>
      </w:r>
    </w:p>
    <w:p w:rsidR="00D71325" w:rsidRDefault="00D71325" w:rsidP="00F232F6">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CF2F10">
        <w:rPr>
          <w:rFonts w:ascii="Arial" w:hAnsi="Arial" w:cs="Arial"/>
          <w:noProof/>
          <w:sz w:val="24"/>
          <w:szCs w:val="24"/>
          <w:lang w:val="ro-RO" w:eastAsia="ro-RO"/>
        </w:rPr>
        <w:drawing>
          <wp:inline distT="0" distB="0" distL="0" distR="0">
            <wp:extent cx="4572000" cy="2981325"/>
            <wp:effectExtent l="19050" t="0" r="19050" b="0"/>
            <wp:docPr id="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A0B63" w:rsidRDefault="00CA0B63" w:rsidP="00CA0B63">
      <w:pPr>
        <w:jc w:val="center"/>
        <w:rPr>
          <w:rFonts w:ascii="Arial" w:hAnsi="Arial" w:cs="Arial"/>
          <w:b/>
          <w:sz w:val="24"/>
          <w:szCs w:val="24"/>
        </w:rPr>
      </w:pPr>
      <w:r>
        <w:rPr>
          <w:rFonts w:ascii="Arial" w:hAnsi="Arial" w:cs="Arial"/>
          <w:b/>
          <w:sz w:val="24"/>
          <w:szCs w:val="24"/>
        </w:rPr>
        <w:t>Figura</w:t>
      </w:r>
      <w:r w:rsidRPr="00153174">
        <w:rPr>
          <w:rFonts w:ascii="Arial" w:hAnsi="Arial" w:cs="Arial"/>
          <w:b/>
          <w:sz w:val="24"/>
          <w:szCs w:val="24"/>
        </w:rPr>
        <w:t xml:space="preserve"> </w:t>
      </w:r>
      <w:r>
        <w:rPr>
          <w:rFonts w:ascii="Arial" w:hAnsi="Arial" w:cs="Arial"/>
          <w:b/>
          <w:sz w:val="24"/>
          <w:szCs w:val="24"/>
        </w:rPr>
        <w:t>I.2.1.2.5</w:t>
      </w:r>
      <w:r w:rsidRPr="00153174">
        <w:rPr>
          <w:rFonts w:ascii="Arial" w:hAnsi="Arial" w:cs="Arial"/>
          <w:b/>
          <w:sz w:val="24"/>
          <w:szCs w:val="24"/>
        </w:rPr>
        <w:t xml:space="preserve">. Contribuţia sectoarelor de activitate </w:t>
      </w:r>
      <w:r>
        <w:rPr>
          <w:rFonts w:ascii="Arial" w:hAnsi="Arial" w:cs="Arial"/>
          <w:b/>
          <w:sz w:val="24"/>
          <w:szCs w:val="24"/>
        </w:rPr>
        <w:t xml:space="preserve">din industrie </w:t>
      </w:r>
      <w:r w:rsidRPr="00153174">
        <w:rPr>
          <w:rFonts w:ascii="Arial" w:hAnsi="Arial" w:cs="Arial"/>
          <w:b/>
          <w:sz w:val="24"/>
          <w:szCs w:val="24"/>
        </w:rPr>
        <w:t>la emisiile de pr</w:t>
      </w:r>
      <w:r w:rsidRPr="00153174">
        <w:rPr>
          <w:rFonts w:ascii="Arial" w:hAnsi="Arial" w:cs="Arial"/>
          <w:b/>
          <w:sz w:val="24"/>
          <w:szCs w:val="24"/>
        </w:rPr>
        <w:t>e</w:t>
      </w:r>
      <w:r w:rsidRPr="00153174">
        <w:rPr>
          <w:rFonts w:ascii="Arial" w:hAnsi="Arial" w:cs="Arial"/>
          <w:b/>
          <w:sz w:val="24"/>
          <w:szCs w:val="24"/>
        </w:rPr>
        <w:t>cursori ai ozonului</w:t>
      </w:r>
    </w:p>
    <w:p w:rsidR="00CA0B63" w:rsidRDefault="00CA0B63" w:rsidP="00F232F6">
      <w:pPr>
        <w:spacing w:before="120" w:after="120" w:line="240" w:lineRule="auto"/>
        <w:jc w:val="both"/>
        <w:rPr>
          <w:rFonts w:ascii="Arial" w:hAnsi="Arial" w:cs="Arial"/>
          <w:sz w:val="24"/>
          <w:szCs w:val="24"/>
        </w:rPr>
      </w:pPr>
      <w:r>
        <w:rPr>
          <w:rFonts w:ascii="Arial" w:hAnsi="Arial" w:cs="Arial"/>
          <w:sz w:val="24"/>
          <w:szCs w:val="24"/>
        </w:rPr>
        <w:t>Analizând datele prezentate mai sus, se observă că principala sursă de emisie de precu</w:t>
      </w:r>
      <w:r>
        <w:rPr>
          <w:rFonts w:ascii="Arial" w:hAnsi="Arial" w:cs="Arial"/>
          <w:sz w:val="24"/>
          <w:szCs w:val="24"/>
        </w:rPr>
        <w:t>r</w:t>
      </w:r>
      <w:r>
        <w:rPr>
          <w:rFonts w:ascii="Arial" w:hAnsi="Arial" w:cs="Arial"/>
          <w:sz w:val="24"/>
          <w:szCs w:val="24"/>
        </w:rPr>
        <w:t>sori ai ozonului din sectorul industrial este reprezentată de industria alimentară, profil r</w:t>
      </w:r>
      <w:r>
        <w:rPr>
          <w:rFonts w:ascii="Arial" w:hAnsi="Arial" w:cs="Arial"/>
          <w:sz w:val="24"/>
          <w:szCs w:val="24"/>
        </w:rPr>
        <w:t>e</w:t>
      </w:r>
      <w:r>
        <w:rPr>
          <w:rFonts w:ascii="Arial" w:hAnsi="Arial" w:cs="Arial"/>
          <w:sz w:val="24"/>
          <w:szCs w:val="24"/>
        </w:rPr>
        <w:t>prezentat de un număr mai mare de operatori economici, cu produse şi tehnologii variate (producţie de pâine, ulei, zahăr, băuturi, tutun, etc.).</w:t>
      </w:r>
    </w:p>
    <w:p w:rsidR="00D71325" w:rsidRDefault="00D71325" w:rsidP="00F232F6">
      <w:pPr>
        <w:spacing w:before="120" w:after="120" w:line="240" w:lineRule="auto"/>
        <w:rPr>
          <w:rFonts w:ascii="Arial" w:hAnsi="Arial" w:cs="Arial"/>
          <w:b/>
          <w:sz w:val="24"/>
          <w:szCs w:val="24"/>
        </w:rPr>
      </w:pPr>
    </w:p>
    <w:p w:rsidR="00CA0B63" w:rsidRDefault="00CA0B63" w:rsidP="00F232F6">
      <w:pPr>
        <w:spacing w:before="120" w:after="120" w:line="240" w:lineRule="auto"/>
        <w:rPr>
          <w:rFonts w:ascii="Arial" w:hAnsi="Arial" w:cs="Arial"/>
          <w:b/>
          <w:bCs/>
          <w:sz w:val="24"/>
          <w:szCs w:val="24"/>
        </w:rPr>
      </w:pPr>
      <w:r w:rsidRPr="00AA228F">
        <w:rPr>
          <w:rFonts w:ascii="Arial" w:hAnsi="Arial" w:cs="Arial"/>
          <w:b/>
          <w:sz w:val="24"/>
          <w:szCs w:val="24"/>
        </w:rPr>
        <w:t xml:space="preserve">c) </w:t>
      </w:r>
      <w:r w:rsidRPr="00AA228F">
        <w:rPr>
          <w:rFonts w:ascii="Arial" w:hAnsi="Arial" w:cs="Arial"/>
          <w:b/>
          <w:bCs/>
          <w:sz w:val="24"/>
          <w:szCs w:val="24"/>
        </w:rPr>
        <w:t>Emisii de particule primare şi precursori secundari de particule</w:t>
      </w:r>
    </w:p>
    <w:p w:rsidR="00CA0B63" w:rsidRDefault="00CA0B63" w:rsidP="00F232F6">
      <w:pPr>
        <w:spacing w:before="120" w:after="120" w:line="240" w:lineRule="auto"/>
        <w:jc w:val="both"/>
        <w:rPr>
          <w:rFonts w:ascii="Arial" w:hAnsi="Arial" w:cs="Arial"/>
          <w:sz w:val="24"/>
          <w:szCs w:val="24"/>
        </w:rPr>
      </w:pPr>
      <w:r w:rsidRPr="007F6523">
        <w:rPr>
          <w:rFonts w:ascii="Arial" w:hAnsi="Arial" w:cs="Arial"/>
          <w:sz w:val="24"/>
          <w:szCs w:val="24"/>
        </w:rPr>
        <w:t>Contribuţia sectoarelor de</w:t>
      </w:r>
      <w:r>
        <w:rPr>
          <w:rFonts w:ascii="Arial" w:hAnsi="Arial" w:cs="Arial"/>
          <w:sz w:val="24"/>
          <w:szCs w:val="24"/>
        </w:rPr>
        <w:t xml:space="preserve"> activitate </w:t>
      </w:r>
      <w:r w:rsidRPr="007F6523">
        <w:rPr>
          <w:rFonts w:ascii="Arial" w:hAnsi="Arial" w:cs="Arial"/>
          <w:sz w:val="24"/>
          <w:szCs w:val="24"/>
        </w:rPr>
        <w:t xml:space="preserve">la emisiile de </w:t>
      </w:r>
      <w:r w:rsidRPr="007F6523">
        <w:rPr>
          <w:rFonts w:ascii="Arial" w:hAnsi="Arial" w:cs="Arial"/>
          <w:bCs/>
          <w:sz w:val="24"/>
          <w:szCs w:val="24"/>
        </w:rPr>
        <w:t>particule primare şi precursori secundari de particule</w:t>
      </w:r>
      <w:r w:rsidRPr="007F6523">
        <w:rPr>
          <w:rFonts w:ascii="Arial" w:hAnsi="Arial" w:cs="Arial"/>
          <w:sz w:val="24"/>
          <w:szCs w:val="24"/>
        </w:rPr>
        <w:t>, la nivelul judeţului Buzău, în anul 2014, este</w:t>
      </w:r>
      <w:r>
        <w:rPr>
          <w:rFonts w:ascii="Arial" w:hAnsi="Arial" w:cs="Arial"/>
          <w:sz w:val="24"/>
          <w:szCs w:val="24"/>
        </w:rPr>
        <w:t xml:space="preserve"> prezentată în tabelul I.2.1.2.6. şi figura I.2.1.2.6</w:t>
      </w:r>
      <w:r w:rsidRPr="007F6523">
        <w:rPr>
          <w:rFonts w:ascii="Arial" w:hAnsi="Arial" w:cs="Arial"/>
          <w:sz w:val="24"/>
          <w:szCs w:val="24"/>
        </w:rPr>
        <w:t>.</w:t>
      </w:r>
    </w:p>
    <w:p w:rsidR="00D71325" w:rsidRPr="007F6523" w:rsidRDefault="00D71325" w:rsidP="00F232F6">
      <w:pPr>
        <w:spacing w:before="120" w:after="120" w:line="240" w:lineRule="auto"/>
        <w:jc w:val="both"/>
        <w:rPr>
          <w:rFonts w:ascii="Arial" w:hAnsi="Arial" w:cs="Arial"/>
          <w:sz w:val="24"/>
          <w:szCs w:val="24"/>
        </w:rPr>
      </w:pPr>
    </w:p>
    <w:tbl>
      <w:tblPr>
        <w:tblW w:w="4970" w:type="dxa"/>
        <w:jc w:val="center"/>
        <w:tblInd w:w="103" w:type="dxa"/>
        <w:tblLook w:val="04A0"/>
      </w:tblPr>
      <w:tblGrid>
        <w:gridCol w:w="2110"/>
        <w:gridCol w:w="1443"/>
        <w:gridCol w:w="1417"/>
      </w:tblGrid>
      <w:tr w:rsidR="00CA0B63" w:rsidRPr="009A3EB2" w:rsidTr="0056118B">
        <w:trPr>
          <w:trHeight w:val="1200"/>
          <w:jc w:val="center"/>
        </w:trPr>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9A3EB2" w:rsidRDefault="00CA0B63" w:rsidP="0056118B">
            <w:pPr>
              <w:spacing w:after="0" w:line="240" w:lineRule="auto"/>
              <w:jc w:val="center"/>
              <w:rPr>
                <w:rFonts w:ascii="Arial" w:eastAsia="Times New Roman" w:hAnsi="Arial" w:cs="Arial"/>
                <w:b/>
                <w:color w:val="000000"/>
                <w:sz w:val="24"/>
                <w:szCs w:val="24"/>
                <w:lang w:eastAsia="ro-RO"/>
              </w:rPr>
            </w:pPr>
            <w:r w:rsidRPr="009A3EB2">
              <w:rPr>
                <w:rFonts w:ascii="Arial" w:eastAsia="Times New Roman" w:hAnsi="Arial" w:cs="Arial"/>
                <w:b/>
                <w:color w:val="000000"/>
                <w:sz w:val="24"/>
                <w:szCs w:val="24"/>
                <w:lang w:eastAsia="ro-RO"/>
              </w:rPr>
              <w:t>SECTOR DE ACTIVITATE</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9A3EB2" w:rsidRDefault="00CA0B63" w:rsidP="0056118B">
            <w:pPr>
              <w:spacing w:after="0" w:line="240" w:lineRule="auto"/>
              <w:jc w:val="center"/>
              <w:rPr>
                <w:rFonts w:ascii="Arial" w:eastAsia="Times New Roman" w:hAnsi="Arial" w:cs="Arial"/>
                <w:b/>
                <w:color w:val="000000"/>
                <w:sz w:val="24"/>
                <w:szCs w:val="24"/>
                <w:lang w:eastAsia="ro-RO"/>
              </w:rPr>
            </w:pPr>
            <w:r w:rsidRPr="009A3EB2">
              <w:rPr>
                <w:rFonts w:ascii="Arial" w:eastAsia="Times New Roman" w:hAnsi="Arial" w:cs="Arial"/>
                <w:b/>
                <w:color w:val="000000"/>
                <w:sz w:val="24"/>
                <w:szCs w:val="24"/>
                <w:lang w:eastAsia="ro-RO"/>
              </w:rPr>
              <w:t>PM2,5</w:t>
            </w:r>
            <w:r>
              <w:rPr>
                <w:rFonts w:ascii="Arial" w:eastAsia="Times New Roman" w:hAnsi="Arial" w:cs="Arial"/>
                <w:b/>
                <w:color w:val="000000"/>
                <w:sz w:val="24"/>
                <w:szCs w:val="24"/>
                <w:lang w:eastAsia="ro-RO"/>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A0B63" w:rsidRPr="009A3EB2" w:rsidRDefault="00CA0B63" w:rsidP="0056118B">
            <w:pPr>
              <w:spacing w:after="0" w:line="240" w:lineRule="auto"/>
              <w:jc w:val="center"/>
              <w:rPr>
                <w:rFonts w:ascii="Arial" w:eastAsia="Times New Roman" w:hAnsi="Arial" w:cs="Arial"/>
                <w:b/>
                <w:color w:val="000000"/>
                <w:sz w:val="24"/>
                <w:szCs w:val="24"/>
                <w:lang w:eastAsia="ro-RO"/>
              </w:rPr>
            </w:pPr>
            <w:r w:rsidRPr="009A3EB2">
              <w:rPr>
                <w:rFonts w:ascii="Arial" w:eastAsia="Times New Roman" w:hAnsi="Arial" w:cs="Arial"/>
                <w:b/>
                <w:color w:val="000000"/>
                <w:sz w:val="24"/>
                <w:szCs w:val="24"/>
                <w:lang w:eastAsia="ro-RO"/>
              </w:rPr>
              <w:t>PM10</w:t>
            </w:r>
            <w:r>
              <w:rPr>
                <w:rFonts w:ascii="Arial" w:eastAsia="Times New Roman" w:hAnsi="Arial" w:cs="Arial"/>
                <w:b/>
                <w:color w:val="000000"/>
                <w:sz w:val="24"/>
                <w:szCs w:val="24"/>
                <w:lang w:eastAsia="ro-RO"/>
              </w:rPr>
              <w:t>, %</w:t>
            </w:r>
          </w:p>
        </w:tc>
      </w:tr>
      <w:tr w:rsidR="00CA0B63" w:rsidRPr="009A3EB2" w:rsidTr="0056118B">
        <w:trPr>
          <w:trHeight w:val="3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9A3EB2" w:rsidRDefault="00CA0B63" w:rsidP="0056118B">
            <w:pPr>
              <w:spacing w:after="0" w:line="240" w:lineRule="auto"/>
              <w:jc w:val="center"/>
              <w:rPr>
                <w:rFonts w:ascii="Arial" w:eastAsia="Times New Roman" w:hAnsi="Arial" w:cs="Arial"/>
                <w:color w:val="000000"/>
                <w:sz w:val="24"/>
                <w:szCs w:val="24"/>
                <w:lang w:eastAsia="ro-RO"/>
              </w:rPr>
            </w:pPr>
            <w:r w:rsidRPr="009A3EB2">
              <w:rPr>
                <w:rFonts w:ascii="Arial" w:eastAsia="Times New Roman" w:hAnsi="Arial" w:cs="Arial"/>
                <w:color w:val="000000"/>
                <w:sz w:val="24"/>
                <w:szCs w:val="24"/>
                <w:lang w:eastAsia="ro-RO"/>
              </w:rPr>
              <w:t>ENERGIE</w:t>
            </w:r>
          </w:p>
        </w:tc>
        <w:tc>
          <w:tcPr>
            <w:tcW w:w="1443"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97,</w:t>
            </w:r>
            <w:r w:rsidR="00CA0B63" w:rsidRPr="009A3EB2">
              <w:rPr>
                <w:rFonts w:ascii="Arial" w:eastAsia="Times New Roman" w:hAnsi="Arial" w:cs="Arial"/>
                <w:color w:val="000000"/>
                <w:sz w:val="24"/>
                <w:szCs w:val="24"/>
                <w:lang w:eastAsia="ro-RO"/>
              </w:rPr>
              <w:t>1</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9A3EB2" w:rsidRDefault="00CA0B63" w:rsidP="0056118B">
            <w:pPr>
              <w:spacing w:after="0" w:line="240" w:lineRule="auto"/>
              <w:jc w:val="center"/>
              <w:rPr>
                <w:rFonts w:ascii="Arial" w:eastAsia="Times New Roman" w:hAnsi="Arial" w:cs="Arial"/>
                <w:color w:val="000000"/>
                <w:sz w:val="24"/>
                <w:szCs w:val="24"/>
                <w:lang w:eastAsia="ro-RO"/>
              </w:rPr>
            </w:pPr>
            <w:r w:rsidRPr="009A3EB2">
              <w:rPr>
                <w:rFonts w:ascii="Arial" w:eastAsia="Times New Roman" w:hAnsi="Arial" w:cs="Arial"/>
                <w:color w:val="000000"/>
                <w:sz w:val="24"/>
                <w:szCs w:val="24"/>
                <w:lang w:eastAsia="ro-RO"/>
              </w:rPr>
              <w:t>87</w:t>
            </w:r>
          </w:p>
        </w:tc>
      </w:tr>
      <w:tr w:rsidR="00CA0B63" w:rsidRPr="009A3EB2" w:rsidTr="0056118B">
        <w:trPr>
          <w:trHeight w:val="6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9A3EB2" w:rsidRDefault="00CA0B63" w:rsidP="0056118B">
            <w:pPr>
              <w:spacing w:after="0" w:line="240" w:lineRule="auto"/>
              <w:jc w:val="center"/>
              <w:rPr>
                <w:rFonts w:ascii="Arial" w:eastAsia="Times New Roman" w:hAnsi="Arial" w:cs="Arial"/>
                <w:color w:val="000000"/>
                <w:sz w:val="24"/>
                <w:szCs w:val="24"/>
                <w:lang w:eastAsia="ro-RO"/>
              </w:rPr>
            </w:pPr>
            <w:r w:rsidRPr="009A3EB2">
              <w:rPr>
                <w:rFonts w:ascii="Arial" w:eastAsia="Times New Roman" w:hAnsi="Arial" w:cs="Arial"/>
                <w:color w:val="000000"/>
                <w:sz w:val="24"/>
                <w:szCs w:val="24"/>
                <w:lang w:eastAsia="ro-RO"/>
              </w:rPr>
              <w:t>TRANSPORTURI</w:t>
            </w:r>
          </w:p>
        </w:tc>
        <w:tc>
          <w:tcPr>
            <w:tcW w:w="1443"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9A3EB2">
              <w:rPr>
                <w:rFonts w:ascii="Arial" w:eastAsia="Times New Roman" w:hAnsi="Arial" w:cs="Arial"/>
                <w:color w:val="000000"/>
                <w:sz w:val="24"/>
                <w:szCs w:val="24"/>
                <w:lang w:eastAsia="ro-RO"/>
              </w:rPr>
              <w:t>2</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9A3EB2">
              <w:rPr>
                <w:rFonts w:ascii="Arial" w:eastAsia="Times New Roman" w:hAnsi="Arial" w:cs="Arial"/>
                <w:color w:val="000000"/>
                <w:sz w:val="24"/>
                <w:szCs w:val="24"/>
                <w:lang w:eastAsia="ro-RO"/>
              </w:rPr>
              <w:t>2</w:t>
            </w:r>
          </w:p>
        </w:tc>
      </w:tr>
      <w:tr w:rsidR="00CA0B63" w:rsidRPr="009A3EB2" w:rsidTr="0056118B">
        <w:trPr>
          <w:trHeight w:val="6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9A3EB2" w:rsidRDefault="00CA0B63" w:rsidP="0056118B">
            <w:pPr>
              <w:spacing w:after="0" w:line="240" w:lineRule="auto"/>
              <w:jc w:val="center"/>
              <w:rPr>
                <w:rFonts w:ascii="Arial" w:eastAsia="Times New Roman" w:hAnsi="Arial" w:cs="Arial"/>
                <w:color w:val="000000"/>
                <w:sz w:val="24"/>
                <w:szCs w:val="24"/>
                <w:lang w:eastAsia="ro-RO"/>
              </w:rPr>
            </w:pPr>
            <w:r w:rsidRPr="009A3EB2">
              <w:rPr>
                <w:rFonts w:ascii="Arial" w:eastAsia="Times New Roman" w:hAnsi="Arial" w:cs="Arial"/>
                <w:color w:val="000000"/>
                <w:sz w:val="24"/>
                <w:szCs w:val="24"/>
                <w:lang w:eastAsia="ro-RO"/>
              </w:rPr>
              <w:t>INDUSTRIE</w:t>
            </w:r>
          </w:p>
        </w:tc>
        <w:tc>
          <w:tcPr>
            <w:tcW w:w="1443" w:type="dxa"/>
            <w:tcBorders>
              <w:top w:val="nil"/>
              <w:left w:val="nil"/>
              <w:bottom w:val="single" w:sz="4" w:space="0" w:color="auto"/>
              <w:right w:val="single" w:sz="4" w:space="0" w:color="auto"/>
            </w:tcBorders>
            <w:shd w:val="clear" w:color="auto" w:fill="auto"/>
            <w:noWrap/>
            <w:vAlign w:val="center"/>
            <w:hideMark/>
          </w:tcPr>
          <w:p w:rsidR="00CA0B63" w:rsidRPr="009A3EB2" w:rsidRDefault="00CA0B63" w:rsidP="0056118B">
            <w:pPr>
              <w:spacing w:after="0" w:line="240" w:lineRule="auto"/>
              <w:jc w:val="center"/>
              <w:rPr>
                <w:rFonts w:ascii="Arial" w:eastAsia="Times New Roman" w:hAnsi="Arial" w:cs="Arial"/>
                <w:color w:val="000000"/>
                <w:sz w:val="24"/>
                <w:szCs w:val="24"/>
                <w:lang w:eastAsia="ro-RO"/>
              </w:rPr>
            </w:pPr>
            <w:r w:rsidRPr="009A3EB2">
              <w:rPr>
                <w:rFonts w:ascii="Arial" w:eastAsia="Times New Roman" w:hAnsi="Arial" w:cs="Arial"/>
                <w:color w:val="000000"/>
                <w:sz w:val="24"/>
                <w:szCs w:val="24"/>
                <w:lang w:eastAsia="ro-RO"/>
              </w:rPr>
              <w:t>2</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w:t>
            </w:r>
            <w:r w:rsidR="00CA0B63" w:rsidRPr="009A3EB2">
              <w:rPr>
                <w:rFonts w:ascii="Arial" w:eastAsia="Times New Roman" w:hAnsi="Arial" w:cs="Arial"/>
                <w:color w:val="000000"/>
                <w:sz w:val="24"/>
                <w:szCs w:val="24"/>
                <w:lang w:eastAsia="ro-RO"/>
              </w:rPr>
              <w:t>5</w:t>
            </w:r>
          </w:p>
        </w:tc>
      </w:tr>
      <w:tr w:rsidR="00CA0B63" w:rsidRPr="009A3EB2" w:rsidTr="0056118B">
        <w:trPr>
          <w:trHeight w:val="6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9A3EB2" w:rsidRDefault="00CA0B63" w:rsidP="0056118B">
            <w:pPr>
              <w:spacing w:after="0" w:line="240" w:lineRule="auto"/>
              <w:jc w:val="center"/>
              <w:rPr>
                <w:rFonts w:ascii="Arial" w:eastAsia="Times New Roman" w:hAnsi="Arial" w:cs="Arial"/>
                <w:color w:val="000000"/>
                <w:sz w:val="24"/>
                <w:szCs w:val="24"/>
                <w:lang w:eastAsia="ro-RO"/>
              </w:rPr>
            </w:pPr>
            <w:r w:rsidRPr="009A3EB2">
              <w:rPr>
                <w:rFonts w:ascii="Arial" w:eastAsia="Times New Roman" w:hAnsi="Arial" w:cs="Arial"/>
                <w:color w:val="000000"/>
                <w:sz w:val="24"/>
                <w:szCs w:val="24"/>
                <w:lang w:eastAsia="ro-RO"/>
              </w:rPr>
              <w:t>AGRICULTURA</w:t>
            </w:r>
          </w:p>
        </w:tc>
        <w:tc>
          <w:tcPr>
            <w:tcW w:w="1443"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9A3EB2">
              <w:rPr>
                <w:rFonts w:ascii="Arial" w:eastAsia="Times New Roman" w:hAnsi="Arial" w:cs="Arial"/>
                <w:color w:val="000000"/>
                <w:sz w:val="24"/>
                <w:szCs w:val="24"/>
                <w:lang w:eastAsia="ro-RO"/>
              </w:rPr>
              <w:t>5</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9A3EB2">
              <w:rPr>
                <w:rFonts w:ascii="Arial" w:eastAsia="Times New Roman" w:hAnsi="Arial" w:cs="Arial"/>
                <w:color w:val="000000"/>
                <w:sz w:val="24"/>
                <w:szCs w:val="24"/>
                <w:lang w:eastAsia="ro-RO"/>
              </w:rPr>
              <w:t>2</w:t>
            </w:r>
          </w:p>
        </w:tc>
      </w:tr>
      <w:tr w:rsidR="00CA0B63" w:rsidRPr="009A3EB2" w:rsidTr="0056118B">
        <w:trPr>
          <w:trHeight w:val="3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9A3EB2" w:rsidRDefault="00CA0B63" w:rsidP="0056118B">
            <w:pPr>
              <w:spacing w:after="0" w:line="240" w:lineRule="auto"/>
              <w:jc w:val="center"/>
              <w:rPr>
                <w:rFonts w:ascii="Arial" w:eastAsia="Times New Roman" w:hAnsi="Arial" w:cs="Arial"/>
                <w:color w:val="000000"/>
                <w:sz w:val="24"/>
                <w:szCs w:val="24"/>
                <w:lang w:eastAsia="ro-RO"/>
              </w:rPr>
            </w:pPr>
            <w:r w:rsidRPr="009A3EB2">
              <w:rPr>
                <w:rFonts w:ascii="Arial" w:eastAsia="Times New Roman" w:hAnsi="Arial" w:cs="Arial"/>
                <w:color w:val="000000"/>
                <w:sz w:val="24"/>
                <w:szCs w:val="24"/>
                <w:lang w:eastAsia="ro-RO"/>
              </w:rPr>
              <w:t>DESEURI</w:t>
            </w:r>
          </w:p>
        </w:tc>
        <w:tc>
          <w:tcPr>
            <w:tcW w:w="1443"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9A3EB2">
              <w:rPr>
                <w:rFonts w:ascii="Arial" w:eastAsia="Times New Roman" w:hAnsi="Arial" w:cs="Arial"/>
                <w:color w:val="000000"/>
                <w:sz w:val="24"/>
                <w:szCs w:val="24"/>
                <w:lang w:eastAsia="ro-RO"/>
              </w:rPr>
              <w:t>2</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9A3EB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9A3EB2">
              <w:rPr>
                <w:rFonts w:ascii="Arial" w:eastAsia="Times New Roman" w:hAnsi="Arial" w:cs="Arial"/>
                <w:color w:val="000000"/>
                <w:sz w:val="24"/>
                <w:szCs w:val="24"/>
                <w:lang w:eastAsia="ro-RO"/>
              </w:rPr>
              <w:t>1</w:t>
            </w:r>
          </w:p>
        </w:tc>
      </w:tr>
    </w:tbl>
    <w:p w:rsidR="00CA0B63" w:rsidRDefault="001B23A4" w:rsidP="00F232F6">
      <w:pPr>
        <w:spacing w:before="120" w:after="120" w:line="240" w:lineRule="auto"/>
        <w:jc w:val="center"/>
        <w:rPr>
          <w:rFonts w:ascii="Arial" w:hAnsi="Arial" w:cs="Arial"/>
          <w:b/>
          <w:bCs/>
          <w:sz w:val="24"/>
          <w:szCs w:val="24"/>
        </w:rPr>
      </w:pPr>
      <w:r>
        <w:rPr>
          <w:rFonts w:ascii="Arial" w:hAnsi="Arial" w:cs="Arial"/>
          <w:b/>
          <w:sz w:val="24"/>
          <w:szCs w:val="24"/>
        </w:rPr>
        <w:t>Tabel</w:t>
      </w:r>
      <w:r w:rsidR="00CA0B63" w:rsidRPr="009A3EB2">
        <w:rPr>
          <w:rFonts w:ascii="Arial" w:hAnsi="Arial" w:cs="Arial"/>
          <w:b/>
          <w:sz w:val="24"/>
          <w:szCs w:val="24"/>
        </w:rPr>
        <w:t xml:space="preserve"> I.2.1.2.6. Contribuţia sectoarelor de activitate la emisiile de </w:t>
      </w:r>
      <w:r w:rsidR="00CA0B63" w:rsidRPr="009A3EB2">
        <w:rPr>
          <w:rFonts w:ascii="Arial" w:hAnsi="Arial" w:cs="Arial"/>
          <w:b/>
          <w:bCs/>
          <w:sz w:val="24"/>
          <w:szCs w:val="24"/>
        </w:rPr>
        <w:t>particule primare şi precursori secundari de particule</w:t>
      </w:r>
    </w:p>
    <w:p w:rsidR="00D71325" w:rsidRDefault="00D71325" w:rsidP="00F232F6">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9A3EB2">
        <w:rPr>
          <w:rFonts w:ascii="Arial" w:hAnsi="Arial" w:cs="Arial"/>
          <w:noProof/>
          <w:sz w:val="24"/>
          <w:szCs w:val="24"/>
          <w:lang w:val="ro-RO" w:eastAsia="ro-RO"/>
        </w:rPr>
        <w:drawing>
          <wp:inline distT="0" distB="0" distL="0" distR="0">
            <wp:extent cx="4572000" cy="3162300"/>
            <wp:effectExtent l="19050" t="0" r="19050" b="0"/>
            <wp:docPr id="5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0B63" w:rsidRDefault="00CA0B63" w:rsidP="00CA0B63">
      <w:pPr>
        <w:jc w:val="center"/>
        <w:rPr>
          <w:rFonts w:ascii="Arial" w:hAnsi="Arial" w:cs="Arial"/>
          <w:b/>
          <w:sz w:val="24"/>
          <w:szCs w:val="24"/>
        </w:rPr>
      </w:pPr>
      <w:r>
        <w:rPr>
          <w:rFonts w:ascii="Arial" w:hAnsi="Arial" w:cs="Arial"/>
          <w:b/>
          <w:sz w:val="24"/>
          <w:szCs w:val="24"/>
        </w:rPr>
        <w:t>Figura</w:t>
      </w:r>
      <w:r w:rsidRPr="009A3EB2">
        <w:rPr>
          <w:rFonts w:ascii="Arial" w:hAnsi="Arial" w:cs="Arial"/>
          <w:b/>
          <w:sz w:val="24"/>
          <w:szCs w:val="24"/>
        </w:rPr>
        <w:t xml:space="preserve"> I.2.1.2.6. Contribuţia sectoarelor de activitate la emisiile de </w:t>
      </w:r>
      <w:r w:rsidRPr="009A3EB2">
        <w:rPr>
          <w:rFonts w:ascii="Arial" w:hAnsi="Arial" w:cs="Arial"/>
          <w:b/>
          <w:bCs/>
          <w:sz w:val="24"/>
          <w:szCs w:val="24"/>
        </w:rPr>
        <w:t>particule primare şi precursori secundari de particule</w:t>
      </w:r>
    </w:p>
    <w:p w:rsidR="00CA0B63" w:rsidRPr="00386478" w:rsidRDefault="00CA0B63" w:rsidP="001B23A4">
      <w:pPr>
        <w:spacing w:before="120" w:after="120" w:line="240" w:lineRule="auto"/>
        <w:jc w:val="both"/>
        <w:rPr>
          <w:rFonts w:ascii="Arial" w:hAnsi="Arial" w:cs="Arial"/>
          <w:sz w:val="24"/>
          <w:szCs w:val="24"/>
        </w:rPr>
      </w:pPr>
      <w:r w:rsidRPr="00386478">
        <w:rPr>
          <w:rFonts w:ascii="Arial" w:hAnsi="Arial" w:cs="Arial"/>
          <w:sz w:val="24"/>
          <w:szCs w:val="24"/>
        </w:rPr>
        <w:t xml:space="preserve">Analiza datelor prezentate mai sus confirmă faptul că industria nu reprezintă principala sursă de emisii de </w:t>
      </w:r>
      <w:r w:rsidRPr="00386478">
        <w:rPr>
          <w:rFonts w:ascii="Arial" w:hAnsi="Arial" w:cs="Arial"/>
          <w:bCs/>
          <w:sz w:val="24"/>
          <w:szCs w:val="24"/>
        </w:rPr>
        <w:t>particule primare şi precursori secundari de particule</w:t>
      </w:r>
      <w:r w:rsidRPr="00386478">
        <w:rPr>
          <w:rFonts w:ascii="Arial" w:hAnsi="Arial" w:cs="Arial"/>
          <w:sz w:val="24"/>
          <w:szCs w:val="24"/>
        </w:rPr>
        <w:t>, atât datorită măsurilor tehnologice luate pentru reducerea emisiilor de poluanţi, cât şi diminuării activităţilor industriale.</w:t>
      </w:r>
    </w:p>
    <w:p w:rsidR="00CA0B63" w:rsidRDefault="00CA0B63" w:rsidP="001B23A4">
      <w:pPr>
        <w:spacing w:before="120" w:after="120" w:line="240" w:lineRule="auto"/>
        <w:jc w:val="both"/>
        <w:rPr>
          <w:rFonts w:ascii="Arial" w:hAnsi="Arial" w:cs="Arial"/>
          <w:sz w:val="24"/>
          <w:szCs w:val="24"/>
        </w:rPr>
      </w:pPr>
      <w:r w:rsidRPr="007F6523">
        <w:rPr>
          <w:rFonts w:ascii="Arial" w:hAnsi="Arial" w:cs="Arial"/>
          <w:sz w:val="24"/>
          <w:szCs w:val="24"/>
        </w:rPr>
        <w:t>Contribuţia sectoarelor de</w:t>
      </w:r>
      <w:r>
        <w:rPr>
          <w:rFonts w:ascii="Arial" w:hAnsi="Arial" w:cs="Arial"/>
          <w:sz w:val="24"/>
          <w:szCs w:val="24"/>
        </w:rPr>
        <w:t xml:space="preserve"> activitate din industrie </w:t>
      </w:r>
      <w:r w:rsidRPr="007F6523">
        <w:rPr>
          <w:rFonts w:ascii="Arial" w:hAnsi="Arial" w:cs="Arial"/>
          <w:sz w:val="24"/>
          <w:szCs w:val="24"/>
        </w:rPr>
        <w:t xml:space="preserve">la emisiile de </w:t>
      </w:r>
      <w:r w:rsidRPr="007F6523">
        <w:rPr>
          <w:rFonts w:ascii="Arial" w:hAnsi="Arial" w:cs="Arial"/>
          <w:bCs/>
          <w:sz w:val="24"/>
          <w:szCs w:val="24"/>
        </w:rPr>
        <w:t>particule primare şi precu</w:t>
      </w:r>
      <w:r w:rsidRPr="007F6523">
        <w:rPr>
          <w:rFonts w:ascii="Arial" w:hAnsi="Arial" w:cs="Arial"/>
          <w:bCs/>
          <w:sz w:val="24"/>
          <w:szCs w:val="24"/>
        </w:rPr>
        <w:t>r</w:t>
      </w:r>
      <w:r w:rsidRPr="007F6523">
        <w:rPr>
          <w:rFonts w:ascii="Arial" w:hAnsi="Arial" w:cs="Arial"/>
          <w:bCs/>
          <w:sz w:val="24"/>
          <w:szCs w:val="24"/>
        </w:rPr>
        <w:t>sori secundari de particule</w:t>
      </w:r>
      <w:r w:rsidRPr="007F6523">
        <w:rPr>
          <w:rFonts w:ascii="Arial" w:hAnsi="Arial" w:cs="Arial"/>
          <w:sz w:val="24"/>
          <w:szCs w:val="24"/>
        </w:rPr>
        <w:t>, la nivelul judeţului Buzău, în anul 2014, este</w:t>
      </w:r>
      <w:r>
        <w:rPr>
          <w:rFonts w:ascii="Arial" w:hAnsi="Arial" w:cs="Arial"/>
          <w:sz w:val="24"/>
          <w:szCs w:val="24"/>
        </w:rPr>
        <w:t xml:space="preserve"> prezentată în t</w:t>
      </w:r>
      <w:r>
        <w:rPr>
          <w:rFonts w:ascii="Arial" w:hAnsi="Arial" w:cs="Arial"/>
          <w:sz w:val="24"/>
          <w:szCs w:val="24"/>
        </w:rPr>
        <w:t>a</w:t>
      </w:r>
      <w:r>
        <w:rPr>
          <w:rFonts w:ascii="Arial" w:hAnsi="Arial" w:cs="Arial"/>
          <w:sz w:val="24"/>
          <w:szCs w:val="24"/>
        </w:rPr>
        <w:t>belul I.2.1.2.7. şi figura I.2.1.2.7</w:t>
      </w:r>
      <w:r w:rsidRPr="007F6523">
        <w:rPr>
          <w:rFonts w:ascii="Arial" w:hAnsi="Arial" w:cs="Arial"/>
          <w:sz w:val="24"/>
          <w:szCs w:val="24"/>
        </w:rPr>
        <w:t>.</w:t>
      </w:r>
    </w:p>
    <w:p w:rsidR="001B23A4" w:rsidRDefault="001B23A4" w:rsidP="001B23A4">
      <w:pPr>
        <w:spacing w:before="120" w:after="120" w:line="240" w:lineRule="auto"/>
        <w:jc w:val="both"/>
        <w:rPr>
          <w:rFonts w:ascii="Arial" w:hAnsi="Arial" w:cs="Arial"/>
          <w:sz w:val="24"/>
          <w:szCs w:val="24"/>
        </w:rPr>
      </w:pPr>
    </w:p>
    <w:p w:rsidR="00004D77" w:rsidRPr="007F6523" w:rsidRDefault="00004D77" w:rsidP="001B23A4">
      <w:pPr>
        <w:spacing w:before="120" w:after="120" w:line="240" w:lineRule="auto"/>
        <w:jc w:val="both"/>
        <w:rPr>
          <w:rFonts w:ascii="Arial" w:hAnsi="Arial" w:cs="Arial"/>
          <w:sz w:val="24"/>
          <w:szCs w:val="24"/>
        </w:rPr>
      </w:pPr>
    </w:p>
    <w:tbl>
      <w:tblPr>
        <w:tblW w:w="4890" w:type="dxa"/>
        <w:jc w:val="center"/>
        <w:tblInd w:w="103" w:type="dxa"/>
        <w:tblLook w:val="04A0"/>
      </w:tblPr>
      <w:tblGrid>
        <w:gridCol w:w="1950"/>
        <w:gridCol w:w="1523"/>
        <w:gridCol w:w="1417"/>
      </w:tblGrid>
      <w:tr w:rsidR="00CA0B63" w:rsidRPr="00386478" w:rsidTr="0056118B">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386478" w:rsidRDefault="00CA0B63" w:rsidP="0056118B">
            <w:pPr>
              <w:spacing w:after="0" w:line="240" w:lineRule="auto"/>
              <w:jc w:val="center"/>
              <w:rPr>
                <w:rFonts w:ascii="Arial" w:eastAsia="Times New Roman" w:hAnsi="Arial" w:cs="Arial"/>
                <w:b/>
                <w:color w:val="000000"/>
                <w:sz w:val="24"/>
                <w:szCs w:val="24"/>
                <w:lang w:eastAsia="ro-RO"/>
              </w:rPr>
            </w:pPr>
            <w:r w:rsidRPr="00386478">
              <w:rPr>
                <w:rFonts w:ascii="Arial" w:eastAsia="Times New Roman" w:hAnsi="Arial" w:cs="Arial"/>
                <w:b/>
                <w:color w:val="000000"/>
                <w:sz w:val="24"/>
                <w:szCs w:val="24"/>
                <w:lang w:eastAsia="ro-RO"/>
              </w:rPr>
              <w:lastRenderedPageBreak/>
              <w:t>SECTOR I</w:t>
            </w:r>
            <w:r w:rsidRPr="00386478">
              <w:rPr>
                <w:rFonts w:ascii="Arial" w:eastAsia="Times New Roman" w:hAnsi="Arial" w:cs="Arial"/>
                <w:b/>
                <w:color w:val="000000"/>
                <w:sz w:val="24"/>
                <w:szCs w:val="24"/>
                <w:lang w:eastAsia="ro-RO"/>
              </w:rPr>
              <w:t>N</w:t>
            </w:r>
            <w:r w:rsidRPr="00386478">
              <w:rPr>
                <w:rFonts w:ascii="Arial" w:eastAsia="Times New Roman" w:hAnsi="Arial" w:cs="Arial"/>
                <w:b/>
                <w:color w:val="000000"/>
                <w:sz w:val="24"/>
                <w:szCs w:val="24"/>
                <w:lang w:eastAsia="ro-RO"/>
              </w:rPr>
              <w:t>DUSTRIAL</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CA0B63" w:rsidRPr="00386478" w:rsidRDefault="00CA0B63" w:rsidP="0056118B">
            <w:pPr>
              <w:spacing w:after="0" w:line="240" w:lineRule="auto"/>
              <w:jc w:val="center"/>
              <w:rPr>
                <w:rFonts w:ascii="Arial" w:eastAsia="Times New Roman" w:hAnsi="Arial" w:cs="Arial"/>
                <w:b/>
                <w:color w:val="000000"/>
                <w:sz w:val="24"/>
                <w:szCs w:val="24"/>
                <w:lang w:eastAsia="ro-RO"/>
              </w:rPr>
            </w:pPr>
            <w:r w:rsidRPr="00386478">
              <w:rPr>
                <w:rFonts w:ascii="Arial" w:eastAsia="Times New Roman" w:hAnsi="Arial" w:cs="Arial"/>
                <w:b/>
                <w:color w:val="000000"/>
                <w:sz w:val="24"/>
                <w:szCs w:val="24"/>
                <w:lang w:eastAsia="ro-RO"/>
              </w:rPr>
              <w:t>PM2,5</w:t>
            </w:r>
            <w:r>
              <w:rPr>
                <w:rFonts w:ascii="Arial" w:eastAsia="Times New Roman" w:hAnsi="Arial" w:cs="Arial"/>
                <w:b/>
                <w:color w:val="000000"/>
                <w:sz w:val="24"/>
                <w:szCs w:val="24"/>
                <w:lang w:eastAsia="ro-RO"/>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A0B63" w:rsidRPr="00386478" w:rsidRDefault="00CA0B63" w:rsidP="0056118B">
            <w:pPr>
              <w:spacing w:after="0" w:line="240" w:lineRule="auto"/>
              <w:jc w:val="center"/>
              <w:rPr>
                <w:rFonts w:ascii="Arial" w:eastAsia="Times New Roman" w:hAnsi="Arial" w:cs="Arial"/>
                <w:b/>
                <w:color w:val="000000"/>
                <w:sz w:val="24"/>
                <w:szCs w:val="24"/>
                <w:lang w:eastAsia="ro-RO"/>
              </w:rPr>
            </w:pPr>
            <w:r w:rsidRPr="00386478">
              <w:rPr>
                <w:rFonts w:ascii="Arial" w:eastAsia="Times New Roman" w:hAnsi="Arial" w:cs="Arial"/>
                <w:b/>
                <w:color w:val="000000"/>
                <w:sz w:val="24"/>
                <w:szCs w:val="24"/>
                <w:lang w:eastAsia="ro-RO"/>
              </w:rPr>
              <w:t>PM10</w:t>
            </w:r>
            <w:r>
              <w:rPr>
                <w:rFonts w:ascii="Arial" w:eastAsia="Times New Roman" w:hAnsi="Arial" w:cs="Arial"/>
                <w:b/>
                <w:color w:val="000000"/>
                <w:sz w:val="24"/>
                <w:szCs w:val="24"/>
                <w:lang w:eastAsia="ro-RO"/>
              </w:rPr>
              <w:t>, %</w:t>
            </w:r>
          </w:p>
        </w:tc>
      </w:tr>
      <w:tr w:rsidR="00CA0B63" w:rsidRPr="00386478"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386478" w:rsidRDefault="00CA0B63" w:rsidP="0056118B">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IND. METALURGICĂ</w:t>
            </w:r>
          </w:p>
        </w:tc>
        <w:tc>
          <w:tcPr>
            <w:tcW w:w="1523" w:type="dxa"/>
            <w:tcBorders>
              <w:top w:val="nil"/>
              <w:left w:val="nil"/>
              <w:bottom w:val="single" w:sz="4" w:space="0" w:color="auto"/>
              <w:right w:val="single" w:sz="4" w:space="0" w:color="auto"/>
            </w:tcBorders>
            <w:shd w:val="clear" w:color="auto" w:fill="auto"/>
            <w:noWrap/>
            <w:vAlign w:val="center"/>
            <w:hideMark/>
          </w:tcPr>
          <w:p w:rsidR="00CA0B63" w:rsidRPr="0038647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386478">
              <w:rPr>
                <w:rFonts w:ascii="Arial" w:eastAsia="Times New Roman" w:hAnsi="Arial" w:cs="Arial"/>
                <w:color w:val="000000"/>
                <w:sz w:val="24"/>
                <w:szCs w:val="24"/>
                <w:lang w:eastAsia="ro-RO"/>
              </w:rPr>
              <w:t>8</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38647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386478">
              <w:rPr>
                <w:rFonts w:ascii="Arial" w:eastAsia="Times New Roman" w:hAnsi="Arial" w:cs="Arial"/>
                <w:color w:val="000000"/>
                <w:sz w:val="24"/>
                <w:szCs w:val="24"/>
                <w:lang w:eastAsia="ro-RO"/>
              </w:rPr>
              <w:t>7</w:t>
            </w:r>
          </w:p>
        </w:tc>
      </w:tr>
      <w:tr w:rsidR="00CA0B63" w:rsidRPr="00386478"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386478" w:rsidRDefault="00CA0B63" w:rsidP="0056118B">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IND. ALIMENTARĂ</w:t>
            </w:r>
          </w:p>
        </w:tc>
        <w:tc>
          <w:tcPr>
            <w:tcW w:w="1523" w:type="dxa"/>
            <w:tcBorders>
              <w:top w:val="nil"/>
              <w:left w:val="nil"/>
              <w:bottom w:val="single" w:sz="4" w:space="0" w:color="auto"/>
              <w:right w:val="single" w:sz="4" w:space="0" w:color="auto"/>
            </w:tcBorders>
            <w:shd w:val="clear" w:color="auto" w:fill="auto"/>
            <w:noWrap/>
            <w:vAlign w:val="center"/>
            <w:hideMark/>
          </w:tcPr>
          <w:p w:rsidR="00CA0B63" w:rsidRPr="00386478" w:rsidRDefault="00CA0B63" w:rsidP="00004D77">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56</w:t>
            </w:r>
            <w:r w:rsidR="00004D77">
              <w:rPr>
                <w:rFonts w:ascii="Arial" w:eastAsia="Times New Roman" w:hAnsi="Arial" w:cs="Arial"/>
                <w:color w:val="000000"/>
                <w:sz w:val="24"/>
                <w:szCs w:val="24"/>
                <w:lang w:eastAsia="ro-RO"/>
              </w:rPr>
              <w:t>,</w:t>
            </w:r>
            <w:r w:rsidRPr="00386478">
              <w:rPr>
                <w:rFonts w:ascii="Arial" w:eastAsia="Times New Roman" w:hAnsi="Arial" w:cs="Arial"/>
                <w:color w:val="000000"/>
                <w:sz w:val="24"/>
                <w:szCs w:val="24"/>
                <w:lang w:eastAsia="ro-RO"/>
              </w:rPr>
              <w:t>6</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386478" w:rsidRDefault="00CA0B63" w:rsidP="0056118B">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10</w:t>
            </w:r>
          </w:p>
        </w:tc>
      </w:tr>
      <w:tr w:rsidR="00CA0B63" w:rsidRPr="00386478" w:rsidTr="0056118B">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386478" w:rsidRDefault="00CA0B63" w:rsidP="0056118B">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EXTRACŢIE PETROL ŞI GAZE</w:t>
            </w:r>
          </w:p>
        </w:tc>
        <w:tc>
          <w:tcPr>
            <w:tcW w:w="1523" w:type="dxa"/>
            <w:tcBorders>
              <w:top w:val="nil"/>
              <w:left w:val="nil"/>
              <w:bottom w:val="single" w:sz="4" w:space="0" w:color="auto"/>
              <w:right w:val="single" w:sz="4" w:space="0" w:color="auto"/>
            </w:tcBorders>
            <w:shd w:val="clear" w:color="auto" w:fill="auto"/>
            <w:noWrap/>
            <w:vAlign w:val="center"/>
            <w:hideMark/>
          </w:tcPr>
          <w:p w:rsidR="00CA0B63" w:rsidRPr="0038647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86478">
              <w:rPr>
                <w:rFonts w:ascii="Arial" w:eastAsia="Times New Roman" w:hAnsi="Arial" w:cs="Arial"/>
                <w:color w:val="000000"/>
                <w:sz w:val="24"/>
                <w:szCs w:val="24"/>
                <w:lang w:eastAsia="ro-RO"/>
              </w:rPr>
              <w:t>12</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38647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86478">
              <w:rPr>
                <w:rFonts w:ascii="Arial" w:eastAsia="Times New Roman" w:hAnsi="Arial" w:cs="Arial"/>
                <w:color w:val="000000"/>
                <w:sz w:val="24"/>
                <w:szCs w:val="24"/>
                <w:lang w:eastAsia="ro-RO"/>
              </w:rPr>
              <w:t>04</w:t>
            </w:r>
          </w:p>
        </w:tc>
      </w:tr>
      <w:tr w:rsidR="00CA0B63" w:rsidRPr="00386478"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386478" w:rsidRDefault="00CA0B63" w:rsidP="0056118B">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PRODUCŢIE ASFALT</w:t>
            </w:r>
          </w:p>
        </w:tc>
        <w:tc>
          <w:tcPr>
            <w:tcW w:w="1523" w:type="dxa"/>
            <w:tcBorders>
              <w:top w:val="nil"/>
              <w:left w:val="nil"/>
              <w:bottom w:val="single" w:sz="4" w:space="0" w:color="auto"/>
              <w:right w:val="single" w:sz="4" w:space="0" w:color="auto"/>
            </w:tcBorders>
            <w:shd w:val="clear" w:color="auto" w:fill="auto"/>
            <w:noWrap/>
            <w:vAlign w:val="center"/>
            <w:hideMark/>
          </w:tcPr>
          <w:p w:rsidR="00CA0B63" w:rsidRPr="00386478" w:rsidRDefault="00CA0B63" w:rsidP="00004D77">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33</w:t>
            </w:r>
            <w:r w:rsidR="00004D77">
              <w:rPr>
                <w:rFonts w:ascii="Arial" w:eastAsia="Times New Roman" w:hAnsi="Arial" w:cs="Arial"/>
                <w:color w:val="000000"/>
                <w:sz w:val="24"/>
                <w:szCs w:val="24"/>
                <w:lang w:eastAsia="ro-RO"/>
              </w:rPr>
              <w:t>,</w:t>
            </w:r>
            <w:r w:rsidRPr="00386478">
              <w:rPr>
                <w:rFonts w:ascii="Arial" w:eastAsia="Times New Roman" w:hAnsi="Arial" w:cs="Arial"/>
                <w:color w:val="000000"/>
                <w:sz w:val="24"/>
                <w:szCs w:val="24"/>
                <w:lang w:eastAsia="ro-RO"/>
              </w:rPr>
              <w:t>84</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38647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86,</w:t>
            </w:r>
            <w:r w:rsidR="00CA0B63" w:rsidRPr="00386478">
              <w:rPr>
                <w:rFonts w:ascii="Arial" w:eastAsia="Times New Roman" w:hAnsi="Arial" w:cs="Arial"/>
                <w:color w:val="000000"/>
                <w:sz w:val="24"/>
                <w:szCs w:val="24"/>
                <w:lang w:eastAsia="ro-RO"/>
              </w:rPr>
              <w:t>4</w:t>
            </w:r>
          </w:p>
        </w:tc>
      </w:tr>
      <w:tr w:rsidR="00CA0B63" w:rsidRPr="00386478" w:rsidTr="0056118B">
        <w:trPr>
          <w:trHeight w:val="3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386478" w:rsidRDefault="00CA0B63" w:rsidP="0056118B">
            <w:pPr>
              <w:spacing w:after="0" w:line="240" w:lineRule="auto"/>
              <w:jc w:val="center"/>
              <w:rPr>
                <w:rFonts w:ascii="Arial" w:eastAsia="Times New Roman" w:hAnsi="Arial" w:cs="Arial"/>
                <w:color w:val="000000"/>
                <w:sz w:val="24"/>
                <w:szCs w:val="24"/>
                <w:lang w:eastAsia="ro-RO"/>
              </w:rPr>
            </w:pPr>
            <w:r w:rsidRPr="00386478">
              <w:rPr>
                <w:rFonts w:ascii="Arial" w:eastAsia="Times New Roman" w:hAnsi="Arial" w:cs="Arial"/>
                <w:color w:val="000000"/>
                <w:sz w:val="24"/>
                <w:szCs w:val="24"/>
                <w:lang w:eastAsia="ro-RO"/>
              </w:rPr>
              <w:t>ALTELE</w:t>
            </w:r>
          </w:p>
        </w:tc>
        <w:tc>
          <w:tcPr>
            <w:tcW w:w="1523" w:type="dxa"/>
            <w:tcBorders>
              <w:top w:val="nil"/>
              <w:left w:val="nil"/>
              <w:bottom w:val="single" w:sz="4" w:space="0" w:color="auto"/>
              <w:right w:val="single" w:sz="4" w:space="0" w:color="auto"/>
            </w:tcBorders>
            <w:shd w:val="clear" w:color="auto" w:fill="auto"/>
            <w:noWrap/>
            <w:vAlign w:val="center"/>
            <w:hideMark/>
          </w:tcPr>
          <w:p w:rsidR="00CA0B63" w:rsidRPr="0038647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386478">
              <w:rPr>
                <w:rFonts w:ascii="Arial" w:eastAsia="Times New Roman" w:hAnsi="Arial" w:cs="Arial"/>
                <w:color w:val="000000"/>
                <w:sz w:val="24"/>
                <w:szCs w:val="24"/>
                <w:lang w:eastAsia="ro-RO"/>
              </w:rPr>
              <w:t>64</w:t>
            </w:r>
          </w:p>
        </w:tc>
        <w:tc>
          <w:tcPr>
            <w:tcW w:w="1417" w:type="dxa"/>
            <w:tcBorders>
              <w:top w:val="nil"/>
              <w:left w:val="nil"/>
              <w:bottom w:val="single" w:sz="4" w:space="0" w:color="auto"/>
              <w:right w:val="single" w:sz="4" w:space="0" w:color="auto"/>
            </w:tcBorders>
            <w:shd w:val="clear" w:color="auto" w:fill="auto"/>
            <w:noWrap/>
            <w:vAlign w:val="center"/>
            <w:hideMark/>
          </w:tcPr>
          <w:p w:rsidR="00CA0B63" w:rsidRPr="00386478"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386478">
              <w:rPr>
                <w:rFonts w:ascii="Arial" w:eastAsia="Times New Roman" w:hAnsi="Arial" w:cs="Arial"/>
                <w:color w:val="000000"/>
                <w:sz w:val="24"/>
                <w:szCs w:val="24"/>
                <w:lang w:eastAsia="ro-RO"/>
              </w:rPr>
              <w:t>86</w:t>
            </w:r>
          </w:p>
        </w:tc>
      </w:tr>
    </w:tbl>
    <w:p w:rsidR="00CA0B63" w:rsidRDefault="00CA0B63" w:rsidP="001B23A4">
      <w:pPr>
        <w:spacing w:before="120" w:after="120" w:line="240" w:lineRule="auto"/>
        <w:jc w:val="center"/>
        <w:rPr>
          <w:rFonts w:ascii="Arial" w:hAnsi="Arial" w:cs="Arial"/>
          <w:b/>
          <w:sz w:val="24"/>
          <w:szCs w:val="24"/>
        </w:rPr>
      </w:pPr>
      <w:r w:rsidRPr="009A3EB2">
        <w:rPr>
          <w:rFonts w:ascii="Arial" w:hAnsi="Arial" w:cs="Arial"/>
          <w:b/>
          <w:sz w:val="24"/>
          <w:szCs w:val="24"/>
        </w:rPr>
        <w:t>T</w:t>
      </w:r>
      <w:r w:rsidR="001B23A4">
        <w:rPr>
          <w:rFonts w:ascii="Arial" w:hAnsi="Arial" w:cs="Arial"/>
          <w:b/>
          <w:sz w:val="24"/>
          <w:szCs w:val="24"/>
        </w:rPr>
        <w:t>abel</w:t>
      </w:r>
      <w:r w:rsidRPr="009A3EB2">
        <w:rPr>
          <w:rFonts w:ascii="Arial" w:hAnsi="Arial" w:cs="Arial"/>
          <w:b/>
          <w:sz w:val="24"/>
          <w:szCs w:val="24"/>
        </w:rPr>
        <w:t xml:space="preserve"> I.2.1.2</w:t>
      </w:r>
      <w:r>
        <w:rPr>
          <w:rFonts w:ascii="Arial" w:hAnsi="Arial" w:cs="Arial"/>
          <w:b/>
          <w:sz w:val="24"/>
          <w:szCs w:val="24"/>
        </w:rPr>
        <w:t>.7</w:t>
      </w:r>
      <w:r w:rsidRPr="009A3EB2">
        <w:rPr>
          <w:rFonts w:ascii="Arial" w:hAnsi="Arial" w:cs="Arial"/>
          <w:b/>
          <w:sz w:val="24"/>
          <w:szCs w:val="24"/>
        </w:rPr>
        <w:t>. Contribuţia sectoarelor de activitate</w:t>
      </w:r>
      <w:r>
        <w:rPr>
          <w:rFonts w:ascii="Arial" w:hAnsi="Arial" w:cs="Arial"/>
          <w:b/>
          <w:sz w:val="24"/>
          <w:szCs w:val="24"/>
        </w:rPr>
        <w:t xml:space="preserve"> din industrie</w:t>
      </w:r>
      <w:r w:rsidRPr="009A3EB2">
        <w:rPr>
          <w:rFonts w:ascii="Arial" w:hAnsi="Arial" w:cs="Arial"/>
          <w:b/>
          <w:sz w:val="24"/>
          <w:szCs w:val="24"/>
        </w:rPr>
        <w:t xml:space="preserve"> la emisiile de </w:t>
      </w:r>
      <w:r w:rsidRPr="009A3EB2">
        <w:rPr>
          <w:rFonts w:ascii="Arial" w:hAnsi="Arial" w:cs="Arial"/>
          <w:b/>
          <w:bCs/>
          <w:sz w:val="24"/>
          <w:szCs w:val="24"/>
        </w:rPr>
        <w:t>part</w:t>
      </w:r>
      <w:r w:rsidRPr="009A3EB2">
        <w:rPr>
          <w:rFonts w:ascii="Arial" w:hAnsi="Arial" w:cs="Arial"/>
          <w:b/>
          <w:bCs/>
          <w:sz w:val="24"/>
          <w:szCs w:val="24"/>
        </w:rPr>
        <w:t>i</w:t>
      </w:r>
      <w:r w:rsidRPr="009A3EB2">
        <w:rPr>
          <w:rFonts w:ascii="Arial" w:hAnsi="Arial" w:cs="Arial"/>
          <w:b/>
          <w:bCs/>
          <w:sz w:val="24"/>
          <w:szCs w:val="24"/>
        </w:rPr>
        <w:t>cule primare şi precursori secundari de particule</w:t>
      </w:r>
    </w:p>
    <w:p w:rsidR="00CA0B63" w:rsidRDefault="00CA0B63" w:rsidP="00CA0B63">
      <w:pPr>
        <w:jc w:val="both"/>
        <w:rPr>
          <w:rFonts w:ascii="Arial" w:hAnsi="Arial" w:cs="Arial"/>
          <w:sz w:val="24"/>
          <w:szCs w:val="24"/>
        </w:rPr>
      </w:pPr>
    </w:p>
    <w:p w:rsidR="00CA0B63" w:rsidRDefault="00CA0B63" w:rsidP="00CA0B63">
      <w:pPr>
        <w:jc w:val="center"/>
        <w:rPr>
          <w:rFonts w:ascii="Arial" w:hAnsi="Arial" w:cs="Arial"/>
          <w:sz w:val="24"/>
          <w:szCs w:val="24"/>
        </w:rPr>
      </w:pPr>
      <w:r w:rsidRPr="007E71D2">
        <w:rPr>
          <w:rFonts w:ascii="Arial" w:hAnsi="Arial" w:cs="Arial"/>
          <w:noProof/>
          <w:sz w:val="24"/>
          <w:szCs w:val="24"/>
          <w:lang w:val="ro-RO" w:eastAsia="ro-RO"/>
        </w:rPr>
        <w:drawing>
          <wp:inline distT="0" distB="0" distL="0" distR="0">
            <wp:extent cx="4572000" cy="3371850"/>
            <wp:effectExtent l="19050" t="0" r="19050" b="0"/>
            <wp:docPr id="5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A0B63" w:rsidRDefault="00CA0B63" w:rsidP="00CA0B63">
      <w:pPr>
        <w:jc w:val="center"/>
        <w:rPr>
          <w:rFonts w:ascii="Arial" w:hAnsi="Arial" w:cs="Arial"/>
          <w:b/>
          <w:sz w:val="24"/>
          <w:szCs w:val="24"/>
        </w:rPr>
      </w:pPr>
      <w:r>
        <w:rPr>
          <w:rFonts w:ascii="Arial" w:hAnsi="Arial" w:cs="Arial"/>
          <w:b/>
          <w:sz w:val="24"/>
          <w:szCs w:val="24"/>
        </w:rPr>
        <w:t xml:space="preserve">Figura </w:t>
      </w:r>
      <w:r w:rsidRPr="009A3EB2">
        <w:rPr>
          <w:rFonts w:ascii="Arial" w:hAnsi="Arial" w:cs="Arial"/>
          <w:b/>
          <w:sz w:val="24"/>
          <w:szCs w:val="24"/>
        </w:rPr>
        <w:t>I.2.1.2</w:t>
      </w:r>
      <w:r>
        <w:rPr>
          <w:rFonts w:ascii="Arial" w:hAnsi="Arial" w:cs="Arial"/>
          <w:b/>
          <w:sz w:val="24"/>
          <w:szCs w:val="24"/>
        </w:rPr>
        <w:t>.7</w:t>
      </w:r>
      <w:r w:rsidRPr="009A3EB2">
        <w:rPr>
          <w:rFonts w:ascii="Arial" w:hAnsi="Arial" w:cs="Arial"/>
          <w:b/>
          <w:sz w:val="24"/>
          <w:szCs w:val="24"/>
        </w:rPr>
        <w:t>. Contribuţia sectoarelor de activitate</w:t>
      </w:r>
      <w:r>
        <w:rPr>
          <w:rFonts w:ascii="Arial" w:hAnsi="Arial" w:cs="Arial"/>
          <w:b/>
          <w:sz w:val="24"/>
          <w:szCs w:val="24"/>
        </w:rPr>
        <w:t xml:space="preserve"> din industrie</w:t>
      </w:r>
      <w:r w:rsidRPr="009A3EB2">
        <w:rPr>
          <w:rFonts w:ascii="Arial" w:hAnsi="Arial" w:cs="Arial"/>
          <w:b/>
          <w:sz w:val="24"/>
          <w:szCs w:val="24"/>
        </w:rPr>
        <w:t xml:space="preserve"> la emisiile de </w:t>
      </w:r>
      <w:r w:rsidRPr="009A3EB2">
        <w:rPr>
          <w:rFonts w:ascii="Arial" w:hAnsi="Arial" w:cs="Arial"/>
          <w:b/>
          <w:bCs/>
          <w:sz w:val="24"/>
          <w:szCs w:val="24"/>
        </w:rPr>
        <w:t>pa</w:t>
      </w:r>
      <w:r w:rsidRPr="009A3EB2">
        <w:rPr>
          <w:rFonts w:ascii="Arial" w:hAnsi="Arial" w:cs="Arial"/>
          <w:b/>
          <w:bCs/>
          <w:sz w:val="24"/>
          <w:szCs w:val="24"/>
        </w:rPr>
        <w:t>r</w:t>
      </w:r>
      <w:r w:rsidRPr="009A3EB2">
        <w:rPr>
          <w:rFonts w:ascii="Arial" w:hAnsi="Arial" w:cs="Arial"/>
          <w:b/>
          <w:bCs/>
          <w:sz w:val="24"/>
          <w:szCs w:val="24"/>
        </w:rPr>
        <w:t>ticule primare şi precursori secundari de particule</w:t>
      </w:r>
    </w:p>
    <w:p w:rsidR="00D71325" w:rsidRDefault="00D71325" w:rsidP="001B23A4">
      <w:pPr>
        <w:spacing w:before="120" w:after="120" w:line="240" w:lineRule="auto"/>
        <w:jc w:val="both"/>
        <w:rPr>
          <w:rFonts w:ascii="Arial" w:hAnsi="Arial" w:cs="Arial"/>
          <w:sz w:val="24"/>
          <w:szCs w:val="24"/>
        </w:rPr>
      </w:pPr>
    </w:p>
    <w:p w:rsidR="00CA0B63" w:rsidRDefault="00CA0B63" w:rsidP="001B23A4">
      <w:pPr>
        <w:spacing w:before="120" w:after="120" w:line="240" w:lineRule="auto"/>
        <w:jc w:val="both"/>
        <w:rPr>
          <w:rFonts w:ascii="Arial" w:hAnsi="Arial" w:cs="Arial"/>
          <w:sz w:val="24"/>
          <w:szCs w:val="24"/>
        </w:rPr>
      </w:pPr>
      <w:r>
        <w:rPr>
          <w:rFonts w:ascii="Arial" w:hAnsi="Arial" w:cs="Arial"/>
          <w:sz w:val="24"/>
          <w:szCs w:val="24"/>
        </w:rPr>
        <w:t xml:space="preserve">Analizând datele prezentate mai sus, se observă că principalele surse de emisie de </w:t>
      </w:r>
      <w:r w:rsidRPr="00386478">
        <w:rPr>
          <w:rFonts w:ascii="Arial" w:hAnsi="Arial" w:cs="Arial"/>
          <w:bCs/>
          <w:sz w:val="24"/>
          <w:szCs w:val="24"/>
        </w:rPr>
        <w:t>part</w:t>
      </w:r>
      <w:r w:rsidRPr="00386478">
        <w:rPr>
          <w:rFonts w:ascii="Arial" w:hAnsi="Arial" w:cs="Arial"/>
          <w:bCs/>
          <w:sz w:val="24"/>
          <w:szCs w:val="24"/>
        </w:rPr>
        <w:t>i</w:t>
      </w:r>
      <w:r w:rsidRPr="00386478">
        <w:rPr>
          <w:rFonts w:ascii="Arial" w:hAnsi="Arial" w:cs="Arial"/>
          <w:bCs/>
          <w:sz w:val="24"/>
          <w:szCs w:val="24"/>
        </w:rPr>
        <w:t>cule primare şi precursori secundari de particule</w:t>
      </w:r>
      <w:r>
        <w:rPr>
          <w:rFonts w:ascii="Arial" w:hAnsi="Arial" w:cs="Arial"/>
          <w:sz w:val="24"/>
          <w:szCs w:val="24"/>
        </w:rPr>
        <w:t xml:space="preserve"> din sectorul industrial sunt industria alimentară, profil reprezentat de un număr mai mare de operatori economici, cu produse şi tehnologii variate (producţie de pâine, ulei, zahăr, băuturi, tutun, etc.) şi producţia de asfalt şi asfaltare drumuri din cauza proceselor tehnologice.</w:t>
      </w:r>
    </w:p>
    <w:p w:rsidR="00D71325" w:rsidRDefault="00D71325" w:rsidP="001B23A4">
      <w:pPr>
        <w:spacing w:before="120" w:after="120" w:line="240" w:lineRule="auto"/>
        <w:jc w:val="both"/>
        <w:rPr>
          <w:rFonts w:ascii="Arial" w:hAnsi="Arial" w:cs="Arial"/>
          <w:b/>
          <w:sz w:val="24"/>
          <w:szCs w:val="24"/>
        </w:rPr>
      </w:pPr>
    </w:p>
    <w:p w:rsidR="00CA0B63" w:rsidRPr="00890891" w:rsidRDefault="00CA0B63" w:rsidP="001B23A4">
      <w:pPr>
        <w:spacing w:before="120" w:after="120" w:line="240" w:lineRule="auto"/>
        <w:jc w:val="both"/>
        <w:rPr>
          <w:rFonts w:ascii="Arial" w:hAnsi="Arial" w:cs="Arial"/>
          <w:b/>
          <w:sz w:val="24"/>
          <w:szCs w:val="24"/>
        </w:rPr>
      </w:pPr>
      <w:r w:rsidRPr="00890891">
        <w:rPr>
          <w:rFonts w:ascii="Arial" w:hAnsi="Arial" w:cs="Arial"/>
          <w:b/>
          <w:sz w:val="24"/>
          <w:szCs w:val="24"/>
        </w:rPr>
        <w:lastRenderedPageBreak/>
        <w:t xml:space="preserve">d) </w:t>
      </w:r>
      <w:r w:rsidRPr="00890891">
        <w:rPr>
          <w:rFonts w:ascii="Arial" w:hAnsi="Arial" w:cs="Arial"/>
          <w:b/>
          <w:bCs/>
          <w:sz w:val="24"/>
          <w:szCs w:val="24"/>
        </w:rPr>
        <w:t>Emisii de metale grele</w:t>
      </w:r>
    </w:p>
    <w:p w:rsidR="00CA0B63" w:rsidRDefault="00CA0B63" w:rsidP="001B23A4">
      <w:pPr>
        <w:spacing w:before="120" w:after="120" w:line="240" w:lineRule="auto"/>
        <w:jc w:val="both"/>
        <w:rPr>
          <w:rFonts w:ascii="Arial" w:hAnsi="Arial" w:cs="Arial"/>
          <w:sz w:val="24"/>
          <w:szCs w:val="24"/>
        </w:rPr>
      </w:pPr>
      <w:r w:rsidRPr="007F6523">
        <w:rPr>
          <w:rFonts w:ascii="Arial" w:hAnsi="Arial" w:cs="Arial"/>
          <w:sz w:val="24"/>
          <w:szCs w:val="24"/>
        </w:rPr>
        <w:t>Contribuţia secto</w:t>
      </w:r>
      <w:r>
        <w:rPr>
          <w:rFonts w:ascii="Arial" w:hAnsi="Arial" w:cs="Arial"/>
          <w:sz w:val="24"/>
          <w:szCs w:val="24"/>
        </w:rPr>
        <w:t>arelor de activitate</w:t>
      </w:r>
      <w:r w:rsidRPr="007F6523">
        <w:rPr>
          <w:rFonts w:ascii="Arial" w:hAnsi="Arial" w:cs="Arial"/>
          <w:sz w:val="24"/>
          <w:szCs w:val="24"/>
        </w:rPr>
        <w:t xml:space="preserve"> la emisiile de </w:t>
      </w:r>
      <w:r>
        <w:rPr>
          <w:rFonts w:ascii="Arial" w:hAnsi="Arial" w:cs="Arial"/>
          <w:sz w:val="24"/>
          <w:szCs w:val="24"/>
        </w:rPr>
        <w:t>metale grele</w:t>
      </w:r>
      <w:r w:rsidRPr="007F6523">
        <w:rPr>
          <w:rFonts w:ascii="Arial" w:hAnsi="Arial" w:cs="Arial"/>
          <w:sz w:val="24"/>
          <w:szCs w:val="24"/>
        </w:rPr>
        <w:t xml:space="preserve">, la nivelul judeţului Buzău, în anul 2014, este </w:t>
      </w:r>
      <w:r>
        <w:rPr>
          <w:rFonts w:ascii="Arial" w:hAnsi="Arial" w:cs="Arial"/>
          <w:sz w:val="24"/>
          <w:szCs w:val="24"/>
        </w:rPr>
        <w:t>prezentată în tabelul I.2.1.2.8. şi figura I.2.1.2</w:t>
      </w:r>
      <w:r w:rsidRPr="007F6523">
        <w:rPr>
          <w:rFonts w:ascii="Arial" w:hAnsi="Arial" w:cs="Arial"/>
          <w:sz w:val="24"/>
          <w:szCs w:val="24"/>
        </w:rPr>
        <w:t>.</w:t>
      </w:r>
      <w:r>
        <w:rPr>
          <w:rFonts w:ascii="Arial" w:hAnsi="Arial" w:cs="Arial"/>
          <w:sz w:val="24"/>
          <w:szCs w:val="24"/>
        </w:rPr>
        <w:t>8</w:t>
      </w:r>
      <w:r w:rsidRPr="007F6523">
        <w:rPr>
          <w:rFonts w:ascii="Arial" w:hAnsi="Arial" w:cs="Arial"/>
          <w:sz w:val="24"/>
          <w:szCs w:val="24"/>
        </w:rPr>
        <w:t>.</w:t>
      </w:r>
    </w:p>
    <w:p w:rsidR="00D71325" w:rsidRPr="007F6523" w:rsidRDefault="00D71325" w:rsidP="001B23A4">
      <w:pPr>
        <w:spacing w:before="120" w:after="120" w:line="240" w:lineRule="auto"/>
        <w:jc w:val="both"/>
        <w:rPr>
          <w:rFonts w:ascii="Arial" w:hAnsi="Arial" w:cs="Arial"/>
          <w:sz w:val="24"/>
          <w:szCs w:val="24"/>
        </w:rPr>
      </w:pPr>
    </w:p>
    <w:tbl>
      <w:tblPr>
        <w:tblW w:w="6330" w:type="dxa"/>
        <w:jc w:val="center"/>
        <w:tblInd w:w="103" w:type="dxa"/>
        <w:tblLook w:val="04A0"/>
      </w:tblPr>
      <w:tblGrid>
        <w:gridCol w:w="2110"/>
        <w:gridCol w:w="1220"/>
        <w:gridCol w:w="1220"/>
        <w:gridCol w:w="1780"/>
      </w:tblGrid>
      <w:tr w:rsidR="00CA0B63" w:rsidRPr="007E71D2" w:rsidTr="0056118B">
        <w:trPr>
          <w:trHeight w:val="1200"/>
          <w:jc w:val="center"/>
        </w:trPr>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7E71D2" w:rsidRDefault="00CA0B63" w:rsidP="0056118B">
            <w:pPr>
              <w:spacing w:after="0" w:line="240" w:lineRule="auto"/>
              <w:jc w:val="center"/>
              <w:rPr>
                <w:rFonts w:ascii="Arial" w:eastAsia="Times New Roman" w:hAnsi="Arial" w:cs="Arial"/>
                <w:b/>
                <w:color w:val="000000"/>
                <w:sz w:val="24"/>
                <w:szCs w:val="24"/>
                <w:lang w:eastAsia="ro-RO"/>
              </w:rPr>
            </w:pPr>
            <w:r w:rsidRPr="007E71D2">
              <w:rPr>
                <w:rFonts w:ascii="Arial" w:eastAsia="Times New Roman" w:hAnsi="Arial" w:cs="Arial"/>
                <w:b/>
                <w:color w:val="000000"/>
                <w:sz w:val="24"/>
                <w:szCs w:val="24"/>
                <w:lang w:eastAsia="ro-RO"/>
              </w:rPr>
              <w:t>SECTOR DE ACTIVITATE</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E71D2" w:rsidRDefault="00CA0B63" w:rsidP="0056118B">
            <w:pPr>
              <w:spacing w:after="0" w:line="240" w:lineRule="auto"/>
              <w:jc w:val="center"/>
              <w:rPr>
                <w:rFonts w:ascii="Arial" w:eastAsia="Times New Roman" w:hAnsi="Arial" w:cs="Arial"/>
                <w:b/>
                <w:color w:val="000000"/>
                <w:sz w:val="24"/>
                <w:szCs w:val="24"/>
                <w:lang w:eastAsia="ro-RO"/>
              </w:rPr>
            </w:pPr>
            <w:r w:rsidRPr="007E71D2">
              <w:rPr>
                <w:rFonts w:ascii="Arial" w:eastAsia="Times New Roman" w:hAnsi="Arial" w:cs="Arial"/>
                <w:b/>
                <w:color w:val="000000"/>
                <w:sz w:val="24"/>
                <w:szCs w:val="24"/>
                <w:lang w:eastAsia="ro-RO"/>
              </w:rPr>
              <w:t>Pb</w:t>
            </w:r>
            <w:r>
              <w:rPr>
                <w:rFonts w:ascii="Arial" w:eastAsia="Times New Roman" w:hAnsi="Arial" w:cs="Arial"/>
                <w:b/>
                <w:color w:val="000000"/>
                <w:sz w:val="24"/>
                <w:szCs w:val="24"/>
                <w:lang w:eastAsia="ro-RO"/>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E71D2" w:rsidRDefault="00CA0B63" w:rsidP="0056118B">
            <w:pPr>
              <w:spacing w:after="0" w:line="240" w:lineRule="auto"/>
              <w:jc w:val="center"/>
              <w:rPr>
                <w:rFonts w:ascii="Arial" w:eastAsia="Times New Roman" w:hAnsi="Arial" w:cs="Arial"/>
                <w:b/>
                <w:color w:val="000000"/>
                <w:sz w:val="24"/>
                <w:szCs w:val="24"/>
                <w:lang w:eastAsia="ro-RO"/>
              </w:rPr>
            </w:pPr>
            <w:r w:rsidRPr="007E71D2">
              <w:rPr>
                <w:rFonts w:ascii="Arial" w:eastAsia="Times New Roman" w:hAnsi="Arial" w:cs="Arial"/>
                <w:b/>
                <w:color w:val="000000"/>
                <w:sz w:val="24"/>
                <w:szCs w:val="24"/>
                <w:lang w:eastAsia="ro-RO"/>
              </w:rPr>
              <w:t>Cd</w:t>
            </w:r>
            <w:r>
              <w:rPr>
                <w:rFonts w:ascii="Arial" w:eastAsia="Times New Roman" w:hAnsi="Arial" w:cs="Arial"/>
                <w:b/>
                <w:color w:val="000000"/>
                <w:sz w:val="24"/>
                <w:szCs w:val="24"/>
                <w:lang w:eastAsia="ro-RO"/>
              </w:rPr>
              <w:t>,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E71D2" w:rsidRDefault="00CA0B63" w:rsidP="0056118B">
            <w:pPr>
              <w:spacing w:after="0" w:line="240" w:lineRule="auto"/>
              <w:jc w:val="center"/>
              <w:rPr>
                <w:rFonts w:ascii="Arial" w:eastAsia="Times New Roman" w:hAnsi="Arial" w:cs="Arial"/>
                <w:b/>
                <w:color w:val="000000"/>
                <w:sz w:val="24"/>
                <w:szCs w:val="24"/>
                <w:lang w:eastAsia="ro-RO"/>
              </w:rPr>
            </w:pPr>
            <w:r w:rsidRPr="007E71D2">
              <w:rPr>
                <w:rFonts w:ascii="Arial" w:eastAsia="Times New Roman" w:hAnsi="Arial" w:cs="Arial"/>
                <w:b/>
                <w:color w:val="000000"/>
                <w:sz w:val="24"/>
                <w:szCs w:val="24"/>
                <w:lang w:eastAsia="ro-RO"/>
              </w:rPr>
              <w:t>Hg</w:t>
            </w:r>
            <w:r>
              <w:rPr>
                <w:rFonts w:ascii="Arial" w:eastAsia="Times New Roman" w:hAnsi="Arial" w:cs="Arial"/>
                <w:b/>
                <w:color w:val="000000"/>
                <w:sz w:val="24"/>
                <w:szCs w:val="24"/>
                <w:lang w:eastAsia="ro-RO"/>
              </w:rPr>
              <w:t>, %</w:t>
            </w:r>
          </w:p>
        </w:tc>
      </w:tr>
      <w:tr w:rsidR="00CA0B63" w:rsidRPr="007E71D2" w:rsidTr="0056118B">
        <w:trPr>
          <w:trHeight w:val="3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7E71D2" w:rsidRDefault="00CA0B63" w:rsidP="0056118B">
            <w:pPr>
              <w:spacing w:after="0" w:line="240" w:lineRule="auto"/>
              <w:jc w:val="center"/>
              <w:rPr>
                <w:rFonts w:ascii="Arial" w:eastAsia="Times New Roman" w:hAnsi="Arial" w:cs="Arial"/>
                <w:color w:val="000000"/>
                <w:sz w:val="24"/>
                <w:szCs w:val="24"/>
                <w:lang w:eastAsia="ro-RO"/>
              </w:rPr>
            </w:pPr>
            <w:r w:rsidRPr="007E71D2">
              <w:rPr>
                <w:rFonts w:ascii="Arial" w:eastAsia="Times New Roman" w:hAnsi="Arial" w:cs="Arial"/>
                <w:color w:val="000000"/>
                <w:sz w:val="24"/>
                <w:szCs w:val="24"/>
                <w:lang w:eastAsia="ro-RO"/>
              </w:rPr>
              <w:t>ENERGIE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7E71D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61,</w:t>
            </w:r>
            <w:r w:rsidR="00CA0B63" w:rsidRPr="007E71D2">
              <w:rPr>
                <w:rFonts w:ascii="Arial" w:eastAsia="Times New Roman" w:hAnsi="Arial" w:cs="Arial"/>
                <w:color w:val="000000"/>
                <w:sz w:val="24"/>
                <w:szCs w:val="24"/>
                <w:lang w:eastAsia="ro-RO"/>
              </w:rPr>
              <w:t>5</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7E71D2" w:rsidRDefault="00CA0B63" w:rsidP="0056118B">
            <w:pPr>
              <w:spacing w:after="0" w:line="240" w:lineRule="auto"/>
              <w:jc w:val="center"/>
              <w:rPr>
                <w:rFonts w:ascii="Arial" w:eastAsia="Times New Roman" w:hAnsi="Arial" w:cs="Arial"/>
                <w:color w:val="000000"/>
                <w:sz w:val="24"/>
                <w:szCs w:val="24"/>
                <w:lang w:eastAsia="ro-RO"/>
              </w:rPr>
            </w:pPr>
            <w:r w:rsidRPr="007E71D2">
              <w:rPr>
                <w:rFonts w:ascii="Arial" w:eastAsia="Times New Roman" w:hAnsi="Arial" w:cs="Arial"/>
                <w:color w:val="000000"/>
                <w:sz w:val="24"/>
                <w:szCs w:val="24"/>
                <w:lang w:eastAsia="ro-RO"/>
              </w:rPr>
              <w:t>66</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7E71D2" w:rsidRDefault="00CA0B63" w:rsidP="0056118B">
            <w:pPr>
              <w:spacing w:after="0" w:line="240" w:lineRule="auto"/>
              <w:jc w:val="center"/>
              <w:rPr>
                <w:rFonts w:ascii="Arial" w:eastAsia="Times New Roman" w:hAnsi="Arial" w:cs="Arial"/>
                <w:color w:val="000000"/>
                <w:sz w:val="24"/>
                <w:szCs w:val="24"/>
                <w:lang w:eastAsia="ro-RO"/>
              </w:rPr>
            </w:pPr>
            <w:r w:rsidRPr="007E71D2">
              <w:rPr>
                <w:rFonts w:ascii="Arial" w:eastAsia="Times New Roman" w:hAnsi="Arial" w:cs="Arial"/>
                <w:color w:val="000000"/>
                <w:sz w:val="24"/>
                <w:szCs w:val="24"/>
                <w:lang w:eastAsia="ro-RO"/>
              </w:rPr>
              <w:t>65.7</w:t>
            </w:r>
          </w:p>
        </w:tc>
      </w:tr>
      <w:tr w:rsidR="00CA0B63" w:rsidRPr="007E71D2" w:rsidTr="0056118B">
        <w:trPr>
          <w:trHeight w:val="6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7E71D2" w:rsidRDefault="00CA0B63" w:rsidP="0056118B">
            <w:pPr>
              <w:spacing w:after="0" w:line="240" w:lineRule="auto"/>
              <w:jc w:val="center"/>
              <w:rPr>
                <w:rFonts w:ascii="Arial" w:eastAsia="Times New Roman" w:hAnsi="Arial" w:cs="Arial"/>
                <w:color w:val="000000"/>
                <w:sz w:val="24"/>
                <w:szCs w:val="24"/>
                <w:lang w:eastAsia="ro-RO"/>
              </w:rPr>
            </w:pPr>
            <w:r w:rsidRPr="007E71D2">
              <w:rPr>
                <w:rFonts w:ascii="Arial" w:eastAsia="Times New Roman" w:hAnsi="Arial" w:cs="Arial"/>
                <w:color w:val="000000"/>
                <w:sz w:val="24"/>
                <w:szCs w:val="24"/>
                <w:lang w:eastAsia="ro-RO"/>
              </w:rPr>
              <w:t>TRANSPORTURI</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7E71D2" w:rsidRDefault="00CA0B63" w:rsidP="0056118B">
            <w:pPr>
              <w:spacing w:after="0" w:line="240" w:lineRule="auto"/>
              <w:jc w:val="center"/>
              <w:rPr>
                <w:rFonts w:ascii="Arial" w:eastAsia="Times New Roman" w:hAnsi="Arial" w:cs="Arial"/>
                <w:color w:val="000000"/>
                <w:sz w:val="24"/>
                <w:szCs w:val="24"/>
                <w:lang w:eastAsia="ro-RO"/>
              </w:rPr>
            </w:pPr>
            <w:r w:rsidRPr="007E71D2">
              <w:rPr>
                <w:rFonts w:ascii="Arial" w:eastAsia="Times New Roman" w:hAnsi="Arial" w:cs="Arial"/>
                <w:color w:val="000000"/>
                <w:sz w:val="24"/>
                <w:szCs w:val="24"/>
                <w:lang w:eastAsia="ro-RO"/>
              </w:rPr>
              <w:t>18</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7E71D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13,</w:t>
            </w:r>
            <w:r w:rsidR="00CA0B63" w:rsidRPr="007E71D2">
              <w:rPr>
                <w:rFonts w:ascii="Arial" w:eastAsia="Times New Roman" w:hAnsi="Arial" w:cs="Arial"/>
                <w:color w:val="000000"/>
                <w:sz w:val="24"/>
                <w:szCs w:val="24"/>
                <w:lang w:eastAsia="ro-RO"/>
              </w:rPr>
              <w:t>2</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7E71D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13,</w:t>
            </w:r>
            <w:r w:rsidR="00CA0B63" w:rsidRPr="007E71D2">
              <w:rPr>
                <w:rFonts w:ascii="Arial" w:eastAsia="Times New Roman" w:hAnsi="Arial" w:cs="Arial"/>
                <w:color w:val="000000"/>
                <w:sz w:val="24"/>
                <w:szCs w:val="24"/>
                <w:lang w:eastAsia="ro-RO"/>
              </w:rPr>
              <w:t>4</w:t>
            </w:r>
          </w:p>
        </w:tc>
      </w:tr>
      <w:tr w:rsidR="00CA0B63" w:rsidRPr="007E71D2" w:rsidTr="0056118B">
        <w:trPr>
          <w:trHeight w:val="6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7E71D2" w:rsidRDefault="00CA0B63" w:rsidP="0056118B">
            <w:pPr>
              <w:spacing w:after="0" w:line="240" w:lineRule="auto"/>
              <w:jc w:val="center"/>
              <w:rPr>
                <w:rFonts w:ascii="Arial" w:eastAsia="Times New Roman" w:hAnsi="Arial" w:cs="Arial"/>
                <w:color w:val="000000"/>
                <w:sz w:val="24"/>
                <w:szCs w:val="24"/>
                <w:lang w:eastAsia="ro-RO"/>
              </w:rPr>
            </w:pPr>
            <w:r w:rsidRPr="007E71D2">
              <w:rPr>
                <w:rFonts w:ascii="Arial" w:eastAsia="Times New Roman" w:hAnsi="Arial" w:cs="Arial"/>
                <w:color w:val="000000"/>
                <w:sz w:val="24"/>
                <w:szCs w:val="24"/>
                <w:lang w:eastAsia="ro-RO"/>
              </w:rPr>
              <w:t>INDUSTRIE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7E71D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20,</w:t>
            </w:r>
            <w:r w:rsidR="00CA0B63" w:rsidRPr="007E71D2">
              <w:rPr>
                <w:rFonts w:ascii="Arial" w:eastAsia="Times New Roman" w:hAnsi="Arial" w:cs="Arial"/>
                <w:color w:val="000000"/>
                <w:sz w:val="24"/>
                <w:szCs w:val="24"/>
                <w:lang w:eastAsia="ro-RO"/>
              </w:rPr>
              <w:t>5</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7E71D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20,</w:t>
            </w:r>
            <w:r w:rsidR="00CA0B63" w:rsidRPr="007E71D2">
              <w:rPr>
                <w:rFonts w:ascii="Arial" w:eastAsia="Times New Roman" w:hAnsi="Arial" w:cs="Arial"/>
                <w:color w:val="000000"/>
                <w:sz w:val="24"/>
                <w:szCs w:val="24"/>
                <w:lang w:eastAsia="ro-RO"/>
              </w:rPr>
              <w:t>8</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7E71D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20,</w:t>
            </w:r>
            <w:r w:rsidR="00CA0B63" w:rsidRPr="007E71D2">
              <w:rPr>
                <w:rFonts w:ascii="Arial" w:eastAsia="Times New Roman" w:hAnsi="Arial" w:cs="Arial"/>
                <w:color w:val="000000"/>
                <w:sz w:val="24"/>
                <w:szCs w:val="24"/>
                <w:lang w:eastAsia="ro-RO"/>
              </w:rPr>
              <w:t>9</w:t>
            </w:r>
          </w:p>
        </w:tc>
      </w:tr>
    </w:tbl>
    <w:p w:rsidR="00CA0B63" w:rsidRDefault="001B23A4" w:rsidP="001B23A4">
      <w:pPr>
        <w:spacing w:before="120" w:after="120" w:line="240" w:lineRule="auto"/>
        <w:jc w:val="center"/>
        <w:rPr>
          <w:rFonts w:ascii="Arial" w:hAnsi="Arial" w:cs="Arial"/>
          <w:b/>
          <w:sz w:val="24"/>
          <w:szCs w:val="24"/>
        </w:rPr>
      </w:pPr>
      <w:r>
        <w:rPr>
          <w:rFonts w:ascii="Arial" w:hAnsi="Arial" w:cs="Arial"/>
          <w:b/>
          <w:sz w:val="24"/>
          <w:szCs w:val="24"/>
        </w:rPr>
        <w:t>Tabel</w:t>
      </w:r>
      <w:r w:rsidR="00CA0B63" w:rsidRPr="007E71D2">
        <w:rPr>
          <w:rFonts w:ascii="Arial" w:hAnsi="Arial" w:cs="Arial"/>
          <w:b/>
          <w:sz w:val="24"/>
          <w:szCs w:val="24"/>
        </w:rPr>
        <w:t xml:space="preserve"> I.2.1.2.8. Contribuţia sectoarelor de activitate la emisiile de metale grele</w:t>
      </w:r>
    </w:p>
    <w:p w:rsidR="00D71325" w:rsidRDefault="00D71325" w:rsidP="001B23A4">
      <w:pPr>
        <w:spacing w:before="120" w:after="120" w:line="240" w:lineRule="auto"/>
        <w:jc w:val="center"/>
        <w:rPr>
          <w:rFonts w:ascii="Arial" w:hAnsi="Arial" w:cs="Arial"/>
          <w:b/>
          <w:sz w:val="24"/>
          <w:szCs w:val="24"/>
        </w:rPr>
      </w:pPr>
    </w:p>
    <w:p w:rsidR="00CA0B63" w:rsidRDefault="00CA0B63" w:rsidP="00CA0B63">
      <w:pPr>
        <w:tabs>
          <w:tab w:val="left" w:pos="4303"/>
        </w:tabs>
        <w:jc w:val="center"/>
        <w:rPr>
          <w:rFonts w:ascii="Arial" w:hAnsi="Arial" w:cs="Arial"/>
          <w:sz w:val="24"/>
          <w:szCs w:val="24"/>
        </w:rPr>
      </w:pPr>
      <w:r w:rsidRPr="007E71D2">
        <w:rPr>
          <w:rFonts w:ascii="Arial" w:hAnsi="Arial" w:cs="Arial"/>
          <w:noProof/>
          <w:sz w:val="24"/>
          <w:szCs w:val="24"/>
          <w:lang w:val="ro-RO" w:eastAsia="ro-RO"/>
        </w:rPr>
        <w:drawing>
          <wp:inline distT="0" distB="0" distL="0" distR="0">
            <wp:extent cx="4572000" cy="3286125"/>
            <wp:effectExtent l="19050" t="0" r="19050" b="0"/>
            <wp:docPr id="5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Figura</w:t>
      </w:r>
      <w:r w:rsidRPr="007E71D2">
        <w:rPr>
          <w:rFonts w:ascii="Arial" w:hAnsi="Arial" w:cs="Arial"/>
          <w:b/>
          <w:sz w:val="24"/>
          <w:szCs w:val="24"/>
        </w:rPr>
        <w:t xml:space="preserve"> I.2.1.2.8. Contribuţia sectoarelor de activitate la emisiile de metale grele</w:t>
      </w:r>
    </w:p>
    <w:p w:rsidR="00CA0B63" w:rsidRDefault="00CA0B63" w:rsidP="001B23A4">
      <w:pPr>
        <w:tabs>
          <w:tab w:val="left" w:pos="452"/>
        </w:tabs>
        <w:spacing w:before="120" w:after="120" w:line="240" w:lineRule="auto"/>
        <w:jc w:val="both"/>
        <w:rPr>
          <w:rFonts w:ascii="Arial" w:hAnsi="Arial" w:cs="Arial"/>
          <w:sz w:val="24"/>
          <w:szCs w:val="24"/>
        </w:rPr>
      </w:pPr>
      <w:r>
        <w:rPr>
          <w:rFonts w:ascii="Arial" w:hAnsi="Arial" w:cs="Arial"/>
          <w:sz w:val="24"/>
          <w:szCs w:val="24"/>
        </w:rPr>
        <w:t>Din datele prezentate se reconfirmă faptul că industria nu reprezintă principala sursă de emisie de metale grele, ele provenind, în principal, din arderi.</w:t>
      </w:r>
    </w:p>
    <w:p w:rsidR="00CA0B63" w:rsidRDefault="00CA0B63" w:rsidP="001B23A4">
      <w:pPr>
        <w:spacing w:before="120" w:after="120" w:line="240" w:lineRule="auto"/>
        <w:jc w:val="both"/>
        <w:rPr>
          <w:rFonts w:ascii="Arial" w:hAnsi="Arial" w:cs="Arial"/>
          <w:sz w:val="24"/>
          <w:szCs w:val="24"/>
        </w:rPr>
      </w:pPr>
      <w:r w:rsidRPr="007F6523">
        <w:rPr>
          <w:rFonts w:ascii="Arial" w:hAnsi="Arial" w:cs="Arial"/>
          <w:sz w:val="24"/>
          <w:szCs w:val="24"/>
        </w:rPr>
        <w:t>Contribuţia secto</w:t>
      </w:r>
      <w:r>
        <w:rPr>
          <w:rFonts w:ascii="Arial" w:hAnsi="Arial" w:cs="Arial"/>
          <w:sz w:val="24"/>
          <w:szCs w:val="24"/>
        </w:rPr>
        <w:t>arelor de activitate</w:t>
      </w:r>
      <w:r w:rsidRPr="007F6523">
        <w:rPr>
          <w:rFonts w:ascii="Arial" w:hAnsi="Arial" w:cs="Arial"/>
          <w:sz w:val="24"/>
          <w:szCs w:val="24"/>
        </w:rPr>
        <w:t xml:space="preserve"> </w:t>
      </w:r>
      <w:r>
        <w:rPr>
          <w:rFonts w:ascii="Arial" w:hAnsi="Arial" w:cs="Arial"/>
          <w:sz w:val="24"/>
          <w:szCs w:val="24"/>
        </w:rPr>
        <w:t xml:space="preserve">din industrie </w:t>
      </w:r>
      <w:r w:rsidRPr="007F6523">
        <w:rPr>
          <w:rFonts w:ascii="Arial" w:hAnsi="Arial" w:cs="Arial"/>
          <w:sz w:val="24"/>
          <w:szCs w:val="24"/>
        </w:rPr>
        <w:t xml:space="preserve">la emisiile de </w:t>
      </w:r>
      <w:r>
        <w:rPr>
          <w:rFonts w:ascii="Arial" w:hAnsi="Arial" w:cs="Arial"/>
          <w:sz w:val="24"/>
          <w:szCs w:val="24"/>
        </w:rPr>
        <w:t>metale grele</w:t>
      </w:r>
      <w:r w:rsidRPr="007F6523">
        <w:rPr>
          <w:rFonts w:ascii="Arial" w:hAnsi="Arial" w:cs="Arial"/>
          <w:sz w:val="24"/>
          <w:szCs w:val="24"/>
        </w:rPr>
        <w:t xml:space="preserve">, la nivelul judeţului Buzău, în anul 2014, este </w:t>
      </w:r>
      <w:r>
        <w:rPr>
          <w:rFonts w:ascii="Arial" w:hAnsi="Arial" w:cs="Arial"/>
          <w:sz w:val="24"/>
          <w:szCs w:val="24"/>
        </w:rPr>
        <w:t>prezentată în tabelul I.2.1.2.9. şi figura I.2.1.2</w:t>
      </w:r>
      <w:r w:rsidRPr="007F6523">
        <w:rPr>
          <w:rFonts w:ascii="Arial" w:hAnsi="Arial" w:cs="Arial"/>
          <w:sz w:val="24"/>
          <w:szCs w:val="24"/>
        </w:rPr>
        <w:t>.</w:t>
      </w:r>
      <w:r>
        <w:rPr>
          <w:rFonts w:ascii="Arial" w:hAnsi="Arial" w:cs="Arial"/>
          <w:sz w:val="24"/>
          <w:szCs w:val="24"/>
        </w:rPr>
        <w:t>9</w:t>
      </w:r>
      <w:r w:rsidRPr="007F6523">
        <w:rPr>
          <w:rFonts w:ascii="Arial" w:hAnsi="Arial" w:cs="Arial"/>
          <w:sz w:val="24"/>
          <w:szCs w:val="24"/>
        </w:rPr>
        <w:t>.</w:t>
      </w:r>
    </w:p>
    <w:p w:rsidR="001B23A4" w:rsidRPr="007F6523" w:rsidRDefault="001B23A4" w:rsidP="00CA0B63">
      <w:pPr>
        <w:spacing w:after="120" w:line="240" w:lineRule="auto"/>
        <w:jc w:val="both"/>
        <w:rPr>
          <w:rFonts w:ascii="Arial" w:hAnsi="Arial" w:cs="Arial"/>
          <w:sz w:val="24"/>
          <w:szCs w:val="24"/>
        </w:rPr>
      </w:pPr>
    </w:p>
    <w:tbl>
      <w:tblPr>
        <w:tblW w:w="6170" w:type="dxa"/>
        <w:jc w:val="center"/>
        <w:tblInd w:w="103" w:type="dxa"/>
        <w:tblLook w:val="04A0"/>
      </w:tblPr>
      <w:tblGrid>
        <w:gridCol w:w="1950"/>
        <w:gridCol w:w="1220"/>
        <w:gridCol w:w="1220"/>
        <w:gridCol w:w="1780"/>
      </w:tblGrid>
      <w:tr w:rsidR="00CA0B63" w:rsidRPr="006A6F39" w:rsidTr="0056118B">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6A6F39" w:rsidRDefault="00CA0B63" w:rsidP="0056118B">
            <w:pPr>
              <w:spacing w:after="0" w:line="240" w:lineRule="auto"/>
              <w:jc w:val="center"/>
              <w:rPr>
                <w:rFonts w:ascii="Arial" w:eastAsia="Times New Roman" w:hAnsi="Arial" w:cs="Arial"/>
                <w:b/>
                <w:color w:val="000000"/>
                <w:sz w:val="24"/>
                <w:szCs w:val="24"/>
                <w:lang w:eastAsia="ro-RO"/>
              </w:rPr>
            </w:pPr>
            <w:r w:rsidRPr="006A6F39">
              <w:rPr>
                <w:rFonts w:ascii="Arial" w:eastAsia="Times New Roman" w:hAnsi="Arial" w:cs="Arial"/>
                <w:b/>
                <w:color w:val="000000"/>
                <w:sz w:val="24"/>
                <w:szCs w:val="24"/>
                <w:lang w:eastAsia="ro-RO"/>
              </w:rPr>
              <w:t>SECTOR I</w:t>
            </w:r>
            <w:r w:rsidRPr="006A6F39">
              <w:rPr>
                <w:rFonts w:ascii="Arial" w:eastAsia="Times New Roman" w:hAnsi="Arial" w:cs="Arial"/>
                <w:b/>
                <w:color w:val="000000"/>
                <w:sz w:val="24"/>
                <w:szCs w:val="24"/>
                <w:lang w:eastAsia="ro-RO"/>
              </w:rPr>
              <w:t>N</w:t>
            </w:r>
            <w:r w:rsidRPr="006A6F39">
              <w:rPr>
                <w:rFonts w:ascii="Arial" w:eastAsia="Times New Roman" w:hAnsi="Arial" w:cs="Arial"/>
                <w:b/>
                <w:color w:val="000000"/>
                <w:sz w:val="24"/>
                <w:szCs w:val="24"/>
                <w:lang w:eastAsia="ro-RO"/>
              </w:rPr>
              <w:t>DUSTRIAL</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6A6F39" w:rsidRDefault="00CA0B63" w:rsidP="0056118B">
            <w:pPr>
              <w:spacing w:after="0" w:line="240" w:lineRule="auto"/>
              <w:jc w:val="center"/>
              <w:rPr>
                <w:rFonts w:ascii="Arial" w:eastAsia="Times New Roman" w:hAnsi="Arial" w:cs="Arial"/>
                <w:b/>
                <w:color w:val="000000"/>
                <w:sz w:val="24"/>
                <w:szCs w:val="24"/>
                <w:lang w:eastAsia="ro-RO"/>
              </w:rPr>
            </w:pPr>
            <w:r w:rsidRPr="006A6F39">
              <w:rPr>
                <w:rFonts w:ascii="Arial" w:eastAsia="Times New Roman" w:hAnsi="Arial" w:cs="Arial"/>
                <w:b/>
                <w:color w:val="000000"/>
                <w:sz w:val="24"/>
                <w:szCs w:val="24"/>
                <w:lang w:eastAsia="ro-RO"/>
              </w:rPr>
              <w:t>Pb</w:t>
            </w:r>
            <w:r>
              <w:rPr>
                <w:rFonts w:ascii="Arial" w:eastAsia="Times New Roman" w:hAnsi="Arial" w:cs="Arial"/>
                <w:b/>
                <w:color w:val="000000"/>
                <w:sz w:val="24"/>
                <w:szCs w:val="24"/>
                <w:lang w:eastAsia="ro-RO"/>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A0B63" w:rsidRPr="006A6F39" w:rsidRDefault="00CA0B63" w:rsidP="0056118B">
            <w:pPr>
              <w:spacing w:after="0" w:line="240" w:lineRule="auto"/>
              <w:jc w:val="center"/>
              <w:rPr>
                <w:rFonts w:ascii="Arial" w:eastAsia="Times New Roman" w:hAnsi="Arial" w:cs="Arial"/>
                <w:b/>
                <w:color w:val="000000"/>
                <w:sz w:val="24"/>
                <w:szCs w:val="24"/>
                <w:lang w:eastAsia="ro-RO"/>
              </w:rPr>
            </w:pPr>
            <w:r w:rsidRPr="006A6F39">
              <w:rPr>
                <w:rFonts w:ascii="Arial" w:eastAsia="Times New Roman" w:hAnsi="Arial" w:cs="Arial"/>
                <w:b/>
                <w:color w:val="000000"/>
                <w:sz w:val="24"/>
                <w:szCs w:val="24"/>
                <w:lang w:eastAsia="ro-RO"/>
              </w:rPr>
              <w:t>Cd</w:t>
            </w:r>
            <w:r>
              <w:rPr>
                <w:rFonts w:ascii="Arial" w:eastAsia="Times New Roman" w:hAnsi="Arial" w:cs="Arial"/>
                <w:b/>
                <w:color w:val="000000"/>
                <w:sz w:val="24"/>
                <w:szCs w:val="24"/>
                <w:lang w:eastAsia="ro-RO"/>
              </w:rPr>
              <w:t>,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A0B63" w:rsidRPr="006A6F39" w:rsidRDefault="00CA0B63" w:rsidP="0056118B">
            <w:pPr>
              <w:spacing w:after="0" w:line="240" w:lineRule="auto"/>
              <w:jc w:val="center"/>
              <w:rPr>
                <w:rFonts w:ascii="Arial" w:eastAsia="Times New Roman" w:hAnsi="Arial" w:cs="Arial"/>
                <w:b/>
                <w:color w:val="000000"/>
                <w:sz w:val="24"/>
                <w:szCs w:val="24"/>
                <w:lang w:eastAsia="ro-RO"/>
              </w:rPr>
            </w:pPr>
            <w:r w:rsidRPr="006A6F39">
              <w:rPr>
                <w:rFonts w:ascii="Arial" w:eastAsia="Times New Roman" w:hAnsi="Arial" w:cs="Arial"/>
                <w:b/>
                <w:color w:val="000000"/>
                <w:sz w:val="24"/>
                <w:szCs w:val="24"/>
                <w:lang w:eastAsia="ro-RO"/>
              </w:rPr>
              <w:t>Hg</w:t>
            </w:r>
            <w:r>
              <w:rPr>
                <w:rFonts w:ascii="Arial" w:eastAsia="Times New Roman" w:hAnsi="Arial" w:cs="Arial"/>
                <w:b/>
                <w:color w:val="000000"/>
                <w:sz w:val="24"/>
                <w:szCs w:val="24"/>
                <w:lang w:eastAsia="ro-RO"/>
              </w:rPr>
              <w:t>, %</w:t>
            </w:r>
          </w:p>
        </w:tc>
      </w:tr>
      <w:tr w:rsidR="00CA0B63" w:rsidRPr="006A6F39"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6A6F39" w:rsidRDefault="00CA0B63" w:rsidP="0056118B">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t>IND. METALURGICĂ</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18,</w:t>
            </w:r>
            <w:r w:rsidR="00CA0B63" w:rsidRPr="006A6F39">
              <w:rPr>
                <w:rFonts w:ascii="Arial" w:eastAsia="Times New Roman" w:hAnsi="Arial" w:cs="Arial"/>
                <w:color w:val="000000"/>
                <w:sz w:val="24"/>
                <w:szCs w:val="24"/>
                <w:lang w:eastAsia="ro-RO"/>
              </w:rPr>
              <w:t>7</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w:t>
            </w:r>
            <w:r w:rsidR="00CA0B63" w:rsidRPr="006A6F39">
              <w:rPr>
                <w:rFonts w:ascii="Arial" w:eastAsia="Times New Roman" w:hAnsi="Arial" w:cs="Arial"/>
                <w:color w:val="000000"/>
                <w:sz w:val="24"/>
                <w:szCs w:val="24"/>
                <w:lang w:eastAsia="ro-RO"/>
              </w:rPr>
              <w:t>2</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20,</w:t>
            </w:r>
            <w:r w:rsidR="00CA0B63" w:rsidRPr="006A6F39">
              <w:rPr>
                <w:rFonts w:ascii="Arial" w:eastAsia="Times New Roman" w:hAnsi="Arial" w:cs="Arial"/>
                <w:color w:val="000000"/>
                <w:sz w:val="24"/>
                <w:szCs w:val="24"/>
                <w:lang w:eastAsia="ro-RO"/>
              </w:rPr>
              <w:t>6</w:t>
            </w:r>
          </w:p>
        </w:tc>
      </w:tr>
      <w:tr w:rsidR="00CA0B63" w:rsidRPr="006A6F39"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6A6F39" w:rsidRDefault="00CA0B63" w:rsidP="0056118B">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lastRenderedPageBreak/>
              <w:t>IND. ALIMENTARĂ</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CA0B63" w:rsidP="0056118B">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t>60</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CA0B63" w:rsidP="00004D77">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t>52</w:t>
            </w:r>
            <w:r w:rsidR="00004D77">
              <w:rPr>
                <w:rFonts w:ascii="Arial" w:eastAsia="Times New Roman" w:hAnsi="Arial" w:cs="Arial"/>
                <w:color w:val="000000"/>
                <w:sz w:val="24"/>
                <w:szCs w:val="24"/>
                <w:lang w:eastAsia="ro-RO"/>
              </w:rPr>
              <w:t>,</w:t>
            </w:r>
            <w:r w:rsidRPr="006A6F39">
              <w:rPr>
                <w:rFonts w:ascii="Arial" w:eastAsia="Times New Roman" w:hAnsi="Arial" w:cs="Arial"/>
                <w:color w:val="000000"/>
                <w:sz w:val="24"/>
                <w:szCs w:val="24"/>
                <w:lang w:eastAsia="ro-RO"/>
              </w:rPr>
              <w:t>3</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43,</w:t>
            </w:r>
            <w:r w:rsidR="00CA0B63" w:rsidRPr="006A6F39">
              <w:rPr>
                <w:rFonts w:ascii="Arial" w:eastAsia="Times New Roman" w:hAnsi="Arial" w:cs="Arial"/>
                <w:color w:val="000000"/>
                <w:sz w:val="24"/>
                <w:szCs w:val="24"/>
                <w:lang w:eastAsia="ro-RO"/>
              </w:rPr>
              <w:t>7</w:t>
            </w:r>
          </w:p>
        </w:tc>
      </w:tr>
      <w:tr w:rsidR="00CA0B63" w:rsidRPr="006A6F39" w:rsidTr="0056118B">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6A6F39" w:rsidRDefault="00CA0B63" w:rsidP="0056118B">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t>EXTRACŢIE PETROL ŞI GAZE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6A6F39">
              <w:rPr>
                <w:rFonts w:ascii="Arial" w:eastAsia="Times New Roman" w:hAnsi="Arial" w:cs="Arial"/>
                <w:color w:val="000000"/>
                <w:sz w:val="24"/>
                <w:szCs w:val="24"/>
                <w:lang w:eastAsia="ro-RO"/>
              </w:rPr>
              <w:t>6</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w:t>
            </w:r>
            <w:r w:rsidR="00CA0B63" w:rsidRPr="006A6F39">
              <w:rPr>
                <w:rFonts w:ascii="Arial" w:eastAsia="Times New Roman" w:hAnsi="Arial" w:cs="Arial"/>
                <w:color w:val="000000"/>
                <w:sz w:val="24"/>
                <w:szCs w:val="24"/>
                <w:lang w:eastAsia="ro-RO"/>
              </w:rPr>
              <w:t>3</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6A6F39">
              <w:rPr>
                <w:rFonts w:ascii="Arial" w:eastAsia="Times New Roman" w:hAnsi="Arial" w:cs="Arial"/>
                <w:color w:val="000000"/>
                <w:sz w:val="24"/>
                <w:szCs w:val="24"/>
                <w:lang w:eastAsia="ro-RO"/>
              </w:rPr>
              <w:t>7</w:t>
            </w:r>
          </w:p>
        </w:tc>
      </w:tr>
      <w:tr w:rsidR="00CA0B63" w:rsidRPr="006A6F39" w:rsidTr="0056118B">
        <w:trPr>
          <w:trHeight w:val="3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6A6F39" w:rsidRDefault="00CA0B63" w:rsidP="0056118B">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t>ALTELE</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19,</w:t>
            </w:r>
            <w:r w:rsidR="00CA0B63" w:rsidRPr="006A6F39">
              <w:rPr>
                <w:rFonts w:ascii="Arial" w:eastAsia="Times New Roman" w:hAnsi="Arial" w:cs="Arial"/>
                <w:color w:val="000000"/>
                <w:sz w:val="24"/>
                <w:szCs w:val="24"/>
                <w:lang w:eastAsia="ro-RO"/>
              </w:rPr>
              <w:t>7</w:t>
            </w:r>
          </w:p>
        </w:tc>
        <w:tc>
          <w:tcPr>
            <w:tcW w:w="1220" w:type="dxa"/>
            <w:tcBorders>
              <w:top w:val="nil"/>
              <w:left w:val="nil"/>
              <w:bottom w:val="single" w:sz="4" w:space="0" w:color="auto"/>
              <w:right w:val="single" w:sz="4" w:space="0" w:color="auto"/>
            </w:tcBorders>
            <w:shd w:val="clear" w:color="auto" w:fill="auto"/>
            <w:noWrap/>
            <w:vAlign w:val="center"/>
            <w:hideMark/>
          </w:tcPr>
          <w:p w:rsidR="00CA0B63" w:rsidRPr="006A6F39" w:rsidRDefault="00CA0B63" w:rsidP="00004D77">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t>34</w:t>
            </w:r>
            <w:r w:rsidR="00004D77">
              <w:rPr>
                <w:rFonts w:ascii="Arial" w:eastAsia="Times New Roman" w:hAnsi="Arial" w:cs="Arial"/>
                <w:color w:val="000000"/>
                <w:sz w:val="24"/>
                <w:szCs w:val="24"/>
                <w:lang w:eastAsia="ro-RO"/>
              </w:rPr>
              <w:t>,</w:t>
            </w:r>
            <w:r w:rsidRPr="006A6F39">
              <w:rPr>
                <w:rFonts w:ascii="Arial" w:eastAsia="Times New Roman" w:hAnsi="Arial" w:cs="Arial"/>
                <w:color w:val="000000"/>
                <w:sz w:val="24"/>
                <w:szCs w:val="24"/>
                <w:lang w:eastAsia="ro-RO"/>
              </w:rPr>
              <w:t>2</w:t>
            </w:r>
          </w:p>
        </w:tc>
        <w:tc>
          <w:tcPr>
            <w:tcW w:w="1780" w:type="dxa"/>
            <w:tcBorders>
              <w:top w:val="nil"/>
              <w:left w:val="nil"/>
              <w:bottom w:val="single" w:sz="4" w:space="0" w:color="auto"/>
              <w:right w:val="single" w:sz="4" w:space="0" w:color="auto"/>
            </w:tcBorders>
            <w:shd w:val="clear" w:color="auto" w:fill="auto"/>
            <w:noWrap/>
            <w:vAlign w:val="center"/>
            <w:hideMark/>
          </w:tcPr>
          <w:p w:rsidR="00CA0B63" w:rsidRPr="006A6F39" w:rsidRDefault="00CA0B63" w:rsidP="0056118B">
            <w:pPr>
              <w:spacing w:after="0" w:line="240" w:lineRule="auto"/>
              <w:jc w:val="center"/>
              <w:rPr>
                <w:rFonts w:ascii="Arial" w:eastAsia="Times New Roman" w:hAnsi="Arial" w:cs="Arial"/>
                <w:color w:val="000000"/>
                <w:sz w:val="24"/>
                <w:szCs w:val="24"/>
                <w:lang w:eastAsia="ro-RO"/>
              </w:rPr>
            </w:pPr>
            <w:r w:rsidRPr="006A6F39">
              <w:rPr>
                <w:rFonts w:ascii="Arial" w:eastAsia="Times New Roman" w:hAnsi="Arial" w:cs="Arial"/>
                <w:color w:val="000000"/>
                <w:sz w:val="24"/>
                <w:szCs w:val="24"/>
                <w:lang w:eastAsia="ro-RO"/>
              </w:rPr>
              <w:t>30</w:t>
            </w:r>
          </w:p>
        </w:tc>
      </w:tr>
    </w:tbl>
    <w:p w:rsidR="00CA0B63" w:rsidRDefault="00CA0B63" w:rsidP="001B23A4">
      <w:pPr>
        <w:spacing w:before="120" w:after="120" w:line="240" w:lineRule="auto"/>
        <w:jc w:val="center"/>
        <w:rPr>
          <w:rFonts w:ascii="Arial" w:hAnsi="Arial" w:cs="Arial"/>
          <w:b/>
          <w:sz w:val="24"/>
          <w:szCs w:val="24"/>
        </w:rPr>
      </w:pPr>
      <w:r w:rsidRPr="007E71D2">
        <w:rPr>
          <w:rFonts w:ascii="Arial" w:hAnsi="Arial" w:cs="Arial"/>
          <w:b/>
          <w:sz w:val="24"/>
          <w:szCs w:val="24"/>
        </w:rPr>
        <w:t>T</w:t>
      </w:r>
      <w:r w:rsidR="001B23A4">
        <w:rPr>
          <w:rFonts w:ascii="Arial" w:hAnsi="Arial" w:cs="Arial"/>
          <w:b/>
          <w:sz w:val="24"/>
          <w:szCs w:val="24"/>
        </w:rPr>
        <w:t xml:space="preserve">abel </w:t>
      </w:r>
      <w:r>
        <w:rPr>
          <w:rFonts w:ascii="Arial" w:hAnsi="Arial" w:cs="Arial"/>
          <w:b/>
          <w:sz w:val="24"/>
          <w:szCs w:val="24"/>
        </w:rPr>
        <w:t>I.2.1.2.9</w:t>
      </w:r>
      <w:r w:rsidRPr="007E71D2">
        <w:rPr>
          <w:rFonts w:ascii="Arial" w:hAnsi="Arial" w:cs="Arial"/>
          <w:b/>
          <w:sz w:val="24"/>
          <w:szCs w:val="24"/>
        </w:rPr>
        <w:t xml:space="preserve">. Contribuţia sectoarelor de activitate </w:t>
      </w:r>
      <w:r>
        <w:rPr>
          <w:rFonts w:ascii="Arial" w:hAnsi="Arial" w:cs="Arial"/>
          <w:b/>
          <w:sz w:val="24"/>
          <w:szCs w:val="24"/>
        </w:rPr>
        <w:t xml:space="preserve">din industrie </w:t>
      </w:r>
      <w:r w:rsidRPr="007E71D2">
        <w:rPr>
          <w:rFonts w:ascii="Arial" w:hAnsi="Arial" w:cs="Arial"/>
          <w:b/>
          <w:sz w:val="24"/>
          <w:szCs w:val="24"/>
        </w:rPr>
        <w:t>la emisiile de m</w:t>
      </w:r>
      <w:r w:rsidRPr="007E71D2">
        <w:rPr>
          <w:rFonts w:ascii="Arial" w:hAnsi="Arial" w:cs="Arial"/>
          <w:b/>
          <w:sz w:val="24"/>
          <w:szCs w:val="24"/>
        </w:rPr>
        <w:t>e</w:t>
      </w:r>
      <w:r w:rsidRPr="007E71D2">
        <w:rPr>
          <w:rFonts w:ascii="Arial" w:hAnsi="Arial" w:cs="Arial"/>
          <w:b/>
          <w:sz w:val="24"/>
          <w:szCs w:val="24"/>
        </w:rPr>
        <w:t>tale grele</w:t>
      </w:r>
    </w:p>
    <w:p w:rsidR="00D71325" w:rsidRDefault="00D71325" w:rsidP="001B23A4">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4F7046">
        <w:rPr>
          <w:rFonts w:ascii="Arial" w:hAnsi="Arial" w:cs="Arial"/>
          <w:noProof/>
          <w:sz w:val="24"/>
          <w:szCs w:val="24"/>
          <w:lang w:val="ro-RO" w:eastAsia="ro-RO"/>
        </w:rPr>
        <w:drawing>
          <wp:inline distT="0" distB="0" distL="0" distR="0">
            <wp:extent cx="4572000" cy="3238500"/>
            <wp:effectExtent l="19050" t="0" r="19050" b="0"/>
            <wp:docPr id="5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Figura I.2.1.2.9</w:t>
      </w:r>
      <w:r w:rsidRPr="007E71D2">
        <w:rPr>
          <w:rFonts w:ascii="Arial" w:hAnsi="Arial" w:cs="Arial"/>
          <w:b/>
          <w:sz w:val="24"/>
          <w:szCs w:val="24"/>
        </w:rPr>
        <w:t xml:space="preserve">. Contribuţia sectoarelor de activitate </w:t>
      </w:r>
      <w:r>
        <w:rPr>
          <w:rFonts w:ascii="Arial" w:hAnsi="Arial" w:cs="Arial"/>
          <w:b/>
          <w:sz w:val="24"/>
          <w:szCs w:val="24"/>
        </w:rPr>
        <w:t xml:space="preserve">din industrie </w:t>
      </w:r>
      <w:r w:rsidRPr="007E71D2">
        <w:rPr>
          <w:rFonts w:ascii="Arial" w:hAnsi="Arial" w:cs="Arial"/>
          <w:b/>
          <w:sz w:val="24"/>
          <w:szCs w:val="24"/>
        </w:rPr>
        <w:t>la emisiile de m</w:t>
      </w:r>
      <w:r w:rsidRPr="007E71D2">
        <w:rPr>
          <w:rFonts w:ascii="Arial" w:hAnsi="Arial" w:cs="Arial"/>
          <w:b/>
          <w:sz w:val="24"/>
          <w:szCs w:val="24"/>
        </w:rPr>
        <w:t>e</w:t>
      </w:r>
      <w:r w:rsidRPr="007E71D2">
        <w:rPr>
          <w:rFonts w:ascii="Arial" w:hAnsi="Arial" w:cs="Arial"/>
          <w:b/>
          <w:sz w:val="24"/>
          <w:szCs w:val="24"/>
        </w:rPr>
        <w:t>tale grele</w:t>
      </w:r>
    </w:p>
    <w:p w:rsidR="00CA0B63" w:rsidRDefault="00CA0B63" w:rsidP="001B23A4">
      <w:pPr>
        <w:tabs>
          <w:tab w:val="left" w:pos="201"/>
        </w:tabs>
        <w:spacing w:before="120" w:after="120" w:line="240" w:lineRule="auto"/>
        <w:jc w:val="both"/>
        <w:rPr>
          <w:rFonts w:ascii="Arial" w:hAnsi="Arial" w:cs="Arial"/>
          <w:sz w:val="24"/>
          <w:szCs w:val="24"/>
        </w:rPr>
      </w:pPr>
      <w:r>
        <w:rPr>
          <w:rFonts w:ascii="Arial" w:hAnsi="Arial" w:cs="Arial"/>
          <w:sz w:val="24"/>
          <w:szCs w:val="24"/>
        </w:rPr>
        <w:t>Analizând datele prezentate mai sus, se poate observa că ponderea în emisiile de metale grele este dată atât de numărul de operatori economici inventariaţi pe tipuri de industrie, cât şi de tehnologiile utilizate.</w:t>
      </w:r>
    </w:p>
    <w:p w:rsidR="00D71325" w:rsidRDefault="00D71325" w:rsidP="001B23A4">
      <w:pPr>
        <w:spacing w:before="120" w:after="120" w:line="240" w:lineRule="auto"/>
        <w:jc w:val="both"/>
        <w:rPr>
          <w:rFonts w:ascii="Arial" w:hAnsi="Arial" w:cs="Arial"/>
          <w:b/>
          <w:bCs/>
          <w:sz w:val="24"/>
          <w:szCs w:val="24"/>
        </w:rPr>
      </w:pPr>
    </w:p>
    <w:p w:rsidR="00CA0B63" w:rsidRPr="00B24FA8" w:rsidRDefault="00CA0B63" w:rsidP="001B23A4">
      <w:pPr>
        <w:spacing w:before="120" w:after="120" w:line="240" w:lineRule="auto"/>
        <w:jc w:val="both"/>
        <w:rPr>
          <w:rFonts w:ascii="Arial" w:hAnsi="Arial" w:cs="Arial"/>
          <w:b/>
          <w:bCs/>
          <w:sz w:val="24"/>
          <w:szCs w:val="24"/>
        </w:rPr>
      </w:pPr>
      <w:r>
        <w:rPr>
          <w:rFonts w:ascii="Arial" w:hAnsi="Arial" w:cs="Arial"/>
          <w:b/>
          <w:bCs/>
          <w:sz w:val="24"/>
          <w:szCs w:val="24"/>
        </w:rPr>
        <w:t>e) Emisii</w:t>
      </w:r>
      <w:r w:rsidRPr="00B24FA8">
        <w:rPr>
          <w:rFonts w:ascii="Arial" w:hAnsi="Arial" w:cs="Arial"/>
          <w:b/>
          <w:bCs/>
          <w:sz w:val="24"/>
          <w:szCs w:val="24"/>
        </w:rPr>
        <w:t xml:space="preserve"> d</w:t>
      </w:r>
      <w:r>
        <w:rPr>
          <w:rFonts w:ascii="Arial" w:hAnsi="Arial" w:cs="Arial"/>
          <w:b/>
          <w:bCs/>
          <w:sz w:val="24"/>
          <w:szCs w:val="24"/>
        </w:rPr>
        <w:t>e poluanţi organici persistenţi</w:t>
      </w:r>
    </w:p>
    <w:p w:rsidR="00CA0B63" w:rsidRDefault="00CA0B63" w:rsidP="001B23A4">
      <w:pPr>
        <w:spacing w:before="120" w:after="120" w:line="240" w:lineRule="auto"/>
        <w:jc w:val="both"/>
        <w:rPr>
          <w:rFonts w:ascii="Arial" w:hAnsi="Arial" w:cs="Arial"/>
          <w:sz w:val="24"/>
          <w:szCs w:val="24"/>
        </w:rPr>
      </w:pPr>
      <w:r w:rsidRPr="007F6523">
        <w:rPr>
          <w:rFonts w:ascii="Arial" w:hAnsi="Arial" w:cs="Arial"/>
          <w:sz w:val="24"/>
          <w:szCs w:val="24"/>
        </w:rPr>
        <w:t>Contribuţia secto</w:t>
      </w:r>
      <w:r>
        <w:rPr>
          <w:rFonts w:ascii="Arial" w:hAnsi="Arial" w:cs="Arial"/>
          <w:sz w:val="24"/>
          <w:szCs w:val="24"/>
        </w:rPr>
        <w:t>arelor de activitate</w:t>
      </w:r>
      <w:r w:rsidRPr="007F6523">
        <w:rPr>
          <w:rFonts w:ascii="Arial" w:hAnsi="Arial" w:cs="Arial"/>
          <w:sz w:val="24"/>
          <w:szCs w:val="24"/>
        </w:rPr>
        <w:t xml:space="preserve"> la emisiile de </w:t>
      </w:r>
      <w:r>
        <w:rPr>
          <w:rFonts w:ascii="Arial" w:hAnsi="Arial" w:cs="Arial"/>
          <w:sz w:val="24"/>
          <w:szCs w:val="24"/>
        </w:rPr>
        <w:t>poluanţi organici persistenţi</w:t>
      </w:r>
      <w:r w:rsidRPr="007F6523">
        <w:rPr>
          <w:rFonts w:ascii="Arial" w:hAnsi="Arial" w:cs="Arial"/>
          <w:sz w:val="24"/>
          <w:szCs w:val="24"/>
        </w:rPr>
        <w:t xml:space="preserve">, la nivelul judeţului Buzău, în anul 2014, este </w:t>
      </w:r>
      <w:r>
        <w:rPr>
          <w:rFonts w:ascii="Arial" w:hAnsi="Arial" w:cs="Arial"/>
          <w:sz w:val="24"/>
          <w:szCs w:val="24"/>
        </w:rPr>
        <w:t>prezentată în tabelul I.2.1.2.10. şi figura I.2.1.2</w:t>
      </w:r>
      <w:r w:rsidRPr="007F6523">
        <w:rPr>
          <w:rFonts w:ascii="Arial" w:hAnsi="Arial" w:cs="Arial"/>
          <w:sz w:val="24"/>
          <w:szCs w:val="24"/>
        </w:rPr>
        <w:t>.</w:t>
      </w:r>
      <w:r>
        <w:rPr>
          <w:rFonts w:ascii="Arial" w:hAnsi="Arial" w:cs="Arial"/>
          <w:sz w:val="24"/>
          <w:szCs w:val="24"/>
        </w:rPr>
        <w:t>10</w:t>
      </w:r>
      <w:r w:rsidRPr="007F6523">
        <w:rPr>
          <w:rFonts w:ascii="Arial" w:hAnsi="Arial" w:cs="Arial"/>
          <w:sz w:val="24"/>
          <w:szCs w:val="24"/>
        </w:rPr>
        <w:t>.</w:t>
      </w:r>
    </w:p>
    <w:p w:rsidR="001B23A4" w:rsidRPr="007F6523" w:rsidRDefault="001B23A4" w:rsidP="001B23A4">
      <w:pPr>
        <w:spacing w:before="120" w:after="120" w:line="240" w:lineRule="auto"/>
        <w:jc w:val="both"/>
        <w:rPr>
          <w:rFonts w:ascii="Arial" w:hAnsi="Arial" w:cs="Arial"/>
          <w:sz w:val="24"/>
          <w:szCs w:val="24"/>
        </w:rPr>
      </w:pPr>
    </w:p>
    <w:tbl>
      <w:tblPr>
        <w:tblW w:w="7956" w:type="dxa"/>
        <w:jc w:val="center"/>
        <w:tblInd w:w="103" w:type="dxa"/>
        <w:tblLook w:val="04A0"/>
      </w:tblPr>
      <w:tblGrid>
        <w:gridCol w:w="2110"/>
        <w:gridCol w:w="2012"/>
        <w:gridCol w:w="1140"/>
        <w:gridCol w:w="1465"/>
        <w:gridCol w:w="1229"/>
      </w:tblGrid>
      <w:tr w:rsidR="00CA0B63" w:rsidRPr="00F0380D" w:rsidTr="0056118B">
        <w:trPr>
          <w:trHeight w:val="1200"/>
          <w:jc w:val="center"/>
        </w:trPr>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F0380D" w:rsidRDefault="00CA0B63" w:rsidP="0056118B">
            <w:pPr>
              <w:spacing w:after="0" w:line="240" w:lineRule="auto"/>
              <w:jc w:val="center"/>
              <w:rPr>
                <w:rFonts w:ascii="Arial" w:eastAsia="Times New Roman" w:hAnsi="Arial" w:cs="Arial"/>
                <w:b/>
                <w:color w:val="000000"/>
                <w:sz w:val="24"/>
                <w:szCs w:val="24"/>
                <w:lang w:eastAsia="ro-RO"/>
              </w:rPr>
            </w:pPr>
            <w:r w:rsidRPr="00F0380D">
              <w:rPr>
                <w:rFonts w:ascii="Arial" w:eastAsia="Times New Roman" w:hAnsi="Arial" w:cs="Arial"/>
                <w:b/>
                <w:color w:val="000000"/>
                <w:sz w:val="24"/>
                <w:szCs w:val="24"/>
                <w:lang w:eastAsia="ro-RO"/>
              </w:rPr>
              <w:t>SECTOR DE ACTIVITATE</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b/>
                <w:color w:val="000000"/>
                <w:sz w:val="24"/>
                <w:szCs w:val="24"/>
                <w:lang w:eastAsia="ro-RO"/>
              </w:rPr>
            </w:pPr>
            <w:r w:rsidRPr="00F0380D">
              <w:rPr>
                <w:rFonts w:ascii="Arial" w:eastAsia="Times New Roman" w:hAnsi="Arial" w:cs="Arial"/>
                <w:b/>
                <w:color w:val="000000"/>
                <w:sz w:val="24"/>
                <w:szCs w:val="24"/>
                <w:lang w:eastAsia="ro-RO"/>
              </w:rPr>
              <w:t>PCDD/PCDF</w:t>
            </w:r>
            <w:r>
              <w:rPr>
                <w:rFonts w:ascii="Arial" w:eastAsia="Times New Roman" w:hAnsi="Arial" w:cs="Arial"/>
                <w:b/>
                <w:color w:val="000000"/>
                <w:sz w:val="24"/>
                <w:szCs w:val="24"/>
                <w:lang w:eastAsia="ro-RO"/>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b/>
                <w:color w:val="000000"/>
                <w:sz w:val="24"/>
                <w:szCs w:val="24"/>
                <w:lang w:eastAsia="ro-RO"/>
              </w:rPr>
            </w:pPr>
            <w:r w:rsidRPr="00F0380D">
              <w:rPr>
                <w:rFonts w:ascii="Arial" w:eastAsia="Times New Roman" w:hAnsi="Arial" w:cs="Arial"/>
                <w:b/>
                <w:color w:val="000000"/>
                <w:sz w:val="24"/>
                <w:szCs w:val="24"/>
                <w:lang w:eastAsia="ro-RO"/>
              </w:rPr>
              <w:t>HCB</w:t>
            </w:r>
            <w:r>
              <w:rPr>
                <w:rFonts w:ascii="Arial" w:eastAsia="Times New Roman" w:hAnsi="Arial" w:cs="Arial"/>
                <w:b/>
                <w:color w:val="000000"/>
                <w:sz w:val="24"/>
                <w:szCs w:val="24"/>
                <w:lang w:eastAsia="ro-RO"/>
              </w:rPr>
              <w:t>, %</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b/>
                <w:color w:val="000000"/>
                <w:sz w:val="24"/>
                <w:szCs w:val="24"/>
                <w:lang w:eastAsia="ro-RO"/>
              </w:rPr>
            </w:pPr>
            <w:r w:rsidRPr="00F0380D">
              <w:rPr>
                <w:rFonts w:ascii="Arial" w:eastAsia="Times New Roman" w:hAnsi="Arial" w:cs="Arial"/>
                <w:b/>
                <w:color w:val="000000"/>
                <w:sz w:val="24"/>
                <w:szCs w:val="24"/>
                <w:lang w:eastAsia="ro-RO"/>
              </w:rPr>
              <w:t>PCBs</w:t>
            </w:r>
            <w:r>
              <w:rPr>
                <w:rFonts w:ascii="Arial" w:eastAsia="Times New Roman" w:hAnsi="Arial" w:cs="Arial"/>
                <w:b/>
                <w:color w:val="000000"/>
                <w:sz w:val="24"/>
                <w:szCs w:val="24"/>
                <w:lang w:eastAsia="ro-RO"/>
              </w:rPr>
              <w:t>, %</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b/>
                <w:color w:val="000000"/>
                <w:sz w:val="24"/>
                <w:szCs w:val="24"/>
                <w:lang w:eastAsia="ro-RO"/>
              </w:rPr>
            </w:pPr>
            <w:r w:rsidRPr="00F0380D">
              <w:rPr>
                <w:rFonts w:ascii="Arial" w:eastAsia="Times New Roman" w:hAnsi="Arial" w:cs="Arial"/>
                <w:b/>
                <w:color w:val="000000"/>
                <w:sz w:val="24"/>
                <w:szCs w:val="24"/>
                <w:lang w:eastAsia="ro-RO"/>
              </w:rPr>
              <w:t>PAH</w:t>
            </w:r>
            <w:r>
              <w:rPr>
                <w:rFonts w:ascii="Arial" w:eastAsia="Times New Roman" w:hAnsi="Arial" w:cs="Arial"/>
                <w:b/>
                <w:color w:val="000000"/>
                <w:sz w:val="24"/>
                <w:szCs w:val="24"/>
                <w:lang w:eastAsia="ro-RO"/>
              </w:rPr>
              <w:t>, %</w:t>
            </w:r>
          </w:p>
        </w:tc>
      </w:tr>
      <w:tr w:rsidR="00CA0B63" w:rsidRPr="00F0380D" w:rsidTr="0056118B">
        <w:trPr>
          <w:trHeight w:val="3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t>ENERGIE</w:t>
            </w:r>
          </w:p>
        </w:tc>
        <w:tc>
          <w:tcPr>
            <w:tcW w:w="2012" w:type="dxa"/>
            <w:tcBorders>
              <w:top w:val="nil"/>
              <w:left w:val="nil"/>
              <w:bottom w:val="single" w:sz="4" w:space="0" w:color="auto"/>
              <w:right w:val="single" w:sz="4" w:space="0" w:color="auto"/>
            </w:tcBorders>
            <w:shd w:val="clear" w:color="auto" w:fill="auto"/>
            <w:noWrap/>
            <w:vAlign w:val="center"/>
            <w:hideMark/>
          </w:tcPr>
          <w:p w:rsidR="00CA0B63" w:rsidRPr="00F0380D"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97,</w:t>
            </w:r>
            <w:r w:rsidR="00CA0B63" w:rsidRPr="00F0380D">
              <w:rPr>
                <w:rFonts w:ascii="Arial" w:eastAsia="Times New Roman" w:hAnsi="Arial" w:cs="Arial"/>
                <w:color w:val="000000"/>
                <w:sz w:val="24"/>
                <w:szCs w:val="24"/>
                <w:lang w:eastAsia="ro-RO"/>
              </w:rPr>
              <w:t>597</w:t>
            </w:r>
          </w:p>
        </w:tc>
        <w:tc>
          <w:tcPr>
            <w:tcW w:w="1140" w:type="dxa"/>
            <w:tcBorders>
              <w:top w:val="nil"/>
              <w:left w:val="nil"/>
              <w:bottom w:val="single" w:sz="4" w:space="0" w:color="auto"/>
              <w:right w:val="single" w:sz="4" w:space="0" w:color="auto"/>
            </w:tcBorders>
            <w:shd w:val="clear" w:color="auto" w:fill="auto"/>
            <w:noWrap/>
            <w:vAlign w:val="center"/>
            <w:hideMark/>
          </w:tcPr>
          <w:p w:rsidR="00CA0B63" w:rsidRPr="00F0380D"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51,</w:t>
            </w:r>
            <w:r w:rsidR="00CA0B63" w:rsidRPr="00F0380D">
              <w:rPr>
                <w:rFonts w:ascii="Arial" w:eastAsia="Times New Roman" w:hAnsi="Arial" w:cs="Arial"/>
                <w:color w:val="000000"/>
                <w:sz w:val="24"/>
                <w:szCs w:val="24"/>
                <w:lang w:eastAsia="ro-RO"/>
              </w:rPr>
              <w:t>2</w:t>
            </w:r>
          </w:p>
        </w:tc>
        <w:tc>
          <w:tcPr>
            <w:tcW w:w="1465" w:type="dxa"/>
            <w:tcBorders>
              <w:top w:val="nil"/>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t>56</w:t>
            </w:r>
          </w:p>
        </w:tc>
        <w:tc>
          <w:tcPr>
            <w:tcW w:w="1229" w:type="dxa"/>
            <w:tcBorders>
              <w:top w:val="nil"/>
              <w:left w:val="nil"/>
              <w:bottom w:val="single" w:sz="4" w:space="0" w:color="auto"/>
              <w:right w:val="single" w:sz="4" w:space="0" w:color="auto"/>
            </w:tcBorders>
            <w:shd w:val="clear" w:color="auto" w:fill="auto"/>
            <w:noWrap/>
            <w:vAlign w:val="center"/>
            <w:hideMark/>
          </w:tcPr>
          <w:p w:rsidR="00CA0B63" w:rsidRPr="00F0380D"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99,</w:t>
            </w:r>
            <w:r w:rsidR="00CA0B63" w:rsidRPr="00F0380D">
              <w:rPr>
                <w:rFonts w:ascii="Arial" w:eastAsia="Times New Roman" w:hAnsi="Arial" w:cs="Arial"/>
                <w:color w:val="000000"/>
                <w:sz w:val="24"/>
                <w:szCs w:val="24"/>
                <w:lang w:eastAsia="ro-RO"/>
              </w:rPr>
              <w:t>1</w:t>
            </w:r>
          </w:p>
        </w:tc>
      </w:tr>
      <w:tr w:rsidR="00CA0B63" w:rsidRPr="00F0380D" w:rsidTr="0056118B">
        <w:trPr>
          <w:trHeight w:val="6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t>INDUSTRIE</w:t>
            </w:r>
          </w:p>
        </w:tc>
        <w:tc>
          <w:tcPr>
            <w:tcW w:w="2012" w:type="dxa"/>
            <w:tcBorders>
              <w:top w:val="nil"/>
              <w:left w:val="nil"/>
              <w:bottom w:val="single" w:sz="4" w:space="0" w:color="auto"/>
              <w:right w:val="single" w:sz="4" w:space="0" w:color="auto"/>
            </w:tcBorders>
            <w:shd w:val="clear" w:color="auto" w:fill="auto"/>
            <w:noWrap/>
            <w:vAlign w:val="center"/>
            <w:hideMark/>
          </w:tcPr>
          <w:p w:rsidR="00CA0B63" w:rsidRPr="00F0380D"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F0380D">
              <w:rPr>
                <w:rFonts w:ascii="Arial" w:eastAsia="Times New Roman" w:hAnsi="Arial" w:cs="Arial"/>
                <w:color w:val="000000"/>
                <w:sz w:val="24"/>
                <w:szCs w:val="24"/>
                <w:lang w:eastAsia="ro-RO"/>
              </w:rPr>
              <w:t>4</w:t>
            </w:r>
          </w:p>
        </w:tc>
        <w:tc>
          <w:tcPr>
            <w:tcW w:w="1140" w:type="dxa"/>
            <w:tcBorders>
              <w:top w:val="nil"/>
              <w:left w:val="nil"/>
              <w:bottom w:val="single" w:sz="4" w:space="0" w:color="auto"/>
              <w:right w:val="single" w:sz="4" w:space="0" w:color="auto"/>
            </w:tcBorders>
            <w:shd w:val="clear" w:color="auto" w:fill="auto"/>
            <w:noWrap/>
            <w:vAlign w:val="center"/>
            <w:hideMark/>
          </w:tcPr>
          <w:p w:rsidR="00CA0B63" w:rsidRPr="00F0380D"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48,</w:t>
            </w:r>
            <w:r w:rsidR="00CA0B63" w:rsidRPr="00F0380D">
              <w:rPr>
                <w:rFonts w:ascii="Arial" w:eastAsia="Times New Roman" w:hAnsi="Arial" w:cs="Arial"/>
                <w:color w:val="000000"/>
                <w:sz w:val="24"/>
                <w:szCs w:val="24"/>
                <w:lang w:eastAsia="ro-RO"/>
              </w:rPr>
              <w:t>8</w:t>
            </w:r>
          </w:p>
        </w:tc>
        <w:tc>
          <w:tcPr>
            <w:tcW w:w="1465" w:type="dxa"/>
            <w:tcBorders>
              <w:top w:val="nil"/>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t>44</w:t>
            </w:r>
          </w:p>
        </w:tc>
        <w:tc>
          <w:tcPr>
            <w:tcW w:w="1229" w:type="dxa"/>
            <w:tcBorders>
              <w:top w:val="nil"/>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t>0</w:t>
            </w:r>
          </w:p>
        </w:tc>
      </w:tr>
      <w:tr w:rsidR="00CA0B63" w:rsidRPr="00F0380D" w:rsidTr="0056118B">
        <w:trPr>
          <w:trHeight w:val="600"/>
          <w:jc w:val="center"/>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lastRenderedPageBreak/>
              <w:t>TRANSPORTURI</w:t>
            </w:r>
          </w:p>
        </w:tc>
        <w:tc>
          <w:tcPr>
            <w:tcW w:w="2012" w:type="dxa"/>
            <w:tcBorders>
              <w:top w:val="nil"/>
              <w:left w:val="nil"/>
              <w:bottom w:val="single" w:sz="4" w:space="0" w:color="auto"/>
              <w:right w:val="single" w:sz="4" w:space="0" w:color="auto"/>
            </w:tcBorders>
            <w:shd w:val="clear" w:color="auto" w:fill="auto"/>
            <w:noWrap/>
            <w:vAlign w:val="center"/>
            <w:hideMark/>
          </w:tcPr>
          <w:p w:rsidR="00CA0B63" w:rsidRPr="00F0380D"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F0380D">
              <w:rPr>
                <w:rFonts w:ascii="Arial" w:eastAsia="Times New Roman" w:hAnsi="Arial" w:cs="Arial"/>
                <w:color w:val="000000"/>
                <w:sz w:val="24"/>
                <w:szCs w:val="24"/>
                <w:lang w:eastAsia="ro-RO"/>
              </w:rPr>
              <w:t>003</w:t>
            </w:r>
          </w:p>
        </w:tc>
        <w:tc>
          <w:tcPr>
            <w:tcW w:w="1140" w:type="dxa"/>
            <w:tcBorders>
              <w:top w:val="nil"/>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t>0</w:t>
            </w:r>
          </w:p>
        </w:tc>
        <w:tc>
          <w:tcPr>
            <w:tcW w:w="1465" w:type="dxa"/>
            <w:tcBorders>
              <w:top w:val="nil"/>
              <w:left w:val="nil"/>
              <w:bottom w:val="single" w:sz="4" w:space="0" w:color="auto"/>
              <w:right w:val="single" w:sz="4" w:space="0" w:color="auto"/>
            </w:tcBorders>
            <w:shd w:val="clear" w:color="auto" w:fill="auto"/>
            <w:noWrap/>
            <w:vAlign w:val="center"/>
            <w:hideMark/>
          </w:tcPr>
          <w:p w:rsidR="00CA0B63" w:rsidRPr="00F0380D" w:rsidRDefault="00CA0B63" w:rsidP="0056118B">
            <w:pPr>
              <w:spacing w:after="0" w:line="240" w:lineRule="auto"/>
              <w:jc w:val="center"/>
              <w:rPr>
                <w:rFonts w:ascii="Arial" w:eastAsia="Times New Roman" w:hAnsi="Arial" w:cs="Arial"/>
                <w:color w:val="000000"/>
                <w:sz w:val="24"/>
                <w:szCs w:val="24"/>
                <w:lang w:eastAsia="ro-RO"/>
              </w:rPr>
            </w:pPr>
            <w:r w:rsidRPr="00F0380D">
              <w:rPr>
                <w:rFonts w:ascii="Arial" w:eastAsia="Times New Roman" w:hAnsi="Arial" w:cs="Arial"/>
                <w:color w:val="000000"/>
                <w:sz w:val="24"/>
                <w:szCs w:val="24"/>
                <w:lang w:eastAsia="ro-RO"/>
              </w:rPr>
              <w:t>0</w:t>
            </w:r>
          </w:p>
        </w:tc>
        <w:tc>
          <w:tcPr>
            <w:tcW w:w="1229" w:type="dxa"/>
            <w:tcBorders>
              <w:top w:val="nil"/>
              <w:left w:val="nil"/>
              <w:bottom w:val="single" w:sz="4" w:space="0" w:color="auto"/>
              <w:right w:val="single" w:sz="4" w:space="0" w:color="auto"/>
            </w:tcBorders>
            <w:shd w:val="clear" w:color="auto" w:fill="auto"/>
            <w:noWrap/>
            <w:vAlign w:val="center"/>
            <w:hideMark/>
          </w:tcPr>
          <w:p w:rsidR="00CA0B63" w:rsidRPr="00F0380D"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F0380D">
              <w:rPr>
                <w:rFonts w:ascii="Arial" w:eastAsia="Times New Roman" w:hAnsi="Arial" w:cs="Arial"/>
                <w:color w:val="000000"/>
                <w:sz w:val="24"/>
                <w:szCs w:val="24"/>
                <w:lang w:eastAsia="ro-RO"/>
              </w:rPr>
              <w:t>9</w:t>
            </w:r>
          </w:p>
        </w:tc>
      </w:tr>
    </w:tbl>
    <w:p w:rsidR="00CA0B63" w:rsidRDefault="001B23A4" w:rsidP="001B23A4">
      <w:pPr>
        <w:spacing w:before="120" w:after="120"/>
        <w:jc w:val="center"/>
        <w:rPr>
          <w:rFonts w:ascii="Arial" w:hAnsi="Arial" w:cs="Arial"/>
          <w:b/>
          <w:sz w:val="24"/>
          <w:szCs w:val="24"/>
        </w:rPr>
      </w:pPr>
      <w:r>
        <w:rPr>
          <w:rFonts w:ascii="Arial" w:hAnsi="Arial" w:cs="Arial"/>
          <w:b/>
          <w:sz w:val="24"/>
          <w:szCs w:val="24"/>
        </w:rPr>
        <w:t>Tabel</w:t>
      </w:r>
      <w:r w:rsidR="00CA0B63" w:rsidRPr="00DF348C">
        <w:rPr>
          <w:rFonts w:ascii="Arial" w:hAnsi="Arial" w:cs="Arial"/>
          <w:b/>
          <w:sz w:val="24"/>
          <w:szCs w:val="24"/>
        </w:rPr>
        <w:t xml:space="preserve"> I.2.1.2.10. Contribuţia sectoarelor de activitate la emisiile de poluanţi organici persistenţi</w:t>
      </w:r>
    </w:p>
    <w:p w:rsidR="00CA0B63" w:rsidRDefault="00CA0B63" w:rsidP="00CA0B63">
      <w:pPr>
        <w:jc w:val="center"/>
        <w:rPr>
          <w:rFonts w:ascii="Arial" w:hAnsi="Arial" w:cs="Arial"/>
          <w:sz w:val="24"/>
          <w:szCs w:val="24"/>
        </w:rPr>
      </w:pPr>
      <w:r w:rsidRPr="00DF348C">
        <w:rPr>
          <w:rFonts w:ascii="Arial" w:hAnsi="Arial" w:cs="Arial"/>
          <w:noProof/>
          <w:sz w:val="24"/>
          <w:szCs w:val="24"/>
          <w:lang w:val="ro-RO" w:eastAsia="ro-RO"/>
        </w:rPr>
        <w:drawing>
          <wp:inline distT="0" distB="0" distL="0" distR="0">
            <wp:extent cx="4572000" cy="3333750"/>
            <wp:effectExtent l="19050" t="0" r="19050" b="0"/>
            <wp:docPr id="5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Figura</w:t>
      </w:r>
      <w:r w:rsidRPr="00DF348C">
        <w:rPr>
          <w:rFonts w:ascii="Arial" w:hAnsi="Arial" w:cs="Arial"/>
          <w:b/>
          <w:sz w:val="24"/>
          <w:szCs w:val="24"/>
        </w:rPr>
        <w:t xml:space="preserve"> I.2.1.2.10. Contribuţia sectoarelor de activitate la emisiile de poluanţi organici persistenţi</w:t>
      </w:r>
    </w:p>
    <w:p w:rsidR="00CA0B63" w:rsidRDefault="00CA0B63" w:rsidP="001B23A4">
      <w:pPr>
        <w:spacing w:before="120" w:after="120" w:line="240" w:lineRule="auto"/>
        <w:jc w:val="both"/>
        <w:rPr>
          <w:rFonts w:ascii="Arial" w:hAnsi="Arial" w:cs="Arial"/>
          <w:sz w:val="24"/>
          <w:szCs w:val="24"/>
        </w:rPr>
      </w:pPr>
      <w:r>
        <w:rPr>
          <w:rFonts w:ascii="Arial" w:hAnsi="Arial" w:cs="Arial"/>
          <w:sz w:val="24"/>
          <w:szCs w:val="24"/>
        </w:rPr>
        <w:t>Din analiza datelor prezentate mai sus se observă contribuţia arderilor industrale la em</w:t>
      </w:r>
      <w:r>
        <w:rPr>
          <w:rFonts w:ascii="Arial" w:hAnsi="Arial" w:cs="Arial"/>
          <w:sz w:val="24"/>
          <w:szCs w:val="24"/>
        </w:rPr>
        <w:t>i</w:t>
      </w:r>
      <w:r>
        <w:rPr>
          <w:rFonts w:ascii="Arial" w:hAnsi="Arial" w:cs="Arial"/>
          <w:sz w:val="24"/>
          <w:szCs w:val="24"/>
        </w:rPr>
        <w:t>siile de poluanţi organici persistenţi.</w:t>
      </w:r>
    </w:p>
    <w:p w:rsidR="00CA0B63" w:rsidRDefault="00CA0B63" w:rsidP="001B23A4">
      <w:pPr>
        <w:spacing w:before="120" w:after="120" w:line="240" w:lineRule="auto"/>
        <w:jc w:val="both"/>
        <w:rPr>
          <w:rFonts w:ascii="Arial" w:hAnsi="Arial" w:cs="Arial"/>
          <w:sz w:val="24"/>
          <w:szCs w:val="24"/>
        </w:rPr>
      </w:pPr>
      <w:r w:rsidRPr="007F6523">
        <w:rPr>
          <w:rFonts w:ascii="Arial" w:hAnsi="Arial" w:cs="Arial"/>
          <w:sz w:val="24"/>
          <w:szCs w:val="24"/>
        </w:rPr>
        <w:t>Contribuţia secto</w:t>
      </w:r>
      <w:r>
        <w:rPr>
          <w:rFonts w:ascii="Arial" w:hAnsi="Arial" w:cs="Arial"/>
          <w:sz w:val="24"/>
          <w:szCs w:val="24"/>
        </w:rPr>
        <w:t>arelor de activitate</w:t>
      </w:r>
      <w:r w:rsidRPr="007F6523">
        <w:rPr>
          <w:rFonts w:ascii="Arial" w:hAnsi="Arial" w:cs="Arial"/>
          <w:sz w:val="24"/>
          <w:szCs w:val="24"/>
        </w:rPr>
        <w:t xml:space="preserve"> </w:t>
      </w:r>
      <w:r>
        <w:rPr>
          <w:rFonts w:ascii="Arial" w:hAnsi="Arial" w:cs="Arial"/>
          <w:sz w:val="24"/>
          <w:szCs w:val="24"/>
        </w:rPr>
        <w:t xml:space="preserve">din industrie </w:t>
      </w:r>
      <w:r w:rsidRPr="007F6523">
        <w:rPr>
          <w:rFonts w:ascii="Arial" w:hAnsi="Arial" w:cs="Arial"/>
          <w:sz w:val="24"/>
          <w:szCs w:val="24"/>
        </w:rPr>
        <w:t xml:space="preserve">la emisiile de </w:t>
      </w:r>
      <w:r>
        <w:rPr>
          <w:rFonts w:ascii="Arial" w:hAnsi="Arial" w:cs="Arial"/>
          <w:sz w:val="24"/>
          <w:szCs w:val="24"/>
        </w:rPr>
        <w:t>poluanţi organici persistenţi</w:t>
      </w:r>
      <w:r w:rsidRPr="007F6523">
        <w:rPr>
          <w:rFonts w:ascii="Arial" w:hAnsi="Arial" w:cs="Arial"/>
          <w:sz w:val="24"/>
          <w:szCs w:val="24"/>
        </w:rPr>
        <w:t xml:space="preserve">, la nivelul judeţului Buzău, în anul 2014, este </w:t>
      </w:r>
      <w:r>
        <w:rPr>
          <w:rFonts w:ascii="Arial" w:hAnsi="Arial" w:cs="Arial"/>
          <w:sz w:val="24"/>
          <w:szCs w:val="24"/>
        </w:rPr>
        <w:t>prezentată în tabelul I.2.1.2.11. şi figura I.2.1.2</w:t>
      </w:r>
      <w:r w:rsidRPr="007F6523">
        <w:rPr>
          <w:rFonts w:ascii="Arial" w:hAnsi="Arial" w:cs="Arial"/>
          <w:sz w:val="24"/>
          <w:szCs w:val="24"/>
        </w:rPr>
        <w:t>.</w:t>
      </w:r>
      <w:r>
        <w:rPr>
          <w:rFonts w:ascii="Arial" w:hAnsi="Arial" w:cs="Arial"/>
          <w:sz w:val="24"/>
          <w:szCs w:val="24"/>
        </w:rPr>
        <w:t>11</w:t>
      </w:r>
      <w:r w:rsidRPr="007F6523">
        <w:rPr>
          <w:rFonts w:ascii="Arial" w:hAnsi="Arial" w:cs="Arial"/>
          <w:sz w:val="24"/>
          <w:szCs w:val="24"/>
        </w:rPr>
        <w:t>.</w:t>
      </w:r>
    </w:p>
    <w:p w:rsidR="001B23A4" w:rsidRPr="007F6523" w:rsidRDefault="001B23A4" w:rsidP="001B23A4">
      <w:pPr>
        <w:spacing w:before="120" w:after="120" w:line="240" w:lineRule="auto"/>
        <w:jc w:val="both"/>
        <w:rPr>
          <w:rFonts w:ascii="Arial" w:hAnsi="Arial" w:cs="Arial"/>
          <w:sz w:val="24"/>
          <w:szCs w:val="24"/>
        </w:rPr>
      </w:pPr>
    </w:p>
    <w:tbl>
      <w:tblPr>
        <w:tblW w:w="7909" w:type="dxa"/>
        <w:jc w:val="center"/>
        <w:tblInd w:w="103" w:type="dxa"/>
        <w:tblLook w:val="04A0"/>
      </w:tblPr>
      <w:tblGrid>
        <w:gridCol w:w="1950"/>
        <w:gridCol w:w="2034"/>
        <w:gridCol w:w="1106"/>
        <w:gridCol w:w="1543"/>
        <w:gridCol w:w="1276"/>
      </w:tblGrid>
      <w:tr w:rsidR="00CA0B63" w:rsidRPr="00DF348C" w:rsidTr="0056118B">
        <w:trPr>
          <w:trHeight w:val="900"/>
          <w:jc w:val="center"/>
        </w:trPr>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DF348C" w:rsidRDefault="00CA0B63" w:rsidP="0056118B">
            <w:pPr>
              <w:spacing w:after="0" w:line="240" w:lineRule="auto"/>
              <w:jc w:val="center"/>
              <w:rPr>
                <w:rFonts w:ascii="Arial" w:eastAsia="Times New Roman" w:hAnsi="Arial" w:cs="Arial"/>
                <w:b/>
                <w:color w:val="000000"/>
                <w:sz w:val="24"/>
                <w:szCs w:val="24"/>
                <w:lang w:eastAsia="ro-RO"/>
              </w:rPr>
            </w:pPr>
            <w:r w:rsidRPr="00DF348C">
              <w:rPr>
                <w:rFonts w:ascii="Arial" w:eastAsia="Times New Roman" w:hAnsi="Arial" w:cs="Arial"/>
                <w:b/>
                <w:color w:val="000000"/>
                <w:sz w:val="24"/>
                <w:szCs w:val="24"/>
                <w:lang w:eastAsia="ro-RO"/>
              </w:rPr>
              <w:t>SECTOR I</w:t>
            </w:r>
            <w:r w:rsidRPr="00DF348C">
              <w:rPr>
                <w:rFonts w:ascii="Arial" w:eastAsia="Times New Roman" w:hAnsi="Arial" w:cs="Arial"/>
                <w:b/>
                <w:color w:val="000000"/>
                <w:sz w:val="24"/>
                <w:szCs w:val="24"/>
                <w:lang w:eastAsia="ro-RO"/>
              </w:rPr>
              <w:t>N</w:t>
            </w:r>
            <w:r w:rsidRPr="00DF348C">
              <w:rPr>
                <w:rFonts w:ascii="Arial" w:eastAsia="Times New Roman" w:hAnsi="Arial" w:cs="Arial"/>
                <w:b/>
                <w:color w:val="000000"/>
                <w:sz w:val="24"/>
                <w:szCs w:val="24"/>
                <w:lang w:eastAsia="ro-RO"/>
              </w:rPr>
              <w:t>DUSTRIAL</w:t>
            </w:r>
          </w:p>
        </w:tc>
        <w:tc>
          <w:tcPr>
            <w:tcW w:w="2034" w:type="dxa"/>
            <w:tcBorders>
              <w:top w:val="single" w:sz="4" w:space="0" w:color="auto"/>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b/>
                <w:color w:val="000000"/>
                <w:sz w:val="24"/>
                <w:szCs w:val="24"/>
                <w:lang w:eastAsia="ro-RO"/>
              </w:rPr>
            </w:pPr>
            <w:r w:rsidRPr="00DF348C">
              <w:rPr>
                <w:rFonts w:ascii="Arial" w:eastAsia="Times New Roman" w:hAnsi="Arial" w:cs="Arial"/>
                <w:b/>
                <w:color w:val="000000"/>
                <w:sz w:val="24"/>
                <w:szCs w:val="24"/>
                <w:lang w:eastAsia="ro-RO"/>
              </w:rPr>
              <w:t>PCDD/PCDF</w:t>
            </w:r>
            <w:r>
              <w:rPr>
                <w:rFonts w:ascii="Arial" w:eastAsia="Times New Roman" w:hAnsi="Arial" w:cs="Arial"/>
                <w:b/>
                <w:color w:val="000000"/>
                <w:sz w:val="24"/>
                <w:szCs w:val="24"/>
                <w:lang w:eastAsia="ro-RO"/>
              </w:rPr>
              <w:t>, %</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b/>
                <w:color w:val="000000"/>
                <w:sz w:val="24"/>
                <w:szCs w:val="24"/>
                <w:lang w:eastAsia="ro-RO"/>
              </w:rPr>
            </w:pPr>
            <w:r w:rsidRPr="00DF348C">
              <w:rPr>
                <w:rFonts w:ascii="Arial" w:eastAsia="Times New Roman" w:hAnsi="Arial" w:cs="Arial"/>
                <w:b/>
                <w:color w:val="000000"/>
                <w:sz w:val="24"/>
                <w:szCs w:val="24"/>
                <w:lang w:eastAsia="ro-RO"/>
              </w:rPr>
              <w:t>HCB</w:t>
            </w:r>
            <w:r>
              <w:rPr>
                <w:rFonts w:ascii="Arial" w:eastAsia="Times New Roman" w:hAnsi="Arial" w:cs="Arial"/>
                <w:b/>
                <w:color w:val="000000"/>
                <w:sz w:val="24"/>
                <w:szCs w:val="24"/>
                <w:lang w:eastAsia="ro-RO"/>
              </w:rPr>
              <w:t>, %</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b/>
                <w:color w:val="000000"/>
                <w:sz w:val="24"/>
                <w:szCs w:val="24"/>
                <w:lang w:eastAsia="ro-RO"/>
              </w:rPr>
            </w:pPr>
            <w:r w:rsidRPr="00DF348C">
              <w:rPr>
                <w:rFonts w:ascii="Arial" w:eastAsia="Times New Roman" w:hAnsi="Arial" w:cs="Arial"/>
                <w:b/>
                <w:color w:val="000000"/>
                <w:sz w:val="24"/>
                <w:szCs w:val="24"/>
                <w:lang w:eastAsia="ro-RO"/>
              </w:rPr>
              <w:t>PCBs</w:t>
            </w:r>
            <w:r>
              <w:rPr>
                <w:rFonts w:ascii="Arial" w:eastAsia="Times New Roman" w:hAnsi="Arial" w:cs="Arial"/>
                <w:b/>
                <w:color w:val="000000"/>
                <w:sz w:val="24"/>
                <w:szCs w:val="24"/>
                <w:lang w:eastAsia="ro-RO"/>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b/>
                <w:color w:val="000000"/>
                <w:sz w:val="24"/>
                <w:szCs w:val="24"/>
                <w:lang w:eastAsia="ro-RO"/>
              </w:rPr>
            </w:pPr>
            <w:r w:rsidRPr="00DF348C">
              <w:rPr>
                <w:rFonts w:ascii="Arial" w:eastAsia="Times New Roman" w:hAnsi="Arial" w:cs="Arial"/>
                <w:b/>
                <w:color w:val="000000"/>
                <w:sz w:val="24"/>
                <w:szCs w:val="24"/>
                <w:lang w:eastAsia="ro-RO"/>
              </w:rPr>
              <w:t>PAH</w:t>
            </w:r>
            <w:r>
              <w:rPr>
                <w:rFonts w:ascii="Arial" w:eastAsia="Times New Roman" w:hAnsi="Arial" w:cs="Arial"/>
                <w:b/>
                <w:color w:val="000000"/>
                <w:sz w:val="24"/>
                <w:szCs w:val="24"/>
                <w:lang w:eastAsia="ro-RO"/>
              </w:rPr>
              <w:t>, %</w:t>
            </w:r>
          </w:p>
        </w:tc>
      </w:tr>
      <w:tr w:rsidR="00CA0B63" w:rsidRPr="00DF348C"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IND. METALURGICĂ</w:t>
            </w:r>
          </w:p>
        </w:tc>
        <w:tc>
          <w:tcPr>
            <w:tcW w:w="2034"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24</w:t>
            </w:r>
          </w:p>
        </w:tc>
        <w:tc>
          <w:tcPr>
            <w:tcW w:w="1106"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0</w:t>
            </w:r>
          </w:p>
        </w:tc>
        <w:tc>
          <w:tcPr>
            <w:tcW w:w="1543"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0</w:t>
            </w:r>
          </w:p>
        </w:tc>
        <w:tc>
          <w:tcPr>
            <w:tcW w:w="1276" w:type="dxa"/>
            <w:tcBorders>
              <w:top w:val="nil"/>
              <w:left w:val="nil"/>
              <w:bottom w:val="single" w:sz="4" w:space="0" w:color="auto"/>
              <w:right w:val="single" w:sz="4" w:space="0" w:color="auto"/>
            </w:tcBorders>
            <w:shd w:val="clear" w:color="auto" w:fill="auto"/>
            <w:noWrap/>
            <w:vAlign w:val="center"/>
            <w:hideMark/>
          </w:tcPr>
          <w:p w:rsidR="00CA0B63" w:rsidRPr="00DF348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DF348C">
              <w:rPr>
                <w:rFonts w:ascii="Arial" w:eastAsia="Times New Roman" w:hAnsi="Arial" w:cs="Arial"/>
                <w:color w:val="000000"/>
                <w:sz w:val="24"/>
                <w:szCs w:val="24"/>
                <w:lang w:eastAsia="ro-RO"/>
              </w:rPr>
              <w:t>7</w:t>
            </w:r>
          </w:p>
        </w:tc>
      </w:tr>
      <w:tr w:rsidR="00CA0B63" w:rsidRPr="00DF348C" w:rsidTr="0056118B">
        <w:trPr>
          <w:trHeight w:val="9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IND. ALIMENTARĂ</w:t>
            </w:r>
          </w:p>
        </w:tc>
        <w:tc>
          <w:tcPr>
            <w:tcW w:w="2034" w:type="dxa"/>
            <w:tcBorders>
              <w:top w:val="nil"/>
              <w:left w:val="nil"/>
              <w:bottom w:val="single" w:sz="4" w:space="0" w:color="auto"/>
              <w:right w:val="single" w:sz="4" w:space="0" w:color="auto"/>
            </w:tcBorders>
            <w:shd w:val="clear" w:color="auto" w:fill="auto"/>
            <w:noWrap/>
            <w:vAlign w:val="center"/>
            <w:hideMark/>
          </w:tcPr>
          <w:p w:rsidR="00CA0B63" w:rsidRPr="00DF348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74,</w:t>
            </w:r>
            <w:r w:rsidR="00CA0B63" w:rsidRPr="00DF348C">
              <w:rPr>
                <w:rFonts w:ascii="Arial" w:eastAsia="Times New Roman" w:hAnsi="Arial" w:cs="Arial"/>
                <w:color w:val="000000"/>
                <w:sz w:val="24"/>
                <w:szCs w:val="24"/>
                <w:lang w:eastAsia="ro-RO"/>
              </w:rPr>
              <w:t>2</w:t>
            </w:r>
          </w:p>
        </w:tc>
        <w:tc>
          <w:tcPr>
            <w:tcW w:w="1106"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100</w:t>
            </w:r>
          </w:p>
        </w:tc>
        <w:tc>
          <w:tcPr>
            <w:tcW w:w="1543"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100</w:t>
            </w:r>
          </w:p>
        </w:tc>
        <w:tc>
          <w:tcPr>
            <w:tcW w:w="1276" w:type="dxa"/>
            <w:tcBorders>
              <w:top w:val="nil"/>
              <w:left w:val="nil"/>
              <w:bottom w:val="single" w:sz="4" w:space="0" w:color="auto"/>
              <w:right w:val="single" w:sz="4" w:space="0" w:color="auto"/>
            </w:tcBorders>
            <w:shd w:val="clear" w:color="auto" w:fill="auto"/>
            <w:noWrap/>
            <w:vAlign w:val="center"/>
            <w:hideMark/>
          </w:tcPr>
          <w:p w:rsidR="00CA0B63" w:rsidRPr="00DF348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94,</w:t>
            </w:r>
            <w:r w:rsidR="00CA0B63" w:rsidRPr="00DF348C">
              <w:rPr>
                <w:rFonts w:ascii="Arial" w:eastAsia="Times New Roman" w:hAnsi="Arial" w:cs="Arial"/>
                <w:color w:val="000000"/>
                <w:sz w:val="24"/>
                <w:szCs w:val="24"/>
                <w:lang w:eastAsia="ro-RO"/>
              </w:rPr>
              <w:t>293</w:t>
            </w:r>
          </w:p>
        </w:tc>
      </w:tr>
      <w:tr w:rsidR="00CA0B63" w:rsidRPr="00DF348C" w:rsidTr="0056118B">
        <w:trPr>
          <w:trHeight w:val="12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EXTRACŢIE PETROL ŞI GAZE</w:t>
            </w:r>
          </w:p>
        </w:tc>
        <w:tc>
          <w:tcPr>
            <w:tcW w:w="2034" w:type="dxa"/>
            <w:tcBorders>
              <w:top w:val="nil"/>
              <w:left w:val="nil"/>
              <w:bottom w:val="single" w:sz="4" w:space="0" w:color="auto"/>
              <w:right w:val="single" w:sz="4" w:space="0" w:color="auto"/>
            </w:tcBorders>
            <w:shd w:val="clear" w:color="auto" w:fill="auto"/>
            <w:noWrap/>
            <w:vAlign w:val="center"/>
            <w:hideMark/>
          </w:tcPr>
          <w:p w:rsidR="00CA0B63" w:rsidRPr="00DF348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DF348C">
              <w:rPr>
                <w:rFonts w:ascii="Arial" w:eastAsia="Times New Roman" w:hAnsi="Arial" w:cs="Arial"/>
                <w:color w:val="000000"/>
                <w:sz w:val="24"/>
                <w:szCs w:val="24"/>
                <w:lang w:eastAsia="ro-RO"/>
              </w:rPr>
              <w:t>36</w:t>
            </w:r>
          </w:p>
        </w:tc>
        <w:tc>
          <w:tcPr>
            <w:tcW w:w="1106"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0</w:t>
            </w:r>
          </w:p>
        </w:tc>
        <w:tc>
          <w:tcPr>
            <w:tcW w:w="1543"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0</w:t>
            </w:r>
          </w:p>
        </w:tc>
        <w:tc>
          <w:tcPr>
            <w:tcW w:w="1276" w:type="dxa"/>
            <w:tcBorders>
              <w:top w:val="nil"/>
              <w:left w:val="nil"/>
              <w:bottom w:val="single" w:sz="4" w:space="0" w:color="auto"/>
              <w:right w:val="single" w:sz="4" w:space="0" w:color="auto"/>
            </w:tcBorders>
            <w:shd w:val="clear" w:color="auto" w:fill="auto"/>
            <w:noWrap/>
            <w:vAlign w:val="center"/>
            <w:hideMark/>
          </w:tcPr>
          <w:p w:rsidR="00CA0B63" w:rsidRPr="00DF348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DF348C">
              <w:rPr>
                <w:rFonts w:ascii="Arial" w:eastAsia="Times New Roman" w:hAnsi="Arial" w:cs="Arial"/>
                <w:color w:val="000000"/>
                <w:sz w:val="24"/>
                <w:szCs w:val="24"/>
                <w:lang w:eastAsia="ro-RO"/>
              </w:rPr>
              <w:t>001</w:t>
            </w:r>
          </w:p>
        </w:tc>
      </w:tr>
      <w:tr w:rsidR="00CA0B63" w:rsidRPr="00DF348C" w:rsidTr="0056118B">
        <w:trPr>
          <w:trHeight w:val="300"/>
          <w:jc w:val="center"/>
        </w:trPr>
        <w:tc>
          <w:tcPr>
            <w:tcW w:w="1950" w:type="dxa"/>
            <w:tcBorders>
              <w:top w:val="nil"/>
              <w:left w:val="single" w:sz="4" w:space="0" w:color="auto"/>
              <w:bottom w:val="single" w:sz="4" w:space="0" w:color="auto"/>
              <w:right w:val="single" w:sz="4" w:space="0" w:color="auto"/>
            </w:tcBorders>
            <w:shd w:val="clear" w:color="auto" w:fill="auto"/>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ALTELE</w:t>
            </w:r>
          </w:p>
        </w:tc>
        <w:tc>
          <w:tcPr>
            <w:tcW w:w="2034" w:type="dxa"/>
            <w:tcBorders>
              <w:top w:val="nil"/>
              <w:left w:val="nil"/>
              <w:bottom w:val="single" w:sz="4" w:space="0" w:color="auto"/>
              <w:right w:val="single" w:sz="4" w:space="0" w:color="auto"/>
            </w:tcBorders>
            <w:shd w:val="clear" w:color="auto" w:fill="auto"/>
            <w:noWrap/>
            <w:vAlign w:val="center"/>
            <w:hideMark/>
          </w:tcPr>
          <w:p w:rsidR="00CA0B63" w:rsidRPr="00DF348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DF348C">
              <w:rPr>
                <w:rFonts w:ascii="Arial" w:eastAsia="Times New Roman" w:hAnsi="Arial" w:cs="Arial"/>
                <w:color w:val="000000"/>
                <w:sz w:val="24"/>
                <w:szCs w:val="24"/>
                <w:lang w:eastAsia="ro-RO"/>
              </w:rPr>
              <w:t>44</w:t>
            </w:r>
          </w:p>
        </w:tc>
        <w:tc>
          <w:tcPr>
            <w:tcW w:w="1106"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0</w:t>
            </w:r>
          </w:p>
        </w:tc>
        <w:tc>
          <w:tcPr>
            <w:tcW w:w="1543" w:type="dxa"/>
            <w:tcBorders>
              <w:top w:val="nil"/>
              <w:left w:val="nil"/>
              <w:bottom w:val="single" w:sz="4" w:space="0" w:color="auto"/>
              <w:right w:val="single" w:sz="4" w:space="0" w:color="auto"/>
            </w:tcBorders>
            <w:shd w:val="clear" w:color="auto" w:fill="auto"/>
            <w:noWrap/>
            <w:vAlign w:val="center"/>
            <w:hideMark/>
          </w:tcPr>
          <w:p w:rsidR="00CA0B63" w:rsidRPr="00DF348C" w:rsidRDefault="00CA0B63" w:rsidP="0056118B">
            <w:pPr>
              <w:spacing w:after="0" w:line="240" w:lineRule="auto"/>
              <w:jc w:val="center"/>
              <w:rPr>
                <w:rFonts w:ascii="Arial" w:eastAsia="Times New Roman" w:hAnsi="Arial" w:cs="Arial"/>
                <w:color w:val="000000"/>
                <w:sz w:val="24"/>
                <w:szCs w:val="24"/>
                <w:lang w:eastAsia="ro-RO"/>
              </w:rPr>
            </w:pPr>
            <w:r w:rsidRPr="00DF348C">
              <w:rPr>
                <w:rFonts w:ascii="Arial" w:eastAsia="Times New Roman" w:hAnsi="Arial" w:cs="Arial"/>
                <w:color w:val="000000"/>
                <w:sz w:val="24"/>
                <w:szCs w:val="24"/>
                <w:lang w:eastAsia="ro-RO"/>
              </w:rPr>
              <w:t>0</w:t>
            </w:r>
          </w:p>
        </w:tc>
        <w:tc>
          <w:tcPr>
            <w:tcW w:w="1276" w:type="dxa"/>
            <w:tcBorders>
              <w:top w:val="nil"/>
              <w:left w:val="nil"/>
              <w:bottom w:val="single" w:sz="4" w:space="0" w:color="auto"/>
              <w:right w:val="single" w:sz="4" w:space="0" w:color="auto"/>
            </w:tcBorders>
            <w:shd w:val="clear" w:color="auto" w:fill="auto"/>
            <w:noWrap/>
            <w:vAlign w:val="center"/>
            <w:hideMark/>
          </w:tcPr>
          <w:p w:rsidR="00CA0B63" w:rsidRPr="00DF348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DF348C">
              <w:rPr>
                <w:rFonts w:ascii="Arial" w:eastAsia="Times New Roman" w:hAnsi="Arial" w:cs="Arial"/>
                <w:color w:val="000000"/>
                <w:sz w:val="24"/>
                <w:szCs w:val="24"/>
                <w:lang w:eastAsia="ro-RO"/>
              </w:rPr>
              <w:t>006</w:t>
            </w:r>
          </w:p>
        </w:tc>
      </w:tr>
    </w:tbl>
    <w:p w:rsidR="00CA0B63" w:rsidRDefault="001B23A4" w:rsidP="001B23A4">
      <w:pPr>
        <w:spacing w:before="120" w:after="120" w:line="240" w:lineRule="auto"/>
        <w:jc w:val="center"/>
        <w:rPr>
          <w:rFonts w:ascii="Arial" w:hAnsi="Arial" w:cs="Arial"/>
          <w:b/>
          <w:sz w:val="24"/>
          <w:szCs w:val="24"/>
        </w:rPr>
      </w:pPr>
      <w:r>
        <w:rPr>
          <w:rFonts w:ascii="Arial" w:hAnsi="Arial" w:cs="Arial"/>
          <w:b/>
          <w:sz w:val="24"/>
          <w:szCs w:val="24"/>
        </w:rPr>
        <w:t>Tabel</w:t>
      </w:r>
      <w:r w:rsidR="00CA0B63" w:rsidRPr="00607974">
        <w:rPr>
          <w:rFonts w:ascii="Arial" w:hAnsi="Arial" w:cs="Arial"/>
          <w:b/>
          <w:sz w:val="24"/>
          <w:szCs w:val="24"/>
        </w:rPr>
        <w:t xml:space="preserve"> I.2.1.2.11. Contribuţia sectoarelor de activitate din industrie la emisiile de poluanţi organici persistenţi</w:t>
      </w:r>
    </w:p>
    <w:p w:rsidR="00CA0B63" w:rsidRDefault="00CA0B63" w:rsidP="00CA0B63">
      <w:pPr>
        <w:jc w:val="center"/>
        <w:rPr>
          <w:rFonts w:ascii="Arial" w:hAnsi="Arial" w:cs="Arial"/>
          <w:sz w:val="24"/>
          <w:szCs w:val="24"/>
        </w:rPr>
      </w:pPr>
      <w:r w:rsidRPr="00607974">
        <w:rPr>
          <w:rFonts w:ascii="Arial" w:hAnsi="Arial" w:cs="Arial"/>
          <w:noProof/>
          <w:sz w:val="24"/>
          <w:szCs w:val="24"/>
          <w:lang w:val="ro-RO" w:eastAsia="ro-RO"/>
        </w:rPr>
        <w:lastRenderedPageBreak/>
        <w:drawing>
          <wp:inline distT="0" distB="0" distL="0" distR="0">
            <wp:extent cx="4543425" cy="3438525"/>
            <wp:effectExtent l="19050" t="0" r="9525" b="0"/>
            <wp:docPr id="59"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Figura</w:t>
      </w:r>
      <w:r w:rsidRPr="00607974">
        <w:rPr>
          <w:rFonts w:ascii="Arial" w:hAnsi="Arial" w:cs="Arial"/>
          <w:b/>
          <w:sz w:val="24"/>
          <w:szCs w:val="24"/>
        </w:rPr>
        <w:t xml:space="preserve"> I.2.1.2.11. Contribuţia sectoarelor de activitate din industrie la emisiile de poluanţi organici persistenţi</w:t>
      </w:r>
    </w:p>
    <w:p w:rsidR="00CA0B63" w:rsidRDefault="00CA0B63" w:rsidP="001B23A4">
      <w:pPr>
        <w:spacing w:before="120" w:after="120" w:line="240" w:lineRule="auto"/>
        <w:jc w:val="both"/>
        <w:rPr>
          <w:rFonts w:ascii="Arial" w:hAnsi="Arial" w:cs="Arial"/>
          <w:sz w:val="24"/>
          <w:szCs w:val="24"/>
        </w:rPr>
      </w:pPr>
      <w:r>
        <w:rPr>
          <w:rFonts w:ascii="Arial" w:hAnsi="Arial" w:cs="Arial"/>
          <w:sz w:val="24"/>
          <w:szCs w:val="24"/>
        </w:rPr>
        <w:t>Din analiza datelor prezentate mai sus se observă contribuţia arderilor din industria alimentară la emisiile de poluanţi organici persistenţi, industrie cu o capacitate de producţie importantă la nivelul judeţului Buzău, care utilizează mai multe tipuri de combu</w:t>
      </w:r>
      <w:r>
        <w:rPr>
          <w:rFonts w:ascii="Arial" w:hAnsi="Arial" w:cs="Arial"/>
          <w:sz w:val="24"/>
          <w:szCs w:val="24"/>
        </w:rPr>
        <w:t>s</w:t>
      </w:r>
      <w:r>
        <w:rPr>
          <w:rFonts w:ascii="Arial" w:hAnsi="Arial" w:cs="Arial"/>
          <w:sz w:val="24"/>
          <w:szCs w:val="24"/>
        </w:rPr>
        <w:t>tibili şi care are un flux de producţie ce se desfăşoară continuu pe toată perioada anului.</w:t>
      </w:r>
    </w:p>
    <w:p w:rsidR="001B23A4" w:rsidRDefault="001B23A4" w:rsidP="001B23A4">
      <w:pPr>
        <w:spacing w:before="120" w:after="120" w:line="240" w:lineRule="auto"/>
        <w:jc w:val="both"/>
        <w:rPr>
          <w:rFonts w:ascii="Arial" w:hAnsi="Arial" w:cs="Arial"/>
          <w:b/>
          <w:sz w:val="24"/>
          <w:szCs w:val="24"/>
        </w:rPr>
      </w:pPr>
    </w:p>
    <w:p w:rsidR="00CA0B63" w:rsidRDefault="00CA0B63" w:rsidP="001B23A4">
      <w:pPr>
        <w:spacing w:before="120" w:after="120" w:line="240" w:lineRule="auto"/>
        <w:jc w:val="both"/>
        <w:rPr>
          <w:rFonts w:ascii="Arial" w:hAnsi="Arial" w:cs="Arial"/>
          <w:b/>
          <w:sz w:val="24"/>
          <w:szCs w:val="24"/>
        </w:rPr>
      </w:pPr>
      <w:r w:rsidRPr="00DE091C">
        <w:rPr>
          <w:rFonts w:ascii="Arial" w:hAnsi="Arial" w:cs="Arial"/>
          <w:b/>
          <w:sz w:val="24"/>
          <w:szCs w:val="24"/>
        </w:rPr>
        <w:t>I.2.1.3. Transportul</w:t>
      </w:r>
    </w:p>
    <w:p w:rsidR="00CA0B63" w:rsidRDefault="00CA0B63" w:rsidP="001B23A4">
      <w:pPr>
        <w:spacing w:before="120" w:after="120" w:line="240" w:lineRule="auto"/>
        <w:jc w:val="both"/>
        <w:rPr>
          <w:rFonts w:ascii="Arial" w:hAnsi="Arial" w:cs="Arial"/>
          <w:sz w:val="24"/>
          <w:szCs w:val="24"/>
        </w:rPr>
      </w:pPr>
      <w:r>
        <w:rPr>
          <w:rFonts w:ascii="Arial" w:hAnsi="Arial" w:cs="Arial"/>
          <w:sz w:val="24"/>
          <w:szCs w:val="24"/>
        </w:rPr>
        <w:t>Transportul rutier, de mărfuri şi persoane reprezintă una din principalele surse de poluare, în special la nivel urban. În ultima perioadă de timp se observă o creştere a numărului de autovehicule de transport marfă şi persoane, în dauna utilizării altor tipuri de transport mai puţin poluante (transport feroviar). Datele care vor fi prezentate mai jos provin din Invent</w:t>
      </w:r>
      <w:r>
        <w:rPr>
          <w:rFonts w:ascii="Arial" w:hAnsi="Arial" w:cs="Arial"/>
          <w:sz w:val="24"/>
          <w:szCs w:val="24"/>
        </w:rPr>
        <w:t>a</w:t>
      </w:r>
      <w:r>
        <w:rPr>
          <w:rFonts w:ascii="Arial" w:hAnsi="Arial" w:cs="Arial"/>
          <w:sz w:val="24"/>
          <w:szCs w:val="24"/>
        </w:rPr>
        <w:t>rul local de emisii pentru transport, realizat prin programul COPERT IV.</w:t>
      </w:r>
    </w:p>
    <w:p w:rsidR="00D71325" w:rsidRDefault="00D71325" w:rsidP="001B23A4">
      <w:pPr>
        <w:spacing w:before="120" w:after="120" w:line="240" w:lineRule="auto"/>
        <w:jc w:val="both"/>
        <w:rPr>
          <w:rFonts w:ascii="Arial" w:hAnsi="Arial" w:cs="Arial"/>
          <w:b/>
          <w:bCs/>
          <w:sz w:val="24"/>
          <w:szCs w:val="24"/>
        </w:rPr>
      </w:pPr>
    </w:p>
    <w:p w:rsidR="00CA0B63" w:rsidRPr="00E4060F" w:rsidRDefault="00CA0B63" w:rsidP="001B23A4">
      <w:pPr>
        <w:spacing w:before="120" w:after="120" w:line="240" w:lineRule="auto"/>
        <w:jc w:val="both"/>
        <w:rPr>
          <w:rFonts w:ascii="Arial" w:hAnsi="Arial" w:cs="Arial"/>
          <w:b/>
          <w:sz w:val="24"/>
          <w:szCs w:val="24"/>
        </w:rPr>
      </w:pPr>
      <w:r w:rsidRPr="00E4060F">
        <w:rPr>
          <w:rFonts w:ascii="Arial" w:hAnsi="Arial" w:cs="Arial"/>
          <w:b/>
          <w:bCs/>
          <w:sz w:val="24"/>
          <w:szCs w:val="24"/>
        </w:rPr>
        <w:t xml:space="preserve">a) </w:t>
      </w:r>
      <w:r w:rsidRPr="00E4060F">
        <w:rPr>
          <w:rFonts w:ascii="Arial" w:hAnsi="Arial" w:cs="Arial"/>
          <w:b/>
          <w:sz w:val="24"/>
          <w:szCs w:val="24"/>
        </w:rPr>
        <w:t>Emisiile de substanţe acidifiante</w:t>
      </w:r>
    </w:p>
    <w:p w:rsidR="00CA0B63" w:rsidRDefault="00CA0B63" w:rsidP="001B23A4">
      <w:pPr>
        <w:spacing w:before="120" w:after="120" w:line="240" w:lineRule="auto"/>
        <w:jc w:val="both"/>
        <w:rPr>
          <w:rFonts w:ascii="Arial" w:hAnsi="Arial" w:cs="Arial"/>
          <w:sz w:val="24"/>
          <w:szCs w:val="24"/>
        </w:rPr>
      </w:pPr>
      <w:r w:rsidRPr="00DE091C">
        <w:rPr>
          <w:rFonts w:ascii="Arial" w:hAnsi="Arial" w:cs="Arial"/>
          <w:bCs/>
          <w:sz w:val="24"/>
          <w:szCs w:val="24"/>
        </w:rPr>
        <w:t>Contribuţia diverselor tipuri de vehicule la emisiile de poluanţi cu efect de acidifiere</w:t>
      </w:r>
      <w:r w:rsidRPr="00DE091C">
        <w:rPr>
          <w:rFonts w:ascii="Arial" w:hAnsi="Arial" w:cs="Arial"/>
          <w:sz w:val="24"/>
          <w:szCs w:val="24"/>
        </w:rPr>
        <w:t>, la n</w:t>
      </w:r>
      <w:r w:rsidRPr="00DE091C">
        <w:rPr>
          <w:rFonts w:ascii="Arial" w:hAnsi="Arial" w:cs="Arial"/>
          <w:sz w:val="24"/>
          <w:szCs w:val="24"/>
        </w:rPr>
        <w:t>i</w:t>
      </w:r>
      <w:r w:rsidRPr="00DE091C">
        <w:rPr>
          <w:rFonts w:ascii="Arial" w:hAnsi="Arial" w:cs="Arial"/>
          <w:sz w:val="24"/>
          <w:szCs w:val="24"/>
        </w:rPr>
        <w:t>velul judeţului Buzău, în anul 2014, es</w:t>
      </w:r>
      <w:r>
        <w:rPr>
          <w:rFonts w:ascii="Arial" w:hAnsi="Arial" w:cs="Arial"/>
          <w:sz w:val="24"/>
          <w:szCs w:val="24"/>
        </w:rPr>
        <w:t>te prezentată în tabelul I.2.1.3.1. şi figura I.2.1.3</w:t>
      </w:r>
      <w:r w:rsidRPr="00DE091C">
        <w:rPr>
          <w:rFonts w:ascii="Arial" w:hAnsi="Arial" w:cs="Arial"/>
          <w:sz w:val="24"/>
          <w:szCs w:val="24"/>
        </w:rPr>
        <w:t>.1.</w:t>
      </w:r>
    </w:p>
    <w:p w:rsidR="001B23A4" w:rsidRPr="00DE091C" w:rsidRDefault="001B23A4" w:rsidP="001B23A4">
      <w:pPr>
        <w:spacing w:before="120" w:after="120" w:line="240" w:lineRule="auto"/>
        <w:jc w:val="both"/>
        <w:rPr>
          <w:rFonts w:ascii="Arial" w:hAnsi="Arial" w:cs="Arial"/>
          <w:sz w:val="24"/>
          <w:szCs w:val="24"/>
        </w:rPr>
      </w:pPr>
    </w:p>
    <w:tbl>
      <w:tblPr>
        <w:tblW w:w="6708" w:type="dxa"/>
        <w:jc w:val="center"/>
        <w:tblInd w:w="103" w:type="dxa"/>
        <w:tblLook w:val="04A0"/>
      </w:tblPr>
      <w:tblGrid>
        <w:gridCol w:w="1376"/>
        <w:gridCol w:w="1470"/>
        <w:gridCol w:w="1243"/>
        <w:gridCol w:w="1043"/>
        <w:gridCol w:w="1576"/>
      </w:tblGrid>
      <w:tr w:rsidR="00CA0B63" w:rsidRPr="00DE091C" w:rsidTr="0056118B">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b/>
                <w:color w:val="000000"/>
                <w:sz w:val="24"/>
                <w:szCs w:val="24"/>
                <w:lang w:eastAsia="ro-RO"/>
              </w:rPr>
            </w:pPr>
            <w:r w:rsidRPr="00DE091C">
              <w:rPr>
                <w:rFonts w:ascii="Arial" w:eastAsia="Times New Roman" w:hAnsi="Arial" w:cs="Arial"/>
                <w:b/>
                <w:color w:val="000000"/>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b/>
                <w:color w:val="000000"/>
                <w:sz w:val="24"/>
                <w:szCs w:val="24"/>
                <w:lang w:eastAsia="ro-RO"/>
              </w:rPr>
            </w:pPr>
            <w:r w:rsidRPr="00DE091C">
              <w:rPr>
                <w:rFonts w:ascii="Arial" w:eastAsia="Times New Roman" w:hAnsi="Arial" w:cs="Arial"/>
                <w:b/>
                <w:color w:val="000000"/>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b/>
                <w:color w:val="000000"/>
                <w:sz w:val="24"/>
                <w:szCs w:val="24"/>
                <w:lang w:eastAsia="ro-RO"/>
              </w:rPr>
            </w:pPr>
            <w:r w:rsidRPr="00DE091C">
              <w:rPr>
                <w:rFonts w:ascii="Arial" w:eastAsia="Times New Roman" w:hAnsi="Arial" w:cs="Arial"/>
                <w:b/>
                <w:color w:val="000000"/>
                <w:sz w:val="24"/>
                <w:szCs w:val="24"/>
                <w:lang w:eastAsia="ro-RO"/>
              </w:rPr>
              <w:t>VEH</w:t>
            </w:r>
            <w:r>
              <w:rPr>
                <w:rFonts w:ascii="Arial" w:eastAsia="Times New Roman" w:hAnsi="Arial" w:cs="Arial"/>
                <w:b/>
                <w:color w:val="000000"/>
                <w:sz w:val="24"/>
                <w:szCs w:val="24"/>
                <w:lang w:eastAsia="ro-RO"/>
              </w:rPr>
              <w:t>.</w:t>
            </w:r>
            <w:r w:rsidRPr="00DE091C">
              <w:rPr>
                <w:rFonts w:ascii="Arial" w:eastAsia="Times New Roman" w:hAnsi="Arial" w:cs="Arial"/>
                <w:b/>
                <w:color w:val="000000"/>
                <w:sz w:val="24"/>
                <w:szCs w:val="24"/>
                <w:lang w:eastAsia="ro-RO"/>
              </w:rPr>
              <w:t xml:space="preserve">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 xml:space="preserve">VEH. </w:t>
            </w:r>
            <w:r w:rsidRPr="00DE091C">
              <w:rPr>
                <w:rFonts w:ascii="Arial" w:eastAsia="Times New Roman" w:hAnsi="Arial" w:cs="Arial"/>
                <w:b/>
                <w:color w:val="000000"/>
                <w:sz w:val="24"/>
                <w:szCs w:val="24"/>
                <w:lang w:eastAsia="ro-RO"/>
              </w:rPr>
              <w:t>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b/>
                <w:color w:val="000000"/>
                <w:sz w:val="24"/>
                <w:szCs w:val="24"/>
                <w:lang w:eastAsia="ro-RO"/>
              </w:rPr>
            </w:pPr>
            <w:r w:rsidRPr="00DE091C">
              <w:rPr>
                <w:rFonts w:ascii="Arial" w:eastAsia="Times New Roman" w:hAnsi="Arial" w:cs="Arial"/>
                <w:b/>
                <w:color w:val="000000"/>
                <w:sz w:val="24"/>
                <w:szCs w:val="24"/>
                <w:lang w:eastAsia="ro-RO"/>
              </w:rPr>
              <w:t>MOTORETE</w:t>
            </w:r>
          </w:p>
        </w:tc>
      </w:tr>
      <w:tr w:rsidR="00CA0B63" w:rsidRPr="00DE091C"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sidRPr="00DE091C">
              <w:rPr>
                <w:rFonts w:ascii="Arial" w:eastAsia="Times New Roman" w:hAnsi="Arial" w:cs="Arial"/>
                <w:color w:val="000000"/>
                <w:sz w:val="24"/>
                <w:szCs w:val="24"/>
                <w:lang w:eastAsia="ro-RO"/>
              </w:rPr>
              <w:t>SO2</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w:t>
            </w:r>
          </w:p>
        </w:tc>
      </w:tr>
      <w:tr w:rsidR="00CA0B63" w:rsidRPr="00DE091C"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NO</w:t>
            </w:r>
            <w:r w:rsidRPr="00DE091C">
              <w:rPr>
                <w:rFonts w:ascii="Arial" w:eastAsia="Times New Roman" w:hAnsi="Arial" w:cs="Arial"/>
                <w:color w:val="000000"/>
                <w:sz w:val="24"/>
                <w:szCs w:val="24"/>
                <w:lang w:eastAsia="ro-RO"/>
              </w:rPr>
              <w:t>x</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DE091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32,</w:t>
            </w:r>
            <w:r w:rsidR="00CA0B63" w:rsidRPr="00DE091C">
              <w:rPr>
                <w:rFonts w:ascii="Arial" w:eastAsia="Times New Roman" w:hAnsi="Arial" w:cs="Arial"/>
                <w:color w:val="000000"/>
                <w:sz w:val="24"/>
                <w:szCs w:val="24"/>
                <w:lang w:eastAsia="ro-RO"/>
              </w:rPr>
              <w:t>2</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DE091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11,</w:t>
            </w:r>
            <w:r w:rsidR="00CA0B63" w:rsidRPr="00DE091C">
              <w:rPr>
                <w:rFonts w:ascii="Arial" w:eastAsia="Times New Roman" w:hAnsi="Arial" w:cs="Arial"/>
                <w:color w:val="000000"/>
                <w:sz w:val="24"/>
                <w:szCs w:val="24"/>
                <w:lang w:eastAsia="ro-RO"/>
              </w:rPr>
              <w:t>2</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DE091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56,</w:t>
            </w:r>
            <w:r w:rsidR="00CA0B63" w:rsidRPr="00DE091C">
              <w:rPr>
                <w:rFonts w:ascii="Arial" w:eastAsia="Times New Roman" w:hAnsi="Arial" w:cs="Arial"/>
                <w:color w:val="000000"/>
                <w:sz w:val="24"/>
                <w:szCs w:val="24"/>
                <w:lang w:eastAsia="ro-RO"/>
              </w:rPr>
              <w:t>2</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DE091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DE091C">
              <w:rPr>
                <w:rFonts w:ascii="Arial" w:eastAsia="Times New Roman" w:hAnsi="Arial" w:cs="Arial"/>
                <w:color w:val="000000"/>
                <w:sz w:val="24"/>
                <w:szCs w:val="24"/>
                <w:lang w:eastAsia="ro-RO"/>
              </w:rPr>
              <w:t>4</w:t>
            </w:r>
          </w:p>
        </w:tc>
      </w:tr>
      <w:tr w:rsidR="00CA0B63" w:rsidRPr="00DE091C"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sidRPr="00DE091C">
              <w:rPr>
                <w:rFonts w:ascii="Arial" w:eastAsia="Times New Roman" w:hAnsi="Arial" w:cs="Arial"/>
                <w:color w:val="000000"/>
                <w:sz w:val="24"/>
                <w:szCs w:val="24"/>
                <w:lang w:eastAsia="ro-RO"/>
              </w:rPr>
              <w:t>NH3</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sidRPr="00DE091C">
              <w:rPr>
                <w:rFonts w:ascii="Arial" w:eastAsia="Times New Roman" w:hAnsi="Arial" w:cs="Arial"/>
                <w:color w:val="000000"/>
                <w:sz w:val="24"/>
                <w:szCs w:val="24"/>
                <w:lang w:eastAsia="ro-RO"/>
              </w:rPr>
              <w:t>89</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DE091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w:t>
            </w:r>
            <w:r w:rsidR="00CA0B63" w:rsidRPr="00DE091C">
              <w:rPr>
                <w:rFonts w:ascii="Arial" w:eastAsia="Times New Roman" w:hAnsi="Arial" w:cs="Arial"/>
                <w:color w:val="000000"/>
                <w:sz w:val="24"/>
                <w:szCs w:val="24"/>
                <w:lang w:eastAsia="ro-RO"/>
              </w:rPr>
              <w:t>6</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DE091C" w:rsidRDefault="00CA0B63" w:rsidP="0056118B">
            <w:pPr>
              <w:spacing w:after="0" w:line="240" w:lineRule="auto"/>
              <w:jc w:val="center"/>
              <w:rPr>
                <w:rFonts w:ascii="Arial" w:eastAsia="Times New Roman" w:hAnsi="Arial" w:cs="Arial"/>
                <w:color w:val="000000"/>
                <w:sz w:val="24"/>
                <w:szCs w:val="24"/>
                <w:lang w:eastAsia="ro-RO"/>
              </w:rPr>
            </w:pPr>
            <w:r w:rsidRPr="00DE091C">
              <w:rPr>
                <w:rFonts w:ascii="Arial" w:eastAsia="Times New Roman" w:hAnsi="Arial" w:cs="Arial"/>
                <w:color w:val="000000"/>
                <w:sz w:val="24"/>
                <w:szCs w:val="24"/>
                <w:lang w:eastAsia="ro-RO"/>
              </w:rPr>
              <w:t>4</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DE091C"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DE091C">
              <w:rPr>
                <w:rFonts w:ascii="Arial" w:eastAsia="Times New Roman" w:hAnsi="Arial" w:cs="Arial"/>
                <w:color w:val="000000"/>
                <w:sz w:val="24"/>
                <w:szCs w:val="24"/>
                <w:lang w:eastAsia="ro-RO"/>
              </w:rPr>
              <w:t>4</w:t>
            </w:r>
          </w:p>
        </w:tc>
      </w:tr>
    </w:tbl>
    <w:p w:rsidR="00CA0B63" w:rsidRDefault="001B23A4" w:rsidP="001B23A4">
      <w:pPr>
        <w:spacing w:before="120" w:after="120" w:line="240" w:lineRule="auto"/>
        <w:jc w:val="center"/>
        <w:rPr>
          <w:rFonts w:ascii="Arial" w:hAnsi="Arial" w:cs="Arial"/>
          <w:b/>
          <w:sz w:val="24"/>
          <w:szCs w:val="24"/>
        </w:rPr>
      </w:pPr>
      <w:r>
        <w:rPr>
          <w:rFonts w:ascii="Arial" w:hAnsi="Arial" w:cs="Arial"/>
          <w:b/>
          <w:sz w:val="24"/>
          <w:szCs w:val="24"/>
        </w:rPr>
        <w:t>Tabel</w:t>
      </w:r>
      <w:r w:rsidR="00CA0B63" w:rsidRPr="00B93871">
        <w:rPr>
          <w:rFonts w:ascii="Arial" w:hAnsi="Arial" w:cs="Arial"/>
          <w:b/>
          <w:sz w:val="24"/>
          <w:szCs w:val="24"/>
        </w:rPr>
        <w:t xml:space="preserve"> I.2.1.3.1. </w:t>
      </w:r>
      <w:r w:rsidR="00CA0B63" w:rsidRPr="00B93871">
        <w:rPr>
          <w:rFonts w:ascii="Arial" w:hAnsi="Arial" w:cs="Arial"/>
          <w:b/>
          <w:bCs/>
          <w:sz w:val="24"/>
          <w:szCs w:val="24"/>
        </w:rPr>
        <w:t>Contribuţia diverselor tipuri de vehicule la emisiile de poluanţi cu efect de acidifiere</w:t>
      </w:r>
    </w:p>
    <w:p w:rsidR="00CA0B63" w:rsidRDefault="00CA0B63" w:rsidP="00CA0B63">
      <w:pPr>
        <w:jc w:val="center"/>
        <w:rPr>
          <w:rFonts w:ascii="Arial" w:hAnsi="Arial" w:cs="Arial"/>
          <w:sz w:val="24"/>
          <w:szCs w:val="24"/>
        </w:rPr>
      </w:pPr>
      <w:r w:rsidRPr="00B93871">
        <w:rPr>
          <w:rFonts w:ascii="Arial" w:hAnsi="Arial" w:cs="Arial"/>
          <w:noProof/>
          <w:sz w:val="24"/>
          <w:szCs w:val="24"/>
          <w:lang w:val="ro-RO" w:eastAsia="ro-RO"/>
        </w:rPr>
        <w:lastRenderedPageBreak/>
        <w:drawing>
          <wp:inline distT="0" distB="0" distL="0" distR="0">
            <wp:extent cx="4547870" cy="3286125"/>
            <wp:effectExtent l="19050" t="0" r="24130" b="0"/>
            <wp:docPr id="6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Figura</w:t>
      </w:r>
      <w:r w:rsidRPr="00B93871">
        <w:rPr>
          <w:rFonts w:ascii="Arial" w:hAnsi="Arial" w:cs="Arial"/>
          <w:b/>
          <w:sz w:val="24"/>
          <w:szCs w:val="24"/>
        </w:rPr>
        <w:t xml:space="preserve"> I.2.1.3.1. </w:t>
      </w:r>
      <w:r w:rsidRPr="00B93871">
        <w:rPr>
          <w:rFonts w:ascii="Arial" w:hAnsi="Arial" w:cs="Arial"/>
          <w:b/>
          <w:bCs/>
          <w:sz w:val="24"/>
          <w:szCs w:val="24"/>
        </w:rPr>
        <w:t>Contribuţia diverselor tipuri de vehicule la emisiile de poluanţi cu efect de acidifiere</w:t>
      </w:r>
    </w:p>
    <w:p w:rsidR="001B23A4" w:rsidRDefault="001B23A4" w:rsidP="001B23A4">
      <w:pPr>
        <w:spacing w:before="120" w:after="120" w:line="240" w:lineRule="auto"/>
        <w:jc w:val="both"/>
        <w:rPr>
          <w:rFonts w:ascii="Arial" w:hAnsi="Arial" w:cs="Arial"/>
          <w:sz w:val="24"/>
          <w:szCs w:val="24"/>
        </w:rPr>
      </w:pPr>
    </w:p>
    <w:p w:rsidR="00CA0B63" w:rsidRDefault="00CA0B63" w:rsidP="001B23A4">
      <w:pPr>
        <w:spacing w:before="120" w:after="120" w:line="240" w:lineRule="auto"/>
        <w:jc w:val="both"/>
        <w:rPr>
          <w:rFonts w:ascii="Arial" w:hAnsi="Arial" w:cs="Arial"/>
          <w:sz w:val="24"/>
          <w:szCs w:val="24"/>
        </w:rPr>
      </w:pPr>
      <w:r>
        <w:rPr>
          <w:rFonts w:ascii="Arial" w:hAnsi="Arial" w:cs="Arial"/>
          <w:sz w:val="24"/>
          <w:szCs w:val="24"/>
        </w:rPr>
        <w:t>Din analiza datelor prezentate, se observă că ponderea principală în cazul emisiilor de gaze acidifiante o au transportul de pasageri şi de marfă, cu vehicule grele, ceea ce i</w:t>
      </w:r>
      <w:r>
        <w:rPr>
          <w:rFonts w:ascii="Arial" w:hAnsi="Arial" w:cs="Arial"/>
          <w:sz w:val="24"/>
          <w:szCs w:val="24"/>
        </w:rPr>
        <w:t>m</w:t>
      </w:r>
      <w:r>
        <w:rPr>
          <w:rFonts w:ascii="Arial" w:hAnsi="Arial" w:cs="Arial"/>
          <w:sz w:val="24"/>
          <w:szCs w:val="24"/>
        </w:rPr>
        <w:t>pune o regândire a strategiei privind dezvoltarea reţelei de  transport în comun şi utilizarea altor tipuri de transport pentru marfă.</w:t>
      </w:r>
    </w:p>
    <w:p w:rsidR="00D71325" w:rsidRDefault="00D71325" w:rsidP="001B23A4">
      <w:pPr>
        <w:spacing w:before="120" w:after="120" w:line="240" w:lineRule="auto"/>
        <w:jc w:val="both"/>
        <w:rPr>
          <w:rFonts w:ascii="Arial" w:hAnsi="Arial" w:cs="Arial"/>
          <w:b/>
          <w:sz w:val="24"/>
          <w:szCs w:val="24"/>
        </w:rPr>
      </w:pPr>
    </w:p>
    <w:p w:rsidR="00CA0B63" w:rsidRPr="00B16227" w:rsidRDefault="00CA0B63" w:rsidP="001B23A4">
      <w:pPr>
        <w:spacing w:before="120" w:after="120" w:line="240" w:lineRule="auto"/>
        <w:jc w:val="both"/>
        <w:rPr>
          <w:rFonts w:ascii="Arial" w:hAnsi="Arial" w:cs="Arial"/>
          <w:b/>
          <w:sz w:val="24"/>
          <w:szCs w:val="24"/>
        </w:rPr>
      </w:pPr>
      <w:r w:rsidRPr="00B16227">
        <w:rPr>
          <w:rFonts w:ascii="Arial" w:hAnsi="Arial" w:cs="Arial"/>
          <w:b/>
          <w:sz w:val="24"/>
          <w:szCs w:val="24"/>
        </w:rPr>
        <w:t>b) Emisii de precursori ai ozonului</w:t>
      </w:r>
    </w:p>
    <w:p w:rsidR="00CA0B63" w:rsidRDefault="00CA0B63" w:rsidP="001B23A4">
      <w:pPr>
        <w:spacing w:before="120" w:after="120" w:line="240" w:lineRule="auto"/>
        <w:jc w:val="both"/>
        <w:rPr>
          <w:rFonts w:ascii="Arial" w:hAnsi="Arial" w:cs="Arial"/>
          <w:sz w:val="24"/>
          <w:szCs w:val="24"/>
        </w:rPr>
      </w:pPr>
      <w:r w:rsidRPr="009D78E1">
        <w:rPr>
          <w:rFonts w:ascii="Arial" w:hAnsi="Arial" w:cs="Arial"/>
          <w:bCs/>
          <w:sz w:val="24"/>
          <w:szCs w:val="24"/>
        </w:rPr>
        <w:t>Contribuţia tipurilor de vehicule la emisiile de poluanţi precursori ai ozonului</w:t>
      </w:r>
      <w:r w:rsidRPr="009D78E1">
        <w:rPr>
          <w:rFonts w:ascii="Arial" w:hAnsi="Arial" w:cs="Arial"/>
          <w:sz w:val="24"/>
          <w:szCs w:val="24"/>
        </w:rPr>
        <w:t>, la nivelul judeţului Buzău, în anul 2014, es</w:t>
      </w:r>
      <w:r>
        <w:rPr>
          <w:rFonts w:ascii="Arial" w:hAnsi="Arial" w:cs="Arial"/>
          <w:sz w:val="24"/>
          <w:szCs w:val="24"/>
        </w:rPr>
        <w:t>te prezentată în tabelul I.2.1.3.2. şi figura I.2.1.3.2</w:t>
      </w:r>
      <w:r w:rsidRPr="009D78E1">
        <w:rPr>
          <w:rFonts w:ascii="Arial" w:hAnsi="Arial" w:cs="Arial"/>
          <w:sz w:val="24"/>
          <w:szCs w:val="24"/>
        </w:rPr>
        <w:t>.</w:t>
      </w:r>
    </w:p>
    <w:p w:rsidR="001B23A4" w:rsidRPr="009D78E1" w:rsidRDefault="001B23A4" w:rsidP="001B23A4">
      <w:pPr>
        <w:spacing w:before="120" w:after="120" w:line="240" w:lineRule="auto"/>
        <w:jc w:val="both"/>
        <w:rPr>
          <w:rFonts w:ascii="Arial" w:hAnsi="Arial" w:cs="Arial"/>
          <w:sz w:val="24"/>
          <w:szCs w:val="24"/>
        </w:rPr>
      </w:pPr>
    </w:p>
    <w:tbl>
      <w:tblPr>
        <w:tblW w:w="6708" w:type="dxa"/>
        <w:jc w:val="center"/>
        <w:tblInd w:w="103" w:type="dxa"/>
        <w:tblLook w:val="04A0"/>
      </w:tblPr>
      <w:tblGrid>
        <w:gridCol w:w="1376"/>
        <w:gridCol w:w="1470"/>
        <w:gridCol w:w="1243"/>
        <w:gridCol w:w="1043"/>
        <w:gridCol w:w="1576"/>
      </w:tblGrid>
      <w:tr w:rsidR="00CA0B63" w:rsidRPr="009D78E1" w:rsidTr="0056118B">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b/>
                <w:color w:val="000000"/>
                <w:sz w:val="24"/>
                <w:szCs w:val="24"/>
                <w:lang w:eastAsia="ro-RO"/>
              </w:rPr>
            </w:pPr>
            <w:r w:rsidRPr="009D78E1">
              <w:rPr>
                <w:rFonts w:ascii="Arial" w:eastAsia="Times New Roman" w:hAnsi="Arial" w:cs="Arial"/>
                <w:b/>
                <w:color w:val="000000"/>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b/>
                <w:color w:val="000000"/>
                <w:sz w:val="24"/>
                <w:szCs w:val="24"/>
                <w:lang w:eastAsia="ro-RO"/>
              </w:rPr>
            </w:pPr>
            <w:r w:rsidRPr="009D78E1">
              <w:rPr>
                <w:rFonts w:ascii="Arial" w:eastAsia="Times New Roman" w:hAnsi="Arial" w:cs="Arial"/>
                <w:b/>
                <w:color w:val="000000"/>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b/>
                <w:color w:val="000000"/>
                <w:sz w:val="24"/>
                <w:szCs w:val="24"/>
                <w:lang w:eastAsia="ro-RO"/>
              </w:rPr>
            </w:pPr>
            <w:r w:rsidRPr="009D78E1">
              <w:rPr>
                <w:rFonts w:ascii="Arial" w:eastAsia="Times New Roman" w:hAnsi="Arial" w:cs="Arial"/>
                <w:b/>
                <w:color w:val="000000"/>
                <w:sz w:val="24"/>
                <w:szCs w:val="24"/>
                <w:lang w:eastAsia="ro-RO"/>
              </w:rPr>
              <w:t>VEH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b/>
                <w:color w:val="000000"/>
                <w:sz w:val="24"/>
                <w:szCs w:val="24"/>
                <w:lang w:eastAsia="ro-RO"/>
              </w:rPr>
            </w:pPr>
            <w:r w:rsidRPr="009D78E1">
              <w:rPr>
                <w:rFonts w:ascii="Arial" w:eastAsia="Times New Roman" w:hAnsi="Arial" w:cs="Arial"/>
                <w:b/>
                <w:color w:val="000000"/>
                <w:sz w:val="24"/>
                <w:szCs w:val="24"/>
                <w:lang w:eastAsia="ro-RO"/>
              </w:rPr>
              <w:t>VEH 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b/>
                <w:color w:val="000000"/>
                <w:sz w:val="24"/>
                <w:szCs w:val="24"/>
                <w:lang w:eastAsia="ro-RO"/>
              </w:rPr>
            </w:pPr>
            <w:r w:rsidRPr="009D78E1">
              <w:rPr>
                <w:rFonts w:ascii="Arial" w:eastAsia="Times New Roman" w:hAnsi="Arial" w:cs="Arial"/>
                <w:b/>
                <w:color w:val="000000"/>
                <w:sz w:val="24"/>
                <w:szCs w:val="24"/>
                <w:lang w:eastAsia="ro-RO"/>
              </w:rPr>
              <w:t>MOTORETE</w:t>
            </w:r>
          </w:p>
        </w:tc>
      </w:tr>
      <w:tr w:rsidR="00CA0B63" w:rsidRPr="009D78E1"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CO</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80</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13</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9D78E1"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w:t>
            </w:r>
            <w:r w:rsidR="00CA0B63" w:rsidRPr="009D78E1">
              <w:rPr>
                <w:rFonts w:ascii="Arial" w:eastAsia="Times New Roman" w:hAnsi="Arial" w:cs="Arial"/>
                <w:color w:val="000000"/>
                <w:sz w:val="24"/>
                <w:szCs w:val="24"/>
                <w:lang w:eastAsia="ro-RO"/>
              </w:rPr>
              <w:t>3</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9D78E1"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9D78E1">
              <w:rPr>
                <w:rFonts w:ascii="Arial" w:eastAsia="Times New Roman" w:hAnsi="Arial" w:cs="Arial"/>
                <w:color w:val="000000"/>
                <w:sz w:val="24"/>
                <w:szCs w:val="24"/>
                <w:lang w:eastAsia="ro-RO"/>
              </w:rPr>
              <w:t>7</w:t>
            </w:r>
          </w:p>
        </w:tc>
      </w:tr>
      <w:tr w:rsidR="00CA0B63" w:rsidRPr="009D78E1"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NMVOC</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75</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11</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9D78E1" w:rsidRDefault="00CA0B63" w:rsidP="00004D77">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12</w:t>
            </w:r>
            <w:r w:rsidR="00004D77">
              <w:rPr>
                <w:rFonts w:ascii="Arial" w:eastAsia="Times New Roman" w:hAnsi="Arial" w:cs="Arial"/>
                <w:color w:val="000000"/>
                <w:sz w:val="24"/>
                <w:szCs w:val="24"/>
                <w:lang w:eastAsia="ro-RO"/>
              </w:rPr>
              <w:t>,</w:t>
            </w:r>
            <w:r w:rsidRPr="009D78E1">
              <w:rPr>
                <w:rFonts w:ascii="Arial" w:eastAsia="Times New Roman" w:hAnsi="Arial" w:cs="Arial"/>
                <w:color w:val="000000"/>
                <w:sz w:val="24"/>
                <w:szCs w:val="24"/>
                <w:lang w:eastAsia="ro-RO"/>
              </w:rPr>
              <w:t>3</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9D78E1"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9D78E1">
              <w:rPr>
                <w:rFonts w:ascii="Arial" w:eastAsia="Times New Roman" w:hAnsi="Arial" w:cs="Arial"/>
                <w:color w:val="000000"/>
                <w:sz w:val="24"/>
                <w:szCs w:val="24"/>
                <w:lang w:eastAsia="ro-RO"/>
              </w:rPr>
              <w:t>7</w:t>
            </w:r>
          </w:p>
        </w:tc>
      </w:tr>
      <w:tr w:rsidR="00CA0B63" w:rsidRPr="009D78E1"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9D78E1" w:rsidRDefault="00CA0B63" w:rsidP="0056118B">
            <w:pPr>
              <w:spacing w:after="0" w:line="240" w:lineRule="auto"/>
              <w:jc w:val="center"/>
              <w:rPr>
                <w:rFonts w:ascii="Arial" w:eastAsia="Times New Roman" w:hAnsi="Arial" w:cs="Arial"/>
                <w:color w:val="000000"/>
                <w:sz w:val="24"/>
                <w:szCs w:val="24"/>
                <w:lang w:eastAsia="ro-RO"/>
              </w:rPr>
            </w:pPr>
            <w:r w:rsidRPr="009D78E1">
              <w:rPr>
                <w:rFonts w:ascii="Arial" w:eastAsia="Times New Roman" w:hAnsi="Arial" w:cs="Arial"/>
                <w:color w:val="000000"/>
                <w:sz w:val="24"/>
                <w:szCs w:val="24"/>
                <w:lang w:eastAsia="ro-RO"/>
              </w:rPr>
              <w:t>NOx</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9D78E1"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32,</w:t>
            </w:r>
            <w:r w:rsidR="00CA0B63" w:rsidRPr="009D78E1">
              <w:rPr>
                <w:rFonts w:ascii="Arial" w:eastAsia="Times New Roman" w:hAnsi="Arial" w:cs="Arial"/>
                <w:color w:val="000000"/>
                <w:sz w:val="24"/>
                <w:szCs w:val="24"/>
                <w:lang w:eastAsia="ro-RO"/>
              </w:rPr>
              <w:t>2</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9D78E1"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11,</w:t>
            </w:r>
            <w:r w:rsidR="00CA0B63" w:rsidRPr="009D78E1">
              <w:rPr>
                <w:rFonts w:ascii="Arial" w:eastAsia="Times New Roman" w:hAnsi="Arial" w:cs="Arial"/>
                <w:color w:val="000000"/>
                <w:sz w:val="24"/>
                <w:szCs w:val="24"/>
                <w:lang w:eastAsia="ro-RO"/>
              </w:rPr>
              <w:t>2</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9D78E1"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56,</w:t>
            </w:r>
            <w:r w:rsidR="00CA0B63" w:rsidRPr="009D78E1">
              <w:rPr>
                <w:rFonts w:ascii="Arial" w:eastAsia="Times New Roman" w:hAnsi="Arial" w:cs="Arial"/>
                <w:color w:val="000000"/>
                <w:sz w:val="24"/>
                <w:szCs w:val="24"/>
                <w:lang w:eastAsia="ro-RO"/>
              </w:rPr>
              <w:t>2</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9D78E1"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9D78E1">
              <w:rPr>
                <w:rFonts w:ascii="Arial" w:eastAsia="Times New Roman" w:hAnsi="Arial" w:cs="Arial"/>
                <w:color w:val="000000"/>
                <w:sz w:val="24"/>
                <w:szCs w:val="24"/>
                <w:lang w:eastAsia="ro-RO"/>
              </w:rPr>
              <w:t>4</w:t>
            </w:r>
          </w:p>
        </w:tc>
      </w:tr>
    </w:tbl>
    <w:p w:rsidR="00CA0B63" w:rsidRDefault="001B23A4" w:rsidP="001B23A4">
      <w:pPr>
        <w:spacing w:before="120" w:after="120" w:line="240" w:lineRule="auto"/>
        <w:jc w:val="center"/>
        <w:rPr>
          <w:rFonts w:ascii="Arial" w:hAnsi="Arial" w:cs="Arial"/>
          <w:b/>
          <w:sz w:val="24"/>
          <w:szCs w:val="24"/>
        </w:rPr>
      </w:pPr>
      <w:r>
        <w:rPr>
          <w:rFonts w:ascii="Arial" w:hAnsi="Arial" w:cs="Arial"/>
          <w:b/>
          <w:sz w:val="24"/>
          <w:szCs w:val="24"/>
        </w:rPr>
        <w:t>Tabel</w:t>
      </w:r>
      <w:r w:rsidR="00CA0B63" w:rsidRPr="009D78E1">
        <w:rPr>
          <w:rFonts w:ascii="Arial" w:hAnsi="Arial" w:cs="Arial"/>
          <w:b/>
          <w:sz w:val="24"/>
          <w:szCs w:val="24"/>
        </w:rPr>
        <w:t xml:space="preserve"> I.2.1.3.2. </w:t>
      </w:r>
      <w:r w:rsidR="00CA0B63" w:rsidRPr="009D78E1">
        <w:rPr>
          <w:rFonts w:ascii="Arial" w:hAnsi="Arial" w:cs="Arial"/>
          <w:b/>
          <w:bCs/>
          <w:sz w:val="24"/>
          <w:szCs w:val="24"/>
        </w:rPr>
        <w:t>Contribuţia tipurilor de vehicule la emisiile de poluanţi precursori ai ozonului</w:t>
      </w:r>
    </w:p>
    <w:p w:rsidR="00CA0B63" w:rsidRDefault="00CA0B63" w:rsidP="00CA0B63">
      <w:pPr>
        <w:tabs>
          <w:tab w:val="left" w:pos="4353"/>
        </w:tabs>
        <w:jc w:val="center"/>
        <w:rPr>
          <w:rFonts w:ascii="Arial" w:hAnsi="Arial" w:cs="Arial"/>
          <w:sz w:val="24"/>
          <w:szCs w:val="24"/>
        </w:rPr>
      </w:pPr>
      <w:r w:rsidRPr="009D78E1">
        <w:rPr>
          <w:rFonts w:ascii="Arial" w:hAnsi="Arial" w:cs="Arial"/>
          <w:noProof/>
          <w:sz w:val="24"/>
          <w:szCs w:val="24"/>
          <w:lang w:val="ro-RO" w:eastAsia="ro-RO"/>
        </w:rPr>
        <w:lastRenderedPageBreak/>
        <w:drawing>
          <wp:inline distT="0" distB="0" distL="0" distR="0">
            <wp:extent cx="4544695" cy="3190875"/>
            <wp:effectExtent l="19050" t="0" r="27305" b="0"/>
            <wp:docPr id="6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Figura</w:t>
      </w:r>
      <w:r w:rsidRPr="009D78E1">
        <w:rPr>
          <w:rFonts w:ascii="Arial" w:hAnsi="Arial" w:cs="Arial"/>
          <w:b/>
          <w:sz w:val="24"/>
          <w:szCs w:val="24"/>
        </w:rPr>
        <w:t xml:space="preserve"> I.2.1.3.2. </w:t>
      </w:r>
      <w:r w:rsidRPr="009D78E1">
        <w:rPr>
          <w:rFonts w:ascii="Arial" w:hAnsi="Arial" w:cs="Arial"/>
          <w:b/>
          <w:bCs/>
          <w:sz w:val="24"/>
          <w:szCs w:val="24"/>
        </w:rPr>
        <w:t>Contribuţia tipurilor de vehicule la emisiile de poluanţi precursori ai ozonului</w:t>
      </w:r>
    </w:p>
    <w:p w:rsidR="00CA0B63" w:rsidRDefault="00CA0B63" w:rsidP="001B23A4">
      <w:pPr>
        <w:tabs>
          <w:tab w:val="left" w:pos="4353"/>
        </w:tabs>
        <w:spacing w:before="120" w:after="120" w:line="240" w:lineRule="auto"/>
        <w:jc w:val="both"/>
        <w:rPr>
          <w:rFonts w:ascii="Arial" w:hAnsi="Arial" w:cs="Arial"/>
          <w:sz w:val="24"/>
          <w:szCs w:val="24"/>
        </w:rPr>
      </w:pPr>
      <w:r>
        <w:rPr>
          <w:rFonts w:ascii="Arial" w:hAnsi="Arial" w:cs="Arial"/>
          <w:sz w:val="24"/>
          <w:szCs w:val="24"/>
        </w:rPr>
        <w:t>Şi în cazul emisiilor de poluanţi precursori ai ozonului se observă o situaţie similară cu cea din cazul emisiilor de gaze acidifiante, impunându-se luarea aceloraşi măsuri.</w:t>
      </w:r>
    </w:p>
    <w:p w:rsidR="001B23A4" w:rsidRDefault="001B23A4" w:rsidP="001B23A4">
      <w:pPr>
        <w:spacing w:before="120" w:after="120" w:line="240" w:lineRule="auto"/>
        <w:jc w:val="both"/>
        <w:rPr>
          <w:rFonts w:ascii="Arial" w:hAnsi="Arial" w:cs="Arial"/>
          <w:b/>
          <w:sz w:val="24"/>
          <w:szCs w:val="24"/>
        </w:rPr>
      </w:pPr>
    </w:p>
    <w:p w:rsidR="00CA0B63" w:rsidRDefault="00CA0B63" w:rsidP="001B23A4">
      <w:pPr>
        <w:spacing w:before="120" w:after="120" w:line="240" w:lineRule="auto"/>
        <w:jc w:val="both"/>
        <w:rPr>
          <w:rFonts w:ascii="Arial" w:hAnsi="Arial" w:cs="Arial"/>
          <w:b/>
          <w:bCs/>
          <w:sz w:val="24"/>
          <w:szCs w:val="24"/>
        </w:rPr>
      </w:pPr>
      <w:r w:rsidRPr="00AA228F">
        <w:rPr>
          <w:rFonts w:ascii="Arial" w:hAnsi="Arial" w:cs="Arial"/>
          <w:b/>
          <w:sz w:val="24"/>
          <w:szCs w:val="24"/>
        </w:rPr>
        <w:t xml:space="preserve">c) </w:t>
      </w:r>
      <w:r w:rsidRPr="00AA228F">
        <w:rPr>
          <w:rFonts w:ascii="Arial" w:hAnsi="Arial" w:cs="Arial"/>
          <w:b/>
          <w:bCs/>
          <w:sz w:val="24"/>
          <w:szCs w:val="24"/>
        </w:rPr>
        <w:t>Emisii de particule primare şi precursori secundari de particule</w:t>
      </w:r>
    </w:p>
    <w:p w:rsidR="00CA0B63" w:rsidRDefault="00CA0B63" w:rsidP="001B23A4">
      <w:pPr>
        <w:spacing w:before="120" w:after="120" w:line="240" w:lineRule="auto"/>
        <w:jc w:val="both"/>
        <w:rPr>
          <w:rFonts w:ascii="Arial" w:hAnsi="Arial" w:cs="Arial"/>
          <w:sz w:val="24"/>
          <w:szCs w:val="24"/>
        </w:rPr>
      </w:pPr>
      <w:r w:rsidRPr="00241634">
        <w:rPr>
          <w:rFonts w:ascii="Arial" w:hAnsi="Arial" w:cs="Arial"/>
          <w:bCs/>
          <w:sz w:val="24"/>
          <w:szCs w:val="24"/>
        </w:rPr>
        <w:t>Contribuţia tipurilor de vehicule la emisiile de particule primare şi precursori secundari de particule</w:t>
      </w:r>
      <w:r w:rsidRPr="00241634">
        <w:rPr>
          <w:rFonts w:ascii="Arial" w:hAnsi="Arial" w:cs="Arial"/>
          <w:sz w:val="24"/>
          <w:szCs w:val="24"/>
        </w:rPr>
        <w:t>, la nivelul judeţului Buzău, în anul 2014, este prezentată în tabelul I.2.1.3.3. şi figura I.2.1.3.3.</w:t>
      </w:r>
    </w:p>
    <w:p w:rsidR="00CA0B63" w:rsidRPr="00241634" w:rsidRDefault="00CA0B63" w:rsidP="00CA0B63">
      <w:pPr>
        <w:spacing w:after="120" w:line="240" w:lineRule="auto"/>
        <w:jc w:val="both"/>
        <w:rPr>
          <w:rFonts w:ascii="Arial" w:hAnsi="Arial" w:cs="Arial"/>
          <w:bCs/>
          <w:sz w:val="24"/>
          <w:szCs w:val="24"/>
        </w:rPr>
      </w:pPr>
    </w:p>
    <w:tbl>
      <w:tblPr>
        <w:tblW w:w="6708" w:type="dxa"/>
        <w:jc w:val="center"/>
        <w:tblInd w:w="103" w:type="dxa"/>
        <w:tblLook w:val="04A0"/>
      </w:tblPr>
      <w:tblGrid>
        <w:gridCol w:w="1376"/>
        <w:gridCol w:w="1470"/>
        <w:gridCol w:w="1243"/>
        <w:gridCol w:w="1043"/>
        <w:gridCol w:w="1576"/>
      </w:tblGrid>
      <w:tr w:rsidR="00CA0B63" w:rsidRPr="00241634" w:rsidTr="0056118B">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b/>
                <w:color w:val="000000"/>
                <w:sz w:val="24"/>
                <w:szCs w:val="24"/>
                <w:lang w:eastAsia="ro-RO"/>
              </w:rPr>
            </w:pPr>
            <w:r w:rsidRPr="00241634">
              <w:rPr>
                <w:rFonts w:ascii="Arial" w:eastAsia="Times New Roman" w:hAnsi="Arial" w:cs="Arial"/>
                <w:b/>
                <w:color w:val="000000"/>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b/>
                <w:color w:val="000000"/>
                <w:sz w:val="24"/>
                <w:szCs w:val="24"/>
                <w:lang w:eastAsia="ro-RO"/>
              </w:rPr>
            </w:pPr>
            <w:r w:rsidRPr="00241634">
              <w:rPr>
                <w:rFonts w:ascii="Arial" w:eastAsia="Times New Roman" w:hAnsi="Arial" w:cs="Arial"/>
                <w:b/>
                <w:color w:val="000000"/>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b/>
                <w:color w:val="000000"/>
                <w:sz w:val="24"/>
                <w:szCs w:val="24"/>
                <w:lang w:eastAsia="ro-RO"/>
              </w:rPr>
            </w:pPr>
            <w:r w:rsidRPr="00241634">
              <w:rPr>
                <w:rFonts w:ascii="Arial" w:eastAsia="Times New Roman" w:hAnsi="Arial" w:cs="Arial"/>
                <w:b/>
                <w:color w:val="000000"/>
                <w:sz w:val="24"/>
                <w:szCs w:val="24"/>
                <w:lang w:eastAsia="ro-RO"/>
              </w:rPr>
              <w:t>VEH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b/>
                <w:color w:val="000000"/>
                <w:sz w:val="24"/>
                <w:szCs w:val="24"/>
                <w:lang w:eastAsia="ro-RO"/>
              </w:rPr>
            </w:pPr>
            <w:r w:rsidRPr="00241634">
              <w:rPr>
                <w:rFonts w:ascii="Arial" w:eastAsia="Times New Roman" w:hAnsi="Arial" w:cs="Arial"/>
                <w:b/>
                <w:color w:val="000000"/>
                <w:sz w:val="24"/>
                <w:szCs w:val="24"/>
                <w:lang w:eastAsia="ro-RO"/>
              </w:rPr>
              <w:t>VEH 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b/>
                <w:color w:val="000000"/>
                <w:sz w:val="24"/>
                <w:szCs w:val="24"/>
                <w:lang w:eastAsia="ro-RO"/>
              </w:rPr>
            </w:pPr>
            <w:r w:rsidRPr="00241634">
              <w:rPr>
                <w:rFonts w:ascii="Arial" w:eastAsia="Times New Roman" w:hAnsi="Arial" w:cs="Arial"/>
                <w:b/>
                <w:color w:val="000000"/>
                <w:sz w:val="24"/>
                <w:szCs w:val="24"/>
                <w:lang w:eastAsia="ro-RO"/>
              </w:rPr>
              <w:t>MOTORETE</w:t>
            </w:r>
          </w:p>
        </w:tc>
      </w:tr>
      <w:tr w:rsidR="00CA0B63" w:rsidRPr="00241634"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color w:val="000000"/>
                <w:sz w:val="24"/>
                <w:szCs w:val="24"/>
                <w:lang w:eastAsia="ro-RO"/>
              </w:rPr>
            </w:pPr>
            <w:r w:rsidRPr="00241634">
              <w:rPr>
                <w:rFonts w:ascii="Arial" w:eastAsia="Times New Roman" w:hAnsi="Arial" w:cs="Arial"/>
                <w:color w:val="000000"/>
                <w:sz w:val="24"/>
                <w:szCs w:val="24"/>
                <w:lang w:eastAsia="ro-RO"/>
              </w:rPr>
              <w:t>PM10</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24163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40,</w:t>
            </w:r>
            <w:r w:rsidR="00CA0B63" w:rsidRPr="00241634">
              <w:rPr>
                <w:rFonts w:ascii="Arial" w:eastAsia="Times New Roman" w:hAnsi="Arial" w:cs="Arial"/>
                <w:color w:val="000000"/>
                <w:sz w:val="24"/>
                <w:szCs w:val="24"/>
                <w:lang w:eastAsia="ro-RO"/>
              </w:rPr>
              <w:t>4</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24163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22,</w:t>
            </w:r>
            <w:r w:rsidR="00CA0B63" w:rsidRPr="00241634">
              <w:rPr>
                <w:rFonts w:ascii="Arial" w:eastAsia="Times New Roman" w:hAnsi="Arial" w:cs="Arial"/>
                <w:color w:val="000000"/>
                <w:sz w:val="24"/>
                <w:szCs w:val="24"/>
                <w:lang w:eastAsia="ro-RO"/>
              </w:rPr>
              <w:t>4</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24163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36,</w:t>
            </w:r>
            <w:r w:rsidR="00CA0B63" w:rsidRPr="00241634">
              <w:rPr>
                <w:rFonts w:ascii="Arial" w:eastAsia="Times New Roman" w:hAnsi="Arial" w:cs="Arial"/>
                <w:color w:val="000000"/>
                <w:sz w:val="24"/>
                <w:szCs w:val="24"/>
                <w:lang w:eastAsia="ro-RO"/>
              </w:rPr>
              <w:t>9</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24163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241634">
              <w:rPr>
                <w:rFonts w:ascii="Arial" w:eastAsia="Times New Roman" w:hAnsi="Arial" w:cs="Arial"/>
                <w:color w:val="000000"/>
                <w:sz w:val="24"/>
                <w:szCs w:val="24"/>
                <w:lang w:eastAsia="ro-RO"/>
              </w:rPr>
              <w:t>3</w:t>
            </w:r>
          </w:p>
        </w:tc>
      </w:tr>
      <w:tr w:rsidR="00CA0B63" w:rsidRPr="00241634"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color w:val="000000"/>
                <w:sz w:val="24"/>
                <w:szCs w:val="24"/>
                <w:lang w:eastAsia="ro-RO"/>
              </w:rPr>
            </w:pPr>
            <w:r w:rsidRPr="00241634">
              <w:rPr>
                <w:rFonts w:ascii="Arial" w:eastAsia="Times New Roman" w:hAnsi="Arial" w:cs="Arial"/>
                <w:color w:val="000000"/>
                <w:sz w:val="24"/>
                <w:szCs w:val="24"/>
                <w:lang w:eastAsia="ro-RO"/>
              </w:rPr>
              <w:t>PM2,5</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24163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40,</w:t>
            </w:r>
            <w:r w:rsidR="00CA0B63" w:rsidRPr="00241634">
              <w:rPr>
                <w:rFonts w:ascii="Arial" w:eastAsia="Times New Roman" w:hAnsi="Arial" w:cs="Arial"/>
                <w:color w:val="000000"/>
                <w:sz w:val="24"/>
                <w:szCs w:val="24"/>
                <w:lang w:eastAsia="ro-RO"/>
              </w:rPr>
              <w:t>2</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241634" w:rsidRDefault="00CA0B63" w:rsidP="0056118B">
            <w:pPr>
              <w:spacing w:after="0" w:line="240" w:lineRule="auto"/>
              <w:jc w:val="center"/>
              <w:rPr>
                <w:rFonts w:ascii="Arial" w:eastAsia="Times New Roman" w:hAnsi="Arial" w:cs="Arial"/>
                <w:color w:val="000000"/>
                <w:sz w:val="24"/>
                <w:szCs w:val="24"/>
                <w:lang w:eastAsia="ro-RO"/>
              </w:rPr>
            </w:pPr>
            <w:r w:rsidRPr="00241634">
              <w:rPr>
                <w:rFonts w:ascii="Arial" w:eastAsia="Times New Roman" w:hAnsi="Arial" w:cs="Arial"/>
                <w:color w:val="000000"/>
                <w:sz w:val="24"/>
                <w:szCs w:val="24"/>
                <w:lang w:eastAsia="ro-RO"/>
              </w:rPr>
              <w:t>23</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24163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36,</w:t>
            </w:r>
            <w:r w:rsidR="00CA0B63" w:rsidRPr="00241634">
              <w:rPr>
                <w:rFonts w:ascii="Arial" w:eastAsia="Times New Roman" w:hAnsi="Arial" w:cs="Arial"/>
                <w:color w:val="000000"/>
                <w:sz w:val="24"/>
                <w:szCs w:val="24"/>
                <w:lang w:eastAsia="ro-RO"/>
              </w:rPr>
              <w:t>6</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241634"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241634">
              <w:rPr>
                <w:rFonts w:ascii="Arial" w:eastAsia="Times New Roman" w:hAnsi="Arial" w:cs="Arial"/>
                <w:color w:val="000000"/>
                <w:sz w:val="24"/>
                <w:szCs w:val="24"/>
                <w:lang w:eastAsia="ro-RO"/>
              </w:rPr>
              <w:t>2</w:t>
            </w:r>
          </w:p>
        </w:tc>
      </w:tr>
    </w:tbl>
    <w:p w:rsidR="00CA0B63" w:rsidRDefault="00CA0B63" w:rsidP="001B23A4">
      <w:pPr>
        <w:spacing w:before="120" w:after="120" w:line="240" w:lineRule="auto"/>
        <w:jc w:val="center"/>
        <w:rPr>
          <w:rFonts w:ascii="Arial" w:hAnsi="Arial" w:cs="Arial"/>
          <w:b/>
          <w:bCs/>
          <w:sz w:val="24"/>
          <w:szCs w:val="24"/>
        </w:rPr>
      </w:pPr>
      <w:r w:rsidRPr="00241634">
        <w:rPr>
          <w:rFonts w:ascii="Arial" w:hAnsi="Arial" w:cs="Arial"/>
          <w:b/>
          <w:sz w:val="24"/>
          <w:szCs w:val="24"/>
        </w:rPr>
        <w:t xml:space="preserve">Tabelul I.2.1.3.3. </w:t>
      </w:r>
      <w:r w:rsidRPr="00241634">
        <w:rPr>
          <w:rFonts w:ascii="Arial" w:hAnsi="Arial" w:cs="Arial"/>
          <w:b/>
          <w:bCs/>
          <w:sz w:val="24"/>
          <w:szCs w:val="24"/>
        </w:rPr>
        <w:t>Contribuţia tipurilor de vehicule la emisiile de particule primare şi precursori secundari de particule</w:t>
      </w:r>
    </w:p>
    <w:p w:rsidR="00CA0B63" w:rsidRDefault="00CA0B63" w:rsidP="00CA0B63">
      <w:pPr>
        <w:jc w:val="center"/>
        <w:rPr>
          <w:rFonts w:ascii="Arial" w:hAnsi="Arial" w:cs="Arial"/>
          <w:b/>
          <w:sz w:val="24"/>
          <w:szCs w:val="24"/>
        </w:rPr>
      </w:pPr>
    </w:p>
    <w:p w:rsidR="00CA0B63" w:rsidRDefault="00CA0B63" w:rsidP="00CA0B63">
      <w:pPr>
        <w:jc w:val="center"/>
        <w:rPr>
          <w:rFonts w:ascii="Arial" w:hAnsi="Arial" w:cs="Arial"/>
          <w:sz w:val="24"/>
          <w:szCs w:val="24"/>
        </w:rPr>
      </w:pPr>
      <w:r w:rsidRPr="00241634">
        <w:rPr>
          <w:rFonts w:ascii="Arial" w:hAnsi="Arial" w:cs="Arial"/>
          <w:noProof/>
          <w:sz w:val="24"/>
          <w:szCs w:val="24"/>
          <w:lang w:val="ro-RO" w:eastAsia="ro-RO"/>
        </w:rPr>
        <w:lastRenderedPageBreak/>
        <w:drawing>
          <wp:inline distT="0" distB="0" distL="0" distR="0">
            <wp:extent cx="4547870" cy="3305175"/>
            <wp:effectExtent l="19050" t="0" r="24130" b="0"/>
            <wp:docPr id="6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A0B63" w:rsidRDefault="00CA0B63" w:rsidP="001B23A4">
      <w:pPr>
        <w:spacing w:before="120" w:after="120" w:line="240" w:lineRule="auto"/>
        <w:jc w:val="center"/>
        <w:rPr>
          <w:rFonts w:ascii="Arial" w:hAnsi="Arial" w:cs="Arial"/>
          <w:b/>
          <w:sz w:val="24"/>
          <w:szCs w:val="24"/>
        </w:rPr>
      </w:pPr>
      <w:r>
        <w:rPr>
          <w:rFonts w:ascii="Arial" w:hAnsi="Arial" w:cs="Arial"/>
          <w:b/>
          <w:sz w:val="24"/>
          <w:szCs w:val="24"/>
        </w:rPr>
        <w:t>Figura</w:t>
      </w:r>
      <w:r w:rsidRPr="00241634">
        <w:rPr>
          <w:rFonts w:ascii="Arial" w:hAnsi="Arial" w:cs="Arial"/>
          <w:b/>
          <w:sz w:val="24"/>
          <w:szCs w:val="24"/>
        </w:rPr>
        <w:t xml:space="preserve"> I.2.1.3.3. </w:t>
      </w:r>
      <w:r w:rsidRPr="00241634">
        <w:rPr>
          <w:rFonts w:ascii="Arial" w:hAnsi="Arial" w:cs="Arial"/>
          <w:b/>
          <w:bCs/>
          <w:sz w:val="24"/>
          <w:szCs w:val="24"/>
        </w:rPr>
        <w:t>Contribuţia tipurilor de vehicule la emisiile de particule primare şi precursori secundari de particule</w:t>
      </w:r>
    </w:p>
    <w:p w:rsidR="001B23A4" w:rsidRDefault="001B23A4" w:rsidP="00CA0B63">
      <w:pPr>
        <w:jc w:val="both"/>
        <w:rPr>
          <w:rFonts w:ascii="Arial" w:hAnsi="Arial" w:cs="Arial"/>
          <w:sz w:val="24"/>
          <w:szCs w:val="24"/>
        </w:rPr>
      </w:pPr>
    </w:p>
    <w:p w:rsidR="00CA0B63" w:rsidRDefault="00CA0B63" w:rsidP="00CA0B63">
      <w:pPr>
        <w:jc w:val="both"/>
        <w:rPr>
          <w:rFonts w:ascii="Arial" w:hAnsi="Arial" w:cs="Arial"/>
          <w:sz w:val="24"/>
          <w:szCs w:val="24"/>
        </w:rPr>
      </w:pPr>
      <w:r>
        <w:rPr>
          <w:rFonts w:ascii="Arial" w:hAnsi="Arial" w:cs="Arial"/>
          <w:sz w:val="24"/>
          <w:szCs w:val="24"/>
        </w:rPr>
        <w:t xml:space="preserve">În cazul emisiilor de </w:t>
      </w:r>
      <w:r w:rsidRPr="00241634">
        <w:rPr>
          <w:rFonts w:ascii="Arial" w:hAnsi="Arial" w:cs="Arial"/>
          <w:bCs/>
          <w:sz w:val="24"/>
          <w:szCs w:val="24"/>
        </w:rPr>
        <w:t>particule primare şi precursori secundari de particule</w:t>
      </w:r>
      <w:r>
        <w:rPr>
          <w:rFonts w:ascii="Arial" w:hAnsi="Arial" w:cs="Arial"/>
          <w:bCs/>
          <w:sz w:val="24"/>
          <w:szCs w:val="24"/>
        </w:rPr>
        <w:t>, se observă o contribuţie comparabilă a celor trei tipuri de transport (pasageri, vehicule uşoare şi grele), fapt datorat atât arderii combustibililor, cât mai ales stării necorespunzătoare a unor rute de transport.</w:t>
      </w:r>
    </w:p>
    <w:p w:rsidR="00D71325" w:rsidRDefault="00D71325" w:rsidP="00CA0B63">
      <w:pPr>
        <w:spacing w:after="120" w:line="240" w:lineRule="auto"/>
        <w:rPr>
          <w:rFonts w:ascii="Arial" w:hAnsi="Arial" w:cs="Arial"/>
          <w:b/>
          <w:sz w:val="24"/>
          <w:szCs w:val="24"/>
        </w:rPr>
      </w:pPr>
    </w:p>
    <w:p w:rsidR="00CA0B63" w:rsidRPr="00890891" w:rsidRDefault="00CA0B63" w:rsidP="00CA0B63">
      <w:pPr>
        <w:spacing w:after="120" w:line="240" w:lineRule="auto"/>
        <w:rPr>
          <w:rFonts w:ascii="Arial" w:hAnsi="Arial" w:cs="Arial"/>
          <w:b/>
          <w:sz w:val="24"/>
          <w:szCs w:val="24"/>
        </w:rPr>
      </w:pPr>
      <w:r w:rsidRPr="00890891">
        <w:rPr>
          <w:rFonts w:ascii="Arial" w:hAnsi="Arial" w:cs="Arial"/>
          <w:b/>
          <w:sz w:val="24"/>
          <w:szCs w:val="24"/>
        </w:rPr>
        <w:t xml:space="preserve">d) </w:t>
      </w:r>
      <w:r w:rsidRPr="00890891">
        <w:rPr>
          <w:rFonts w:ascii="Arial" w:hAnsi="Arial" w:cs="Arial"/>
          <w:b/>
          <w:bCs/>
          <w:sz w:val="24"/>
          <w:szCs w:val="24"/>
        </w:rPr>
        <w:t>Emisii de metale grele</w:t>
      </w:r>
    </w:p>
    <w:p w:rsidR="00CA0B63" w:rsidRDefault="00CA0B63" w:rsidP="00CA0B63">
      <w:pPr>
        <w:spacing w:after="120" w:line="240" w:lineRule="auto"/>
        <w:jc w:val="both"/>
        <w:rPr>
          <w:rFonts w:ascii="Arial" w:hAnsi="Arial" w:cs="Arial"/>
          <w:sz w:val="24"/>
          <w:szCs w:val="24"/>
        </w:rPr>
      </w:pPr>
      <w:r w:rsidRPr="00241634">
        <w:rPr>
          <w:rFonts w:ascii="Arial" w:hAnsi="Arial" w:cs="Arial"/>
          <w:bCs/>
          <w:sz w:val="24"/>
          <w:szCs w:val="24"/>
        </w:rPr>
        <w:t xml:space="preserve">Contribuţia tipurilor de vehicule la emisiile de </w:t>
      </w:r>
      <w:r>
        <w:rPr>
          <w:rFonts w:ascii="Arial" w:hAnsi="Arial" w:cs="Arial"/>
          <w:bCs/>
          <w:sz w:val="24"/>
          <w:szCs w:val="24"/>
        </w:rPr>
        <w:t>metale grele</w:t>
      </w:r>
      <w:r w:rsidRPr="00241634">
        <w:rPr>
          <w:rFonts w:ascii="Arial" w:hAnsi="Arial" w:cs="Arial"/>
          <w:sz w:val="24"/>
          <w:szCs w:val="24"/>
        </w:rPr>
        <w:t>, la nivelul judeţului Buzău, în anul 2014, este prezentată în tabelul I.2.1.3</w:t>
      </w:r>
      <w:r>
        <w:rPr>
          <w:rFonts w:ascii="Arial" w:hAnsi="Arial" w:cs="Arial"/>
          <w:sz w:val="24"/>
          <w:szCs w:val="24"/>
        </w:rPr>
        <w:t>.4. şi figura I.2.1.3.4</w:t>
      </w:r>
      <w:r w:rsidRPr="00241634">
        <w:rPr>
          <w:rFonts w:ascii="Arial" w:hAnsi="Arial" w:cs="Arial"/>
          <w:sz w:val="24"/>
          <w:szCs w:val="24"/>
        </w:rPr>
        <w:t>.</w:t>
      </w:r>
    </w:p>
    <w:p w:rsidR="00CA0B63" w:rsidRPr="00241634" w:rsidRDefault="00CA0B63" w:rsidP="00CA0B63">
      <w:pPr>
        <w:spacing w:after="120" w:line="240" w:lineRule="auto"/>
        <w:jc w:val="both"/>
        <w:rPr>
          <w:rFonts w:ascii="Arial" w:hAnsi="Arial" w:cs="Arial"/>
          <w:bCs/>
          <w:sz w:val="24"/>
          <w:szCs w:val="24"/>
        </w:rPr>
      </w:pPr>
    </w:p>
    <w:tbl>
      <w:tblPr>
        <w:tblW w:w="6708" w:type="dxa"/>
        <w:jc w:val="center"/>
        <w:tblInd w:w="103" w:type="dxa"/>
        <w:tblLook w:val="04A0"/>
      </w:tblPr>
      <w:tblGrid>
        <w:gridCol w:w="1376"/>
        <w:gridCol w:w="1470"/>
        <w:gridCol w:w="1243"/>
        <w:gridCol w:w="1043"/>
        <w:gridCol w:w="1576"/>
      </w:tblGrid>
      <w:tr w:rsidR="00CA0B63" w:rsidRPr="00746EF3" w:rsidTr="0056118B">
        <w:trPr>
          <w:trHeight w:val="300"/>
          <w:jc w:val="center"/>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b/>
                <w:color w:val="000000"/>
                <w:sz w:val="24"/>
                <w:szCs w:val="24"/>
                <w:lang w:eastAsia="ro-RO"/>
              </w:rPr>
            </w:pPr>
            <w:r w:rsidRPr="00746EF3">
              <w:rPr>
                <w:rFonts w:ascii="Arial" w:eastAsia="Times New Roman" w:hAnsi="Arial" w:cs="Arial"/>
                <w:b/>
                <w:color w:val="000000"/>
                <w:sz w:val="24"/>
                <w:szCs w:val="24"/>
                <w:lang w:eastAsia="ro-RO"/>
              </w:rPr>
              <w:t>POLUANT</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b/>
                <w:color w:val="000000"/>
                <w:sz w:val="24"/>
                <w:szCs w:val="24"/>
                <w:lang w:eastAsia="ro-RO"/>
              </w:rPr>
            </w:pPr>
            <w:r w:rsidRPr="00746EF3">
              <w:rPr>
                <w:rFonts w:ascii="Arial" w:eastAsia="Times New Roman" w:hAnsi="Arial" w:cs="Arial"/>
                <w:b/>
                <w:color w:val="000000"/>
                <w:sz w:val="24"/>
                <w:szCs w:val="24"/>
                <w:lang w:eastAsia="ro-RO"/>
              </w:rPr>
              <w:t>PASAGERI</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b/>
                <w:color w:val="000000"/>
                <w:sz w:val="24"/>
                <w:szCs w:val="24"/>
                <w:lang w:eastAsia="ro-RO"/>
              </w:rPr>
            </w:pPr>
            <w:r w:rsidRPr="00746EF3">
              <w:rPr>
                <w:rFonts w:ascii="Arial" w:eastAsia="Times New Roman" w:hAnsi="Arial" w:cs="Arial"/>
                <w:b/>
                <w:color w:val="000000"/>
                <w:sz w:val="24"/>
                <w:szCs w:val="24"/>
                <w:lang w:eastAsia="ro-RO"/>
              </w:rPr>
              <w:t>VEH USOARE</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b/>
                <w:color w:val="000000"/>
                <w:sz w:val="24"/>
                <w:szCs w:val="24"/>
                <w:lang w:eastAsia="ro-RO"/>
              </w:rPr>
            </w:pPr>
            <w:r w:rsidRPr="00746EF3">
              <w:rPr>
                <w:rFonts w:ascii="Arial" w:eastAsia="Times New Roman" w:hAnsi="Arial" w:cs="Arial"/>
                <w:b/>
                <w:color w:val="000000"/>
                <w:sz w:val="24"/>
                <w:szCs w:val="24"/>
                <w:lang w:eastAsia="ro-RO"/>
              </w:rPr>
              <w:t>VEH GRELE</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b/>
                <w:color w:val="000000"/>
                <w:sz w:val="24"/>
                <w:szCs w:val="24"/>
                <w:lang w:eastAsia="ro-RO"/>
              </w:rPr>
            </w:pPr>
            <w:r w:rsidRPr="00746EF3">
              <w:rPr>
                <w:rFonts w:ascii="Arial" w:eastAsia="Times New Roman" w:hAnsi="Arial" w:cs="Arial"/>
                <w:b/>
                <w:color w:val="000000"/>
                <w:sz w:val="24"/>
                <w:szCs w:val="24"/>
                <w:lang w:eastAsia="ro-RO"/>
              </w:rPr>
              <w:t>MOTORETE</w:t>
            </w:r>
          </w:p>
        </w:tc>
      </w:tr>
      <w:tr w:rsidR="00CA0B63" w:rsidRPr="00746EF3"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color w:val="000000"/>
                <w:sz w:val="24"/>
                <w:szCs w:val="24"/>
                <w:lang w:eastAsia="ro-RO"/>
              </w:rPr>
            </w:pPr>
            <w:r w:rsidRPr="00746EF3">
              <w:rPr>
                <w:rFonts w:ascii="Arial" w:eastAsia="Times New Roman" w:hAnsi="Arial" w:cs="Arial"/>
                <w:color w:val="000000"/>
                <w:sz w:val="24"/>
                <w:szCs w:val="24"/>
                <w:lang w:eastAsia="ro-RO"/>
              </w:rPr>
              <w:t>Pb</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746EF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26,</w:t>
            </w:r>
            <w:r w:rsidR="00CA0B63" w:rsidRPr="00746EF3">
              <w:rPr>
                <w:rFonts w:ascii="Arial" w:eastAsia="Times New Roman" w:hAnsi="Arial" w:cs="Arial"/>
                <w:color w:val="000000"/>
                <w:sz w:val="24"/>
                <w:szCs w:val="24"/>
                <w:lang w:eastAsia="ro-RO"/>
              </w:rPr>
              <w:t>9</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746EF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9,</w:t>
            </w:r>
            <w:r w:rsidR="00CA0B63" w:rsidRPr="00746EF3">
              <w:rPr>
                <w:rFonts w:ascii="Arial" w:eastAsia="Times New Roman" w:hAnsi="Arial" w:cs="Arial"/>
                <w:color w:val="000000"/>
                <w:sz w:val="24"/>
                <w:szCs w:val="24"/>
                <w:lang w:eastAsia="ro-RO"/>
              </w:rPr>
              <w:t>7</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746EF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43,</w:t>
            </w:r>
            <w:r w:rsidR="00CA0B63" w:rsidRPr="00746EF3">
              <w:rPr>
                <w:rFonts w:ascii="Arial" w:eastAsia="Times New Roman" w:hAnsi="Arial" w:cs="Arial"/>
                <w:color w:val="000000"/>
                <w:sz w:val="24"/>
                <w:szCs w:val="24"/>
                <w:lang w:eastAsia="ro-RO"/>
              </w:rPr>
              <w:t>4</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color w:val="000000"/>
                <w:sz w:val="24"/>
                <w:szCs w:val="24"/>
                <w:lang w:eastAsia="ro-RO"/>
              </w:rPr>
            </w:pPr>
            <w:r w:rsidRPr="00746EF3">
              <w:rPr>
                <w:rFonts w:ascii="Arial" w:eastAsia="Times New Roman" w:hAnsi="Arial" w:cs="Arial"/>
                <w:color w:val="000000"/>
                <w:sz w:val="24"/>
                <w:szCs w:val="24"/>
                <w:lang w:eastAsia="ro-RO"/>
              </w:rPr>
              <w:t>20</w:t>
            </w:r>
          </w:p>
        </w:tc>
      </w:tr>
      <w:tr w:rsidR="00CA0B63" w:rsidRPr="00746EF3" w:rsidTr="0056118B">
        <w:trPr>
          <w:trHeight w:val="300"/>
          <w:jc w:val="center"/>
        </w:trPr>
        <w:tc>
          <w:tcPr>
            <w:tcW w:w="1376" w:type="dxa"/>
            <w:tcBorders>
              <w:top w:val="nil"/>
              <w:left w:val="single" w:sz="4" w:space="0" w:color="auto"/>
              <w:bottom w:val="single" w:sz="4" w:space="0" w:color="auto"/>
              <w:right w:val="single" w:sz="4" w:space="0" w:color="auto"/>
            </w:tcBorders>
            <w:shd w:val="clear" w:color="auto" w:fill="auto"/>
            <w:noWrap/>
            <w:vAlign w:val="center"/>
            <w:hideMark/>
          </w:tcPr>
          <w:p w:rsidR="00CA0B63" w:rsidRPr="00746EF3" w:rsidRDefault="00CA0B63" w:rsidP="0056118B">
            <w:pPr>
              <w:spacing w:after="0" w:line="240" w:lineRule="auto"/>
              <w:jc w:val="center"/>
              <w:rPr>
                <w:rFonts w:ascii="Arial" w:eastAsia="Times New Roman" w:hAnsi="Arial" w:cs="Arial"/>
                <w:color w:val="000000"/>
                <w:sz w:val="24"/>
                <w:szCs w:val="24"/>
                <w:lang w:eastAsia="ro-RO"/>
              </w:rPr>
            </w:pPr>
            <w:r w:rsidRPr="00746EF3">
              <w:rPr>
                <w:rFonts w:ascii="Arial" w:eastAsia="Times New Roman" w:hAnsi="Arial" w:cs="Arial"/>
                <w:color w:val="000000"/>
                <w:sz w:val="24"/>
                <w:szCs w:val="24"/>
                <w:lang w:eastAsia="ro-RO"/>
              </w:rPr>
              <w:t>Cd</w:t>
            </w:r>
            <w:r>
              <w:rPr>
                <w:rFonts w:ascii="Arial" w:eastAsia="Times New Roman" w:hAnsi="Arial" w:cs="Arial"/>
                <w:color w:val="000000"/>
                <w:sz w:val="24"/>
                <w:szCs w:val="24"/>
                <w:lang w:eastAsia="ro-RO"/>
              </w:rPr>
              <w:t>, %</w:t>
            </w:r>
          </w:p>
        </w:tc>
        <w:tc>
          <w:tcPr>
            <w:tcW w:w="1470" w:type="dxa"/>
            <w:tcBorders>
              <w:top w:val="nil"/>
              <w:left w:val="nil"/>
              <w:bottom w:val="single" w:sz="4" w:space="0" w:color="auto"/>
              <w:right w:val="single" w:sz="4" w:space="0" w:color="auto"/>
            </w:tcBorders>
            <w:shd w:val="clear" w:color="auto" w:fill="auto"/>
            <w:noWrap/>
            <w:vAlign w:val="center"/>
            <w:hideMark/>
          </w:tcPr>
          <w:p w:rsidR="00CA0B63" w:rsidRPr="00746EF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45,</w:t>
            </w:r>
            <w:r w:rsidR="00CA0B63" w:rsidRPr="00746EF3">
              <w:rPr>
                <w:rFonts w:ascii="Arial" w:eastAsia="Times New Roman" w:hAnsi="Arial" w:cs="Arial"/>
                <w:color w:val="000000"/>
                <w:sz w:val="24"/>
                <w:szCs w:val="24"/>
                <w:lang w:eastAsia="ro-RO"/>
              </w:rPr>
              <w:t>6</w:t>
            </w:r>
          </w:p>
        </w:tc>
        <w:tc>
          <w:tcPr>
            <w:tcW w:w="1243" w:type="dxa"/>
            <w:tcBorders>
              <w:top w:val="nil"/>
              <w:left w:val="nil"/>
              <w:bottom w:val="single" w:sz="4" w:space="0" w:color="auto"/>
              <w:right w:val="single" w:sz="4" w:space="0" w:color="auto"/>
            </w:tcBorders>
            <w:shd w:val="clear" w:color="auto" w:fill="auto"/>
            <w:noWrap/>
            <w:vAlign w:val="center"/>
            <w:hideMark/>
          </w:tcPr>
          <w:p w:rsidR="00CA0B63" w:rsidRPr="00746EF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13,</w:t>
            </w:r>
            <w:r w:rsidR="00CA0B63" w:rsidRPr="00746EF3">
              <w:rPr>
                <w:rFonts w:ascii="Arial" w:eastAsia="Times New Roman" w:hAnsi="Arial" w:cs="Arial"/>
                <w:color w:val="000000"/>
                <w:sz w:val="24"/>
                <w:szCs w:val="24"/>
                <w:lang w:eastAsia="ro-RO"/>
              </w:rPr>
              <w:t>2</w:t>
            </w:r>
          </w:p>
        </w:tc>
        <w:tc>
          <w:tcPr>
            <w:tcW w:w="1043" w:type="dxa"/>
            <w:tcBorders>
              <w:top w:val="nil"/>
              <w:left w:val="nil"/>
              <w:bottom w:val="single" w:sz="4" w:space="0" w:color="auto"/>
              <w:right w:val="single" w:sz="4" w:space="0" w:color="auto"/>
            </w:tcBorders>
            <w:shd w:val="clear" w:color="auto" w:fill="auto"/>
            <w:noWrap/>
            <w:vAlign w:val="center"/>
            <w:hideMark/>
          </w:tcPr>
          <w:p w:rsidR="00CA0B63" w:rsidRPr="00746EF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30,</w:t>
            </w:r>
            <w:r w:rsidR="00CA0B63" w:rsidRPr="00746EF3">
              <w:rPr>
                <w:rFonts w:ascii="Arial" w:eastAsia="Times New Roman" w:hAnsi="Arial" w:cs="Arial"/>
                <w:color w:val="000000"/>
                <w:sz w:val="24"/>
                <w:szCs w:val="24"/>
                <w:lang w:eastAsia="ro-RO"/>
              </w:rPr>
              <w:t>8</w:t>
            </w:r>
          </w:p>
        </w:tc>
        <w:tc>
          <w:tcPr>
            <w:tcW w:w="1576" w:type="dxa"/>
            <w:tcBorders>
              <w:top w:val="nil"/>
              <w:left w:val="nil"/>
              <w:bottom w:val="single" w:sz="4" w:space="0" w:color="auto"/>
              <w:right w:val="single" w:sz="4" w:space="0" w:color="auto"/>
            </w:tcBorders>
            <w:shd w:val="clear" w:color="auto" w:fill="auto"/>
            <w:noWrap/>
            <w:vAlign w:val="center"/>
            <w:hideMark/>
          </w:tcPr>
          <w:p w:rsidR="00CA0B63" w:rsidRPr="00746EF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10,</w:t>
            </w:r>
            <w:r w:rsidR="00CA0B63" w:rsidRPr="00746EF3">
              <w:rPr>
                <w:rFonts w:ascii="Arial" w:eastAsia="Times New Roman" w:hAnsi="Arial" w:cs="Arial"/>
                <w:color w:val="000000"/>
                <w:sz w:val="24"/>
                <w:szCs w:val="24"/>
                <w:lang w:eastAsia="ro-RO"/>
              </w:rPr>
              <w:t>4</w:t>
            </w:r>
          </w:p>
        </w:tc>
      </w:tr>
    </w:tbl>
    <w:p w:rsidR="00CA0B63" w:rsidRDefault="00F829B5" w:rsidP="001B23A4">
      <w:pPr>
        <w:spacing w:before="120" w:after="120" w:line="240" w:lineRule="auto"/>
        <w:jc w:val="center"/>
        <w:rPr>
          <w:rFonts w:ascii="Arial" w:hAnsi="Arial" w:cs="Arial"/>
          <w:b/>
          <w:bCs/>
          <w:sz w:val="24"/>
          <w:szCs w:val="24"/>
        </w:rPr>
      </w:pPr>
      <w:r>
        <w:rPr>
          <w:rFonts w:ascii="Arial" w:hAnsi="Arial" w:cs="Arial"/>
          <w:b/>
          <w:sz w:val="24"/>
          <w:szCs w:val="24"/>
        </w:rPr>
        <w:t>Tabel</w:t>
      </w:r>
      <w:r w:rsidR="00CA0B63" w:rsidRPr="00746EF3">
        <w:rPr>
          <w:rFonts w:ascii="Arial" w:hAnsi="Arial" w:cs="Arial"/>
          <w:b/>
          <w:sz w:val="24"/>
          <w:szCs w:val="24"/>
        </w:rPr>
        <w:t xml:space="preserve"> I.2.1.3.4. </w:t>
      </w:r>
      <w:r w:rsidR="00CA0B63" w:rsidRPr="00746EF3">
        <w:rPr>
          <w:rFonts w:ascii="Arial" w:hAnsi="Arial" w:cs="Arial"/>
          <w:b/>
          <w:bCs/>
          <w:sz w:val="24"/>
          <w:szCs w:val="24"/>
        </w:rPr>
        <w:t>Contribuţia tipurilor de vehicule la emisiile de metale grele</w:t>
      </w:r>
    </w:p>
    <w:p w:rsidR="00CA0B63" w:rsidRDefault="00CA0B63" w:rsidP="00CA0B63">
      <w:pPr>
        <w:jc w:val="center"/>
        <w:rPr>
          <w:rFonts w:ascii="Arial" w:hAnsi="Arial" w:cs="Arial"/>
          <w:b/>
          <w:sz w:val="24"/>
          <w:szCs w:val="24"/>
        </w:rPr>
      </w:pPr>
      <w:r w:rsidRPr="00746EF3">
        <w:rPr>
          <w:rFonts w:ascii="Arial" w:hAnsi="Arial" w:cs="Arial"/>
          <w:b/>
          <w:noProof/>
          <w:sz w:val="24"/>
          <w:szCs w:val="24"/>
          <w:lang w:val="ro-RO" w:eastAsia="ro-RO"/>
        </w:rPr>
        <w:lastRenderedPageBreak/>
        <w:drawing>
          <wp:inline distT="0" distB="0" distL="0" distR="0">
            <wp:extent cx="4547870" cy="3133725"/>
            <wp:effectExtent l="19050" t="0" r="24130" b="0"/>
            <wp:docPr id="6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A0B63" w:rsidRDefault="00CA0B63" w:rsidP="001B23A4">
      <w:pPr>
        <w:spacing w:before="120" w:after="120" w:line="240" w:lineRule="auto"/>
        <w:jc w:val="center"/>
        <w:rPr>
          <w:rFonts w:ascii="Arial" w:hAnsi="Arial" w:cs="Arial"/>
          <w:b/>
          <w:bCs/>
          <w:sz w:val="24"/>
          <w:szCs w:val="24"/>
        </w:rPr>
      </w:pPr>
      <w:r>
        <w:rPr>
          <w:rFonts w:ascii="Arial" w:hAnsi="Arial" w:cs="Arial"/>
          <w:b/>
          <w:sz w:val="24"/>
          <w:szCs w:val="24"/>
        </w:rPr>
        <w:t>Figura</w:t>
      </w:r>
      <w:r w:rsidRPr="00746EF3">
        <w:rPr>
          <w:rFonts w:ascii="Arial" w:hAnsi="Arial" w:cs="Arial"/>
          <w:b/>
          <w:sz w:val="24"/>
          <w:szCs w:val="24"/>
        </w:rPr>
        <w:t xml:space="preserve"> I.2.1.3.4. </w:t>
      </w:r>
      <w:r w:rsidRPr="00746EF3">
        <w:rPr>
          <w:rFonts w:ascii="Arial" w:hAnsi="Arial" w:cs="Arial"/>
          <w:b/>
          <w:bCs/>
          <w:sz w:val="24"/>
          <w:szCs w:val="24"/>
        </w:rPr>
        <w:t>Contribuţia tipurilor de vehicule la emisiile de metale grele</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În cazul emisiilor de metale grele, se observă ponderile comparabile a tuturor tipurilor de vehicule datorate atât combustibililor utilizaţi, cât şi a tipurilor de motoare.</w:t>
      </w:r>
    </w:p>
    <w:p w:rsidR="00D71325" w:rsidRDefault="00D71325" w:rsidP="00F829B5">
      <w:pPr>
        <w:spacing w:before="120" w:after="120" w:line="240" w:lineRule="auto"/>
        <w:jc w:val="both"/>
        <w:rPr>
          <w:rFonts w:ascii="Arial" w:hAnsi="Arial" w:cs="Arial"/>
          <w:b/>
          <w:bCs/>
          <w:sz w:val="24"/>
          <w:szCs w:val="24"/>
        </w:rPr>
      </w:pPr>
    </w:p>
    <w:p w:rsidR="00CA0B63" w:rsidRPr="00B24FA8" w:rsidRDefault="00CA0B63" w:rsidP="00F829B5">
      <w:pPr>
        <w:spacing w:before="120" w:after="120" w:line="240" w:lineRule="auto"/>
        <w:jc w:val="both"/>
        <w:rPr>
          <w:rFonts w:ascii="Arial" w:hAnsi="Arial" w:cs="Arial"/>
          <w:b/>
          <w:bCs/>
          <w:sz w:val="24"/>
          <w:szCs w:val="24"/>
        </w:rPr>
      </w:pPr>
      <w:r>
        <w:rPr>
          <w:rFonts w:ascii="Arial" w:hAnsi="Arial" w:cs="Arial"/>
          <w:b/>
          <w:bCs/>
          <w:sz w:val="24"/>
          <w:szCs w:val="24"/>
        </w:rPr>
        <w:t>e) Emisii</w:t>
      </w:r>
      <w:r w:rsidRPr="00B24FA8">
        <w:rPr>
          <w:rFonts w:ascii="Arial" w:hAnsi="Arial" w:cs="Arial"/>
          <w:b/>
          <w:bCs/>
          <w:sz w:val="24"/>
          <w:szCs w:val="24"/>
        </w:rPr>
        <w:t xml:space="preserve"> d</w:t>
      </w:r>
      <w:r>
        <w:rPr>
          <w:rFonts w:ascii="Arial" w:hAnsi="Arial" w:cs="Arial"/>
          <w:b/>
          <w:bCs/>
          <w:sz w:val="24"/>
          <w:szCs w:val="24"/>
        </w:rPr>
        <w:t>e poluanţi organici persistenţi</w:t>
      </w:r>
    </w:p>
    <w:p w:rsidR="00CA0B63" w:rsidRDefault="00CA0B63" w:rsidP="00F829B5">
      <w:pPr>
        <w:spacing w:before="120" w:after="120" w:line="240" w:lineRule="auto"/>
        <w:jc w:val="both"/>
        <w:rPr>
          <w:rFonts w:ascii="Arial" w:hAnsi="Arial" w:cs="Arial"/>
          <w:sz w:val="24"/>
          <w:szCs w:val="24"/>
        </w:rPr>
      </w:pPr>
      <w:r w:rsidRPr="007808AA">
        <w:rPr>
          <w:rFonts w:ascii="Arial" w:hAnsi="Arial" w:cs="Arial"/>
          <w:sz w:val="24"/>
          <w:szCs w:val="24"/>
        </w:rPr>
        <w:t>În datele furnizate de programul COPERT 4 nu exi</w:t>
      </w:r>
      <w:r>
        <w:rPr>
          <w:rFonts w:ascii="Arial" w:hAnsi="Arial" w:cs="Arial"/>
          <w:sz w:val="24"/>
          <w:szCs w:val="24"/>
        </w:rPr>
        <w:t>s</w:t>
      </w:r>
      <w:r w:rsidRPr="007808AA">
        <w:rPr>
          <w:rFonts w:ascii="Arial" w:hAnsi="Arial" w:cs="Arial"/>
          <w:sz w:val="24"/>
          <w:szCs w:val="24"/>
        </w:rPr>
        <w:t xml:space="preserve">tă </w:t>
      </w:r>
      <w:r>
        <w:rPr>
          <w:rFonts w:ascii="Arial" w:hAnsi="Arial" w:cs="Arial"/>
          <w:sz w:val="24"/>
          <w:szCs w:val="24"/>
        </w:rPr>
        <w:t>informaţii</w:t>
      </w:r>
      <w:r w:rsidRPr="007808AA">
        <w:rPr>
          <w:rFonts w:ascii="Arial" w:hAnsi="Arial" w:cs="Arial"/>
          <w:sz w:val="24"/>
          <w:szCs w:val="24"/>
        </w:rPr>
        <w:t xml:space="preserve"> referitoare la ace</w:t>
      </w:r>
      <w:r w:rsidRPr="007808AA">
        <w:rPr>
          <w:rFonts w:ascii="Cambria Math" w:hAnsi="Cambria Math" w:cs="Cambria Math"/>
          <w:sz w:val="24"/>
          <w:szCs w:val="24"/>
        </w:rPr>
        <w:t>ș</w:t>
      </w:r>
      <w:r w:rsidRPr="007808AA">
        <w:rPr>
          <w:rFonts w:ascii="Arial" w:hAnsi="Arial" w:cs="Arial"/>
          <w:sz w:val="24"/>
          <w:szCs w:val="24"/>
        </w:rPr>
        <w:t>ti poluan</w:t>
      </w:r>
      <w:r w:rsidRPr="007808AA">
        <w:rPr>
          <w:rFonts w:ascii="Cambria Math" w:hAnsi="Cambria Math" w:cs="Cambria Math"/>
          <w:sz w:val="24"/>
          <w:szCs w:val="24"/>
        </w:rPr>
        <w:t>ț</w:t>
      </w:r>
      <w:r w:rsidRPr="007808AA">
        <w:rPr>
          <w:rFonts w:ascii="Arial" w:hAnsi="Arial" w:cs="Arial"/>
          <w:sz w:val="24"/>
          <w:szCs w:val="24"/>
        </w:rPr>
        <w:t>i.</w:t>
      </w:r>
    </w:p>
    <w:p w:rsidR="00D71325" w:rsidRDefault="00D71325" w:rsidP="00F829B5">
      <w:pPr>
        <w:spacing w:before="120" w:after="120" w:line="240" w:lineRule="auto"/>
        <w:jc w:val="both"/>
        <w:rPr>
          <w:rFonts w:ascii="Arial" w:hAnsi="Arial" w:cs="Arial"/>
          <w:b/>
          <w:sz w:val="24"/>
          <w:szCs w:val="24"/>
        </w:rPr>
      </w:pPr>
    </w:p>
    <w:p w:rsidR="00CA0B63" w:rsidRDefault="00CA0B63" w:rsidP="00F829B5">
      <w:pPr>
        <w:spacing w:before="120" w:after="120" w:line="240" w:lineRule="auto"/>
        <w:jc w:val="both"/>
        <w:rPr>
          <w:rFonts w:ascii="Arial" w:hAnsi="Arial" w:cs="Arial"/>
          <w:b/>
          <w:sz w:val="24"/>
          <w:szCs w:val="24"/>
        </w:rPr>
      </w:pPr>
      <w:r w:rsidRPr="00B82516">
        <w:rPr>
          <w:rFonts w:ascii="Arial" w:hAnsi="Arial" w:cs="Arial"/>
          <w:b/>
          <w:sz w:val="24"/>
          <w:szCs w:val="24"/>
        </w:rPr>
        <w:t>I.2.1.4. Agricultura</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Judeţul Buzău este unul din principalele zone agricole ale ţării. Prin aşezarea sa geografică, judeţul permite desfăşurarea tuturor activităţilor agricole: cultivarea cerealelor şi a altor plante de cultură, viticultura, pomicultura, fâneţe, creşterea animalelor, piscicult</w:t>
      </w:r>
      <w:r>
        <w:rPr>
          <w:rFonts w:ascii="Arial" w:hAnsi="Arial" w:cs="Arial"/>
          <w:sz w:val="24"/>
          <w:szCs w:val="24"/>
        </w:rPr>
        <w:t>u</w:t>
      </w:r>
      <w:r>
        <w:rPr>
          <w:rFonts w:ascii="Arial" w:hAnsi="Arial" w:cs="Arial"/>
          <w:sz w:val="24"/>
          <w:szCs w:val="24"/>
        </w:rPr>
        <w:t>ra, etc. Din acest motiv, toate aceste activităţi influenţează calitatea aerului, prin emisiile specifice de poluanţi. Datele prezentate în continuare sunt preluate din Inventarul de emisii la nivelul judeţului Buzău, în anul 2014.</w:t>
      </w:r>
    </w:p>
    <w:p w:rsidR="00CA0B63" w:rsidRPr="00E4060F" w:rsidRDefault="00CA0B63" w:rsidP="00F829B5">
      <w:pPr>
        <w:spacing w:before="120" w:after="120" w:line="240" w:lineRule="auto"/>
        <w:jc w:val="both"/>
        <w:rPr>
          <w:rFonts w:ascii="Arial" w:hAnsi="Arial" w:cs="Arial"/>
          <w:b/>
          <w:sz w:val="24"/>
          <w:szCs w:val="24"/>
        </w:rPr>
      </w:pPr>
      <w:r w:rsidRPr="00E4060F">
        <w:rPr>
          <w:rFonts w:ascii="Arial" w:hAnsi="Arial" w:cs="Arial"/>
          <w:b/>
          <w:bCs/>
          <w:sz w:val="24"/>
          <w:szCs w:val="24"/>
        </w:rPr>
        <w:t xml:space="preserve">a) </w:t>
      </w:r>
      <w:r w:rsidRPr="00E4060F">
        <w:rPr>
          <w:rFonts w:ascii="Arial" w:hAnsi="Arial" w:cs="Arial"/>
          <w:b/>
          <w:sz w:val="24"/>
          <w:szCs w:val="24"/>
        </w:rPr>
        <w:t>Emisiile de substanţe acidifiante</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Contribuţia principalelor sectoare de activitate din agricultură la emisiile de substanţe acid</w:t>
      </w:r>
      <w:r>
        <w:rPr>
          <w:rFonts w:ascii="Arial" w:hAnsi="Arial" w:cs="Arial"/>
          <w:sz w:val="24"/>
          <w:szCs w:val="24"/>
        </w:rPr>
        <w:t>i</w:t>
      </w:r>
      <w:r>
        <w:rPr>
          <w:rFonts w:ascii="Arial" w:hAnsi="Arial" w:cs="Arial"/>
          <w:sz w:val="24"/>
          <w:szCs w:val="24"/>
        </w:rPr>
        <w:t>fiante în anul 2014 la nivelul judeţului Buzău este prezentată în tabelul I.2.1.4.1. şi figura I.2.1.4.1.</w:t>
      </w:r>
    </w:p>
    <w:tbl>
      <w:tblPr>
        <w:tblW w:w="9750" w:type="dxa"/>
        <w:jc w:val="center"/>
        <w:tblInd w:w="103" w:type="dxa"/>
        <w:tblLook w:val="04A0"/>
      </w:tblPr>
      <w:tblGrid>
        <w:gridCol w:w="1348"/>
        <w:gridCol w:w="897"/>
        <w:gridCol w:w="1073"/>
        <w:gridCol w:w="1234"/>
        <w:gridCol w:w="1011"/>
        <w:gridCol w:w="837"/>
        <w:gridCol w:w="1408"/>
        <w:gridCol w:w="1942"/>
      </w:tblGrid>
      <w:tr w:rsidR="00CA0B63" w:rsidRPr="00B82516" w:rsidTr="0056118B">
        <w:trPr>
          <w:trHeight w:val="1200"/>
          <w:jc w:val="center"/>
        </w:trPr>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POLUANT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VACI LAPTE</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BOVINE NON LAPTE</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PORCINE</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PUI CARNE</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GAINI DE OUA</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INCALZIRE HALE</w:t>
            </w:r>
          </w:p>
        </w:tc>
        <w:tc>
          <w:tcPr>
            <w:tcW w:w="1942" w:type="dxa"/>
            <w:tcBorders>
              <w:top w:val="single" w:sz="4" w:space="0" w:color="auto"/>
              <w:left w:val="nil"/>
              <w:bottom w:val="single" w:sz="4" w:space="0" w:color="auto"/>
              <w:right w:val="single" w:sz="4" w:space="0" w:color="auto"/>
            </w:tcBorders>
            <w:shd w:val="clear" w:color="auto" w:fill="auto"/>
            <w:vAlign w:val="center"/>
            <w:hideMark/>
          </w:tcPr>
          <w:p w:rsidR="00CA0B63" w:rsidRPr="000C73DA" w:rsidRDefault="00CA0B63" w:rsidP="0056118B">
            <w:pPr>
              <w:spacing w:after="0" w:line="240" w:lineRule="auto"/>
              <w:jc w:val="center"/>
              <w:rPr>
                <w:rFonts w:ascii="Arial" w:eastAsia="Times New Roman" w:hAnsi="Arial" w:cs="Arial"/>
                <w:b/>
                <w:color w:val="000000"/>
                <w:sz w:val="20"/>
                <w:szCs w:val="20"/>
                <w:lang w:eastAsia="ro-RO"/>
              </w:rPr>
            </w:pPr>
            <w:r w:rsidRPr="000C73DA">
              <w:rPr>
                <w:rFonts w:ascii="Arial" w:eastAsia="Times New Roman" w:hAnsi="Arial" w:cs="Arial"/>
                <w:b/>
                <w:color w:val="000000"/>
                <w:sz w:val="20"/>
                <w:szCs w:val="20"/>
                <w:lang w:eastAsia="ro-RO"/>
              </w:rPr>
              <w:t>INGRASAMINTE SINTETICE</w:t>
            </w:r>
          </w:p>
        </w:tc>
      </w:tr>
      <w:tr w:rsidR="00CA0B63" w:rsidRPr="00B82516" w:rsidTr="0056118B">
        <w:trPr>
          <w:trHeight w:val="300"/>
          <w:jc w:val="center"/>
        </w:trPr>
        <w:tc>
          <w:tcPr>
            <w:tcW w:w="1348" w:type="dxa"/>
            <w:tcBorders>
              <w:top w:val="nil"/>
              <w:left w:val="single" w:sz="4" w:space="0" w:color="auto"/>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r w:rsidRPr="00B82516">
              <w:rPr>
                <w:rFonts w:ascii="Arial" w:eastAsia="Times New Roman" w:hAnsi="Arial" w:cs="Arial"/>
                <w:color w:val="000000"/>
                <w:sz w:val="24"/>
                <w:szCs w:val="24"/>
                <w:lang w:eastAsia="ro-RO"/>
              </w:rPr>
              <w:t>NOx</w:t>
            </w:r>
            <w:r>
              <w:rPr>
                <w:rFonts w:ascii="Arial" w:eastAsia="Times New Roman" w:hAnsi="Arial" w:cs="Arial"/>
                <w:color w:val="000000"/>
                <w:sz w:val="24"/>
                <w:szCs w:val="24"/>
                <w:lang w:eastAsia="ro-RO"/>
              </w:rPr>
              <w:t>, %</w:t>
            </w:r>
          </w:p>
        </w:tc>
        <w:tc>
          <w:tcPr>
            <w:tcW w:w="897"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073"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234"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011"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837"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408"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r w:rsidRPr="00B82516">
              <w:rPr>
                <w:rFonts w:ascii="Arial" w:eastAsia="Times New Roman" w:hAnsi="Arial" w:cs="Arial"/>
                <w:color w:val="000000"/>
                <w:sz w:val="24"/>
                <w:szCs w:val="24"/>
                <w:lang w:eastAsia="ro-RO"/>
              </w:rPr>
              <w:t>100</w:t>
            </w:r>
          </w:p>
        </w:tc>
        <w:tc>
          <w:tcPr>
            <w:tcW w:w="1942"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r>
      <w:tr w:rsidR="00CA0B63" w:rsidRPr="00B82516" w:rsidTr="0056118B">
        <w:trPr>
          <w:trHeight w:val="300"/>
          <w:jc w:val="center"/>
        </w:trPr>
        <w:tc>
          <w:tcPr>
            <w:tcW w:w="1348" w:type="dxa"/>
            <w:tcBorders>
              <w:top w:val="nil"/>
              <w:left w:val="single" w:sz="4" w:space="0" w:color="auto"/>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r w:rsidRPr="00B82516">
              <w:rPr>
                <w:rFonts w:ascii="Arial" w:eastAsia="Times New Roman" w:hAnsi="Arial" w:cs="Arial"/>
                <w:color w:val="000000"/>
                <w:sz w:val="24"/>
                <w:szCs w:val="24"/>
                <w:lang w:eastAsia="ro-RO"/>
              </w:rPr>
              <w:t>NH3</w:t>
            </w:r>
            <w:r>
              <w:rPr>
                <w:rFonts w:ascii="Arial" w:eastAsia="Times New Roman" w:hAnsi="Arial" w:cs="Arial"/>
                <w:color w:val="000000"/>
                <w:sz w:val="24"/>
                <w:szCs w:val="24"/>
                <w:lang w:eastAsia="ro-RO"/>
              </w:rPr>
              <w:t>, %</w:t>
            </w:r>
          </w:p>
        </w:tc>
        <w:tc>
          <w:tcPr>
            <w:tcW w:w="897" w:type="dxa"/>
            <w:tcBorders>
              <w:top w:val="nil"/>
              <w:left w:val="nil"/>
              <w:bottom w:val="single" w:sz="4" w:space="0" w:color="auto"/>
              <w:right w:val="single" w:sz="4" w:space="0" w:color="auto"/>
            </w:tcBorders>
            <w:shd w:val="clear" w:color="auto" w:fill="auto"/>
            <w:vAlign w:val="center"/>
            <w:hideMark/>
          </w:tcPr>
          <w:p w:rsidR="00CA0B63" w:rsidRPr="00B82516"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82516">
              <w:rPr>
                <w:rFonts w:ascii="Arial" w:eastAsia="Times New Roman" w:hAnsi="Arial" w:cs="Arial"/>
                <w:color w:val="000000"/>
                <w:sz w:val="24"/>
                <w:szCs w:val="24"/>
                <w:lang w:eastAsia="ro-RO"/>
              </w:rPr>
              <w:t>27</w:t>
            </w:r>
          </w:p>
        </w:tc>
        <w:tc>
          <w:tcPr>
            <w:tcW w:w="1073" w:type="dxa"/>
            <w:tcBorders>
              <w:top w:val="nil"/>
              <w:left w:val="nil"/>
              <w:bottom w:val="single" w:sz="4" w:space="0" w:color="auto"/>
              <w:right w:val="single" w:sz="4" w:space="0" w:color="auto"/>
            </w:tcBorders>
            <w:shd w:val="clear" w:color="auto" w:fill="auto"/>
            <w:vAlign w:val="center"/>
            <w:hideMark/>
          </w:tcPr>
          <w:p w:rsidR="00CA0B63" w:rsidRPr="00B82516"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82516">
              <w:rPr>
                <w:rFonts w:ascii="Arial" w:eastAsia="Times New Roman" w:hAnsi="Arial" w:cs="Arial"/>
                <w:color w:val="000000"/>
                <w:sz w:val="24"/>
                <w:szCs w:val="24"/>
                <w:lang w:eastAsia="ro-RO"/>
              </w:rPr>
              <w:t>07</w:t>
            </w:r>
          </w:p>
        </w:tc>
        <w:tc>
          <w:tcPr>
            <w:tcW w:w="1234" w:type="dxa"/>
            <w:tcBorders>
              <w:top w:val="nil"/>
              <w:left w:val="nil"/>
              <w:bottom w:val="single" w:sz="4" w:space="0" w:color="auto"/>
              <w:right w:val="single" w:sz="4" w:space="0" w:color="auto"/>
            </w:tcBorders>
            <w:shd w:val="clear" w:color="auto" w:fill="auto"/>
            <w:vAlign w:val="center"/>
            <w:hideMark/>
          </w:tcPr>
          <w:p w:rsidR="00CA0B63" w:rsidRPr="00B82516"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B82516">
              <w:rPr>
                <w:rFonts w:ascii="Arial" w:eastAsia="Times New Roman" w:hAnsi="Arial" w:cs="Arial"/>
                <w:color w:val="000000"/>
                <w:sz w:val="24"/>
                <w:szCs w:val="24"/>
                <w:lang w:eastAsia="ro-RO"/>
              </w:rPr>
              <w:t>72</w:t>
            </w:r>
          </w:p>
        </w:tc>
        <w:tc>
          <w:tcPr>
            <w:tcW w:w="1011" w:type="dxa"/>
            <w:tcBorders>
              <w:top w:val="nil"/>
              <w:left w:val="nil"/>
              <w:bottom w:val="single" w:sz="4" w:space="0" w:color="auto"/>
              <w:right w:val="single" w:sz="4" w:space="0" w:color="auto"/>
            </w:tcBorders>
            <w:shd w:val="clear" w:color="auto" w:fill="auto"/>
            <w:vAlign w:val="center"/>
            <w:hideMark/>
          </w:tcPr>
          <w:p w:rsidR="00CA0B63" w:rsidRPr="00B82516"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20,</w:t>
            </w:r>
            <w:r w:rsidR="00CA0B63" w:rsidRPr="00B82516">
              <w:rPr>
                <w:rFonts w:ascii="Arial" w:eastAsia="Times New Roman" w:hAnsi="Arial" w:cs="Arial"/>
                <w:color w:val="000000"/>
                <w:sz w:val="24"/>
                <w:szCs w:val="24"/>
                <w:lang w:eastAsia="ro-RO"/>
              </w:rPr>
              <w:t>43</w:t>
            </w:r>
          </w:p>
        </w:tc>
        <w:tc>
          <w:tcPr>
            <w:tcW w:w="837" w:type="dxa"/>
            <w:tcBorders>
              <w:top w:val="nil"/>
              <w:left w:val="nil"/>
              <w:bottom w:val="single" w:sz="4" w:space="0" w:color="auto"/>
              <w:right w:val="single" w:sz="4" w:space="0" w:color="auto"/>
            </w:tcBorders>
            <w:shd w:val="clear" w:color="auto" w:fill="auto"/>
            <w:vAlign w:val="center"/>
            <w:hideMark/>
          </w:tcPr>
          <w:p w:rsidR="00CA0B63" w:rsidRPr="00B82516"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82516">
              <w:rPr>
                <w:rFonts w:ascii="Arial" w:eastAsia="Times New Roman" w:hAnsi="Arial" w:cs="Arial"/>
                <w:color w:val="000000"/>
                <w:sz w:val="24"/>
                <w:szCs w:val="24"/>
                <w:lang w:eastAsia="ro-RO"/>
              </w:rPr>
              <w:t>91</w:t>
            </w:r>
          </w:p>
        </w:tc>
        <w:tc>
          <w:tcPr>
            <w:tcW w:w="1408"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942" w:type="dxa"/>
            <w:tcBorders>
              <w:top w:val="nil"/>
              <w:left w:val="nil"/>
              <w:bottom w:val="single" w:sz="4" w:space="0" w:color="auto"/>
              <w:right w:val="single" w:sz="4" w:space="0" w:color="auto"/>
            </w:tcBorders>
            <w:shd w:val="clear" w:color="auto" w:fill="auto"/>
            <w:vAlign w:val="center"/>
            <w:hideMark/>
          </w:tcPr>
          <w:p w:rsidR="00CA0B63" w:rsidRPr="00B82516"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73,</w:t>
            </w:r>
            <w:r w:rsidR="00CA0B63" w:rsidRPr="00B82516">
              <w:rPr>
                <w:rFonts w:ascii="Arial" w:eastAsia="Times New Roman" w:hAnsi="Arial" w:cs="Arial"/>
                <w:color w:val="000000"/>
                <w:sz w:val="24"/>
                <w:szCs w:val="24"/>
                <w:lang w:eastAsia="ro-RO"/>
              </w:rPr>
              <w:t>6</w:t>
            </w:r>
          </w:p>
        </w:tc>
      </w:tr>
      <w:tr w:rsidR="00CA0B63" w:rsidRPr="00B82516" w:rsidTr="0056118B">
        <w:trPr>
          <w:trHeight w:val="300"/>
          <w:jc w:val="center"/>
        </w:trPr>
        <w:tc>
          <w:tcPr>
            <w:tcW w:w="1348" w:type="dxa"/>
            <w:tcBorders>
              <w:top w:val="nil"/>
              <w:left w:val="single" w:sz="4" w:space="0" w:color="auto"/>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r w:rsidRPr="00B82516">
              <w:rPr>
                <w:rFonts w:ascii="Arial" w:eastAsia="Times New Roman" w:hAnsi="Arial" w:cs="Arial"/>
                <w:color w:val="000000"/>
                <w:sz w:val="24"/>
                <w:szCs w:val="24"/>
                <w:lang w:eastAsia="ro-RO"/>
              </w:rPr>
              <w:t>S</w:t>
            </w:r>
            <w:r>
              <w:rPr>
                <w:rFonts w:ascii="Arial" w:eastAsia="Times New Roman" w:hAnsi="Arial" w:cs="Arial"/>
                <w:color w:val="000000"/>
                <w:sz w:val="24"/>
                <w:szCs w:val="24"/>
                <w:lang w:eastAsia="ro-RO"/>
              </w:rPr>
              <w:t>O</w:t>
            </w:r>
            <w:r w:rsidRPr="00B82516">
              <w:rPr>
                <w:rFonts w:ascii="Arial" w:eastAsia="Times New Roman" w:hAnsi="Arial" w:cs="Arial"/>
                <w:color w:val="000000"/>
                <w:sz w:val="24"/>
                <w:szCs w:val="24"/>
                <w:lang w:eastAsia="ro-RO"/>
              </w:rPr>
              <w:t>x</w:t>
            </w:r>
            <w:r>
              <w:rPr>
                <w:rFonts w:ascii="Arial" w:eastAsia="Times New Roman" w:hAnsi="Arial" w:cs="Arial"/>
                <w:color w:val="000000"/>
                <w:sz w:val="24"/>
                <w:szCs w:val="24"/>
                <w:lang w:eastAsia="ro-RO"/>
              </w:rPr>
              <w:t>, %</w:t>
            </w:r>
          </w:p>
        </w:tc>
        <w:tc>
          <w:tcPr>
            <w:tcW w:w="897"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073"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234"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011"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837"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c>
          <w:tcPr>
            <w:tcW w:w="1408"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r w:rsidRPr="00B82516">
              <w:rPr>
                <w:rFonts w:ascii="Arial" w:eastAsia="Times New Roman" w:hAnsi="Arial" w:cs="Arial"/>
                <w:color w:val="000000"/>
                <w:sz w:val="24"/>
                <w:szCs w:val="24"/>
                <w:lang w:eastAsia="ro-RO"/>
              </w:rPr>
              <w:t>100</w:t>
            </w:r>
          </w:p>
        </w:tc>
        <w:tc>
          <w:tcPr>
            <w:tcW w:w="1942" w:type="dxa"/>
            <w:tcBorders>
              <w:top w:val="nil"/>
              <w:left w:val="nil"/>
              <w:bottom w:val="single" w:sz="4" w:space="0" w:color="auto"/>
              <w:right w:val="single" w:sz="4" w:space="0" w:color="auto"/>
            </w:tcBorders>
            <w:shd w:val="clear" w:color="auto" w:fill="auto"/>
            <w:vAlign w:val="center"/>
            <w:hideMark/>
          </w:tcPr>
          <w:p w:rsidR="00CA0B63" w:rsidRPr="00B82516" w:rsidRDefault="00CA0B63" w:rsidP="0056118B">
            <w:pPr>
              <w:spacing w:after="0" w:line="240" w:lineRule="auto"/>
              <w:jc w:val="center"/>
              <w:rPr>
                <w:rFonts w:ascii="Arial" w:eastAsia="Times New Roman" w:hAnsi="Arial" w:cs="Arial"/>
                <w:color w:val="000000"/>
                <w:sz w:val="24"/>
                <w:szCs w:val="24"/>
                <w:lang w:eastAsia="ro-RO"/>
              </w:rPr>
            </w:pPr>
          </w:p>
        </w:tc>
      </w:tr>
    </w:tbl>
    <w:p w:rsidR="00CA0B63" w:rsidRDefault="00CA0B63" w:rsidP="00F829B5">
      <w:pPr>
        <w:spacing w:before="120" w:after="120" w:line="240" w:lineRule="auto"/>
        <w:jc w:val="center"/>
        <w:rPr>
          <w:rFonts w:ascii="Arial" w:hAnsi="Arial" w:cs="Arial"/>
          <w:b/>
          <w:sz w:val="24"/>
          <w:szCs w:val="24"/>
        </w:rPr>
      </w:pPr>
      <w:r w:rsidRPr="000C73DA">
        <w:rPr>
          <w:rFonts w:ascii="Arial" w:hAnsi="Arial" w:cs="Arial"/>
          <w:b/>
          <w:sz w:val="24"/>
          <w:szCs w:val="24"/>
        </w:rPr>
        <w:t>Tabel I.2.1.4.1. Contribuţia principalelor sectoare de activitate din agricultură la em</w:t>
      </w:r>
      <w:r w:rsidRPr="000C73DA">
        <w:rPr>
          <w:rFonts w:ascii="Arial" w:hAnsi="Arial" w:cs="Arial"/>
          <w:b/>
          <w:sz w:val="24"/>
          <w:szCs w:val="24"/>
        </w:rPr>
        <w:t>i</w:t>
      </w:r>
      <w:r w:rsidRPr="000C73DA">
        <w:rPr>
          <w:rFonts w:ascii="Arial" w:hAnsi="Arial" w:cs="Arial"/>
          <w:b/>
          <w:sz w:val="24"/>
          <w:szCs w:val="24"/>
        </w:rPr>
        <w:t>siile de substanţe acidifiante</w:t>
      </w:r>
    </w:p>
    <w:p w:rsidR="00CA0B63" w:rsidRDefault="00CA0B63" w:rsidP="00CA0B63">
      <w:pPr>
        <w:jc w:val="center"/>
        <w:rPr>
          <w:rFonts w:ascii="Arial" w:hAnsi="Arial" w:cs="Arial"/>
          <w:sz w:val="24"/>
          <w:szCs w:val="24"/>
        </w:rPr>
      </w:pPr>
      <w:r w:rsidRPr="000C73DA">
        <w:rPr>
          <w:rFonts w:ascii="Arial" w:hAnsi="Arial" w:cs="Arial"/>
          <w:noProof/>
          <w:sz w:val="24"/>
          <w:szCs w:val="24"/>
          <w:lang w:val="ro-RO" w:eastAsia="ro-RO"/>
        </w:rPr>
        <w:lastRenderedPageBreak/>
        <w:drawing>
          <wp:inline distT="0" distB="0" distL="0" distR="0">
            <wp:extent cx="4933950" cy="3648075"/>
            <wp:effectExtent l="19050" t="0" r="19050" b="0"/>
            <wp:docPr id="6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A0B63" w:rsidRDefault="00CA0B63" w:rsidP="00F829B5">
      <w:pPr>
        <w:spacing w:before="120" w:after="120" w:line="240" w:lineRule="auto"/>
        <w:jc w:val="center"/>
        <w:rPr>
          <w:rFonts w:ascii="Arial" w:hAnsi="Arial" w:cs="Arial"/>
          <w:b/>
          <w:sz w:val="24"/>
          <w:szCs w:val="24"/>
        </w:rPr>
      </w:pPr>
      <w:r>
        <w:rPr>
          <w:rFonts w:ascii="Arial" w:hAnsi="Arial" w:cs="Arial"/>
          <w:b/>
          <w:sz w:val="24"/>
          <w:szCs w:val="24"/>
        </w:rPr>
        <w:t>Figura</w:t>
      </w:r>
      <w:r w:rsidRPr="000C73DA">
        <w:rPr>
          <w:rFonts w:ascii="Arial" w:hAnsi="Arial" w:cs="Arial"/>
          <w:b/>
          <w:sz w:val="24"/>
          <w:szCs w:val="24"/>
        </w:rPr>
        <w:t xml:space="preserve"> I.2.1.4.1. Contribuţia principalelor sectoare de activitate din agricultură la emisiile de substanţe acidifiante</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Din analiza datelor prezentate, reiese că principalele surse de emisie a substanţelor acid</w:t>
      </w:r>
      <w:r>
        <w:rPr>
          <w:rFonts w:ascii="Arial" w:hAnsi="Arial" w:cs="Arial"/>
          <w:sz w:val="24"/>
          <w:szCs w:val="24"/>
        </w:rPr>
        <w:t>i</w:t>
      </w:r>
      <w:r>
        <w:rPr>
          <w:rFonts w:ascii="Arial" w:hAnsi="Arial" w:cs="Arial"/>
          <w:sz w:val="24"/>
          <w:szCs w:val="24"/>
        </w:rPr>
        <w:t>fiante sunt zootehnia, prin încălzirea halelor de producţie şi apicarea îngrăşămintelor pe bază de azot.</w:t>
      </w:r>
    </w:p>
    <w:p w:rsidR="00D71325" w:rsidRDefault="00D71325" w:rsidP="00F829B5">
      <w:pPr>
        <w:spacing w:before="120" w:after="120" w:line="240" w:lineRule="auto"/>
        <w:jc w:val="both"/>
        <w:rPr>
          <w:rFonts w:ascii="Arial" w:hAnsi="Arial" w:cs="Arial"/>
          <w:b/>
          <w:sz w:val="24"/>
          <w:szCs w:val="24"/>
        </w:rPr>
      </w:pPr>
    </w:p>
    <w:p w:rsidR="00CA0B63" w:rsidRPr="00B16227" w:rsidRDefault="00CA0B63" w:rsidP="00F829B5">
      <w:pPr>
        <w:spacing w:before="120" w:after="120" w:line="240" w:lineRule="auto"/>
        <w:jc w:val="both"/>
        <w:rPr>
          <w:rFonts w:ascii="Arial" w:hAnsi="Arial" w:cs="Arial"/>
          <w:b/>
          <w:sz w:val="24"/>
          <w:szCs w:val="24"/>
        </w:rPr>
      </w:pPr>
      <w:r w:rsidRPr="00B16227">
        <w:rPr>
          <w:rFonts w:ascii="Arial" w:hAnsi="Arial" w:cs="Arial"/>
          <w:b/>
          <w:sz w:val="24"/>
          <w:szCs w:val="24"/>
        </w:rPr>
        <w:t>b) Emisii de precursori ai ozonului</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Contribuţia principalelor sectoare de activitate din agricultură la emisiile de precursori ai ozonului  în anul 2014 la nivelul judeţului Buzău este prezentată în tabelul I.2.1.4.2. şi fig</w:t>
      </w:r>
      <w:r>
        <w:rPr>
          <w:rFonts w:ascii="Arial" w:hAnsi="Arial" w:cs="Arial"/>
          <w:sz w:val="24"/>
          <w:szCs w:val="24"/>
        </w:rPr>
        <w:t>u</w:t>
      </w:r>
      <w:r>
        <w:rPr>
          <w:rFonts w:ascii="Arial" w:hAnsi="Arial" w:cs="Arial"/>
          <w:sz w:val="24"/>
          <w:szCs w:val="24"/>
        </w:rPr>
        <w:t>ra I.2.1.4.2.</w:t>
      </w:r>
    </w:p>
    <w:p w:rsidR="00F829B5" w:rsidRDefault="00F829B5" w:rsidP="00CA0B63">
      <w:pPr>
        <w:rPr>
          <w:rFonts w:ascii="Arial" w:hAnsi="Arial" w:cs="Arial"/>
          <w:sz w:val="24"/>
          <w:szCs w:val="24"/>
        </w:rPr>
      </w:pPr>
    </w:p>
    <w:tbl>
      <w:tblPr>
        <w:tblW w:w="6720" w:type="dxa"/>
        <w:jc w:val="center"/>
        <w:tblInd w:w="103" w:type="dxa"/>
        <w:tblLook w:val="04A0"/>
      </w:tblPr>
      <w:tblGrid>
        <w:gridCol w:w="1376"/>
        <w:gridCol w:w="1003"/>
        <w:gridCol w:w="1137"/>
        <w:gridCol w:w="1310"/>
        <w:gridCol w:w="1070"/>
        <w:gridCol w:w="883"/>
        <w:gridCol w:w="1496"/>
      </w:tblGrid>
      <w:tr w:rsidR="00CA0B63" w:rsidRPr="00BD0192" w:rsidTr="0056118B">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b/>
                <w:color w:val="000000"/>
                <w:sz w:val="24"/>
                <w:szCs w:val="24"/>
                <w:lang w:eastAsia="ro-RO"/>
              </w:rPr>
            </w:pPr>
            <w:r w:rsidRPr="00BD0192">
              <w:rPr>
                <w:rFonts w:ascii="Arial" w:eastAsia="Times New Roman" w:hAnsi="Arial" w:cs="Arial"/>
                <w:b/>
                <w:color w:val="000000"/>
                <w:sz w:val="24"/>
                <w:szCs w:val="24"/>
                <w:lang w:eastAsia="ro-RO"/>
              </w:rPr>
              <w:t>POLUANT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b/>
                <w:color w:val="000000"/>
                <w:sz w:val="24"/>
                <w:szCs w:val="24"/>
                <w:lang w:eastAsia="ro-RO"/>
              </w:rPr>
            </w:pPr>
            <w:r w:rsidRPr="00BD0192">
              <w:rPr>
                <w:rFonts w:ascii="Arial" w:eastAsia="Times New Roman" w:hAnsi="Arial" w:cs="Arial"/>
                <w:b/>
                <w:color w:val="000000"/>
                <w:sz w:val="24"/>
                <w:szCs w:val="24"/>
                <w:lang w:eastAsia="ro-RO"/>
              </w:rPr>
              <w:t>VACI LAPTE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b/>
                <w:color w:val="000000"/>
                <w:sz w:val="24"/>
                <w:szCs w:val="24"/>
                <w:lang w:eastAsia="ro-RO"/>
              </w:rPr>
            </w:pPr>
            <w:r w:rsidRPr="00BD0192">
              <w:rPr>
                <w:rFonts w:ascii="Arial" w:eastAsia="Times New Roman" w:hAnsi="Arial" w:cs="Arial"/>
                <w:b/>
                <w:color w:val="000000"/>
                <w:sz w:val="24"/>
                <w:szCs w:val="24"/>
                <w:lang w:eastAsia="ro-RO"/>
              </w:rPr>
              <w:t>BOVINE NON LAPTE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b/>
                <w:color w:val="000000"/>
                <w:sz w:val="24"/>
                <w:szCs w:val="24"/>
                <w:lang w:eastAsia="ro-RO"/>
              </w:rPr>
            </w:pPr>
            <w:r w:rsidRPr="00BD0192">
              <w:rPr>
                <w:rFonts w:ascii="Arial" w:eastAsia="Times New Roman" w:hAnsi="Arial" w:cs="Arial"/>
                <w:b/>
                <w:color w:val="000000"/>
                <w:sz w:val="24"/>
                <w:szCs w:val="24"/>
                <w:lang w:eastAsia="ro-RO"/>
              </w:rPr>
              <w:t>PORCINE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b/>
                <w:color w:val="000000"/>
                <w:sz w:val="24"/>
                <w:szCs w:val="24"/>
                <w:lang w:eastAsia="ro-RO"/>
              </w:rPr>
            </w:pPr>
            <w:r w:rsidRPr="00BD0192">
              <w:rPr>
                <w:rFonts w:ascii="Arial" w:eastAsia="Times New Roman" w:hAnsi="Arial" w:cs="Arial"/>
                <w:b/>
                <w:color w:val="000000"/>
                <w:sz w:val="24"/>
                <w:szCs w:val="24"/>
                <w:lang w:eastAsia="ro-RO"/>
              </w:rPr>
              <w:t>PUI CARNE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b/>
                <w:color w:val="000000"/>
                <w:sz w:val="24"/>
                <w:szCs w:val="24"/>
                <w:lang w:eastAsia="ro-RO"/>
              </w:rPr>
            </w:pPr>
            <w:r w:rsidRPr="00BD0192">
              <w:rPr>
                <w:rFonts w:ascii="Arial" w:eastAsia="Times New Roman" w:hAnsi="Arial" w:cs="Arial"/>
                <w:b/>
                <w:color w:val="000000"/>
                <w:sz w:val="24"/>
                <w:szCs w:val="24"/>
                <w:lang w:eastAsia="ro-RO"/>
              </w:rPr>
              <w:t>GAINI DE OUA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b/>
                <w:color w:val="000000"/>
                <w:sz w:val="24"/>
                <w:szCs w:val="24"/>
                <w:lang w:eastAsia="ro-RO"/>
              </w:rPr>
            </w:pPr>
            <w:r w:rsidRPr="00BD0192">
              <w:rPr>
                <w:rFonts w:ascii="Arial" w:eastAsia="Times New Roman" w:hAnsi="Arial" w:cs="Arial"/>
                <w:b/>
                <w:color w:val="000000"/>
                <w:sz w:val="24"/>
                <w:szCs w:val="24"/>
                <w:lang w:eastAsia="ro-RO"/>
              </w:rPr>
              <w:t>INCALZIRE HALE</w:t>
            </w:r>
          </w:p>
        </w:tc>
      </w:tr>
      <w:tr w:rsidR="00CA0B63" w:rsidRPr="00BD0192"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sidRPr="00BD0192">
              <w:rPr>
                <w:rFonts w:ascii="Arial" w:eastAsia="Times New Roman" w:hAnsi="Arial" w:cs="Arial"/>
                <w:color w:val="000000"/>
                <w:sz w:val="24"/>
                <w:szCs w:val="24"/>
                <w:lang w:eastAsia="ro-RO"/>
              </w:rPr>
              <w:t>NOx</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sidRPr="00BD0192">
              <w:rPr>
                <w:rFonts w:ascii="Arial" w:eastAsia="Times New Roman" w:hAnsi="Arial" w:cs="Arial"/>
                <w:color w:val="000000"/>
                <w:sz w:val="24"/>
                <w:szCs w:val="24"/>
                <w:lang w:eastAsia="ro-RO"/>
              </w:rPr>
              <w:t>100</w:t>
            </w:r>
          </w:p>
        </w:tc>
      </w:tr>
      <w:tr w:rsidR="00CA0B63" w:rsidRPr="00BD0192" w:rsidTr="0056118B">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0B63" w:rsidRPr="00BD0192" w:rsidRDefault="00CA0B63" w:rsidP="0056118B">
            <w:pPr>
              <w:spacing w:after="0" w:line="240" w:lineRule="auto"/>
              <w:jc w:val="center"/>
              <w:rPr>
                <w:rFonts w:ascii="Arial" w:eastAsia="Times New Roman" w:hAnsi="Arial" w:cs="Arial"/>
                <w:color w:val="000000"/>
                <w:sz w:val="24"/>
                <w:szCs w:val="24"/>
                <w:lang w:eastAsia="ro-RO"/>
              </w:rPr>
            </w:pPr>
            <w:r w:rsidRPr="00BD0192">
              <w:rPr>
                <w:rFonts w:ascii="Arial" w:eastAsia="Times New Roman" w:hAnsi="Arial" w:cs="Arial"/>
                <w:color w:val="000000"/>
                <w:sz w:val="24"/>
                <w:szCs w:val="24"/>
                <w:lang w:eastAsia="ro-RO"/>
              </w:rPr>
              <w:t>NMVOC</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D0192">
              <w:rPr>
                <w:rFonts w:ascii="Arial" w:eastAsia="Times New Roman" w:hAnsi="Arial" w:cs="Arial"/>
                <w:color w:val="000000"/>
                <w:sz w:val="24"/>
                <w:szCs w:val="24"/>
                <w:lang w:eastAsia="ro-RO"/>
              </w:rPr>
              <w:t>98</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D0192">
              <w:rPr>
                <w:rFonts w:ascii="Arial" w:eastAsia="Times New Roman" w:hAnsi="Arial" w:cs="Arial"/>
                <w:color w:val="000000"/>
                <w:sz w:val="24"/>
                <w:szCs w:val="24"/>
                <w:lang w:eastAsia="ro-RO"/>
              </w:rPr>
              <w:t>42</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22,</w:t>
            </w:r>
            <w:r w:rsidR="00CA0B63" w:rsidRPr="00BD0192">
              <w:rPr>
                <w:rFonts w:ascii="Arial" w:eastAsia="Times New Roman" w:hAnsi="Arial" w:cs="Arial"/>
                <w:color w:val="000000"/>
                <w:sz w:val="24"/>
                <w:szCs w:val="24"/>
                <w:lang w:eastAsia="ro-RO"/>
              </w:rPr>
              <w:t>01</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72,</w:t>
            </w:r>
            <w:r w:rsidR="00CA0B63" w:rsidRPr="00BD0192">
              <w:rPr>
                <w:rFonts w:ascii="Arial" w:eastAsia="Times New Roman" w:hAnsi="Arial" w:cs="Arial"/>
                <w:color w:val="000000"/>
                <w:sz w:val="24"/>
                <w:szCs w:val="24"/>
                <w:lang w:eastAsia="ro-RO"/>
              </w:rPr>
              <w:t>19</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BD0192">
              <w:rPr>
                <w:rFonts w:ascii="Arial" w:eastAsia="Times New Roman" w:hAnsi="Arial" w:cs="Arial"/>
                <w:color w:val="000000"/>
                <w:sz w:val="24"/>
                <w:szCs w:val="24"/>
                <w:lang w:eastAsia="ro-RO"/>
              </w:rPr>
              <w:t>16</w:t>
            </w:r>
          </w:p>
        </w:tc>
        <w:tc>
          <w:tcPr>
            <w:tcW w:w="960" w:type="dxa"/>
            <w:tcBorders>
              <w:top w:val="nil"/>
              <w:left w:val="nil"/>
              <w:bottom w:val="single" w:sz="4" w:space="0" w:color="auto"/>
              <w:right w:val="single" w:sz="4" w:space="0" w:color="auto"/>
            </w:tcBorders>
            <w:shd w:val="clear" w:color="auto" w:fill="auto"/>
            <w:vAlign w:val="center"/>
            <w:hideMark/>
          </w:tcPr>
          <w:p w:rsidR="00CA0B63" w:rsidRPr="00BD0192"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BD0192">
              <w:rPr>
                <w:rFonts w:ascii="Arial" w:eastAsia="Times New Roman" w:hAnsi="Arial" w:cs="Arial"/>
                <w:color w:val="000000"/>
                <w:sz w:val="24"/>
                <w:szCs w:val="24"/>
                <w:lang w:eastAsia="ro-RO"/>
              </w:rPr>
              <w:t>24</w:t>
            </w:r>
          </w:p>
        </w:tc>
      </w:tr>
    </w:tbl>
    <w:p w:rsidR="00CA0B63" w:rsidRDefault="00CA0B63" w:rsidP="00F829B5">
      <w:pPr>
        <w:spacing w:before="120" w:after="120" w:line="240" w:lineRule="auto"/>
        <w:jc w:val="center"/>
        <w:rPr>
          <w:rFonts w:ascii="Arial" w:hAnsi="Arial" w:cs="Arial"/>
          <w:b/>
          <w:sz w:val="24"/>
          <w:szCs w:val="24"/>
        </w:rPr>
      </w:pPr>
      <w:r w:rsidRPr="00BD0192">
        <w:rPr>
          <w:rFonts w:ascii="Arial" w:hAnsi="Arial" w:cs="Arial"/>
          <w:b/>
          <w:sz w:val="24"/>
          <w:szCs w:val="24"/>
        </w:rPr>
        <w:t>Tabel I.2.1.4.2. Contribuţia principalelor sectoare de activitate din agricultură la em</w:t>
      </w:r>
      <w:r w:rsidRPr="00BD0192">
        <w:rPr>
          <w:rFonts w:ascii="Arial" w:hAnsi="Arial" w:cs="Arial"/>
          <w:b/>
          <w:sz w:val="24"/>
          <w:szCs w:val="24"/>
        </w:rPr>
        <w:t>i</w:t>
      </w:r>
      <w:r w:rsidRPr="00BD0192">
        <w:rPr>
          <w:rFonts w:ascii="Arial" w:hAnsi="Arial" w:cs="Arial"/>
          <w:b/>
          <w:sz w:val="24"/>
          <w:szCs w:val="24"/>
        </w:rPr>
        <w:t>siile de precursori ai ozonului</w:t>
      </w:r>
    </w:p>
    <w:p w:rsidR="00CA0B63" w:rsidRDefault="00CA0B63" w:rsidP="00CA0B63">
      <w:pPr>
        <w:jc w:val="center"/>
        <w:rPr>
          <w:rFonts w:ascii="Arial" w:hAnsi="Arial" w:cs="Arial"/>
          <w:sz w:val="24"/>
          <w:szCs w:val="24"/>
        </w:rPr>
      </w:pPr>
      <w:r w:rsidRPr="00BD0192">
        <w:rPr>
          <w:rFonts w:ascii="Arial" w:hAnsi="Arial" w:cs="Arial"/>
          <w:noProof/>
          <w:sz w:val="24"/>
          <w:szCs w:val="24"/>
          <w:lang w:val="ro-RO" w:eastAsia="ro-RO"/>
        </w:rPr>
        <w:lastRenderedPageBreak/>
        <w:drawing>
          <wp:inline distT="0" distB="0" distL="0" distR="0">
            <wp:extent cx="5019675" cy="3486150"/>
            <wp:effectExtent l="19050" t="0" r="9525" b="0"/>
            <wp:docPr id="6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A0B63" w:rsidRDefault="00CA0B63" w:rsidP="00F829B5">
      <w:pPr>
        <w:spacing w:before="120" w:after="120" w:line="240" w:lineRule="auto"/>
        <w:jc w:val="center"/>
        <w:rPr>
          <w:rFonts w:ascii="Arial" w:hAnsi="Arial" w:cs="Arial"/>
          <w:b/>
          <w:sz w:val="24"/>
          <w:szCs w:val="24"/>
        </w:rPr>
      </w:pPr>
      <w:r>
        <w:rPr>
          <w:rFonts w:ascii="Arial" w:hAnsi="Arial" w:cs="Arial"/>
          <w:b/>
          <w:sz w:val="24"/>
          <w:szCs w:val="24"/>
        </w:rPr>
        <w:t>Figura</w:t>
      </w:r>
      <w:r w:rsidRPr="00BD0192">
        <w:rPr>
          <w:rFonts w:ascii="Arial" w:hAnsi="Arial" w:cs="Arial"/>
          <w:b/>
          <w:sz w:val="24"/>
          <w:szCs w:val="24"/>
        </w:rPr>
        <w:t xml:space="preserve"> I.2.1.4.2. Contribuţia principalelor sectoare de activitate din agricultură la emisiile de precursori ai ozonului</w:t>
      </w:r>
    </w:p>
    <w:p w:rsidR="00CA0B63" w:rsidRDefault="00CA0B63" w:rsidP="00F829B5">
      <w:pPr>
        <w:tabs>
          <w:tab w:val="left" w:pos="553"/>
        </w:tabs>
        <w:spacing w:before="120" w:after="120" w:line="240" w:lineRule="auto"/>
        <w:jc w:val="both"/>
        <w:rPr>
          <w:rFonts w:ascii="Arial" w:hAnsi="Arial" w:cs="Arial"/>
          <w:sz w:val="24"/>
          <w:szCs w:val="24"/>
        </w:rPr>
      </w:pPr>
      <w:r>
        <w:rPr>
          <w:rFonts w:ascii="Arial" w:hAnsi="Arial" w:cs="Arial"/>
          <w:sz w:val="24"/>
          <w:szCs w:val="24"/>
        </w:rPr>
        <w:t>Sursele de emisie de precursori ai ozonului sunt cele din zootehnie, ponderea principală având-o încălzirea halelor de producţie şi creşterea puilor de carne, ultima activitate fiind puternic reprezentată în judeţ.</w:t>
      </w:r>
    </w:p>
    <w:p w:rsidR="00D71325" w:rsidRDefault="00D71325" w:rsidP="00F829B5">
      <w:pPr>
        <w:spacing w:before="120" w:after="120" w:line="240" w:lineRule="auto"/>
        <w:jc w:val="both"/>
        <w:rPr>
          <w:rFonts w:ascii="Arial" w:hAnsi="Arial" w:cs="Arial"/>
          <w:b/>
          <w:sz w:val="24"/>
          <w:szCs w:val="24"/>
        </w:rPr>
      </w:pPr>
    </w:p>
    <w:p w:rsidR="00CA0B63" w:rsidRDefault="00CA0B63" w:rsidP="00F829B5">
      <w:pPr>
        <w:spacing w:before="120" w:after="120" w:line="240" w:lineRule="auto"/>
        <w:jc w:val="both"/>
        <w:rPr>
          <w:rFonts w:ascii="Arial" w:hAnsi="Arial" w:cs="Arial"/>
          <w:b/>
          <w:bCs/>
          <w:sz w:val="24"/>
          <w:szCs w:val="24"/>
        </w:rPr>
      </w:pPr>
      <w:r w:rsidRPr="00AA228F">
        <w:rPr>
          <w:rFonts w:ascii="Arial" w:hAnsi="Arial" w:cs="Arial"/>
          <w:b/>
          <w:sz w:val="24"/>
          <w:szCs w:val="24"/>
        </w:rPr>
        <w:t xml:space="preserve">c) </w:t>
      </w:r>
      <w:r w:rsidRPr="00AA228F">
        <w:rPr>
          <w:rFonts w:ascii="Arial" w:hAnsi="Arial" w:cs="Arial"/>
          <w:b/>
          <w:bCs/>
          <w:sz w:val="24"/>
          <w:szCs w:val="24"/>
        </w:rPr>
        <w:t>Emisii de particule primare şi precursori secundari de particule</w:t>
      </w:r>
    </w:p>
    <w:p w:rsidR="00CA0B63" w:rsidRDefault="00CA0B63" w:rsidP="00F829B5">
      <w:pPr>
        <w:spacing w:before="120" w:after="120" w:line="240" w:lineRule="auto"/>
        <w:jc w:val="both"/>
        <w:rPr>
          <w:rFonts w:ascii="Arial" w:hAnsi="Arial" w:cs="Arial"/>
          <w:sz w:val="24"/>
          <w:szCs w:val="24"/>
        </w:rPr>
      </w:pPr>
      <w:r w:rsidRPr="00E46BB3">
        <w:rPr>
          <w:rFonts w:ascii="Arial" w:hAnsi="Arial" w:cs="Arial"/>
          <w:sz w:val="24"/>
          <w:szCs w:val="24"/>
        </w:rPr>
        <w:t xml:space="preserve">Contribuţia principalelor sectoare de activitate din agricultură la emisiile de </w:t>
      </w:r>
      <w:r w:rsidRPr="00E46BB3">
        <w:rPr>
          <w:rFonts w:ascii="Arial" w:hAnsi="Arial" w:cs="Arial"/>
          <w:bCs/>
          <w:sz w:val="24"/>
          <w:szCs w:val="24"/>
        </w:rPr>
        <w:t>particule pr</w:t>
      </w:r>
      <w:r w:rsidRPr="00E46BB3">
        <w:rPr>
          <w:rFonts w:ascii="Arial" w:hAnsi="Arial" w:cs="Arial"/>
          <w:bCs/>
          <w:sz w:val="24"/>
          <w:szCs w:val="24"/>
        </w:rPr>
        <w:t>i</w:t>
      </w:r>
      <w:r w:rsidRPr="00E46BB3">
        <w:rPr>
          <w:rFonts w:ascii="Arial" w:hAnsi="Arial" w:cs="Arial"/>
          <w:bCs/>
          <w:sz w:val="24"/>
          <w:szCs w:val="24"/>
        </w:rPr>
        <w:t>mare şi precursori secundari de particule</w:t>
      </w:r>
      <w:r w:rsidRPr="00E46BB3">
        <w:rPr>
          <w:rFonts w:ascii="Arial" w:hAnsi="Arial" w:cs="Arial"/>
          <w:sz w:val="24"/>
          <w:szCs w:val="24"/>
        </w:rPr>
        <w:t xml:space="preserve"> în anul 2014 la nivelul judeţului Buzău este pre</w:t>
      </w:r>
      <w:r>
        <w:rPr>
          <w:rFonts w:ascii="Arial" w:hAnsi="Arial" w:cs="Arial"/>
          <w:sz w:val="24"/>
          <w:szCs w:val="24"/>
        </w:rPr>
        <w:t>zentată în tabelul I.2.1.4.3</w:t>
      </w:r>
      <w:r w:rsidRPr="00E46BB3">
        <w:rPr>
          <w:rFonts w:ascii="Arial" w:hAnsi="Arial" w:cs="Arial"/>
          <w:sz w:val="24"/>
          <w:szCs w:val="24"/>
        </w:rPr>
        <w:t>. şi figura I.2.1.4</w:t>
      </w:r>
      <w:r>
        <w:rPr>
          <w:rFonts w:ascii="Arial" w:hAnsi="Arial" w:cs="Arial"/>
          <w:sz w:val="24"/>
          <w:szCs w:val="24"/>
        </w:rPr>
        <w:t>.3</w:t>
      </w:r>
      <w:r w:rsidRPr="00E46BB3">
        <w:rPr>
          <w:rFonts w:ascii="Arial" w:hAnsi="Arial" w:cs="Arial"/>
          <w:sz w:val="24"/>
          <w:szCs w:val="24"/>
        </w:rPr>
        <w:t>.</w:t>
      </w:r>
    </w:p>
    <w:p w:rsidR="00F829B5" w:rsidRPr="00E46BB3" w:rsidRDefault="00F829B5" w:rsidP="00CA0B63">
      <w:pPr>
        <w:spacing w:after="120" w:line="240" w:lineRule="auto"/>
        <w:jc w:val="both"/>
        <w:rPr>
          <w:rFonts w:ascii="Arial" w:hAnsi="Arial" w:cs="Arial"/>
          <w:bCs/>
          <w:sz w:val="24"/>
          <w:szCs w:val="24"/>
        </w:rPr>
      </w:pPr>
    </w:p>
    <w:tbl>
      <w:tblPr>
        <w:tblW w:w="8540" w:type="dxa"/>
        <w:jc w:val="center"/>
        <w:tblInd w:w="103" w:type="dxa"/>
        <w:tblLook w:val="04A0"/>
      </w:tblPr>
      <w:tblGrid>
        <w:gridCol w:w="1261"/>
        <w:gridCol w:w="884"/>
        <w:gridCol w:w="983"/>
        <w:gridCol w:w="1128"/>
        <w:gridCol w:w="932"/>
        <w:gridCol w:w="797"/>
        <w:gridCol w:w="1283"/>
        <w:gridCol w:w="1272"/>
      </w:tblGrid>
      <w:tr w:rsidR="00CA0B63" w:rsidRPr="00E46BB3" w:rsidTr="0056118B">
        <w:trPr>
          <w:trHeight w:val="900"/>
          <w:jc w:val="center"/>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POLUANT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VACI LAPTE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BOVINE NON LAPTE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PORCINE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PUI CARNE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GAINI DE OUA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INCALZIRE HALE</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b/>
                <w:color w:val="000000"/>
                <w:sz w:val="20"/>
                <w:szCs w:val="20"/>
                <w:lang w:eastAsia="ro-RO"/>
              </w:rPr>
            </w:pPr>
            <w:r w:rsidRPr="00E46BB3">
              <w:rPr>
                <w:rFonts w:ascii="Arial" w:eastAsia="Times New Roman" w:hAnsi="Arial" w:cs="Arial"/>
                <w:b/>
                <w:color w:val="000000"/>
                <w:sz w:val="20"/>
                <w:szCs w:val="20"/>
                <w:lang w:eastAsia="ro-RO"/>
              </w:rPr>
              <w:t>OPERATII AGRICOLE</w:t>
            </w:r>
          </w:p>
        </w:tc>
      </w:tr>
      <w:tr w:rsidR="00CA0B63" w:rsidRPr="00E46BB3" w:rsidTr="0056118B">
        <w:trPr>
          <w:trHeight w:val="30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color w:val="000000"/>
                <w:sz w:val="24"/>
                <w:szCs w:val="24"/>
                <w:lang w:eastAsia="ro-RO"/>
              </w:rPr>
            </w:pPr>
            <w:r w:rsidRPr="00E46BB3">
              <w:rPr>
                <w:rFonts w:ascii="Arial" w:eastAsia="Times New Roman" w:hAnsi="Arial" w:cs="Arial"/>
                <w:color w:val="000000"/>
                <w:sz w:val="24"/>
                <w:szCs w:val="24"/>
                <w:lang w:eastAsia="ro-RO"/>
              </w:rPr>
              <w:t>PM10, %</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E46BB3">
              <w:rPr>
                <w:rFonts w:ascii="Arial" w:eastAsia="Times New Roman" w:hAnsi="Arial" w:cs="Arial"/>
                <w:color w:val="000000"/>
                <w:sz w:val="24"/>
                <w:szCs w:val="24"/>
                <w:lang w:eastAsia="ro-RO"/>
              </w:rPr>
              <w:t>03</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E46BB3">
              <w:rPr>
                <w:rFonts w:ascii="Arial" w:eastAsia="Times New Roman" w:hAnsi="Arial" w:cs="Arial"/>
                <w:color w:val="000000"/>
                <w:sz w:val="24"/>
                <w:szCs w:val="24"/>
                <w:lang w:eastAsia="ro-RO"/>
              </w:rPr>
              <w:t>02</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3,</w:t>
            </w:r>
            <w:r w:rsidR="00CA0B63" w:rsidRPr="00E46BB3">
              <w:rPr>
                <w:rFonts w:ascii="Arial" w:eastAsia="Times New Roman" w:hAnsi="Arial" w:cs="Arial"/>
                <w:color w:val="000000"/>
                <w:sz w:val="24"/>
                <w:szCs w:val="24"/>
                <w:lang w:eastAsia="ro-RO"/>
              </w:rPr>
              <w:t>27</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43,</w:t>
            </w:r>
            <w:r w:rsidR="00CA0B63" w:rsidRPr="00E46BB3">
              <w:rPr>
                <w:rFonts w:ascii="Arial" w:eastAsia="Times New Roman" w:hAnsi="Arial" w:cs="Arial"/>
                <w:color w:val="000000"/>
                <w:sz w:val="24"/>
                <w:szCs w:val="24"/>
                <w:lang w:eastAsia="ro-RO"/>
              </w:rPr>
              <w:t>48</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E46BB3">
              <w:rPr>
                <w:rFonts w:ascii="Arial" w:eastAsia="Times New Roman" w:hAnsi="Arial" w:cs="Arial"/>
                <w:color w:val="000000"/>
                <w:sz w:val="24"/>
                <w:szCs w:val="24"/>
                <w:lang w:eastAsia="ro-RO"/>
              </w:rPr>
              <w:t>27</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E46BB3">
              <w:rPr>
                <w:rFonts w:ascii="Arial" w:eastAsia="Times New Roman" w:hAnsi="Arial" w:cs="Arial"/>
                <w:color w:val="000000"/>
                <w:sz w:val="24"/>
                <w:szCs w:val="24"/>
                <w:lang w:eastAsia="ro-RO"/>
              </w:rPr>
              <w:t>13</w:t>
            </w:r>
          </w:p>
        </w:tc>
        <w:tc>
          <w:tcPr>
            <w:tcW w:w="1020" w:type="dxa"/>
            <w:tcBorders>
              <w:top w:val="nil"/>
              <w:left w:val="nil"/>
              <w:bottom w:val="single" w:sz="4" w:space="0" w:color="auto"/>
              <w:right w:val="single" w:sz="4" w:space="0" w:color="auto"/>
            </w:tcBorders>
            <w:shd w:val="clear" w:color="auto" w:fill="auto"/>
            <w:noWrap/>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52,</w:t>
            </w:r>
            <w:r w:rsidR="00CA0B63" w:rsidRPr="00E46BB3">
              <w:rPr>
                <w:rFonts w:ascii="Arial" w:eastAsia="Times New Roman" w:hAnsi="Arial" w:cs="Arial"/>
                <w:color w:val="000000"/>
                <w:sz w:val="24"/>
                <w:szCs w:val="24"/>
                <w:lang w:eastAsia="ro-RO"/>
              </w:rPr>
              <w:t>8</w:t>
            </w:r>
          </w:p>
        </w:tc>
      </w:tr>
      <w:tr w:rsidR="00CA0B63" w:rsidRPr="00E46BB3" w:rsidTr="0056118B">
        <w:trPr>
          <w:trHeight w:val="30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CA0B63" w:rsidRPr="00E46BB3" w:rsidRDefault="00CA0B63" w:rsidP="0056118B">
            <w:pPr>
              <w:spacing w:after="0" w:line="240" w:lineRule="auto"/>
              <w:jc w:val="center"/>
              <w:rPr>
                <w:rFonts w:ascii="Arial" w:eastAsia="Times New Roman" w:hAnsi="Arial" w:cs="Arial"/>
                <w:color w:val="000000"/>
                <w:sz w:val="24"/>
                <w:szCs w:val="24"/>
                <w:lang w:eastAsia="ro-RO"/>
              </w:rPr>
            </w:pPr>
            <w:r w:rsidRPr="00E46BB3">
              <w:rPr>
                <w:rFonts w:ascii="Arial" w:eastAsia="Times New Roman" w:hAnsi="Arial" w:cs="Arial"/>
                <w:color w:val="000000"/>
                <w:sz w:val="24"/>
                <w:szCs w:val="24"/>
                <w:lang w:eastAsia="ro-RO"/>
              </w:rPr>
              <w:t>PM2,5, %</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E46BB3">
              <w:rPr>
                <w:rFonts w:ascii="Arial" w:eastAsia="Times New Roman" w:hAnsi="Arial" w:cs="Arial"/>
                <w:color w:val="000000"/>
                <w:sz w:val="24"/>
                <w:szCs w:val="24"/>
                <w:lang w:eastAsia="ro-RO"/>
              </w:rPr>
              <w:t>23</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E46BB3">
              <w:rPr>
                <w:rFonts w:ascii="Arial" w:eastAsia="Times New Roman" w:hAnsi="Arial" w:cs="Arial"/>
                <w:color w:val="000000"/>
                <w:sz w:val="24"/>
                <w:szCs w:val="24"/>
                <w:lang w:eastAsia="ro-RO"/>
              </w:rPr>
              <w:t>13</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004D77"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w:t>
            </w:r>
            <w:r w:rsidR="00CA0B63" w:rsidRPr="00E46BB3">
              <w:rPr>
                <w:rFonts w:ascii="Arial" w:eastAsia="Times New Roman" w:hAnsi="Arial" w:cs="Arial"/>
                <w:color w:val="000000"/>
                <w:sz w:val="24"/>
                <w:szCs w:val="24"/>
                <w:lang w:eastAsia="ro-RO"/>
              </w:rPr>
              <w:t>18</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69,</w:t>
            </w:r>
            <w:r w:rsidR="00CA0B63" w:rsidRPr="00E46BB3">
              <w:rPr>
                <w:rFonts w:ascii="Arial" w:eastAsia="Times New Roman" w:hAnsi="Arial" w:cs="Arial"/>
                <w:color w:val="000000"/>
                <w:sz w:val="24"/>
                <w:szCs w:val="24"/>
                <w:lang w:eastAsia="ro-RO"/>
              </w:rPr>
              <w:t>17</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E46BB3">
              <w:rPr>
                <w:rFonts w:ascii="Arial" w:eastAsia="Times New Roman" w:hAnsi="Arial" w:cs="Arial"/>
                <w:color w:val="000000"/>
                <w:sz w:val="24"/>
                <w:szCs w:val="24"/>
                <w:lang w:eastAsia="ro-RO"/>
              </w:rPr>
              <w:t>38</w:t>
            </w:r>
          </w:p>
        </w:tc>
        <w:tc>
          <w:tcPr>
            <w:tcW w:w="960" w:type="dxa"/>
            <w:tcBorders>
              <w:top w:val="nil"/>
              <w:left w:val="nil"/>
              <w:bottom w:val="single" w:sz="4" w:space="0" w:color="auto"/>
              <w:right w:val="single" w:sz="4" w:space="0" w:color="auto"/>
            </w:tcBorders>
            <w:shd w:val="clear" w:color="auto" w:fill="auto"/>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E46BB3">
              <w:rPr>
                <w:rFonts w:ascii="Arial" w:eastAsia="Times New Roman" w:hAnsi="Arial" w:cs="Arial"/>
                <w:color w:val="000000"/>
                <w:sz w:val="24"/>
                <w:szCs w:val="24"/>
                <w:lang w:eastAsia="ro-RO"/>
              </w:rPr>
              <w:t>53</w:t>
            </w:r>
          </w:p>
        </w:tc>
        <w:tc>
          <w:tcPr>
            <w:tcW w:w="1020" w:type="dxa"/>
            <w:tcBorders>
              <w:top w:val="nil"/>
              <w:left w:val="nil"/>
              <w:bottom w:val="single" w:sz="4" w:space="0" w:color="auto"/>
              <w:right w:val="single" w:sz="4" w:space="0" w:color="auto"/>
            </w:tcBorders>
            <w:shd w:val="clear" w:color="auto" w:fill="auto"/>
            <w:noWrap/>
            <w:vAlign w:val="center"/>
            <w:hideMark/>
          </w:tcPr>
          <w:p w:rsidR="00CA0B63" w:rsidRPr="00E46BB3"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22,</w:t>
            </w:r>
            <w:r w:rsidR="00CA0B63" w:rsidRPr="00E46BB3">
              <w:rPr>
                <w:rFonts w:ascii="Arial" w:eastAsia="Times New Roman" w:hAnsi="Arial" w:cs="Arial"/>
                <w:color w:val="000000"/>
                <w:sz w:val="24"/>
                <w:szCs w:val="24"/>
                <w:lang w:eastAsia="ro-RO"/>
              </w:rPr>
              <w:t>38</w:t>
            </w:r>
          </w:p>
        </w:tc>
      </w:tr>
    </w:tbl>
    <w:p w:rsidR="00CA0B63" w:rsidRDefault="00CA0B63" w:rsidP="00F829B5">
      <w:pPr>
        <w:spacing w:before="120" w:after="120" w:line="240" w:lineRule="auto"/>
        <w:jc w:val="center"/>
        <w:rPr>
          <w:rFonts w:ascii="Arial" w:hAnsi="Arial" w:cs="Arial"/>
          <w:b/>
          <w:sz w:val="24"/>
          <w:szCs w:val="24"/>
        </w:rPr>
      </w:pPr>
      <w:r w:rsidRPr="00E46BB3">
        <w:rPr>
          <w:rFonts w:ascii="Arial" w:hAnsi="Arial" w:cs="Arial"/>
          <w:b/>
          <w:sz w:val="24"/>
          <w:szCs w:val="24"/>
        </w:rPr>
        <w:t>Tabel I.2.1.4.3. Contribuţia principalelor sectoare de activitate din agricultură la em</w:t>
      </w:r>
      <w:r w:rsidRPr="00E46BB3">
        <w:rPr>
          <w:rFonts w:ascii="Arial" w:hAnsi="Arial" w:cs="Arial"/>
          <w:b/>
          <w:sz w:val="24"/>
          <w:szCs w:val="24"/>
        </w:rPr>
        <w:t>i</w:t>
      </w:r>
      <w:r w:rsidRPr="00E46BB3">
        <w:rPr>
          <w:rFonts w:ascii="Arial" w:hAnsi="Arial" w:cs="Arial"/>
          <w:b/>
          <w:sz w:val="24"/>
          <w:szCs w:val="24"/>
        </w:rPr>
        <w:t xml:space="preserve">siile de </w:t>
      </w:r>
      <w:r w:rsidRPr="00E46BB3">
        <w:rPr>
          <w:rFonts w:ascii="Arial" w:hAnsi="Arial" w:cs="Arial"/>
          <w:b/>
          <w:bCs/>
          <w:sz w:val="24"/>
          <w:szCs w:val="24"/>
        </w:rPr>
        <w:t>particule primare şi precursori secundari de particule</w:t>
      </w:r>
    </w:p>
    <w:p w:rsidR="00CA0B63" w:rsidRDefault="00CA0B63" w:rsidP="00CA0B63">
      <w:pPr>
        <w:jc w:val="center"/>
        <w:rPr>
          <w:rFonts w:ascii="Arial" w:hAnsi="Arial" w:cs="Arial"/>
          <w:sz w:val="24"/>
          <w:szCs w:val="24"/>
        </w:rPr>
      </w:pPr>
      <w:r w:rsidRPr="00E46BB3">
        <w:rPr>
          <w:rFonts w:ascii="Arial" w:hAnsi="Arial" w:cs="Arial"/>
          <w:noProof/>
          <w:sz w:val="24"/>
          <w:szCs w:val="24"/>
          <w:lang w:val="ro-RO" w:eastAsia="ro-RO"/>
        </w:rPr>
        <w:lastRenderedPageBreak/>
        <w:drawing>
          <wp:inline distT="0" distB="0" distL="0" distR="0">
            <wp:extent cx="4572000" cy="3352800"/>
            <wp:effectExtent l="19050" t="0" r="19050" b="0"/>
            <wp:docPr id="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A0B63" w:rsidRDefault="00CA0B63" w:rsidP="00F829B5">
      <w:pPr>
        <w:spacing w:before="120" w:after="120" w:line="240" w:lineRule="auto"/>
        <w:jc w:val="center"/>
        <w:rPr>
          <w:rFonts w:ascii="Arial" w:hAnsi="Arial" w:cs="Arial"/>
          <w:b/>
          <w:sz w:val="24"/>
          <w:szCs w:val="24"/>
        </w:rPr>
      </w:pPr>
      <w:r>
        <w:rPr>
          <w:rFonts w:ascii="Arial" w:hAnsi="Arial" w:cs="Arial"/>
          <w:b/>
          <w:sz w:val="24"/>
          <w:szCs w:val="24"/>
        </w:rPr>
        <w:t>Figura</w:t>
      </w:r>
      <w:r w:rsidRPr="00E46BB3">
        <w:rPr>
          <w:rFonts w:ascii="Arial" w:hAnsi="Arial" w:cs="Arial"/>
          <w:b/>
          <w:sz w:val="24"/>
          <w:szCs w:val="24"/>
        </w:rPr>
        <w:t xml:space="preserve"> I.2.1.4.3. Contribuţia principalelor sectoare de activitate din agricultură la emisiile de </w:t>
      </w:r>
      <w:r w:rsidRPr="00E46BB3">
        <w:rPr>
          <w:rFonts w:ascii="Arial" w:hAnsi="Arial" w:cs="Arial"/>
          <w:b/>
          <w:bCs/>
          <w:sz w:val="24"/>
          <w:szCs w:val="24"/>
        </w:rPr>
        <w:t>particule primare şi precursori secundari de particule</w:t>
      </w:r>
    </w:p>
    <w:p w:rsidR="00CA0B63" w:rsidRDefault="00CA0B63" w:rsidP="00F829B5">
      <w:pPr>
        <w:tabs>
          <w:tab w:val="left" w:pos="335"/>
        </w:tabs>
        <w:spacing w:before="120" w:after="120" w:line="240" w:lineRule="auto"/>
        <w:jc w:val="both"/>
        <w:rPr>
          <w:rFonts w:ascii="Arial" w:hAnsi="Arial" w:cs="Arial"/>
          <w:sz w:val="24"/>
          <w:szCs w:val="24"/>
        </w:rPr>
      </w:pPr>
      <w:r>
        <w:rPr>
          <w:rFonts w:ascii="Arial" w:hAnsi="Arial" w:cs="Arial"/>
          <w:sz w:val="24"/>
          <w:szCs w:val="24"/>
        </w:rPr>
        <w:t>Din datele prezentate se observă că principalele surse de emisii de particule sunt prov</w:t>
      </w:r>
      <w:r>
        <w:rPr>
          <w:rFonts w:ascii="Arial" w:hAnsi="Arial" w:cs="Arial"/>
          <w:sz w:val="24"/>
          <w:szCs w:val="24"/>
        </w:rPr>
        <w:t>e</w:t>
      </w:r>
      <w:r>
        <w:rPr>
          <w:rFonts w:ascii="Arial" w:hAnsi="Arial" w:cs="Arial"/>
          <w:sz w:val="24"/>
          <w:szCs w:val="24"/>
        </w:rPr>
        <w:t>nite din creşterea puilor de carne, activitate puternic reprezentată în judeţ şi din operaţiile agricole care se efectuează pe câmp şi în spaţiile de depozitare.</w:t>
      </w:r>
    </w:p>
    <w:p w:rsidR="00D71325" w:rsidRDefault="00D71325" w:rsidP="00F829B5">
      <w:pPr>
        <w:spacing w:before="120" w:after="120" w:line="240" w:lineRule="auto"/>
        <w:jc w:val="both"/>
        <w:rPr>
          <w:rFonts w:ascii="Arial" w:hAnsi="Arial" w:cs="Arial"/>
          <w:b/>
          <w:sz w:val="24"/>
          <w:szCs w:val="24"/>
        </w:rPr>
      </w:pPr>
    </w:p>
    <w:p w:rsidR="00CA0B63" w:rsidRPr="00890891" w:rsidRDefault="00CA0B63" w:rsidP="00F829B5">
      <w:pPr>
        <w:spacing w:before="120" w:after="120" w:line="240" w:lineRule="auto"/>
        <w:jc w:val="both"/>
        <w:rPr>
          <w:rFonts w:ascii="Arial" w:hAnsi="Arial" w:cs="Arial"/>
          <w:b/>
          <w:sz w:val="24"/>
          <w:szCs w:val="24"/>
        </w:rPr>
      </w:pPr>
      <w:r w:rsidRPr="00890891">
        <w:rPr>
          <w:rFonts w:ascii="Arial" w:hAnsi="Arial" w:cs="Arial"/>
          <w:b/>
          <w:sz w:val="24"/>
          <w:szCs w:val="24"/>
        </w:rPr>
        <w:t xml:space="preserve">d) </w:t>
      </w:r>
      <w:r w:rsidRPr="00890891">
        <w:rPr>
          <w:rFonts w:ascii="Arial" w:hAnsi="Arial" w:cs="Arial"/>
          <w:b/>
          <w:bCs/>
          <w:sz w:val="24"/>
          <w:szCs w:val="24"/>
        </w:rPr>
        <w:t>Emisii de metale grele</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Nu este cazul.</w:t>
      </w:r>
    </w:p>
    <w:p w:rsidR="00D71325" w:rsidRDefault="00D71325" w:rsidP="00F829B5">
      <w:pPr>
        <w:spacing w:before="120" w:after="120" w:line="240" w:lineRule="auto"/>
        <w:jc w:val="both"/>
        <w:rPr>
          <w:rFonts w:ascii="Arial" w:hAnsi="Arial" w:cs="Arial"/>
          <w:b/>
          <w:bCs/>
          <w:sz w:val="24"/>
          <w:szCs w:val="24"/>
        </w:rPr>
      </w:pPr>
    </w:p>
    <w:p w:rsidR="00CA0B63" w:rsidRPr="00B24FA8" w:rsidRDefault="00CA0B63" w:rsidP="00F829B5">
      <w:pPr>
        <w:spacing w:before="120" w:after="120" w:line="240" w:lineRule="auto"/>
        <w:jc w:val="both"/>
        <w:rPr>
          <w:rFonts w:ascii="Arial" w:hAnsi="Arial" w:cs="Arial"/>
          <w:b/>
          <w:bCs/>
          <w:sz w:val="24"/>
          <w:szCs w:val="24"/>
        </w:rPr>
      </w:pPr>
      <w:r>
        <w:rPr>
          <w:rFonts w:ascii="Arial" w:hAnsi="Arial" w:cs="Arial"/>
          <w:b/>
          <w:bCs/>
          <w:sz w:val="24"/>
          <w:szCs w:val="24"/>
        </w:rPr>
        <w:t>e) Emisii</w:t>
      </w:r>
      <w:r w:rsidRPr="00B24FA8">
        <w:rPr>
          <w:rFonts w:ascii="Arial" w:hAnsi="Arial" w:cs="Arial"/>
          <w:b/>
          <w:bCs/>
          <w:sz w:val="24"/>
          <w:szCs w:val="24"/>
        </w:rPr>
        <w:t xml:space="preserve"> d</w:t>
      </w:r>
      <w:r>
        <w:rPr>
          <w:rFonts w:ascii="Arial" w:hAnsi="Arial" w:cs="Arial"/>
          <w:b/>
          <w:bCs/>
          <w:sz w:val="24"/>
          <w:szCs w:val="24"/>
        </w:rPr>
        <w:t>e poluanţi organici persistenţi</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Nu este cazul.</w:t>
      </w:r>
    </w:p>
    <w:p w:rsidR="00F829B5" w:rsidRDefault="00F829B5" w:rsidP="00F829B5">
      <w:pPr>
        <w:spacing w:before="120" w:after="120" w:line="240" w:lineRule="auto"/>
        <w:jc w:val="both"/>
        <w:rPr>
          <w:rFonts w:ascii="Arial" w:hAnsi="Arial" w:cs="Arial"/>
          <w:b/>
          <w:sz w:val="24"/>
          <w:szCs w:val="24"/>
        </w:rPr>
      </w:pPr>
    </w:p>
    <w:p w:rsidR="00CA0B63" w:rsidRDefault="00CA0B63" w:rsidP="00F829B5">
      <w:pPr>
        <w:spacing w:before="120" w:after="120" w:line="240" w:lineRule="auto"/>
        <w:jc w:val="both"/>
        <w:rPr>
          <w:rFonts w:ascii="Arial" w:hAnsi="Arial" w:cs="Arial"/>
          <w:b/>
          <w:sz w:val="24"/>
          <w:szCs w:val="24"/>
        </w:rPr>
      </w:pPr>
      <w:r w:rsidRPr="00227282">
        <w:rPr>
          <w:rFonts w:ascii="Arial" w:hAnsi="Arial" w:cs="Arial"/>
          <w:b/>
          <w:sz w:val="24"/>
          <w:szCs w:val="24"/>
        </w:rPr>
        <w:t>I.3. Tendinţe şi prognoze privind poluarea aerului înconjurător în judeţul Buzău</w:t>
      </w:r>
    </w:p>
    <w:p w:rsidR="00CA0B63" w:rsidRDefault="00CA0B63" w:rsidP="00F829B5">
      <w:pPr>
        <w:spacing w:before="120" w:after="120" w:line="240" w:lineRule="auto"/>
        <w:jc w:val="both"/>
        <w:rPr>
          <w:rFonts w:ascii="Arial" w:hAnsi="Arial" w:cs="Arial"/>
          <w:b/>
          <w:sz w:val="24"/>
          <w:szCs w:val="24"/>
        </w:rPr>
      </w:pPr>
      <w:r w:rsidRPr="00227282">
        <w:rPr>
          <w:rFonts w:ascii="Arial" w:hAnsi="Arial" w:cs="Arial"/>
          <w:b/>
          <w:sz w:val="24"/>
          <w:szCs w:val="24"/>
        </w:rPr>
        <w:t>I.3.1. Tendinţe privind emisiile principalilor poluanţi atmosferici</w:t>
      </w:r>
    </w:p>
    <w:p w:rsidR="00CA0B63" w:rsidRPr="00E4060F" w:rsidRDefault="00CA0B63" w:rsidP="00F829B5">
      <w:pPr>
        <w:spacing w:before="120" w:after="120" w:line="240" w:lineRule="auto"/>
        <w:jc w:val="both"/>
        <w:rPr>
          <w:rFonts w:ascii="Arial" w:hAnsi="Arial" w:cs="Arial"/>
          <w:b/>
          <w:sz w:val="24"/>
          <w:szCs w:val="24"/>
        </w:rPr>
      </w:pPr>
      <w:r w:rsidRPr="00E4060F">
        <w:rPr>
          <w:rFonts w:ascii="Arial" w:hAnsi="Arial" w:cs="Arial"/>
          <w:b/>
          <w:bCs/>
          <w:sz w:val="24"/>
          <w:szCs w:val="24"/>
        </w:rPr>
        <w:t xml:space="preserve">a) </w:t>
      </w:r>
      <w:r w:rsidRPr="00E4060F">
        <w:rPr>
          <w:rFonts w:ascii="Arial" w:hAnsi="Arial" w:cs="Arial"/>
          <w:b/>
          <w:sz w:val="24"/>
          <w:szCs w:val="24"/>
        </w:rPr>
        <w:t>Emisiile de substanţe acidifiante</w:t>
      </w:r>
    </w:p>
    <w:p w:rsidR="00CA0B63" w:rsidRDefault="00CA0B63" w:rsidP="00F829B5">
      <w:pPr>
        <w:pStyle w:val="Default"/>
        <w:spacing w:before="120" w:after="120"/>
        <w:jc w:val="both"/>
      </w:pPr>
      <w:r>
        <w:t>T</w:t>
      </w:r>
      <w:r w:rsidRPr="009218D8">
        <w:t xml:space="preserve">endinţa emisiilor </w:t>
      </w:r>
      <w:r>
        <w:t xml:space="preserve">totale </w:t>
      </w:r>
      <w:r w:rsidRPr="009218D8">
        <w:t>de poluanţi atmosferici cu efect de acidifiere</w:t>
      </w:r>
      <w:r>
        <w:t>, la nivelul judeţului Buzău este prezentată în tabelul I.3.1.1. şi figura I.3.1.1.</w:t>
      </w:r>
    </w:p>
    <w:p w:rsidR="00CA0B63" w:rsidRDefault="00CA0B63" w:rsidP="00F829B5">
      <w:pPr>
        <w:pStyle w:val="Default"/>
        <w:spacing w:before="120" w:after="120"/>
        <w:jc w:val="both"/>
      </w:pPr>
    </w:p>
    <w:tbl>
      <w:tblPr>
        <w:tblW w:w="5085" w:type="dxa"/>
        <w:jc w:val="center"/>
        <w:tblInd w:w="-498" w:type="dxa"/>
        <w:tblLook w:val="04A0"/>
      </w:tblPr>
      <w:tblGrid>
        <w:gridCol w:w="1876"/>
        <w:gridCol w:w="1090"/>
        <w:gridCol w:w="998"/>
        <w:gridCol w:w="1121"/>
      </w:tblGrid>
      <w:tr w:rsidR="00CA0B63" w:rsidRPr="009218D8" w:rsidTr="0056118B">
        <w:trPr>
          <w:trHeight w:val="600"/>
          <w:jc w:val="center"/>
        </w:trPr>
        <w:tc>
          <w:tcPr>
            <w:tcW w:w="1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9218D8" w:rsidRDefault="00CA0B63" w:rsidP="0056118B">
            <w:pPr>
              <w:spacing w:after="0" w:line="240" w:lineRule="auto"/>
              <w:jc w:val="center"/>
              <w:rPr>
                <w:rFonts w:ascii="Arial" w:eastAsia="Times New Roman" w:hAnsi="Arial" w:cs="Arial"/>
                <w:b/>
                <w:sz w:val="24"/>
                <w:szCs w:val="24"/>
                <w:lang w:eastAsia="ro-RO"/>
              </w:rPr>
            </w:pPr>
            <w:r w:rsidRPr="009218D8">
              <w:rPr>
                <w:rFonts w:ascii="Arial" w:eastAsia="Times New Roman" w:hAnsi="Arial" w:cs="Arial"/>
                <w:b/>
                <w:sz w:val="24"/>
                <w:szCs w:val="24"/>
                <w:lang w:eastAsia="ro-RO"/>
              </w:rPr>
              <w:t>POLUANT, mii tone</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CA0B63" w:rsidRPr="009218D8"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998" w:type="dxa"/>
            <w:tcBorders>
              <w:top w:val="single" w:sz="4" w:space="0" w:color="auto"/>
              <w:left w:val="nil"/>
              <w:bottom w:val="single" w:sz="4" w:space="0" w:color="auto"/>
              <w:right w:val="single" w:sz="4" w:space="0" w:color="auto"/>
            </w:tcBorders>
            <w:shd w:val="clear" w:color="auto" w:fill="auto"/>
            <w:vAlign w:val="center"/>
            <w:hideMark/>
          </w:tcPr>
          <w:p w:rsidR="00CA0B63" w:rsidRPr="009218D8"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CA0B63" w:rsidRPr="009218D8"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9218D8" w:rsidTr="0056118B">
        <w:trPr>
          <w:trHeight w:val="30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rsidR="00CA0B63" w:rsidRPr="009218D8" w:rsidRDefault="00CA0B63" w:rsidP="0056118B">
            <w:pPr>
              <w:spacing w:after="0" w:line="240" w:lineRule="auto"/>
              <w:jc w:val="center"/>
              <w:rPr>
                <w:rFonts w:ascii="Arial" w:eastAsia="Times New Roman" w:hAnsi="Arial" w:cs="Arial"/>
                <w:sz w:val="24"/>
                <w:szCs w:val="24"/>
                <w:lang w:eastAsia="ro-RO"/>
              </w:rPr>
            </w:pPr>
            <w:r w:rsidRPr="009218D8">
              <w:rPr>
                <w:rFonts w:ascii="Arial" w:eastAsia="Times New Roman" w:hAnsi="Arial" w:cs="Arial"/>
                <w:sz w:val="24"/>
                <w:szCs w:val="24"/>
                <w:lang w:eastAsia="ro-RO"/>
              </w:rPr>
              <w:t>NOx</w:t>
            </w:r>
          </w:p>
        </w:tc>
        <w:tc>
          <w:tcPr>
            <w:tcW w:w="1090" w:type="dxa"/>
            <w:tcBorders>
              <w:top w:val="nil"/>
              <w:left w:val="nil"/>
              <w:bottom w:val="single" w:sz="4" w:space="0" w:color="auto"/>
              <w:right w:val="single" w:sz="4" w:space="0" w:color="auto"/>
            </w:tcBorders>
            <w:shd w:val="clear" w:color="auto" w:fill="auto"/>
            <w:vAlign w:val="center"/>
            <w:hideMark/>
          </w:tcPr>
          <w:p w:rsidR="00CA0B63" w:rsidRPr="009218D8"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7,</w:t>
            </w:r>
            <w:r w:rsidR="00CA0B63" w:rsidRPr="009218D8">
              <w:rPr>
                <w:rFonts w:ascii="Arial" w:eastAsia="Times New Roman" w:hAnsi="Arial" w:cs="Arial"/>
                <w:sz w:val="24"/>
                <w:szCs w:val="24"/>
                <w:lang w:eastAsia="ro-RO"/>
              </w:rPr>
              <w:t>78</w:t>
            </w:r>
          </w:p>
        </w:tc>
        <w:tc>
          <w:tcPr>
            <w:tcW w:w="998" w:type="dxa"/>
            <w:tcBorders>
              <w:top w:val="nil"/>
              <w:left w:val="nil"/>
              <w:bottom w:val="single" w:sz="4" w:space="0" w:color="auto"/>
              <w:right w:val="single" w:sz="4" w:space="0" w:color="auto"/>
            </w:tcBorders>
            <w:shd w:val="clear" w:color="auto" w:fill="auto"/>
            <w:vAlign w:val="center"/>
            <w:hideMark/>
          </w:tcPr>
          <w:p w:rsidR="00CA0B63" w:rsidRPr="009218D8"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w:t>
            </w:r>
            <w:r w:rsidR="00CA0B63" w:rsidRPr="009218D8">
              <w:rPr>
                <w:rFonts w:ascii="Arial" w:eastAsia="Times New Roman" w:hAnsi="Arial" w:cs="Arial"/>
                <w:sz w:val="24"/>
                <w:szCs w:val="24"/>
                <w:lang w:eastAsia="ro-RO"/>
              </w:rPr>
              <w:t>52</w:t>
            </w:r>
          </w:p>
        </w:tc>
        <w:tc>
          <w:tcPr>
            <w:tcW w:w="1121" w:type="dxa"/>
            <w:tcBorders>
              <w:top w:val="nil"/>
              <w:left w:val="nil"/>
              <w:bottom w:val="single" w:sz="4" w:space="0" w:color="auto"/>
              <w:right w:val="single" w:sz="4" w:space="0" w:color="auto"/>
            </w:tcBorders>
            <w:shd w:val="clear" w:color="auto" w:fill="auto"/>
            <w:vAlign w:val="center"/>
            <w:hideMark/>
          </w:tcPr>
          <w:p w:rsidR="00CA0B63" w:rsidRPr="009218D8"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w:t>
            </w:r>
            <w:r w:rsidR="00CA0B63" w:rsidRPr="009218D8">
              <w:rPr>
                <w:rFonts w:ascii="Arial" w:eastAsia="Times New Roman" w:hAnsi="Arial" w:cs="Arial"/>
                <w:sz w:val="24"/>
                <w:szCs w:val="24"/>
                <w:lang w:eastAsia="ro-RO"/>
              </w:rPr>
              <w:t>106</w:t>
            </w:r>
          </w:p>
        </w:tc>
      </w:tr>
      <w:tr w:rsidR="00CA0B63" w:rsidRPr="009218D8" w:rsidTr="0056118B">
        <w:trPr>
          <w:trHeight w:val="30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rsidR="00CA0B63" w:rsidRPr="009218D8" w:rsidRDefault="00CA0B63" w:rsidP="0056118B">
            <w:pPr>
              <w:spacing w:after="0" w:line="240" w:lineRule="auto"/>
              <w:jc w:val="center"/>
              <w:rPr>
                <w:rFonts w:ascii="Arial" w:eastAsia="Times New Roman" w:hAnsi="Arial" w:cs="Arial"/>
                <w:sz w:val="24"/>
                <w:szCs w:val="24"/>
                <w:lang w:eastAsia="ro-RO"/>
              </w:rPr>
            </w:pPr>
            <w:r w:rsidRPr="009218D8">
              <w:rPr>
                <w:rFonts w:ascii="Arial" w:eastAsia="Times New Roman" w:hAnsi="Arial" w:cs="Arial"/>
                <w:sz w:val="24"/>
                <w:szCs w:val="24"/>
                <w:lang w:eastAsia="ro-RO"/>
              </w:rPr>
              <w:t>SOx</w:t>
            </w:r>
          </w:p>
        </w:tc>
        <w:tc>
          <w:tcPr>
            <w:tcW w:w="1090" w:type="dxa"/>
            <w:tcBorders>
              <w:top w:val="nil"/>
              <w:left w:val="nil"/>
              <w:bottom w:val="single" w:sz="4" w:space="0" w:color="auto"/>
              <w:right w:val="single" w:sz="4" w:space="0" w:color="auto"/>
            </w:tcBorders>
            <w:shd w:val="clear" w:color="auto" w:fill="auto"/>
            <w:vAlign w:val="center"/>
            <w:hideMark/>
          </w:tcPr>
          <w:p w:rsidR="00CA0B63" w:rsidRPr="009218D8"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218D8">
              <w:rPr>
                <w:rFonts w:ascii="Arial" w:eastAsia="Times New Roman" w:hAnsi="Arial" w:cs="Arial"/>
                <w:sz w:val="24"/>
                <w:szCs w:val="24"/>
                <w:lang w:eastAsia="ro-RO"/>
              </w:rPr>
              <w:t>134</w:t>
            </w:r>
          </w:p>
        </w:tc>
        <w:tc>
          <w:tcPr>
            <w:tcW w:w="998" w:type="dxa"/>
            <w:tcBorders>
              <w:top w:val="nil"/>
              <w:left w:val="nil"/>
              <w:bottom w:val="single" w:sz="4" w:space="0" w:color="auto"/>
              <w:right w:val="single" w:sz="4" w:space="0" w:color="auto"/>
            </w:tcBorders>
            <w:shd w:val="clear" w:color="auto" w:fill="auto"/>
            <w:vAlign w:val="center"/>
            <w:hideMark/>
          </w:tcPr>
          <w:p w:rsidR="00CA0B63" w:rsidRPr="009218D8"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218D8">
              <w:rPr>
                <w:rFonts w:ascii="Arial" w:eastAsia="Times New Roman" w:hAnsi="Arial" w:cs="Arial"/>
                <w:sz w:val="24"/>
                <w:szCs w:val="24"/>
                <w:lang w:eastAsia="ro-RO"/>
              </w:rPr>
              <w:t>164</w:t>
            </w:r>
          </w:p>
        </w:tc>
        <w:tc>
          <w:tcPr>
            <w:tcW w:w="1121" w:type="dxa"/>
            <w:tcBorders>
              <w:top w:val="nil"/>
              <w:left w:val="nil"/>
              <w:bottom w:val="single" w:sz="4" w:space="0" w:color="auto"/>
              <w:right w:val="single" w:sz="4" w:space="0" w:color="auto"/>
            </w:tcBorders>
            <w:shd w:val="clear" w:color="auto" w:fill="auto"/>
            <w:vAlign w:val="center"/>
            <w:hideMark/>
          </w:tcPr>
          <w:p w:rsidR="00CA0B63" w:rsidRPr="009218D8"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218D8">
              <w:rPr>
                <w:rFonts w:ascii="Arial" w:eastAsia="Times New Roman" w:hAnsi="Arial" w:cs="Arial"/>
                <w:sz w:val="24"/>
                <w:szCs w:val="24"/>
                <w:lang w:eastAsia="ro-RO"/>
              </w:rPr>
              <w:t>199</w:t>
            </w:r>
          </w:p>
        </w:tc>
      </w:tr>
      <w:tr w:rsidR="00CA0B63" w:rsidRPr="009218D8" w:rsidTr="0056118B">
        <w:trPr>
          <w:trHeight w:val="300"/>
          <w:jc w:val="center"/>
        </w:trPr>
        <w:tc>
          <w:tcPr>
            <w:tcW w:w="1876" w:type="dxa"/>
            <w:tcBorders>
              <w:top w:val="nil"/>
              <w:left w:val="single" w:sz="4" w:space="0" w:color="auto"/>
              <w:bottom w:val="single" w:sz="4" w:space="0" w:color="auto"/>
              <w:right w:val="single" w:sz="4" w:space="0" w:color="auto"/>
            </w:tcBorders>
            <w:shd w:val="clear" w:color="auto" w:fill="auto"/>
            <w:vAlign w:val="center"/>
            <w:hideMark/>
          </w:tcPr>
          <w:p w:rsidR="00CA0B63" w:rsidRPr="009218D8" w:rsidRDefault="00CA0B63" w:rsidP="0056118B">
            <w:pPr>
              <w:spacing w:after="0" w:line="240" w:lineRule="auto"/>
              <w:jc w:val="center"/>
              <w:rPr>
                <w:rFonts w:ascii="Arial" w:eastAsia="Times New Roman" w:hAnsi="Arial" w:cs="Arial"/>
                <w:sz w:val="24"/>
                <w:szCs w:val="24"/>
                <w:lang w:eastAsia="ro-RO"/>
              </w:rPr>
            </w:pPr>
            <w:r w:rsidRPr="009218D8">
              <w:rPr>
                <w:rFonts w:ascii="Arial" w:eastAsia="Times New Roman" w:hAnsi="Arial" w:cs="Arial"/>
                <w:sz w:val="24"/>
                <w:szCs w:val="24"/>
                <w:lang w:eastAsia="ro-RO"/>
              </w:rPr>
              <w:t>NH3</w:t>
            </w:r>
          </w:p>
        </w:tc>
        <w:tc>
          <w:tcPr>
            <w:tcW w:w="1090" w:type="dxa"/>
            <w:tcBorders>
              <w:top w:val="nil"/>
              <w:left w:val="nil"/>
              <w:bottom w:val="single" w:sz="4" w:space="0" w:color="auto"/>
              <w:right w:val="single" w:sz="4" w:space="0" w:color="auto"/>
            </w:tcBorders>
            <w:shd w:val="clear" w:color="auto" w:fill="auto"/>
            <w:vAlign w:val="center"/>
            <w:hideMark/>
          </w:tcPr>
          <w:p w:rsidR="00CA0B63" w:rsidRPr="009218D8" w:rsidRDefault="00CA0B63" w:rsidP="00FF72DB">
            <w:pPr>
              <w:spacing w:after="0" w:line="240" w:lineRule="auto"/>
              <w:jc w:val="center"/>
              <w:rPr>
                <w:rFonts w:ascii="Arial" w:eastAsia="Times New Roman" w:hAnsi="Arial" w:cs="Arial"/>
                <w:sz w:val="24"/>
                <w:szCs w:val="24"/>
                <w:lang w:eastAsia="ro-RO"/>
              </w:rPr>
            </w:pPr>
            <w:r w:rsidRPr="009218D8">
              <w:rPr>
                <w:rFonts w:ascii="Arial" w:eastAsia="Times New Roman" w:hAnsi="Arial" w:cs="Arial"/>
                <w:sz w:val="24"/>
                <w:szCs w:val="24"/>
                <w:lang w:eastAsia="ro-RO"/>
              </w:rPr>
              <w:t>1</w:t>
            </w:r>
            <w:r w:rsidR="00FF72DB">
              <w:rPr>
                <w:rFonts w:ascii="Arial" w:eastAsia="Times New Roman" w:hAnsi="Arial" w:cs="Arial"/>
                <w:sz w:val="24"/>
                <w:szCs w:val="24"/>
                <w:lang w:eastAsia="ro-RO"/>
              </w:rPr>
              <w:t>,</w:t>
            </w:r>
            <w:r w:rsidRPr="009218D8">
              <w:rPr>
                <w:rFonts w:ascii="Arial" w:eastAsia="Times New Roman" w:hAnsi="Arial" w:cs="Arial"/>
                <w:sz w:val="24"/>
                <w:szCs w:val="24"/>
                <w:lang w:eastAsia="ro-RO"/>
              </w:rPr>
              <w:t>29</w:t>
            </w:r>
          </w:p>
        </w:tc>
        <w:tc>
          <w:tcPr>
            <w:tcW w:w="998" w:type="dxa"/>
            <w:tcBorders>
              <w:top w:val="nil"/>
              <w:left w:val="nil"/>
              <w:bottom w:val="single" w:sz="4" w:space="0" w:color="auto"/>
              <w:right w:val="single" w:sz="4" w:space="0" w:color="auto"/>
            </w:tcBorders>
            <w:shd w:val="clear" w:color="auto" w:fill="auto"/>
            <w:vAlign w:val="center"/>
            <w:hideMark/>
          </w:tcPr>
          <w:p w:rsidR="00CA0B63" w:rsidRPr="009218D8" w:rsidRDefault="00CA0B63" w:rsidP="00FF72DB">
            <w:pPr>
              <w:spacing w:after="0" w:line="240" w:lineRule="auto"/>
              <w:jc w:val="center"/>
              <w:rPr>
                <w:rFonts w:ascii="Arial" w:eastAsia="Times New Roman" w:hAnsi="Arial" w:cs="Arial"/>
                <w:sz w:val="24"/>
                <w:szCs w:val="24"/>
                <w:lang w:eastAsia="ro-RO"/>
              </w:rPr>
            </w:pPr>
            <w:r w:rsidRPr="009218D8">
              <w:rPr>
                <w:rFonts w:ascii="Arial" w:eastAsia="Times New Roman" w:hAnsi="Arial" w:cs="Arial"/>
                <w:sz w:val="24"/>
                <w:szCs w:val="24"/>
                <w:lang w:eastAsia="ro-RO"/>
              </w:rPr>
              <w:t>2</w:t>
            </w:r>
            <w:r w:rsidR="00FF72DB">
              <w:rPr>
                <w:rFonts w:ascii="Arial" w:eastAsia="Times New Roman" w:hAnsi="Arial" w:cs="Arial"/>
                <w:sz w:val="24"/>
                <w:szCs w:val="24"/>
                <w:lang w:eastAsia="ro-RO"/>
              </w:rPr>
              <w:t>,</w:t>
            </w:r>
            <w:r w:rsidRPr="009218D8">
              <w:rPr>
                <w:rFonts w:ascii="Arial" w:eastAsia="Times New Roman" w:hAnsi="Arial" w:cs="Arial"/>
                <w:sz w:val="24"/>
                <w:szCs w:val="24"/>
                <w:lang w:eastAsia="ro-RO"/>
              </w:rPr>
              <w:t>52</w:t>
            </w:r>
          </w:p>
        </w:tc>
        <w:tc>
          <w:tcPr>
            <w:tcW w:w="1121" w:type="dxa"/>
            <w:tcBorders>
              <w:top w:val="nil"/>
              <w:left w:val="nil"/>
              <w:bottom w:val="single" w:sz="4" w:space="0" w:color="auto"/>
              <w:right w:val="single" w:sz="4" w:space="0" w:color="auto"/>
            </w:tcBorders>
            <w:shd w:val="clear" w:color="auto" w:fill="auto"/>
            <w:vAlign w:val="center"/>
            <w:hideMark/>
          </w:tcPr>
          <w:p w:rsidR="00CA0B63" w:rsidRPr="009218D8" w:rsidRDefault="00CA0B63" w:rsidP="00FF72DB">
            <w:pPr>
              <w:spacing w:after="0" w:line="240" w:lineRule="auto"/>
              <w:jc w:val="center"/>
              <w:rPr>
                <w:rFonts w:ascii="Arial" w:eastAsia="Times New Roman" w:hAnsi="Arial" w:cs="Arial"/>
                <w:sz w:val="24"/>
                <w:szCs w:val="24"/>
                <w:lang w:eastAsia="ro-RO"/>
              </w:rPr>
            </w:pPr>
            <w:r w:rsidRPr="009218D8">
              <w:rPr>
                <w:rFonts w:ascii="Arial" w:eastAsia="Times New Roman" w:hAnsi="Arial" w:cs="Arial"/>
                <w:sz w:val="24"/>
                <w:szCs w:val="24"/>
                <w:lang w:eastAsia="ro-RO"/>
              </w:rPr>
              <w:t>9</w:t>
            </w:r>
            <w:r w:rsidR="00FF72DB">
              <w:rPr>
                <w:rFonts w:ascii="Arial" w:eastAsia="Times New Roman" w:hAnsi="Arial" w:cs="Arial"/>
                <w:sz w:val="24"/>
                <w:szCs w:val="24"/>
                <w:lang w:eastAsia="ro-RO"/>
              </w:rPr>
              <w:t>,</w:t>
            </w:r>
            <w:r w:rsidRPr="009218D8">
              <w:rPr>
                <w:rFonts w:ascii="Arial" w:eastAsia="Times New Roman" w:hAnsi="Arial" w:cs="Arial"/>
                <w:sz w:val="24"/>
                <w:szCs w:val="24"/>
                <w:lang w:eastAsia="ro-RO"/>
              </w:rPr>
              <w:t>16</w:t>
            </w:r>
          </w:p>
        </w:tc>
      </w:tr>
    </w:tbl>
    <w:p w:rsidR="00CA0B63" w:rsidRPr="009218D8" w:rsidRDefault="00CA0B63" w:rsidP="00F829B5">
      <w:pPr>
        <w:pStyle w:val="Default"/>
        <w:spacing w:before="120" w:after="120"/>
        <w:jc w:val="center"/>
        <w:rPr>
          <w:b/>
        </w:rPr>
      </w:pPr>
      <w:r w:rsidRPr="009218D8">
        <w:rPr>
          <w:b/>
        </w:rPr>
        <w:t xml:space="preserve">Tabel I.3.1.1. </w:t>
      </w:r>
      <w:r w:rsidRPr="009218D8">
        <w:rPr>
          <w:b/>
          <w:bCs/>
        </w:rPr>
        <w:t xml:space="preserve">Tendinta emisiilor </w:t>
      </w:r>
      <w:r>
        <w:rPr>
          <w:b/>
          <w:bCs/>
        </w:rPr>
        <w:t xml:space="preserve">totale </w:t>
      </w:r>
      <w:r w:rsidRPr="009218D8">
        <w:rPr>
          <w:b/>
          <w:bCs/>
        </w:rPr>
        <w:t>de poluanti cu efect de acidifiere</w:t>
      </w:r>
    </w:p>
    <w:p w:rsidR="00CA0B63" w:rsidRPr="009218D8" w:rsidRDefault="00CA0B63" w:rsidP="00CA0B63">
      <w:pPr>
        <w:pStyle w:val="Default"/>
        <w:jc w:val="both"/>
      </w:pPr>
    </w:p>
    <w:p w:rsidR="00CA0B63" w:rsidRDefault="00CA0B63" w:rsidP="00CA0B63">
      <w:pPr>
        <w:jc w:val="center"/>
        <w:rPr>
          <w:rFonts w:ascii="Arial" w:hAnsi="Arial" w:cs="Arial"/>
          <w:sz w:val="24"/>
          <w:szCs w:val="24"/>
        </w:rPr>
      </w:pPr>
      <w:r w:rsidRPr="009218D8">
        <w:rPr>
          <w:rFonts w:ascii="Arial" w:hAnsi="Arial" w:cs="Arial"/>
          <w:noProof/>
          <w:sz w:val="24"/>
          <w:szCs w:val="24"/>
          <w:lang w:val="ro-RO" w:eastAsia="ro-RO"/>
        </w:rPr>
        <w:lastRenderedPageBreak/>
        <w:drawing>
          <wp:inline distT="0" distB="0" distL="0" distR="0">
            <wp:extent cx="3959860" cy="3429000"/>
            <wp:effectExtent l="19050" t="0" r="21590" b="0"/>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A0B63" w:rsidRPr="009218D8" w:rsidRDefault="00CA0B63" w:rsidP="00F829B5">
      <w:pPr>
        <w:pStyle w:val="Default"/>
        <w:spacing w:before="120" w:after="120"/>
        <w:jc w:val="center"/>
        <w:rPr>
          <w:b/>
        </w:rPr>
      </w:pPr>
      <w:r>
        <w:rPr>
          <w:b/>
        </w:rPr>
        <w:t>Figura</w:t>
      </w:r>
      <w:r w:rsidRPr="009218D8">
        <w:rPr>
          <w:b/>
        </w:rPr>
        <w:t xml:space="preserve"> I.3.1.1. </w:t>
      </w:r>
      <w:r w:rsidRPr="009218D8">
        <w:rPr>
          <w:b/>
          <w:bCs/>
        </w:rPr>
        <w:t xml:space="preserve">Tendinta emisiilor </w:t>
      </w:r>
      <w:r>
        <w:rPr>
          <w:b/>
          <w:bCs/>
        </w:rPr>
        <w:t xml:space="preserve">totale </w:t>
      </w:r>
      <w:r w:rsidRPr="009218D8">
        <w:rPr>
          <w:b/>
          <w:bCs/>
        </w:rPr>
        <w:t>de poluanti cu efect de acidifiere</w:t>
      </w:r>
    </w:p>
    <w:p w:rsidR="00F829B5" w:rsidRDefault="00F829B5" w:rsidP="00F829B5">
      <w:pPr>
        <w:spacing w:before="120" w:after="120" w:line="240" w:lineRule="auto"/>
        <w:jc w:val="both"/>
        <w:rPr>
          <w:rFonts w:ascii="Arial" w:hAnsi="Arial" w:cs="Arial"/>
          <w:sz w:val="24"/>
          <w:szCs w:val="24"/>
        </w:rPr>
      </w:pPr>
    </w:p>
    <w:p w:rsidR="00CA0B63" w:rsidRPr="00464EA2" w:rsidRDefault="00CA0B63" w:rsidP="00F829B5">
      <w:pPr>
        <w:spacing w:before="120" w:after="120" w:line="240" w:lineRule="auto"/>
        <w:jc w:val="both"/>
        <w:rPr>
          <w:rFonts w:ascii="Arial" w:hAnsi="Arial" w:cs="Arial"/>
          <w:sz w:val="24"/>
          <w:szCs w:val="24"/>
        </w:rPr>
      </w:pPr>
      <w:r w:rsidRPr="00464EA2">
        <w:rPr>
          <w:rFonts w:ascii="Arial" w:hAnsi="Arial" w:cs="Arial"/>
          <w:sz w:val="24"/>
          <w:szCs w:val="24"/>
        </w:rPr>
        <w:t>Din analiza datelor prezentate mai sus, date preluate din Inventarele de emisii la nivel l</w:t>
      </w:r>
      <w:r w:rsidRPr="00464EA2">
        <w:rPr>
          <w:rFonts w:ascii="Arial" w:hAnsi="Arial" w:cs="Arial"/>
          <w:sz w:val="24"/>
          <w:szCs w:val="24"/>
        </w:rPr>
        <w:t>o</w:t>
      </w:r>
      <w:r w:rsidRPr="00464EA2">
        <w:rPr>
          <w:rFonts w:ascii="Arial" w:hAnsi="Arial" w:cs="Arial"/>
          <w:sz w:val="24"/>
          <w:szCs w:val="24"/>
        </w:rPr>
        <w:t>cal aferente fiecărui an, se observă o scădere a nivelului emisiilor de NOx, fapt datorat atât îmbunătăţirii tehnologiilor utilizate, cât şi scăderii activităţilor de producţie, iar creşterea evidentă a emisiei de NH3 se datorează cuprinderii în Inventare a unui număr tot mai mare de operatori cu profil agricol.</w:t>
      </w:r>
    </w:p>
    <w:p w:rsidR="00CA0B63" w:rsidRDefault="00CA0B63" w:rsidP="00F829B5">
      <w:pPr>
        <w:pStyle w:val="Default"/>
        <w:spacing w:before="120" w:after="120"/>
        <w:jc w:val="both"/>
      </w:pPr>
      <w:r>
        <w:t>T</w:t>
      </w:r>
      <w:r w:rsidRPr="009218D8">
        <w:t>endinţa emi</w:t>
      </w:r>
      <w:r>
        <w:t xml:space="preserve">siilor </w:t>
      </w:r>
      <w:r w:rsidRPr="009218D8">
        <w:t>de poluanţi atmosferici cu efect de acidifiere</w:t>
      </w:r>
      <w:r>
        <w:t xml:space="preserve"> din sectorul energie, la nivelul judeţului Buzău este prezentată în tabelul I.3.1.2. şi figura I.3.1.2.</w:t>
      </w:r>
    </w:p>
    <w:p w:rsidR="00CA0B63" w:rsidRDefault="00CA0B63" w:rsidP="00CA0B63">
      <w:pPr>
        <w:jc w:val="both"/>
        <w:rPr>
          <w:rFonts w:ascii="Arial" w:hAnsi="Arial" w:cs="Arial"/>
          <w:color w:val="FF0000"/>
          <w:sz w:val="24"/>
          <w:szCs w:val="24"/>
        </w:rPr>
      </w:pPr>
    </w:p>
    <w:tbl>
      <w:tblPr>
        <w:tblW w:w="6843" w:type="dxa"/>
        <w:jc w:val="center"/>
        <w:tblInd w:w="103" w:type="dxa"/>
        <w:tblLook w:val="04A0"/>
      </w:tblPr>
      <w:tblGrid>
        <w:gridCol w:w="1443"/>
        <w:gridCol w:w="1880"/>
        <w:gridCol w:w="1760"/>
        <w:gridCol w:w="1760"/>
      </w:tblGrid>
      <w:tr w:rsidR="00CA0B63" w:rsidRPr="003F4BEF"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b/>
                <w:sz w:val="24"/>
                <w:szCs w:val="24"/>
                <w:lang w:eastAsia="ro-RO"/>
              </w:rPr>
            </w:pPr>
            <w:r w:rsidRPr="003F4BEF">
              <w:rPr>
                <w:rFonts w:ascii="Arial" w:eastAsia="Times New Roman" w:hAnsi="Arial" w:cs="Arial"/>
                <w:b/>
                <w:sz w:val="24"/>
                <w:szCs w:val="24"/>
                <w:lang w:eastAsia="ro-RO"/>
              </w:rPr>
              <w:t>POLUANT, mii tone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A0B63" w:rsidRPr="003F4BEF"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3F4BEF"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b/>
                <w:sz w:val="24"/>
                <w:szCs w:val="24"/>
                <w:lang w:eastAsia="ro-RO"/>
              </w:rPr>
            </w:pPr>
            <w:r w:rsidRPr="003F4BEF">
              <w:rPr>
                <w:rFonts w:ascii="Arial" w:eastAsia="Times New Roman" w:hAnsi="Arial" w:cs="Arial"/>
                <w:b/>
                <w:sz w:val="24"/>
                <w:szCs w:val="24"/>
                <w:lang w:eastAsia="ro-RO"/>
              </w:rPr>
              <w:t>2014</w:t>
            </w:r>
          </w:p>
        </w:tc>
      </w:tr>
      <w:tr w:rsidR="00CA0B63" w:rsidRPr="003F4BEF"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NOx</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w:t>
            </w:r>
            <w:r w:rsidR="00CA0B63" w:rsidRPr="003F4BEF">
              <w:rPr>
                <w:rFonts w:ascii="Arial" w:eastAsia="Times New Roman" w:hAnsi="Arial" w:cs="Arial"/>
                <w:sz w:val="24"/>
                <w:szCs w:val="24"/>
                <w:lang w:eastAsia="ro-RO"/>
              </w:rPr>
              <w:t>989230535</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983709056</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816763777</w:t>
            </w:r>
          </w:p>
        </w:tc>
      </w:tr>
      <w:tr w:rsidR="00CA0B63" w:rsidRPr="003F4BEF"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SOx</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133381332</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CA0B63" w:rsidP="00FF72D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0</w:t>
            </w:r>
            <w:r w:rsidR="00FF72DB">
              <w:rPr>
                <w:rFonts w:ascii="Arial" w:eastAsia="Times New Roman" w:hAnsi="Arial" w:cs="Arial"/>
                <w:sz w:val="24"/>
                <w:szCs w:val="24"/>
                <w:lang w:eastAsia="ro-RO"/>
              </w:rPr>
              <w:t>,</w:t>
            </w:r>
            <w:r w:rsidRPr="003F4BEF">
              <w:rPr>
                <w:rFonts w:ascii="Arial" w:eastAsia="Times New Roman" w:hAnsi="Arial" w:cs="Arial"/>
                <w:sz w:val="24"/>
                <w:szCs w:val="24"/>
                <w:lang w:eastAsia="ro-RO"/>
              </w:rPr>
              <w:t>16352126</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1981047</w:t>
            </w:r>
          </w:p>
        </w:tc>
      </w:tr>
      <w:tr w:rsidR="00CA0B63" w:rsidRPr="003F4BEF"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NH3</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018287189</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030485698</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032894735</w:t>
            </w:r>
          </w:p>
        </w:tc>
      </w:tr>
    </w:tbl>
    <w:p w:rsidR="00CA0B63" w:rsidRPr="009218D8" w:rsidRDefault="00CA0B63" w:rsidP="00F829B5">
      <w:pPr>
        <w:pStyle w:val="Default"/>
        <w:spacing w:before="120" w:after="120"/>
        <w:jc w:val="center"/>
        <w:rPr>
          <w:b/>
        </w:rPr>
      </w:pPr>
      <w:r>
        <w:rPr>
          <w:b/>
        </w:rPr>
        <w:t>Tabel I.3.1.2</w:t>
      </w:r>
      <w:r w:rsidRPr="009218D8">
        <w:rPr>
          <w:b/>
        </w:rPr>
        <w:t xml:space="preserve">. </w:t>
      </w:r>
      <w:r w:rsidRPr="009218D8">
        <w:rPr>
          <w:b/>
          <w:bCs/>
        </w:rPr>
        <w:t>Tendinta emisiilor de poluanti cu efect de acidifiere</w:t>
      </w:r>
      <w:r>
        <w:rPr>
          <w:b/>
          <w:bCs/>
        </w:rPr>
        <w:t xml:space="preserve"> din sectorul energie</w:t>
      </w:r>
    </w:p>
    <w:p w:rsidR="00CA0B63" w:rsidRDefault="00CA0B63" w:rsidP="00CA0B63">
      <w:pPr>
        <w:jc w:val="center"/>
        <w:rPr>
          <w:rFonts w:ascii="Arial" w:hAnsi="Arial" w:cs="Arial"/>
          <w:sz w:val="24"/>
          <w:szCs w:val="24"/>
        </w:rPr>
      </w:pPr>
      <w:r w:rsidRPr="003F4BEF">
        <w:rPr>
          <w:rFonts w:ascii="Arial" w:hAnsi="Arial" w:cs="Arial"/>
          <w:noProof/>
          <w:sz w:val="24"/>
          <w:szCs w:val="24"/>
          <w:lang w:val="ro-RO" w:eastAsia="ro-RO"/>
        </w:rPr>
        <w:lastRenderedPageBreak/>
        <w:drawing>
          <wp:inline distT="0" distB="0" distL="0" distR="0">
            <wp:extent cx="3981450" cy="2743200"/>
            <wp:effectExtent l="19050" t="0" r="19050" b="0"/>
            <wp:docPr id="6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A0B63" w:rsidRPr="009218D8" w:rsidRDefault="00CA0B63" w:rsidP="00F829B5">
      <w:pPr>
        <w:pStyle w:val="Default"/>
        <w:spacing w:before="120" w:after="120"/>
        <w:jc w:val="center"/>
        <w:rPr>
          <w:b/>
        </w:rPr>
      </w:pPr>
      <w:r>
        <w:rPr>
          <w:b/>
        </w:rPr>
        <w:t xml:space="preserve">Figura </w:t>
      </w:r>
      <w:r w:rsidRPr="009218D8">
        <w:rPr>
          <w:b/>
        </w:rPr>
        <w:t>I.3.1.</w:t>
      </w:r>
      <w:r>
        <w:rPr>
          <w:b/>
        </w:rPr>
        <w:t>2</w:t>
      </w:r>
      <w:r w:rsidRPr="009218D8">
        <w:rPr>
          <w:b/>
        </w:rPr>
        <w:t xml:space="preserve">. </w:t>
      </w:r>
      <w:r w:rsidRPr="009218D8">
        <w:rPr>
          <w:b/>
          <w:bCs/>
        </w:rPr>
        <w:t>Tendinta emisiilor de poluanti cu efect de acidifiere</w:t>
      </w:r>
      <w:r>
        <w:rPr>
          <w:b/>
          <w:bCs/>
        </w:rPr>
        <w:t xml:space="preserve"> din sectorul energie</w:t>
      </w:r>
    </w:p>
    <w:p w:rsidR="00CA0B63" w:rsidRDefault="00CA0B63" w:rsidP="00F829B5">
      <w:pPr>
        <w:spacing w:before="120" w:after="120" w:line="240" w:lineRule="auto"/>
        <w:jc w:val="both"/>
        <w:rPr>
          <w:rFonts w:ascii="Arial" w:hAnsi="Arial" w:cs="Arial"/>
          <w:sz w:val="24"/>
          <w:szCs w:val="24"/>
        </w:rPr>
      </w:pPr>
      <w:r>
        <w:rPr>
          <w:rFonts w:ascii="Arial" w:hAnsi="Arial" w:cs="Arial"/>
          <w:sz w:val="24"/>
          <w:szCs w:val="24"/>
        </w:rPr>
        <w:t>Tendinţa emisiilor de substanţe acidifiante din activităţile energetice înregistrează o scădere semnificativă, scădere datorată atât îmbunătăţirii tehnologiilor utilizate, cât şi scăderii producţiei.</w:t>
      </w:r>
    </w:p>
    <w:p w:rsidR="00CA0B63" w:rsidRDefault="00CA0B63" w:rsidP="00F829B5">
      <w:pPr>
        <w:pStyle w:val="Default"/>
        <w:spacing w:before="120" w:after="120"/>
        <w:jc w:val="both"/>
      </w:pPr>
      <w:r>
        <w:t>T</w:t>
      </w:r>
      <w:r w:rsidRPr="009218D8">
        <w:t>endinţa emi</w:t>
      </w:r>
      <w:r>
        <w:t xml:space="preserve">siilor </w:t>
      </w:r>
      <w:r w:rsidRPr="009218D8">
        <w:t>de poluanţi atmosferici cu efect de acidifiere</w:t>
      </w:r>
      <w:r>
        <w:t xml:space="preserve"> din sectorul industrial, la nivelul judeţului Buzău este prezentată în tabelul I.3.1.3. şi figura I.3.1.3.</w:t>
      </w:r>
    </w:p>
    <w:p w:rsidR="00CA0B63" w:rsidRDefault="00CA0B63" w:rsidP="00CA0B63">
      <w:pPr>
        <w:pStyle w:val="Default"/>
        <w:jc w:val="both"/>
      </w:pPr>
    </w:p>
    <w:tbl>
      <w:tblPr>
        <w:tblW w:w="6723" w:type="dxa"/>
        <w:jc w:val="center"/>
        <w:tblInd w:w="103" w:type="dxa"/>
        <w:tblLook w:val="04A0"/>
      </w:tblPr>
      <w:tblGrid>
        <w:gridCol w:w="1443"/>
        <w:gridCol w:w="1760"/>
        <w:gridCol w:w="1760"/>
        <w:gridCol w:w="1760"/>
      </w:tblGrid>
      <w:tr w:rsidR="00CA0B63" w:rsidRPr="003F4BEF"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b/>
                <w:sz w:val="24"/>
                <w:szCs w:val="24"/>
                <w:lang w:eastAsia="ro-RO"/>
              </w:rPr>
            </w:pPr>
            <w:r w:rsidRPr="003F4BEF">
              <w:rPr>
                <w:rFonts w:ascii="Arial" w:eastAsia="Times New Roman" w:hAnsi="Arial" w:cs="Arial"/>
                <w:b/>
                <w:sz w:val="24"/>
                <w:szCs w:val="24"/>
                <w:lang w:eastAsia="ro-RO"/>
              </w:rPr>
              <w:t>POLUANT, mii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3F4BEF"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3F4BEF"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3F4BEF"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3F4BEF"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NOx</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47550364</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152086703</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165858028</w:t>
            </w:r>
          </w:p>
        </w:tc>
      </w:tr>
      <w:tr w:rsidR="00CA0B63" w:rsidRPr="003F4BEF"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SOx</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026378368</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0296887</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3F4BEF">
              <w:rPr>
                <w:rFonts w:ascii="Arial" w:eastAsia="Times New Roman" w:hAnsi="Arial" w:cs="Arial"/>
                <w:sz w:val="24"/>
                <w:szCs w:val="24"/>
                <w:lang w:eastAsia="ro-RO"/>
              </w:rPr>
              <w:t>05154785</w:t>
            </w:r>
          </w:p>
        </w:tc>
      </w:tr>
      <w:tr w:rsidR="00CA0B63" w:rsidRPr="003F4BEF"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NH3</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67640C">
              <w:rPr>
                <w:rFonts w:ascii="Arial" w:eastAsia="Times New Roman" w:hAnsi="Arial" w:cs="Arial"/>
                <w:sz w:val="24"/>
                <w:szCs w:val="24"/>
                <w:lang w:eastAsia="ro-RO"/>
              </w:rPr>
              <w:t>0,000069</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67640C">
              <w:rPr>
                <w:rFonts w:ascii="Arial" w:eastAsia="Times New Roman" w:hAnsi="Arial" w:cs="Arial"/>
                <w:sz w:val="24"/>
                <w:szCs w:val="24"/>
                <w:lang w:eastAsia="ro-RO"/>
              </w:rPr>
              <w:t>0,000041</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3F4BEF" w:rsidRDefault="00CA0B63" w:rsidP="0056118B">
            <w:pPr>
              <w:spacing w:after="0" w:line="240" w:lineRule="auto"/>
              <w:jc w:val="center"/>
              <w:rPr>
                <w:rFonts w:ascii="Arial" w:eastAsia="Times New Roman" w:hAnsi="Arial" w:cs="Arial"/>
                <w:sz w:val="24"/>
                <w:szCs w:val="24"/>
                <w:lang w:eastAsia="ro-RO"/>
              </w:rPr>
            </w:pPr>
            <w:r w:rsidRPr="003F4BEF">
              <w:rPr>
                <w:rFonts w:ascii="Arial" w:eastAsia="Times New Roman" w:hAnsi="Arial" w:cs="Arial"/>
                <w:sz w:val="24"/>
                <w:szCs w:val="24"/>
                <w:lang w:eastAsia="ro-RO"/>
              </w:rPr>
              <w:t>0</w:t>
            </w:r>
            <w:r w:rsidR="00FF72DB">
              <w:rPr>
                <w:rFonts w:ascii="Arial" w:eastAsia="Times New Roman" w:hAnsi="Arial" w:cs="Arial"/>
                <w:sz w:val="24"/>
                <w:szCs w:val="24"/>
                <w:lang w:eastAsia="ro-RO"/>
              </w:rPr>
              <w:t>,</w:t>
            </w:r>
            <w:r w:rsidRPr="003F4BEF">
              <w:rPr>
                <w:rFonts w:ascii="Arial" w:eastAsia="Times New Roman" w:hAnsi="Arial" w:cs="Arial"/>
                <w:sz w:val="24"/>
                <w:szCs w:val="24"/>
                <w:lang w:eastAsia="ro-RO"/>
              </w:rPr>
              <w:t>0000019</w:t>
            </w:r>
          </w:p>
        </w:tc>
      </w:tr>
    </w:tbl>
    <w:p w:rsidR="00CA0B63" w:rsidRPr="009218D8" w:rsidRDefault="00CA0B63" w:rsidP="00F829B5">
      <w:pPr>
        <w:pStyle w:val="Default"/>
        <w:spacing w:before="120" w:after="120"/>
        <w:jc w:val="center"/>
        <w:rPr>
          <w:b/>
        </w:rPr>
      </w:pPr>
      <w:r>
        <w:rPr>
          <w:b/>
        </w:rPr>
        <w:t>Tabel I.3.1.3</w:t>
      </w:r>
      <w:r w:rsidRPr="009218D8">
        <w:rPr>
          <w:b/>
        </w:rPr>
        <w:t xml:space="preserve">. </w:t>
      </w:r>
      <w:r w:rsidRPr="009218D8">
        <w:rPr>
          <w:b/>
          <w:bCs/>
        </w:rPr>
        <w:t>Tendinta emisiilor de poluanti cu efect de acidifiere</w:t>
      </w:r>
      <w:r>
        <w:rPr>
          <w:b/>
          <w:bCs/>
        </w:rPr>
        <w:t xml:space="preserve"> din sectorul industrial</w:t>
      </w:r>
    </w:p>
    <w:p w:rsidR="00CA0B63" w:rsidRDefault="00CA0B63" w:rsidP="00CA0B63">
      <w:pPr>
        <w:jc w:val="center"/>
        <w:rPr>
          <w:rFonts w:ascii="Arial" w:hAnsi="Arial" w:cs="Arial"/>
          <w:sz w:val="24"/>
          <w:szCs w:val="24"/>
        </w:rPr>
      </w:pPr>
      <w:r w:rsidRPr="0067640C">
        <w:rPr>
          <w:rFonts w:ascii="Arial" w:hAnsi="Arial" w:cs="Arial"/>
          <w:noProof/>
          <w:sz w:val="24"/>
          <w:szCs w:val="24"/>
          <w:lang w:val="ro-RO" w:eastAsia="ro-RO"/>
        </w:rPr>
        <w:drawing>
          <wp:inline distT="0" distB="0" distL="0" distR="0">
            <wp:extent cx="4295775" cy="2743200"/>
            <wp:effectExtent l="19050" t="0" r="9525" b="0"/>
            <wp:docPr id="6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A0B63" w:rsidRPr="009218D8" w:rsidRDefault="00CA0B63" w:rsidP="00F829B5">
      <w:pPr>
        <w:pStyle w:val="Default"/>
        <w:spacing w:before="120" w:after="120"/>
        <w:jc w:val="center"/>
        <w:rPr>
          <w:b/>
        </w:rPr>
      </w:pPr>
      <w:r>
        <w:rPr>
          <w:b/>
        </w:rPr>
        <w:t>Figura I.3.1.3</w:t>
      </w:r>
      <w:r w:rsidRPr="009218D8">
        <w:rPr>
          <w:b/>
        </w:rPr>
        <w:t xml:space="preserve">. </w:t>
      </w:r>
      <w:r w:rsidRPr="009218D8">
        <w:rPr>
          <w:b/>
          <w:bCs/>
        </w:rPr>
        <w:t>Tendinta emisiilor de poluanti cu efect de acidifiere</w:t>
      </w:r>
      <w:r>
        <w:rPr>
          <w:b/>
          <w:bCs/>
        </w:rPr>
        <w:t xml:space="preserve"> din sectorul industrial</w:t>
      </w:r>
    </w:p>
    <w:p w:rsidR="00CA0B63" w:rsidRDefault="00CA0B63" w:rsidP="00CA0B63">
      <w:pPr>
        <w:jc w:val="both"/>
        <w:rPr>
          <w:rFonts w:ascii="Arial" w:hAnsi="Arial" w:cs="Arial"/>
          <w:sz w:val="24"/>
          <w:szCs w:val="24"/>
        </w:rPr>
      </w:pPr>
      <w:r>
        <w:rPr>
          <w:rFonts w:ascii="Arial" w:hAnsi="Arial" w:cs="Arial"/>
          <w:sz w:val="24"/>
          <w:szCs w:val="24"/>
        </w:rPr>
        <w:lastRenderedPageBreak/>
        <w:t>Tendinţa emisiilor de substanţe acidifiante din activităţile industriale înregistrează o scădere semnificativă, scădere datorată atât îmbunătăţirii tehnologiilor utilizate, cât şi scăderii producţiei.</w:t>
      </w:r>
    </w:p>
    <w:p w:rsidR="00CA0B63" w:rsidRDefault="00CA0B63" w:rsidP="00CA0B63">
      <w:pPr>
        <w:pStyle w:val="Default"/>
        <w:jc w:val="both"/>
      </w:pPr>
      <w:r>
        <w:t>T</w:t>
      </w:r>
      <w:r w:rsidRPr="009218D8">
        <w:t>endinţa emi</w:t>
      </w:r>
      <w:r>
        <w:t xml:space="preserve">siilor </w:t>
      </w:r>
      <w:r w:rsidRPr="009218D8">
        <w:t>de poluanţi atmosferici cu efect de acidifiere</w:t>
      </w:r>
      <w:r>
        <w:t xml:space="preserve"> din sectorul transport, la nivelul judeţului Buzău este prezentată în tabelul I.3.1.4. şi figura I.3.1.4.</w:t>
      </w:r>
    </w:p>
    <w:p w:rsidR="00CA0B63" w:rsidRDefault="00CA0B63" w:rsidP="00CA0B63">
      <w:pPr>
        <w:pStyle w:val="Default"/>
        <w:jc w:val="both"/>
      </w:pPr>
    </w:p>
    <w:tbl>
      <w:tblPr>
        <w:tblW w:w="6564" w:type="dxa"/>
        <w:jc w:val="center"/>
        <w:tblLook w:val="04A0"/>
      </w:tblPr>
      <w:tblGrid>
        <w:gridCol w:w="1443"/>
        <w:gridCol w:w="1618"/>
        <w:gridCol w:w="1218"/>
        <w:gridCol w:w="2285"/>
      </w:tblGrid>
      <w:tr w:rsidR="00CA0B63" w:rsidRPr="0067640C"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67640C" w:rsidRDefault="00CA0B63" w:rsidP="0056118B">
            <w:pPr>
              <w:spacing w:after="0" w:line="240" w:lineRule="auto"/>
              <w:jc w:val="center"/>
              <w:rPr>
                <w:rFonts w:ascii="Arial" w:eastAsia="Times New Roman" w:hAnsi="Arial" w:cs="Arial"/>
                <w:b/>
                <w:sz w:val="24"/>
                <w:szCs w:val="24"/>
                <w:lang w:eastAsia="ro-RO"/>
              </w:rPr>
            </w:pPr>
            <w:r w:rsidRPr="0067640C">
              <w:rPr>
                <w:rFonts w:ascii="Arial" w:eastAsia="Times New Roman" w:hAnsi="Arial" w:cs="Arial"/>
                <w:b/>
                <w:sz w:val="24"/>
                <w:szCs w:val="24"/>
                <w:lang w:eastAsia="ro-RO"/>
              </w:rPr>
              <w:t>POLUANT, mii tone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CA0B63" w:rsidRPr="0067640C"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67640C"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CA0B63" w:rsidRPr="0067640C"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67640C"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7640C" w:rsidRDefault="00CA0B63" w:rsidP="0056118B">
            <w:pPr>
              <w:spacing w:after="0" w:line="240" w:lineRule="auto"/>
              <w:jc w:val="center"/>
              <w:rPr>
                <w:rFonts w:ascii="Arial" w:eastAsia="Times New Roman" w:hAnsi="Arial" w:cs="Arial"/>
                <w:sz w:val="24"/>
                <w:szCs w:val="24"/>
                <w:lang w:eastAsia="ro-RO"/>
              </w:rPr>
            </w:pPr>
            <w:r w:rsidRPr="0067640C">
              <w:rPr>
                <w:rFonts w:ascii="Arial" w:eastAsia="Times New Roman" w:hAnsi="Arial" w:cs="Arial"/>
                <w:sz w:val="24"/>
                <w:szCs w:val="24"/>
                <w:lang w:eastAsia="ro-RO"/>
              </w:rPr>
              <w:t>NOx</w:t>
            </w:r>
          </w:p>
        </w:tc>
        <w:tc>
          <w:tcPr>
            <w:tcW w:w="1618" w:type="dxa"/>
            <w:tcBorders>
              <w:top w:val="nil"/>
              <w:left w:val="nil"/>
              <w:bottom w:val="single" w:sz="4" w:space="0" w:color="auto"/>
              <w:right w:val="single" w:sz="4" w:space="0" w:color="auto"/>
            </w:tcBorders>
            <w:shd w:val="clear" w:color="auto" w:fill="auto"/>
            <w:vAlign w:val="center"/>
            <w:hideMark/>
          </w:tcPr>
          <w:p w:rsidR="00CA0B63" w:rsidRPr="0067640C"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67640C">
              <w:rPr>
                <w:rFonts w:ascii="Arial" w:eastAsia="Times New Roman" w:hAnsi="Arial" w:cs="Arial"/>
                <w:color w:val="000000"/>
                <w:sz w:val="24"/>
                <w:szCs w:val="24"/>
                <w:lang w:eastAsia="ro-RO"/>
              </w:rPr>
              <w:t>41</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67640C"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7640C">
              <w:rPr>
                <w:rFonts w:ascii="Arial" w:eastAsia="Times New Roman" w:hAnsi="Arial" w:cs="Arial"/>
                <w:sz w:val="24"/>
                <w:szCs w:val="24"/>
                <w:lang w:eastAsia="ro-RO"/>
              </w:rPr>
              <w:t>00067</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67640C"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7640C">
              <w:rPr>
                <w:rFonts w:ascii="Arial" w:eastAsia="Times New Roman" w:hAnsi="Arial" w:cs="Arial"/>
                <w:sz w:val="24"/>
                <w:szCs w:val="24"/>
                <w:lang w:eastAsia="ro-RO"/>
              </w:rPr>
              <w:t>27707262427796</w:t>
            </w:r>
          </w:p>
        </w:tc>
      </w:tr>
      <w:tr w:rsidR="00CA0B63" w:rsidRPr="0067640C"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7640C" w:rsidRDefault="00CA0B63" w:rsidP="0056118B">
            <w:pPr>
              <w:spacing w:after="0" w:line="240" w:lineRule="auto"/>
              <w:jc w:val="center"/>
              <w:rPr>
                <w:rFonts w:ascii="Arial" w:eastAsia="Times New Roman" w:hAnsi="Arial" w:cs="Arial"/>
                <w:sz w:val="24"/>
                <w:szCs w:val="24"/>
                <w:lang w:eastAsia="ro-RO"/>
              </w:rPr>
            </w:pPr>
            <w:r w:rsidRPr="0067640C">
              <w:rPr>
                <w:rFonts w:ascii="Arial" w:eastAsia="Times New Roman" w:hAnsi="Arial" w:cs="Arial"/>
                <w:sz w:val="24"/>
                <w:szCs w:val="24"/>
                <w:lang w:eastAsia="ro-RO"/>
              </w:rPr>
              <w:t>SOx</w:t>
            </w:r>
          </w:p>
        </w:tc>
        <w:tc>
          <w:tcPr>
            <w:tcW w:w="1618" w:type="dxa"/>
            <w:tcBorders>
              <w:top w:val="nil"/>
              <w:left w:val="nil"/>
              <w:bottom w:val="single" w:sz="4" w:space="0" w:color="auto"/>
              <w:right w:val="single" w:sz="4" w:space="0" w:color="auto"/>
            </w:tcBorders>
            <w:shd w:val="clear" w:color="auto" w:fill="auto"/>
            <w:noWrap/>
            <w:vAlign w:val="center"/>
            <w:hideMark/>
          </w:tcPr>
          <w:p w:rsidR="00CA0B63" w:rsidRPr="0067640C"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7640C">
              <w:rPr>
                <w:rFonts w:ascii="Arial" w:eastAsia="Times New Roman" w:hAnsi="Arial" w:cs="Arial"/>
                <w:sz w:val="24"/>
                <w:szCs w:val="24"/>
                <w:lang w:eastAsia="ro-RO"/>
              </w:rPr>
              <w:t>002581634</w:t>
            </w:r>
          </w:p>
        </w:tc>
        <w:tc>
          <w:tcPr>
            <w:tcW w:w="1218" w:type="dxa"/>
            <w:tcBorders>
              <w:top w:val="nil"/>
              <w:left w:val="nil"/>
              <w:bottom w:val="single" w:sz="4" w:space="0" w:color="auto"/>
              <w:right w:val="single" w:sz="4" w:space="0" w:color="auto"/>
            </w:tcBorders>
            <w:shd w:val="clear" w:color="auto" w:fill="auto"/>
            <w:vAlign w:val="center"/>
            <w:hideMark/>
          </w:tcPr>
          <w:p w:rsidR="00CA0B63" w:rsidRPr="0067640C" w:rsidRDefault="00CA0B63" w:rsidP="0056118B">
            <w:pPr>
              <w:spacing w:after="0" w:line="240" w:lineRule="auto"/>
              <w:jc w:val="center"/>
              <w:rPr>
                <w:rFonts w:ascii="Arial" w:eastAsia="Times New Roman" w:hAnsi="Arial" w:cs="Arial"/>
                <w:color w:val="000000"/>
                <w:sz w:val="24"/>
                <w:szCs w:val="24"/>
                <w:lang w:eastAsia="ro-RO"/>
              </w:rPr>
            </w:pPr>
            <w:r w:rsidRPr="0067640C">
              <w:rPr>
                <w:rFonts w:ascii="Arial" w:eastAsia="Times New Roman" w:hAnsi="Arial" w:cs="Arial"/>
                <w:color w:val="000000"/>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67640C"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7640C">
              <w:rPr>
                <w:rFonts w:ascii="Arial" w:eastAsia="Times New Roman" w:hAnsi="Arial" w:cs="Arial"/>
                <w:sz w:val="24"/>
                <w:szCs w:val="24"/>
                <w:lang w:eastAsia="ro-RO"/>
              </w:rPr>
              <w:t>00024605885439</w:t>
            </w:r>
          </w:p>
        </w:tc>
      </w:tr>
      <w:tr w:rsidR="00CA0B63" w:rsidRPr="0067640C"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7640C" w:rsidRDefault="00CA0B63" w:rsidP="0056118B">
            <w:pPr>
              <w:spacing w:after="0" w:line="240" w:lineRule="auto"/>
              <w:jc w:val="center"/>
              <w:rPr>
                <w:rFonts w:ascii="Arial" w:eastAsia="Times New Roman" w:hAnsi="Arial" w:cs="Arial"/>
                <w:sz w:val="24"/>
                <w:szCs w:val="24"/>
                <w:lang w:eastAsia="ro-RO"/>
              </w:rPr>
            </w:pPr>
            <w:r w:rsidRPr="0067640C">
              <w:rPr>
                <w:rFonts w:ascii="Arial" w:eastAsia="Times New Roman" w:hAnsi="Arial" w:cs="Arial"/>
                <w:sz w:val="24"/>
                <w:szCs w:val="24"/>
                <w:lang w:eastAsia="ro-RO"/>
              </w:rPr>
              <w:t>NH3</w:t>
            </w:r>
          </w:p>
        </w:tc>
        <w:tc>
          <w:tcPr>
            <w:tcW w:w="1618" w:type="dxa"/>
            <w:tcBorders>
              <w:top w:val="nil"/>
              <w:left w:val="nil"/>
              <w:bottom w:val="single" w:sz="4" w:space="0" w:color="auto"/>
              <w:right w:val="single" w:sz="4" w:space="0" w:color="auto"/>
            </w:tcBorders>
            <w:shd w:val="clear" w:color="auto" w:fill="auto"/>
            <w:noWrap/>
            <w:vAlign w:val="center"/>
            <w:hideMark/>
          </w:tcPr>
          <w:p w:rsidR="00CA0B63" w:rsidRPr="0067640C"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7640C">
              <w:rPr>
                <w:rFonts w:ascii="Arial" w:eastAsia="Times New Roman" w:hAnsi="Arial" w:cs="Arial"/>
                <w:sz w:val="24"/>
                <w:szCs w:val="24"/>
                <w:lang w:eastAsia="ro-RO"/>
              </w:rPr>
              <w:t>019093842</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67640C"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7640C">
              <w:rPr>
                <w:rFonts w:ascii="Arial" w:eastAsia="Times New Roman" w:hAnsi="Arial" w:cs="Arial"/>
                <w:sz w:val="24"/>
                <w:szCs w:val="24"/>
                <w:lang w:eastAsia="ro-RO"/>
              </w:rPr>
              <w:t>009028</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67640C"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7640C">
              <w:rPr>
                <w:rFonts w:ascii="Arial" w:eastAsia="Times New Roman" w:hAnsi="Arial" w:cs="Arial"/>
                <w:sz w:val="24"/>
                <w:szCs w:val="24"/>
                <w:lang w:eastAsia="ro-RO"/>
              </w:rPr>
              <w:t>00005920703038</w:t>
            </w:r>
          </w:p>
        </w:tc>
      </w:tr>
    </w:tbl>
    <w:p w:rsidR="00CA0B63" w:rsidRDefault="00CA0B63" w:rsidP="00642360">
      <w:pPr>
        <w:spacing w:before="120" w:after="120" w:line="240" w:lineRule="auto"/>
        <w:jc w:val="center"/>
        <w:rPr>
          <w:rFonts w:ascii="Arial" w:hAnsi="Arial" w:cs="Arial"/>
          <w:sz w:val="24"/>
          <w:szCs w:val="24"/>
        </w:rPr>
      </w:pPr>
      <w:r>
        <w:rPr>
          <w:rFonts w:ascii="Arial" w:hAnsi="Arial" w:cs="Arial"/>
          <w:b/>
          <w:sz w:val="24"/>
          <w:szCs w:val="24"/>
        </w:rPr>
        <w:t>Tabel I.3.1.4</w:t>
      </w:r>
      <w:r w:rsidRPr="0067640C">
        <w:rPr>
          <w:rFonts w:ascii="Arial" w:hAnsi="Arial" w:cs="Arial"/>
          <w:b/>
          <w:sz w:val="24"/>
          <w:szCs w:val="24"/>
        </w:rPr>
        <w:t xml:space="preserve">. </w:t>
      </w:r>
      <w:r w:rsidRPr="0067640C">
        <w:rPr>
          <w:rFonts w:ascii="Arial" w:hAnsi="Arial" w:cs="Arial"/>
          <w:b/>
          <w:bCs/>
          <w:color w:val="000000"/>
          <w:sz w:val="24"/>
          <w:szCs w:val="24"/>
        </w:rPr>
        <w:t>Tendinta emisiilor de poluanti cu efect de acidifiere</w:t>
      </w:r>
      <w:r w:rsidRPr="0067640C">
        <w:rPr>
          <w:rFonts w:ascii="Arial" w:hAnsi="Arial" w:cs="Arial"/>
          <w:b/>
          <w:bCs/>
          <w:sz w:val="24"/>
          <w:szCs w:val="24"/>
        </w:rPr>
        <w:t xml:space="preserve"> din sectorul</w:t>
      </w:r>
      <w:r>
        <w:rPr>
          <w:rFonts w:ascii="Arial" w:hAnsi="Arial" w:cs="Arial"/>
          <w:b/>
          <w:bCs/>
          <w:sz w:val="24"/>
          <w:szCs w:val="24"/>
        </w:rPr>
        <w:t xml:space="preserve"> tran</w:t>
      </w:r>
      <w:r>
        <w:rPr>
          <w:rFonts w:ascii="Arial" w:hAnsi="Arial" w:cs="Arial"/>
          <w:b/>
          <w:bCs/>
          <w:sz w:val="24"/>
          <w:szCs w:val="24"/>
        </w:rPr>
        <w:t>s</w:t>
      </w:r>
      <w:r>
        <w:rPr>
          <w:rFonts w:ascii="Arial" w:hAnsi="Arial" w:cs="Arial"/>
          <w:b/>
          <w:bCs/>
          <w:sz w:val="24"/>
          <w:szCs w:val="24"/>
        </w:rPr>
        <w:t>port</w:t>
      </w:r>
    </w:p>
    <w:p w:rsidR="00CA0B63" w:rsidRDefault="00CA0B63" w:rsidP="00CA0B63">
      <w:pPr>
        <w:jc w:val="center"/>
        <w:rPr>
          <w:rFonts w:ascii="Arial" w:hAnsi="Arial" w:cs="Arial"/>
          <w:sz w:val="24"/>
          <w:szCs w:val="24"/>
        </w:rPr>
      </w:pPr>
      <w:r w:rsidRPr="0067640C">
        <w:rPr>
          <w:rFonts w:ascii="Arial" w:hAnsi="Arial" w:cs="Arial"/>
          <w:noProof/>
          <w:sz w:val="24"/>
          <w:szCs w:val="24"/>
          <w:lang w:val="ro-RO" w:eastAsia="ro-RO"/>
        </w:rPr>
        <w:drawing>
          <wp:inline distT="0" distB="0" distL="0" distR="0">
            <wp:extent cx="3962400" cy="2743200"/>
            <wp:effectExtent l="19050" t="0" r="19050" b="0"/>
            <wp:docPr id="7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A0B63" w:rsidRDefault="00CA0B63" w:rsidP="00787E64">
      <w:pPr>
        <w:spacing w:before="120" w:after="120" w:line="240" w:lineRule="auto"/>
        <w:jc w:val="center"/>
        <w:rPr>
          <w:rFonts w:ascii="Arial" w:hAnsi="Arial" w:cs="Arial"/>
          <w:sz w:val="24"/>
          <w:szCs w:val="24"/>
        </w:rPr>
      </w:pPr>
      <w:r>
        <w:rPr>
          <w:rFonts w:ascii="Arial" w:hAnsi="Arial" w:cs="Arial"/>
          <w:sz w:val="24"/>
          <w:szCs w:val="24"/>
        </w:rPr>
        <w:tab/>
      </w:r>
      <w:r>
        <w:rPr>
          <w:rFonts w:ascii="Arial" w:hAnsi="Arial" w:cs="Arial"/>
          <w:b/>
          <w:sz w:val="24"/>
          <w:szCs w:val="24"/>
        </w:rPr>
        <w:t>Figura I.3.1.4</w:t>
      </w:r>
      <w:r w:rsidRPr="0067640C">
        <w:rPr>
          <w:rFonts w:ascii="Arial" w:hAnsi="Arial" w:cs="Arial"/>
          <w:b/>
          <w:sz w:val="24"/>
          <w:szCs w:val="24"/>
        </w:rPr>
        <w:t xml:space="preserve">. </w:t>
      </w:r>
      <w:r w:rsidRPr="0067640C">
        <w:rPr>
          <w:rFonts w:ascii="Arial" w:hAnsi="Arial" w:cs="Arial"/>
          <w:b/>
          <w:bCs/>
          <w:color w:val="000000"/>
          <w:sz w:val="24"/>
          <w:szCs w:val="24"/>
        </w:rPr>
        <w:t>Tendinta emisiilor de poluanti cu efect de acidifiere</w:t>
      </w:r>
      <w:r w:rsidRPr="0067640C">
        <w:rPr>
          <w:rFonts w:ascii="Arial" w:hAnsi="Arial" w:cs="Arial"/>
          <w:b/>
          <w:bCs/>
          <w:sz w:val="24"/>
          <w:szCs w:val="24"/>
        </w:rPr>
        <w:t xml:space="preserve"> din sectorul</w:t>
      </w:r>
      <w:r>
        <w:rPr>
          <w:rFonts w:ascii="Arial" w:hAnsi="Arial" w:cs="Arial"/>
          <w:b/>
          <w:bCs/>
          <w:sz w:val="24"/>
          <w:szCs w:val="24"/>
        </w:rPr>
        <w:t xml:space="preserve"> transport</w:t>
      </w:r>
    </w:p>
    <w:p w:rsidR="00CA0B63" w:rsidRDefault="00CA0B63" w:rsidP="00CA0B63">
      <w:pPr>
        <w:tabs>
          <w:tab w:val="left" w:pos="5325"/>
        </w:tabs>
        <w:jc w:val="both"/>
        <w:rPr>
          <w:rFonts w:ascii="Arial" w:hAnsi="Arial" w:cs="Arial"/>
          <w:sz w:val="24"/>
          <w:szCs w:val="24"/>
        </w:rPr>
      </w:pPr>
      <w:r>
        <w:rPr>
          <w:rFonts w:ascii="Arial" w:hAnsi="Arial" w:cs="Arial"/>
          <w:sz w:val="24"/>
          <w:szCs w:val="24"/>
        </w:rPr>
        <w:t>Tendinţa descrescătoare a nivelului emisiilor de substanţe acidifiante provenite din tran</w:t>
      </w:r>
      <w:r>
        <w:rPr>
          <w:rFonts w:ascii="Arial" w:hAnsi="Arial" w:cs="Arial"/>
          <w:sz w:val="24"/>
          <w:szCs w:val="24"/>
        </w:rPr>
        <w:t>s</w:t>
      </w:r>
      <w:r>
        <w:rPr>
          <w:rFonts w:ascii="Arial" w:hAnsi="Arial" w:cs="Arial"/>
          <w:sz w:val="24"/>
          <w:szCs w:val="24"/>
        </w:rPr>
        <w:t>port se datorează aplicării de noi strategii de optimizare a traficului şi de dezvoltare a transportului public.</w:t>
      </w:r>
    </w:p>
    <w:p w:rsidR="00CA0B63" w:rsidRDefault="00CA0B63" w:rsidP="00CA0B63">
      <w:pPr>
        <w:pStyle w:val="Default"/>
        <w:jc w:val="both"/>
      </w:pPr>
      <w:r>
        <w:t>T</w:t>
      </w:r>
      <w:r w:rsidRPr="009218D8">
        <w:t>endinţa emi</w:t>
      </w:r>
      <w:r>
        <w:t xml:space="preserve">siilor </w:t>
      </w:r>
      <w:r w:rsidRPr="009218D8">
        <w:t>de poluanţi atmosferici cu efect de acidifiere</w:t>
      </w:r>
      <w:r>
        <w:t xml:space="preserve"> din sectorul agricol, la nivelul judeţului Buzău este prezentată în tabelul I.3.1.5. şi figura I.3.1.5.</w:t>
      </w:r>
    </w:p>
    <w:p w:rsidR="00787E64" w:rsidRDefault="00787E64" w:rsidP="00CA0B63">
      <w:pPr>
        <w:pStyle w:val="Default"/>
        <w:jc w:val="both"/>
      </w:pPr>
    </w:p>
    <w:p w:rsidR="00CA0B63" w:rsidRDefault="00CA0B63" w:rsidP="00CA0B63">
      <w:pPr>
        <w:pStyle w:val="Default"/>
        <w:jc w:val="both"/>
      </w:pPr>
    </w:p>
    <w:tbl>
      <w:tblPr>
        <w:tblW w:w="4429" w:type="dxa"/>
        <w:jc w:val="center"/>
        <w:tblInd w:w="103" w:type="dxa"/>
        <w:tblLook w:val="04A0"/>
      </w:tblPr>
      <w:tblGrid>
        <w:gridCol w:w="1443"/>
        <w:gridCol w:w="951"/>
        <w:gridCol w:w="951"/>
        <w:gridCol w:w="1084"/>
      </w:tblGrid>
      <w:tr w:rsidR="00CA0B63" w:rsidRPr="00464EA2"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464EA2" w:rsidRDefault="00CA0B63" w:rsidP="0056118B">
            <w:pPr>
              <w:spacing w:after="0" w:line="240" w:lineRule="auto"/>
              <w:jc w:val="center"/>
              <w:rPr>
                <w:rFonts w:ascii="Arial" w:eastAsia="Times New Roman" w:hAnsi="Arial" w:cs="Arial"/>
                <w:b/>
                <w:color w:val="000000"/>
                <w:sz w:val="24"/>
                <w:szCs w:val="24"/>
                <w:lang w:eastAsia="ro-RO"/>
              </w:rPr>
            </w:pPr>
            <w:r w:rsidRPr="00464EA2">
              <w:rPr>
                <w:rFonts w:ascii="Arial" w:eastAsia="Times New Roman" w:hAnsi="Arial" w:cs="Arial"/>
                <w:b/>
                <w:color w:val="000000"/>
                <w:sz w:val="24"/>
                <w:szCs w:val="24"/>
                <w:lang w:eastAsia="ro-RO"/>
              </w:rPr>
              <w:t>POLUANT, mii tone</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A0B63" w:rsidRPr="00464EA2"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A0B63" w:rsidRPr="00464EA2"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2013</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CA0B63" w:rsidRPr="00464EA2"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2014</w:t>
            </w:r>
          </w:p>
        </w:tc>
      </w:tr>
      <w:tr w:rsidR="00CA0B63" w:rsidRPr="00464EA2"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464EA2" w:rsidRDefault="00CA0B63" w:rsidP="0056118B">
            <w:pPr>
              <w:spacing w:after="0" w:line="240" w:lineRule="auto"/>
              <w:jc w:val="center"/>
              <w:rPr>
                <w:rFonts w:ascii="Arial" w:eastAsia="Times New Roman" w:hAnsi="Arial" w:cs="Arial"/>
                <w:color w:val="000000"/>
                <w:sz w:val="24"/>
                <w:szCs w:val="24"/>
                <w:lang w:eastAsia="ro-RO"/>
              </w:rPr>
            </w:pPr>
            <w:r w:rsidRPr="00464EA2">
              <w:rPr>
                <w:rFonts w:ascii="Arial" w:eastAsia="Times New Roman" w:hAnsi="Arial" w:cs="Arial"/>
                <w:color w:val="000000"/>
                <w:sz w:val="24"/>
                <w:szCs w:val="24"/>
                <w:lang w:eastAsia="ro-RO"/>
              </w:rPr>
              <w:t>NOx</w:t>
            </w:r>
          </w:p>
        </w:tc>
        <w:tc>
          <w:tcPr>
            <w:tcW w:w="951" w:type="dxa"/>
            <w:tcBorders>
              <w:top w:val="nil"/>
              <w:left w:val="nil"/>
              <w:bottom w:val="single" w:sz="4" w:space="0" w:color="auto"/>
              <w:right w:val="single" w:sz="4" w:space="0" w:color="auto"/>
            </w:tcBorders>
            <w:shd w:val="clear" w:color="auto" w:fill="auto"/>
            <w:vAlign w:val="center"/>
            <w:hideMark/>
          </w:tcPr>
          <w:p w:rsidR="00CA0B63" w:rsidRPr="00464EA2"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4EA2">
              <w:rPr>
                <w:rFonts w:ascii="Arial" w:eastAsia="Times New Roman" w:hAnsi="Arial" w:cs="Arial"/>
                <w:color w:val="000000"/>
                <w:sz w:val="24"/>
                <w:szCs w:val="24"/>
                <w:lang w:eastAsia="ro-RO"/>
              </w:rPr>
              <w:t>0145</w:t>
            </w:r>
          </w:p>
        </w:tc>
        <w:tc>
          <w:tcPr>
            <w:tcW w:w="951" w:type="dxa"/>
            <w:tcBorders>
              <w:top w:val="nil"/>
              <w:left w:val="nil"/>
              <w:bottom w:val="single" w:sz="4" w:space="0" w:color="auto"/>
              <w:right w:val="single" w:sz="4" w:space="0" w:color="auto"/>
            </w:tcBorders>
            <w:shd w:val="clear" w:color="auto" w:fill="auto"/>
            <w:vAlign w:val="center"/>
            <w:hideMark/>
          </w:tcPr>
          <w:p w:rsidR="00CA0B63" w:rsidRPr="00464EA2"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4EA2">
              <w:rPr>
                <w:rFonts w:ascii="Arial" w:eastAsia="Times New Roman" w:hAnsi="Arial" w:cs="Arial"/>
                <w:color w:val="000000"/>
                <w:sz w:val="24"/>
                <w:szCs w:val="24"/>
                <w:lang w:eastAsia="ro-RO"/>
              </w:rPr>
              <w:t>0081</w:t>
            </w:r>
          </w:p>
        </w:tc>
        <w:tc>
          <w:tcPr>
            <w:tcW w:w="1084" w:type="dxa"/>
            <w:tcBorders>
              <w:top w:val="nil"/>
              <w:left w:val="nil"/>
              <w:bottom w:val="single" w:sz="4" w:space="0" w:color="auto"/>
              <w:right w:val="single" w:sz="4" w:space="0" w:color="auto"/>
            </w:tcBorders>
            <w:shd w:val="clear" w:color="auto" w:fill="auto"/>
            <w:vAlign w:val="center"/>
            <w:hideMark/>
          </w:tcPr>
          <w:p w:rsidR="00CA0B63" w:rsidRPr="00464EA2"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64EA2">
              <w:rPr>
                <w:rFonts w:ascii="Arial" w:eastAsia="Times New Roman" w:hAnsi="Arial" w:cs="Arial"/>
                <w:color w:val="000000"/>
                <w:sz w:val="24"/>
                <w:szCs w:val="24"/>
                <w:lang w:eastAsia="ro-RO"/>
              </w:rPr>
              <w:t>0189</w:t>
            </w:r>
          </w:p>
        </w:tc>
      </w:tr>
      <w:tr w:rsidR="00CA0B63" w:rsidRPr="00464EA2"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464EA2" w:rsidRDefault="00CA0B63" w:rsidP="0056118B">
            <w:pPr>
              <w:spacing w:after="0" w:line="240" w:lineRule="auto"/>
              <w:jc w:val="center"/>
              <w:rPr>
                <w:rFonts w:ascii="Arial" w:eastAsia="Times New Roman" w:hAnsi="Arial" w:cs="Arial"/>
                <w:color w:val="000000"/>
                <w:sz w:val="24"/>
                <w:szCs w:val="24"/>
                <w:lang w:eastAsia="ro-RO"/>
              </w:rPr>
            </w:pPr>
            <w:r w:rsidRPr="00464EA2">
              <w:rPr>
                <w:rFonts w:ascii="Arial" w:eastAsia="Times New Roman" w:hAnsi="Arial" w:cs="Arial"/>
                <w:color w:val="000000"/>
                <w:sz w:val="24"/>
                <w:szCs w:val="24"/>
                <w:lang w:eastAsia="ro-RO"/>
              </w:rPr>
              <w:t>NH3</w:t>
            </w:r>
          </w:p>
        </w:tc>
        <w:tc>
          <w:tcPr>
            <w:tcW w:w="951" w:type="dxa"/>
            <w:tcBorders>
              <w:top w:val="nil"/>
              <w:left w:val="nil"/>
              <w:bottom w:val="single" w:sz="4" w:space="0" w:color="auto"/>
              <w:right w:val="single" w:sz="4" w:space="0" w:color="auto"/>
            </w:tcBorders>
            <w:shd w:val="clear" w:color="auto" w:fill="auto"/>
            <w:vAlign w:val="center"/>
            <w:hideMark/>
          </w:tcPr>
          <w:p w:rsidR="00CA0B63" w:rsidRPr="00464EA2"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1,</w:t>
            </w:r>
            <w:r w:rsidR="00CA0B63" w:rsidRPr="00464EA2">
              <w:rPr>
                <w:rFonts w:ascii="Arial" w:eastAsia="Times New Roman" w:hAnsi="Arial" w:cs="Arial"/>
                <w:color w:val="000000"/>
                <w:sz w:val="24"/>
                <w:szCs w:val="24"/>
                <w:lang w:eastAsia="ro-RO"/>
              </w:rPr>
              <w:t>2532</w:t>
            </w:r>
          </w:p>
        </w:tc>
        <w:tc>
          <w:tcPr>
            <w:tcW w:w="951" w:type="dxa"/>
            <w:tcBorders>
              <w:top w:val="nil"/>
              <w:left w:val="nil"/>
              <w:bottom w:val="single" w:sz="4" w:space="0" w:color="auto"/>
              <w:right w:val="single" w:sz="4" w:space="0" w:color="auto"/>
            </w:tcBorders>
            <w:shd w:val="clear" w:color="auto" w:fill="auto"/>
            <w:vAlign w:val="center"/>
            <w:hideMark/>
          </w:tcPr>
          <w:p w:rsidR="00CA0B63" w:rsidRPr="00464EA2"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464EA2">
              <w:rPr>
                <w:rFonts w:ascii="Arial" w:eastAsia="Times New Roman" w:hAnsi="Arial" w:cs="Arial"/>
                <w:color w:val="000000"/>
                <w:sz w:val="24"/>
                <w:szCs w:val="24"/>
                <w:lang w:eastAsia="ro-RO"/>
              </w:rPr>
              <w:t>4547</w:t>
            </w:r>
          </w:p>
        </w:tc>
        <w:tc>
          <w:tcPr>
            <w:tcW w:w="1084" w:type="dxa"/>
            <w:tcBorders>
              <w:top w:val="nil"/>
              <w:left w:val="nil"/>
              <w:bottom w:val="single" w:sz="4" w:space="0" w:color="auto"/>
              <w:right w:val="single" w:sz="4" w:space="0" w:color="auto"/>
            </w:tcBorders>
            <w:shd w:val="clear" w:color="auto" w:fill="auto"/>
            <w:vAlign w:val="center"/>
            <w:hideMark/>
          </w:tcPr>
          <w:p w:rsidR="00CA0B63" w:rsidRPr="00464EA2"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464EA2">
              <w:rPr>
                <w:rFonts w:ascii="Arial" w:eastAsia="Times New Roman" w:hAnsi="Arial" w:cs="Arial"/>
                <w:color w:val="000000"/>
                <w:sz w:val="24"/>
                <w:szCs w:val="24"/>
                <w:lang w:eastAsia="ro-RO"/>
              </w:rPr>
              <w:t>90973</w:t>
            </w:r>
          </w:p>
        </w:tc>
      </w:tr>
    </w:tbl>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Tabel I.3.1.5</w:t>
      </w:r>
      <w:r w:rsidRPr="0067640C">
        <w:rPr>
          <w:rFonts w:ascii="Arial" w:hAnsi="Arial" w:cs="Arial"/>
          <w:b/>
          <w:sz w:val="24"/>
          <w:szCs w:val="24"/>
        </w:rPr>
        <w:t xml:space="preserve">. </w:t>
      </w:r>
      <w:r w:rsidRPr="0067640C">
        <w:rPr>
          <w:rFonts w:ascii="Arial" w:hAnsi="Arial" w:cs="Arial"/>
          <w:b/>
          <w:bCs/>
          <w:color w:val="000000"/>
          <w:sz w:val="24"/>
          <w:szCs w:val="24"/>
        </w:rPr>
        <w:t>Tendinta emisiilor de poluanti cu efect de acidifiere</w:t>
      </w:r>
      <w:r w:rsidRPr="0067640C">
        <w:rPr>
          <w:rFonts w:ascii="Arial" w:hAnsi="Arial" w:cs="Arial"/>
          <w:b/>
          <w:bCs/>
          <w:sz w:val="24"/>
          <w:szCs w:val="24"/>
        </w:rPr>
        <w:t xml:space="preserve"> din sectorul</w:t>
      </w:r>
      <w:r>
        <w:rPr>
          <w:rFonts w:ascii="Arial" w:hAnsi="Arial" w:cs="Arial"/>
          <w:b/>
          <w:bCs/>
          <w:sz w:val="24"/>
          <w:szCs w:val="24"/>
        </w:rPr>
        <w:t xml:space="preserve"> agricol</w:t>
      </w:r>
    </w:p>
    <w:p w:rsidR="00CA0B63" w:rsidRDefault="00CA0B63" w:rsidP="00CA0B63">
      <w:pPr>
        <w:jc w:val="center"/>
        <w:rPr>
          <w:rFonts w:ascii="Arial" w:hAnsi="Arial" w:cs="Arial"/>
          <w:sz w:val="24"/>
          <w:szCs w:val="24"/>
        </w:rPr>
      </w:pPr>
      <w:r w:rsidRPr="00464EA2">
        <w:rPr>
          <w:rFonts w:ascii="Arial" w:hAnsi="Arial" w:cs="Arial"/>
          <w:noProof/>
          <w:sz w:val="24"/>
          <w:szCs w:val="24"/>
          <w:lang w:val="ro-RO" w:eastAsia="ro-RO"/>
        </w:rPr>
        <w:lastRenderedPageBreak/>
        <w:drawing>
          <wp:inline distT="0" distB="0" distL="0" distR="0">
            <wp:extent cx="4572000" cy="2743200"/>
            <wp:effectExtent l="19050" t="0" r="19050" b="0"/>
            <wp:docPr id="7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A0B63" w:rsidRDefault="00CA0B63" w:rsidP="00787E64">
      <w:pPr>
        <w:spacing w:before="120" w:after="120"/>
        <w:jc w:val="center"/>
        <w:rPr>
          <w:rFonts w:ascii="Arial" w:hAnsi="Arial" w:cs="Arial"/>
          <w:b/>
          <w:bCs/>
          <w:sz w:val="24"/>
          <w:szCs w:val="24"/>
        </w:rPr>
      </w:pPr>
      <w:r>
        <w:rPr>
          <w:rFonts w:ascii="Arial" w:hAnsi="Arial" w:cs="Arial"/>
          <w:b/>
          <w:sz w:val="24"/>
          <w:szCs w:val="24"/>
        </w:rPr>
        <w:t>Figura I.3.1.5</w:t>
      </w:r>
      <w:r w:rsidRPr="0067640C">
        <w:rPr>
          <w:rFonts w:ascii="Arial" w:hAnsi="Arial" w:cs="Arial"/>
          <w:b/>
          <w:sz w:val="24"/>
          <w:szCs w:val="24"/>
        </w:rPr>
        <w:t xml:space="preserve">. </w:t>
      </w:r>
      <w:r w:rsidRPr="0067640C">
        <w:rPr>
          <w:rFonts w:ascii="Arial" w:hAnsi="Arial" w:cs="Arial"/>
          <w:b/>
          <w:bCs/>
          <w:color w:val="000000"/>
          <w:sz w:val="24"/>
          <w:szCs w:val="24"/>
        </w:rPr>
        <w:t>Tendinta emisiilor de poluanti cu efect de acidifiere</w:t>
      </w:r>
      <w:r w:rsidRPr="0067640C">
        <w:rPr>
          <w:rFonts w:ascii="Arial" w:hAnsi="Arial" w:cs="Arial"/>
          <w:b/>
          <w:bCs/>
          <w:sz w:val="24"/>
          <w:szCs w:val="24"/>
        </w:rPr>
        <w:t xml:space="preserve"> din sectorul</w:t>
      </w:r>
      <w:r>
        <w:rPr>
          <w:rFonts w:ascii="Arial" w:hAnsi="Arial" w:cs="Arial"/>
          <w:b/>
          <w:bCs/>
          <w:sz w:val="24"/>
          <w:szCs w:val="24"/>
        </w:rPr>
        <w:t xml:space="preserve"> agr</w:t>
      </w:r>
      <w:r>
        <w:rPr>
          <w:rFonts w:ascii="Arial" w:hAnsi="Arial" w:cs="Arial"/>
          <w:b/>
          <w:bCs/>
          <w:sz w:val="24"/>
          <w:szCs w:val="24"/>
        </w:rPr>
        <w:t>i</w:t>
      </w:r>
      <w:r>
        <w:rPr>
          <w:rFonts w:ascii="Arial" w:hAnsi="Arial" w:cs="Arial"/>
          <w:b/>
          <w:bCs/>
          <w:sz w:val="24"/>
          <w:szCs w:val="24"/>
        </w:rPr>
        <w:t>col</w:t>
      </w:r>
    </w:p>
    <w:p w:rsidR="00CA0B63" w:rsidRDefault="00CA0B63" w:rsidP="00CA0B63">
      <w:pPr>
        <w:rPr>
          <w:rFonts w:ascii="Arial" w:hAnsi="Arial" w:cs="Arial"/>
          <w:sz w:val="24"/>
          <w:szCs w:val="24"/>
        </w:rPr>
      </w:pPr>
      <w:r>
        <w:rPr>
          <w:rFonts w:ascii="Arial" w:hAnsi="Arial" w:cs="Arial"/>
          <w:sz w:val="24"/>
          <w:szCs w:val="24"/>
        </w:rPr>
        <w:t>Tendinţa emisiilor de substanţe acidifiante din sectorul agricol este de creştere deoarece datele sunt preluate din Inventarele locale de emisii, la care s-au adăugat, an de an, noi operatori economici autorizaţi cu profil agricol.</w:t>
      </w:r>
    </w:p>
    <w:p w:rsidR="00787E64" w:rsidRDefault="00787E64" w:rsidP="00CA0B63">
      <w:pPr>
        <w:spacing w:after="120" w:line="240" w:lineRule="auto"/>
        <w:jc w:val="both"/>
        <w:rPr>
          <w:rFonts w:ascii="Arial" w:hAnsi="Arial" w:cs="Arial"/>
          <w:b/>
          <w:sz w:val="24"/>
          <w:szCs w:val="24"/>
        </w:rPr>
      </w:pPr>
    </w:p>
    <w:p w:rsidR="00CA0B63" w:rsidRPr="00B16227" w:rsidRDefault="00CA0B63" w:rsidP="00CA0B63">
      <w:pPr>
        <w:spacing w:after="120" w:line="240" w:lineRule="auto"/>
        <w:jc w:val="both"/>
        <w:rPr>
          <w:rFonts w:ascii="Arial" w:hAnsi="Arial" w:cs="Arial"/>
          <w:b/>
          <w:sz w:val="24"/>
          <w:szCs w:val="24"/>
        </w:rPr>
      </w:pPr>
      <w:r w:rsidRPr="00B16227">
        <w:rPr>
          <w:rFonts w:ascii="Arial" w:hAnsi="Arial" w:cs="Arial"/>
          <w:b/>
          <w:sz w:val="24"/>
          <w:szCs w:val="24"/>
        </w:rPr>
        <w:t>b) Emisii de precursori ai ozonului</w:t>
      </w:r>
    </w:p>
    <w:p w:rsidR="00CA0B63" w:rsidRDefault="00CA0B63" w:rsidP="00CA0B63">
      <w:pPr>
        <w:pStyle w:val="Default"/>
        <w:jc w:val="both"/>
      </w:pPr>
      <w:r>
        <w:t>T</w:t>
      </w:r>
      <w:r w:rsidRPr="009218D8">
        <w:t xml:space="preserve">endinţa emisiilor </w:t>
      </w:r>
      <w:r>
        <w:t xml:space="preserve">totale </w:t>
      </w:r>
      <w:r w:rsidRPr="009218D8">
        <w:t>de poluanţi at</w:t>
      </w:r>
      <w:r>
        <w:t>mosferici precursori ai ozonului, la nivelul judeţului Buzău este prezentată în tabelul I.3.1.6. şi figura I.3.1.6.</w:t>
      </w:r>
    </w:p>
    <w:p w:rsidR="00787E64" w:rsidRDefault="00787E64" w:rsidP="00CA0B63">
      <w:pPr>
        <w:pStyle w:val="Default"/>
        <w:jc w:val="both"/>
      </w:pPr>
    </w:p>
    <w:p w:rsidR="00CA0B63" w:rsidRDefault="00CA0B63" w:rsidP="00CA0B63">
      <w:pPr>
        <w:pStyle w:val="Default"/>
        <w:jc w:val="both"/>
      </w:pPr>
    </w:p>
    <w:tbl>
      <w:tblPr>
        <w:tblW w:w="4323" w:type="dxa"/>
        <w:jc w:val="center"/>
        <w:tblInd w:w="103" w:type="dxa"/>
        <w:tblLook w:val="04A0"/>
      </w:tblPr>
      <w:tblGrid>
        <w:gridCol w:w="1443"/>
        <w:gridCol w:w="960"/>
        <w:gridCol w:w="960"/>
        <w:gridCol w:w="960"/>
      </w:tblGrid>
      <w:tr w:rsidR="00CA0B63" w:rsidRPr="00EF48EE" w:rsidTr="0056118B">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b/>
                <w:sz w:val="24"/>
                <w:szCs w:val="24"/>
                <w:lang w:eastAsia="ro-RO"/>
              </w:rPr>
            </w:pPr>
            <w:r w:rsidRPr="00EF48EE">
              <w:rPr>
                <w:rFonts w:ascii="Arial" w:eastAsia="Times New Roman" w:hAnsi="Arial" w:cs="Arial"/>
                <w:b/>
                <w:sz w:val="24"/>
                <w:szCs w:val="24"/>
                <w:lang w:eastAsia="ro-RO"/>
              </w:rPr>
              <w:t>POLUANT, mii tone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F48EE"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F48EE"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EF48EE"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EF48EE"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sz w:val="24"/>
                <w:szCs w:val="24"/>
                <w:lang w:eastAsia="ro-RO"/>
              </w:rPr>
            </w:pPr>
            <w:r w:rsidRPr="00EF48EE">
              <w:rPr>
                <w:rFonts w:ascii="Arial" w:eastAsia="Times New Roman" w:hAnsi="Arial" w:cs="Arial"/>
                <w:sz w:val="24"/>
                <w:szCs w:val="24"/>
                <w:lang w:eastAsia="ro-RO"/>
              </w:rPr>
              <w:t>NOx</w:t>
            </w:r>
          </w:p>
        </w:tc>
        <w:tc>
          <w:tcPr>
            <w:tcW w:w="960" w:type="dxa"/>
            <w:tcBorders>
              <w:top w:val="nil"/>
              <w:left w:val="nil"/>
              <w:bottom w:val="single" w:sz="4" w:space="0" w:color="auto"/>
              <w:right w:val="single" w:sz="4" w:space="0" w:color="auto"/>
            </w:tcBorders>
            <w:shd w:val="clear" w:color="auto" w:fill="auto"/>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7,</w:t>
            </w:r>
            <w:r w:rsidR="00CA0B63" w:rsidRPr="00EF48EE">
              <w:rPr>
                <w:rFonts w:ascii="Arial" w:eastAsia="Times New Roman" w:hAnsi="Arial" w:cs="Arial"/>
                <w:sz w:val="24"/>
                <w:szCs w:val="24"/>
                <w:lang w:eastAsia="ro-RO"/>
              </w:rPr>
              <w:t>78</w:t>
            </w:r>
          </w:p>
        </w:tc>
        <w:tc>
          <w:tcPr>
            <w:tcW w:w="960" w:type="dxa"/>
            <w:tcBorders>
              <w:top w:val="nil"/>
              <w:left w:val="nil"/>
              <w:bottom w:val="single" w:sz="4" w:space="0" w:color="auto"/>
              <w:right w:val="single" w:sz="4" w:space="0" w:color="auto"/>
            </w:tcBorders>
            <w:shd w:val="clear" w:color="auto" w:fill="auto"/>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w:t>
            </w:r>
            <w:r w:rsidR="00CA0B63" w:rsidRPr="00EF48EE">
              <w:rPr>
                <w:rFonts w:ascii="Arial" w:eastAsia="Times New Roman" w:hAnsi="Arial" w:cs="Arial"/>
                <w:sz w:val="24"/>
                <w:szCs w:val="24"/>
                <w:lang w:eastAsia="ro-RO"/>
              </w:rPr>
              <w:t>52</w:t>
            </w:r>
          </w:p>
        </w:tc>
        <w:tc>
          <w:tcPr>
            <w:tcW w:w="960" w:type="dxa"/>
            <w:tcBorders>
              <w:top w:val="nil"/>
              <w:left w:val="nil"/>
              <w:bottom w:val="single" w:sz="4" w:space="0" w:color="auto"/>
              <w:right w:val="single" w:sz="4" w:space="0" w:color="auto"/>
            </w:tcBorders>
            <w:shd w:val="clear" w:color="auto" w:fill="auto"/>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w:t>
            </w:r>
            <w:r w:rsidR="00CA0B63" w:rsidRPr="00EF48EE">
              <w:rPr>
                <w:rFonts w:ascii="Arial" w:eastAsia="Times New Roman" w:hAnsi="Arial" w:cs="Arial"/>
                <w:sz w:val="24"/>
                <w:szCs w:val="24"/>
                <w:lang w:eastAsia="ro-RO"/>
              </w:rPr>
              <w:t>106</w:t>
            </w:r>
          </w:p>
        </w:tc>
      </w:tr>
      <w:tr w:rsidR="00CA0B63" w:rsidRPr="00EF48EE"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sz w:val="24"/>
                <w:szCs w:val="24"/>
                <w:lang w:eastAsia="ro-RO"/>
              </w:rPr>
            </w:pPr>
            <w:r w:rsidRPr="00EF48EE">
              <w:rPr>
                <w:rFonts w:ascii="Arial" w:eastAsia="Times New Roman" w:hAnsi="Arial" w:cs="Arial"/>
                <w:sz w:val="24"/>
                <w:szCs w:val="24"/>
                <w:lang w:eastAsia="ro-RO"/>
              </w:rPr>
              <w:t>NMVOC</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8,</w:t>
            </w:r>
            <w:r w:rsidR="00CA0B63" w:rsidRPr="00EF48EE">
              <w:rPr>
                <w:rFonts w:ascii="Arial" w:eastAsia="Times New Roman" w:hAnsi="Arial" w:cs="Arial"/>
                <w:sz w:val="24"/>
                <w:szCs w:val="24"/>
                <w:lang w:eastAsia="ro-RO"/>
              </w:rPr>
              <w:t>86</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13,</w:t>
            </w:r>
            <w:r w:rsidR="00CA0B63" w:rsidRPr="00EF48EE">
              <w:rPr>
                <w:rFonts w:ascii="Arial" w:eastAsia="Times New Roman" w:hAnsi="Arial" w:cs="Arial"/>
                <w:sz w:val="24"/>
                <w:szCs w:val="24"/>
                <w:lang w:eastAsia="ro-RO"/>
              </w:rPr>
              <w:t>28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13,</w:t>
            </w:r>
            <w:r w:rsidR="00CA0B63" w:rsidRPr="00EF48EE">
              <w:rPr>
                <w:rFonts w:ascii="Arial" w:eastAsia="Times New Roman" w:hAnsi="Arial" w:cs="Arial"/>
                <w:sz w:val="24"/>
                <w:szCs w:val="24"/>
                <w:lang w:eastAsia="ro-RO"/>
              </w:rPr>
              <w:t>997</w:t>
            </w:r>
          </w:p>
        </w:tc>
      </w:tr>
      <w:tr w:rsidR="00CA0B63" w:rsidRPr="00EF48EE"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sz w:val="24"/>
                <w:szCs w:val="24"/>
                <w:lang w:eastAsia="ro-RO"/>
              </w:rPr>
            </w:pPr>
            <w:r w:rsidRPr="00EF48EE">
              <w:rPr>
                <w:rFonts w:ascii="Arial" w:eastAsia="Times New Roman" w:hAnsi="Arial" w:cs="Arial"/>
                <w:sz w:val="24"/>
                <w:szCs w:val="24"/>
                <w:lang w:eastAsia="ro-RO"/>
              </w:rPr>
              <w:t>CO</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31,</w:t>
            </w:r>
            <w:r w:rsidR="00CA0B63" w:rsidRPr="00EF48EE">
              <w:rPr>
                <w:rFonts w:ascii="Arial" w:eastAsia="Times New Roman" w:hAnsi="Arial" w:cs="Arial"/>
                <w:sz w:val="24"/>
                <w:szCs w:val="24"/>
                <w:lang w:eastAsia="ro-RO"/>
              </w:rPr>
              <w:t>12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40,</w:t>
            </w:r>
            <w:r w:rsidR="00CA0B63" w:rsidRPr="00EF48EE">
              <w:rPr>
                <w:rFonts w:ascii="Arial" w:eastAsia="Times New Roman" w:hAnsi="Arial" w:cs="Arial"/>
                <w:sz w:val="24"/>
                <w:szCs w:val="24"/>
                <w:lang w:eastAsia="ro-RO"/>
              </w:rPr>
              <w:t>08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EF48EE" w:rsidRDefault="00CA0B63" w:rsidP="00FF72DB">
            <w:pPr>
              <w:spacing w:after="0" w:line="240" w:lineRule="auto"/>
              <w:jc w:val="center"/>
              <w:rPr>
                <w:rFonts w:ascii="Arial" w:eastAsia="Times New Roman" w:hAnsi="Arial" w:cs="Arial"/>
                <w:sz w:val="24"/>
                <w:szCs w:val="24"/>
                <w:lang w:eastAsia="ro-RO"/>
              </w:rPr>
            </w:pPr>
            <w:r w:rsidRPr="00EF48EE">
              <w:rPr>
                <w:rFonts w:ascii="Arial" w:eastAsia="Times New Roman" w:hAnsi="Arial" w:cs="Arial"/>
                <w:sz w:val="24"/>
                <w:szCs w:val="24"/>
                <w:lang w:eastAsia="ro-RO"/>
              </w:rPr>
              <w:t>40</w:t>
            </w:r>
            <w:r w:rsidR="00FF72DB">
              <w:rPr>
                <w:rFonts w:ascii="Arial" w:eastAsia="Times New Roman" w:hAnsi="Arial" w:cs="Arial"/>
                <w:sz w:val="24"/>
                <w:szCs w:val="24"/>
                <w:lang w:eastAsia="ro-RO"/>
              </w:rPr>
              <w:t>,</w:t>
            </w:r>
            <w:r w:rsidRPr="00EF48EE">
              <w:rPr>
                <w:rFonts w:ascii="Arial" w:eastAsia="Times New Roman" w:hAnsi="Arial" w:cs="Arial"/>
                <w:sz w:val="24"/>
                <w:szCs w:val="24"/>
                <w:lang w:eastAsia="ro-RO"/>
              </w:rPr>
              <w:t>52</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I.3.1.6</w:t>
      </w:r>
      <w:r w:rsidRPr="00EF48EE">
        <w:rPr>
          <w:rFonts w:ascii="Arial" w:hAnsi="Arial" w:cs="Arial"/>
          <w:b/>
          <w:sz w:val="24"/>
          <w:szCs w:val="24"/>
        </w:rPr>
        <w:t xml:space="preserve">. </w:t>
      </w:r>
      <w:r w:rsidRPr="00EF48EE">
        <w:rPr>
          <w:rFonts w:ascii="Arial" w:hAnsi="Arial" w:cs="Arial"/>
          <w:b/>
          <w:bCs/>
          <w:color w:val="000000"/>
          <w:sz w:val="24"/>
          <w:szCs w:val="24"/>
        </w:rPr>
        <w:t xml:space="preserve">Tendinta emisiilor </w:t>
      </w:r>
      <w:r w:rsidRPr="00EF48EE">
        <w:rPr>
          <w:rFonts w:ascii="Arial" w:hAnsi="Arial" w:cs="Arial"/>
          <w:b/>
          <w:bCs/>
          <w:sz w:val="24"/>
          <w:szCs w:val="24"/>
        </w:rPr>
        <w:t xml:space="preserve">totale </w:t>
      </w:r>
      <w:r w:rsidRPr="00EF48EE">
        <w:rPr>
          <w:rFonts w:ascii="Arial" w:hAnsi="Arial" w:cs="Arial"/>
          <w:b/>
          <w:bCs/>
          <w:color w:val="000000"/>
          <w:sz w:val="24"/>
          <w:szCs w:val="24"/>
        </w:rPr>
        <w:t>de poluanti precursori ai ozonului</w:t>
      </w:r>
    </w:p>
    <w:p w:rsidR="00787E64" w:rsidRDefault="00787E64" w:rsidP="00CA0B63">
      <w:pPr>
        <w:jc w:val="center"/>
        <w:rPr>
          <w:rFonts w:ascii="Arial" w:hAnsi="Arial" w:cs="Arial"/>
          <w:b/>
          <w:sz w:val="24"/>
          <w:szCs w:val="24"/>
        </w:rPr>
      </w:pPr>
    </w:p>
    <w:p w:rsidR="00CA0B63" w:rsidRDefault="00CA0B63" w:rsidP="00CA0B63">
      <w:pPr>
        <w:jc w:val="center"/>
        <w:rPr>
          <w:rFonts w:ascii="Arial" w:hAnsi="Arial" w:cs="Arial"/>
          <w:sz w:val="24"/>
          <w:szCs w:val="24"/>
        </w:rPr>
      </w:pPr>
      <w:r w:rsidRPr="00EF48EE">
        <w:rPr>
          <w:rFonts w:ascii="Arial" w:hAnsi="Arial" w:cs="Arial"/>
          <w:noProof/>
          <w:sz w:val="24"/>
          <w:szCs w:val="24"/>
          <w:lang w:val="ro-RO" w:eastAsia="ro-RO"/>
        </w:rPr>
        <w:lastRenderedPageBreak/>
        <w:drawing>
          <wp:inline distT="0" distB="0" distL="0" distR="0">
            <wp:extent cx="3962400" cy="2743200"/>
            <wp:effectExtent l="19050" t="0" r="19050" b="0"/>
            <wp:docPr id="7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A0B63" w:rsidRDefault="00CA0B63" w:rsidP="00787E64">
      <w:pPr>
        <w:spacing w:before="120" w:after="120" w:line="240" w:lineRule="auto"/>
        <w:jc w:val="center"/>
        <w:rPr>
          <w:rFonts w:ascii="Arial" w:hAnsi="Arial" w:cs="Arial"/>
          <w:b/>
          <w:sz w:val="24"/>
          <w:szCs w:val="24"/>
        </w:rPr>
      </w:pPr>
      <w:r>
        <w:rPr>
          <w:rFonts w:ascii="Arial" w:hAnsi="Arial" w:cs="Arial"/>
          <w:b/>
          <w:sz w:val="24"/>
          <w:szCs w:val="24"/>
        </w:rPr>
        <w:t>Figura I.3.1.6</w:t>
      </w:r>
      <w:r w:rsidRPr="00EF48EE">
        <w:rPr>
          <w:rFonts w:ascii="Arial" w:hAnsi="Arial" w:cs="Arial"/>
          <w:b/>
          <w:sz w:val="24"/>
          <w:szCs w:val="24"/>
        </w:rPr>
        <w:t xml:space="preserve">. </w:t>
      </w:r>
      <w:r w:rsidRPr="00EF48EE">
        <w:rPr>
          <w:rFonts w:ascii="Arial" w:hAnsi="Arial" w:cs="Arial"/>
          <w:b/>
          <w:bCs/>
          <w:color w:val="000000"/>
          <w:sz w:val="24"/>
          <w:szCs w:val="24"/>
        </w:rPr>
        <w:t xml:space="preserve">Tendinta emisiilor </w:t>
      </w:r>
      <w:r w:rsidRPr="00EF48EE">
        <w:rPr>
          <w:rFonts w:ascii="Arial" w:hAnsi="Arial" w:cs="Arial"/>
          <w:b/>
          <w:bCs/>
          <w:sz w:val="24"/>
          <w:szCs w:val="24"/>
        </w:rPr>
        <w:t xml:space="preserve">totale </w:t>
      </w:r>
      <w:r w:rsidRPr="00EF48EE">
        <w:rPr>
          <w:rFonts w:ascii="Arial" w:hAnsi="Arial" w:cs="Arial"/>
          <w:b/>
          <w:bCs/>
          <w:color w:val="000000"/>
          <w:sz w:val="24"/>
          <w:szCs w:val="24"/>
        </w:rPr>
        <w:t>de poluanti precursori ai ozonului</w:t>
      </w:r>
    </w:p>
    <w:p w:rsidR="00CA0B63" w:rsidRDefault="00CA0B63" w:rsidP="00CA0B63">
      <w:pPr>
        <w:jc w:val="both"/>
        <w:rPr>
          <w:rFonts w:ascii="Arial" w:hAnsi="Arial" w:cs="Arial"/>
          <w:sz w:val="24"/>
          <w:szCs w:val="24"/>
        </w:rPr>
      </w:pPr>
      <w:r>
        <w:rPr>
          <w:rFonts w:ascii="Arial" w:hAnsi="Arial" w:cs="Arial"/>
          <w:sz w:val="24"/>
          <w:szCs w:val="24"/>
        </w:rPr>
        <w:t>Din analiza datelor se observă o creştere a emisiilor de NMVOC şi CO, emisii datorate cuprinderii în anii 2013 şi 2014 în Inventarul local de emisii a tuturor surselor de ardere rezidenţială din teritoriu (toate primăriile).</w:t>
      </w:r>
    </w:p>
    <w:p w:rsidR="00CA0B63" w:rsidRDefault="00CA0B63" w:rsidP="00CA0B63">
      <w:pPr>
        <w:pStyle w:val="Default"/>
        <w:jc w:val="both"/>
      </w:pPr>
      <w:r>
        <w:t>T</w:t>
      </w:r>
      <w:r w:rsidRPr="009218D8">
        <w:t>endinţa emi</w:t>
      </w:r>
      <w:r>
        <w:t xml:space="preserve">siilor </w:t>
      </w:r>
      <w:r w:rsidRPr="009218D8">
        <w:t>de poluanţi at</w:t>
      </w:r>
      <w:r>
        <w:t>mosferici precursori ai ozonului din sectorul energetic, la nivelul judeţului Buzău este prezentată în tabelul I.3.1.7. şi figura I.3.1.7.</w:t>
      </w:r>
    </w:p>
    <w:p w:rsidR="00CA0B63" w:rsidRDefault="00CA0B63" w:rsidP="00CA0B63">
      <w:pPr>
        <w:pStyle w:val="Default"/>
        <w:jc w:val="both"/>
      </w:pPr>
    </w:p>
    <w:p w:rsidR="00787E64" w:rsidRDefault="00787E64" w:rsidP="00CA0B63">
      <w:pPr>
        <w:pStyle w:val="Default"/>
        <w:jc w:val="both"/>
      </w:pPr>
    </w:p>
    <w:tbl>
      <w:tblPr>
        <w:tblW w:w="6843" w:type="dxa"/>
        <w:jc w:val="center"/>
        <w:tblInd w:w="103" w:type="dxa"/>
        <w:tblLook w:val="04A0"/>
      </w:tblPr>
      <w:tblGrid>
        <w:gridCol w:w="1443"/>
        <w:gridCol w:w="1880"/>
        <w:gridCol w:w="1760"/>
        <w:gridCol w:w="1760"/>
      </w:tblGrid>
      <w:tr w:rsidR="00CA0B63" w:rsidRPr="00EF48EE"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b/>
                <w:sz w:val="24"/>
                <w:szCs w:val="24"/>
                <w:lang w:eastAsia="ro-RO"/>
              </w:rPr>
            </w:pPr>
            <w:r w:rsidRPr="00EF48EE">
              <w:rPr>
                <w:rFonts w:ascii="Arial" w:eastAsia="Times New Roman" w:hAnsi="Arial" w:cs="Arial"/>
                <w:b/>
                <w:sz w:val="24"/>
                <w:szCs w:val="24"/>
                <w:lang w:eastAsia="ro-RO"/>
              </w:rPr>
              <w:t>POLUANT, mii tone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A0B63" w:rsidRPr="00EF48EE"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EF48EE"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EF48EE"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EF48EE"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sz w:val="24"/>
                <w:szCs w:val="24"/>
                <w:lang w:eastAsia="ro-RO"/>
              </w:rPr>
            </w:pPr>
            <w:r w:rsidRPr="00EF48EE">
              <w:rPr>
                <w:rFonts w:ascii="Arial" w:eastAsia="Times New Roman" w:hAnsi="Arial" w:cs="Arial"/>
                <w:sz w:val="24"/>
                <w:szCs w:val="24"/>
                <w:lang w:eastAsia="ro-RO"/>
              </w:rPr>
              <w:t>NOx</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w:t>
            </w:r>
            <w:r w:rsidR="00CA0B63" w:rsidRPr="00EF48EE">
              <w:rPr>
                <w:rFonts w:ascii="Arial" w:eastAsia="Times New Roman" w:hAnsi="Arial" w:cs="Arial"/>
                <w:sz w:val="24"/>
                <w:szCs w:val="24"/>
                <w:lang w:eastAsia="ro-RO"/>
              </w:rPr>
              <w:t>989</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EF48EE">
              <w:rPr>
                <w:rFonts w:ascii="Arial" w:eastAsia="Times New Roman" w:hAnsi="Arial" w:cs="Arial"/>
                <w:sz w:val="24"/>
                <w:szCs w:val="24"/>
                <w:lang w:eastAsia="ro-RO"/>
              </w:rPr>
              <w:t>983709056</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EF48EE">
              <w:rPr>
                <w:rFonts w:ascii="Arial" w:eastAsia="Times New Roman" w:hAnsi="Arial" w:cs="Arial"/>
                <w:sz w:val="24"/>
                <w:szCs w:val="24"/>
                <w:lang w:eastAsia="ro-RO"/>
              </w:rPr>
              <w:t>816763777</w:t>
            </w:r>
          </w:p>
        </w:tc>
      </w:tr>
      <w:tr w:rsidR="00CA0B63" w:rsidRPr="00EF48EE"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sz w:val="24"/>
                <w:szCs w:val="24"/>
                <w:lang w:eastAsia="ro-RO"/>
              </w:rPr>
            </w:pPr>
            <w:r w:rsidRPr="00EF48EE">
              <w:rPr>
                <w:rFonts w:ascii="Arial" w:eastAsia="Times New Roman" w:hAnsi="Arial" w:cs="Arial"/>
                <w:sz w:val="24"/>
                <w:szCs w:val="24"/>
                <w:lang w:eastAsia="ro-RO"/>
              </w:rPr>
              <w:t>NMVOC</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w:t>
            </w:r>
            <w:r w:rsidR="00CA0B63" w:rsidRPr="00EF48EE">
              <w:rPr>
                <w:rFonts w:ascii="Arial" w:eastAsia="Times New Roman" w:hAnsi="Arial" w:cs="Arial"/>
                <w:sz w:val="24"/>
                <w:szCs w:val="24"/>
                <w:lang w:eastAsia="ro-RO"/>
              </w:rPr>
              <w:t>276</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7,</w:t>
            </w:r>
            <w:r w:rsidR="00CA0B63" w:rsidRPr="00EF48EE">
              <w:rPr>
                <w:rFonts w:ascii="Arial" w:eastAsia="Times New Roman" w:hAnsi="Arial" w:cs="Arial"/>
                <w:sz w:val="24"/>
                <w:szCs w:val="24"/>
                <w:lang w:eastAsia="ro-RO"/>
              </w:rPr>
              <w:t>418713524</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8,</w:t>
            </w:r>
            <w:r w:rsidR="00CA0B63" w:rsidRPr="00EF48EE">
              <w:rPr>
                <w:rFonts w:ascii="Arial" w:eastAsia="Times New Roman" w:hAnsi="Arial" w:cs="Arial"/>
                <w:sz w:val="24"/>
                <w:szCs w:val="24"/>
                <w:lang w:eastAsia="ro-RO"/>
              </w:rPr>
              <w:t>007805853</w:t>
            </w:r>
          </w:p>
        </w:tc>
      </w:tr>
      <w:tr w:rsidR="00CA0B63" w:rsidRPr="00EF48EE"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EF48EE" w:rsidRDefault="00CA0B63" w:rsidP="0056118B">
            <w:pPr>
              <w:spacing w:after="0" w:line="240" w:lineRule="auto"/>
              <w:jc w:val="center"/>
              <w:rPr>
                <w:rFonts w:ascii="Arial" w:eastAsia="Times New Roman" w:hAnsi="Arial" w:cs="Arial"/>
                <w:sz w:val="24"/>
                <w:szCs w:val="24"/>
                <w:lang w:eastAsia="ro-RO"/>
              </w:rPr>
            </w:pPr>
            <w:r w:rsidRPr="00EF48EE">
              <w:rPr>
                <w:rFonts w:ascii="Arial" w:eastAsia="Times New Roman" w:hAnsi="Arial" w:cs="Arial"/>
                <w:sz w:val="24"/>
                <w:szCs w:val="24"/>
                <w:lang w:eastAsia="ro-RO"/>
              </w:rPr>
              <w:t>CO</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24,</w:t>
            </w:r>
            <w:r w:rsidR="00CA0B63" w:rsidRPr="00EF48EE">
              <w:rPr>
                <w:rFonts w:ascii="Arial" w:eastAsia="Times New Roman" w:hAnsi="Arial" w:cs="Arial"/>
                <w:sz w:val="24"/>
                <w:szCs w:val="24"/>
                <w:lang w:eastAsia="ro-RO"/>
              </w:rPr>
              <w:t>205</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37,</w:t>
            </w:r>
            <w:r w:rsidR="00CA0B63" w:rsidRPr="00EF48EE">
              <w:rPr>
                <w:rFonts w:ascii="Arial" w:eastAsia="Times New Roman" w:hAnsi="Arial" w:cs="Arial"/>
                <w:sz w:val="24"/>
                <w:szCs w:val="24"/>
                <w:lang w:eastAsia="ro-RO"/>
              </w:rPr>
              <w:t>43628745</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EF48EE"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40,</w:t>
            </w:r>
            <w:r w:rsidR="00CA0B63" w:rsidRPr="00EF48EE">
              <w:rPr>
                <w:rFonts w:ascii="Arial" w:eastAsia="Times New Roman" w:hAnsi="Arial" w:cs="Arial"/>
                <w:sz w:val="24"/>
                <w:szCs w:val="24"/>
                <w:lang w:eastAsia="ro-RO"/>
              </w:rPr>
              <w:t>43399964</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I.3.1.7</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sidRPr="00EF48EE">
        <w:rPr>
          <w:rFonts w:ascii="Arial" w:hAnsi="Arial" w:cs="Arial"/>
          <w:b/>
          <w:bCs/>
          <w:sz w:val="24"/>
          <w:szCs w:val="24"/>
        </w:rPr>
        <w:t xml:space="preserve"> </w:t>
      </w:r>
      <w:r w:rsidRPr="00EF48EE">
        <w:rPr>
          <w:rFonts w:ascii="Arial" w:hAnsi="Arial" w:cs="Arial"/>
          <w:b/>
          <w:bCs/>
          <w:color w:val="000000"/>
          <w:sz w:val="24"/>
          <w:szCs w:val="24"/>
        </w:rPr>
        <w:t>de poluanti precursori ai ozonului</w:t>
      </w:r>
      <w:r>
        <w:rPr>
          <w:rFonts w:ascii="Arial" w:hAnsi="Arial" w:cs="Arial"/>
          <w:b/>
          <w:bCs/>
          <w:color w:val="000000"/>
          <w:sz w:val="24"/>
          <w:szCs w:val="24"/>
        </w:rPr>
        <w:t xml:space="preserve"> din energie</w:t>
      </w:r>
    </w:p>
    <w:p w:rsidR="00787E64" w:rsidRDefault="00787E64" w:rsidP="00787E64">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EF48EE">
        <w:rPr>
          <w:rFonts w:ascii="Arial" w:hAnsi="Arial" w:cs="Arial"/>
          <w:noProof/>
          <w:sz w:val="24"/>
          <w:szCs w:val="24"/>
          <w:lang w:val="ro-RO" w:eastAsia="ro-RO"/>
        </w:rPr>
        <w:drawing>
          <wp:inline distT="0" distB="0" distL="0" distR="0">
            <wp:extent cx="4000500" cy="2743200"/>
            <wp:effectExtent l="19050" t="0" r="19050" b="0"/>
            <wp:docPr id="7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A0B63" w:rsidRPr="00EF48EE" w:rsidRDefault="00CA0B63" w:rsidP="00787E64">
      <w:pPr>
        <w:spacing w:before="120" w:after="120" w:line="240" w:lineRule="auto"/>
        <w:jc w:val="center"/>
        <w:rPr>
          <w:rFonts w:ascii="Arial" w:hAnsi="Arial" w:cs="Arial"/>
          <w:b/>
          <w:sz w:val="24"/>
          <w:szCs w:val="24"/>
        </w:rPr>
      </w:pPr>
      <w:r w:rsidRPr="00EF48EE">
        <w:rPr>
          <w:rFonts w:ascii="Arial" w:hAnsi="Arial" w:cs="Arial"/>
          <w:b/>
          <w:sz w:val="24"/>
          <w:szCs w:val="24"/>
        </w:rPr>
        <w:t xml:space="preserve">Figura I.3.1.7. </w:t>
      </w:r>
      <w:r w:rsidRPr="00EF48EE">
        <w:rPr>
          <w:rFonts w:ascii="Arial" w:hAnsi="Arial" w:cs="Arial"/>
          <w:b/>
          <w:bCs/>
          <w:color w:val="000000"/>
          <w:sz w:val="24"/>
          <w:szCs w:val="24"/>
        </w:rPr>
        <w:t>Tendinta emisiilor</w:t>
      </w:r>
      <w:r w:rsidRPr="00EF48EE">
        <w:rPr>
          <w:rFonts w:ascii="Arial" w:hAnsi="Arial" w:cs="Arial"/>
          <w:b/>
          <w:bCs/>
          <w:sz w:val="24"/>
          <w:szCs w:val="24"/>
        </w:rPr>
        <w:t xml:space="preserve"> </w:t>
      </w:r>
      <w:r w:rsidRPr="00EF48EE">
        <w:rPr>
          <w:rFonts w:ascii="Arial" w:hAnsi="Arial" w:cs="Arial"/>
          <w:b/>
          <w:bCs/>
          <w:color w:val="000000"/>
          <w:sz w:val="24"/>
          <w:szCs w:val="24"/>
        </w:rPr>
        <w:t>de poluanti precursori ai ozonului din energie</w:t>
      </w:r>
    </w:p>
    <w:p w:rsidR="00CA0B63" w:rsidRDefault="00CA0B63" w:rsidP="00CA0B63">
      <w:pPr>
        <w:jc w:val="both"/>
        <w:rPr>
          <w:rFonts w:ascii="Arial" w:hAnsi="Arial" w:cs="Arial"/>
          <w:sz w:val="24"/>
          <w:szCs w:val="24"/>
        </w:rPr>
      </w:pPr>
      <w:r>
        <w:rPr>
          <w:rFonts w:ascii="Arial" w:hAnsi="Arial" w:cs="Arial"/>
          <w:sz w:val="24"/>
          <w:szCs w:val="24"/>
        </w:rPr>
        <w:lastRenderedPageBreak/>
        <w:t>Din analiza datelor se observă o creştere a emisiilor de NMVOC şi CO, emisii datorate cuprinderii în anii 2013 şi 2014 în Inventarul local de emisii a tuturor surselor de ardere rezidenţială din teritoriu (toate primăriile).</w:t>
      </w:r>
    </w:p>
    <w:p w:rsidR="00CA0B63" w:rsidRDefault="00CA0B63" w:rsidP="00CA0B63">
      <w:pPr>
        <w:pStyle w:val="Default"/>
        <w:jc w:val="both"/>
      </w:pPr>
      <w:r>
        <w:t>T</w:t>
      </w:r>
      <w:r w:rsidRPr="009218D8">
        <w:t>endinţa emi</w:t>
      </w:r>
      <w:r>
        <w:t xml:space="preserve">siilor </w:t>
      </w:r>
      <w:r w:rsidRPr="009218D8">
        <w:t>de poluanţi at</w:t>
      </w:r>
      <w:r>
        <w:t>mosferici precursori ai ozonului din sectorul industrial, la nivelul judeţului Buzău este prezentată în tabelul I.3.1.8. şi figura I.3.1.8.</w:t>
      </w:r>
    </w:p>
    <w:p w:rsidR="00CA0B63" w:rsidRDefault="00CA0B63" w:rsidP="00CA0B63">
      <w:pPr>
        <w:tabs>
          <w:tab w:val="left" w:pos="3332"/>
        </w:tabs>
        <w:rPr>
          <w:rFonts w:ascii="Arial" w:hAnsi="Arial" w:cs="Arial"/>
          <w:sz w:val="24"/>
          <w:szCs w:val="24"/>
        </w:rPr>
      </w:pPr>
    </w:p>
    <w:tbl>
      <w:tblPr>
        <w:tblW w:w="7243" w:type="dxa"/>
        <w:jc w:val="center"/>
        <w:tblInd w:w="103" w:type="dxa"/>
        <w:tblLook w:val="04A0"/>
      </w:tblPr>
      <w:tblGrid>
        <w:gridCol w:w="1443"/>
        <w:gridCol w:w="1760"/>
        <w:gridCol w:w="2280"/>
        <w:gridCol w:w="1760"/>
      </w:tblGrid>
      <w:tr w:rsidR="00CA0B63" w:rsidRPr="000A56D7"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0A56D7" w:rsidRDefault="00CA0B63" w:rsidP="0056118B">
            <w:pPr>
              <w:spacing w:after="0" w:line="240" w:lineRule="auto"/>
              <w:jc w:val="center"/>
              <w:rPr>
                <w:rFonts w:ascii="Arial" w:eastAsia="Times New Roman" w:hAnsi="Arial" w:cs="Arial"/>
                <w:b/>
                <w:sz w:val="24"/>
                <w:szCs w:val="24"/>
                <w:lang w:eastAsia="ro-RO"/>
              </w:rPr>
            </w:pPr>
            <w:r w:rsidRPr="000A56D7">
              <w:rPr>
                <w:rFonts w:ascii="Arial" w:eastAsia="Times New Roman" w:hAnsi="Arial" w:cs="Arial"/>
                <w:b/>
                <w:sz w:val="24"/>
                <w:szCs w:val="24"/>
                <w:lang w:eastAsia="ro-RO"/>
              </w:rPr>
              <w:t>POLUANT, mii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0A56D7"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CA0B63" w:rsidRPr="000A56D7"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0A56D7"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0A56D7"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0A56D7" w:rsidRDefault="00CA0B63" w:rsidP="0056118B">
            <w:pPr>
              <w:spacing w:after="0" w:line="240" w:lineRule="auto"/>
              <w:jc w:val="center"/>
              <w:rPr>
                <w:rFonts w:ascii="Arial" w:eastAsia="Times New Roman" w:hAnsi="Arial" w:cs="Arial"/>
                <w:sz w:val="24"/>
                <w:szCs w:val="24"/>
                <w:lang w:eastAsia="ro-RO"/>
              </w:rPr>
            </w:pPr>
            <w:r w:rsidRPr="000A56D7">
              <w:rPr>
                <w:rFonts w:ascii="Arial" w:eastAsia="Times New Roman" w:hAnsi="Arial" w:cs="Arial"/>
                <w:sz w:val="24"/>
                <w:szCs w:val="24"/>
                <w:lang w:eastAsia="ro-RO"/>
              </w:rPr>
              <w:t>NOx</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A56D7">
              <w:rPr>
                <w:rFonts w:ascii="Arial" w:eastAsia="Times New Roman" w:hAnsi="Arial" w:cs="Arial"/>
                <w:sz w:val="24"/>
                <w:szCs w:val="24"/>
                <w:lang w:eastAsia="ro-RO"/>
              </w:rPr>
              <w:t>47550364</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A56D7">
              <w:rPr>
                <w:rFonts w:ascii="Arial" w:eastAsia="Times New Roman" w:hAnsi="Arial" w:cs="Arial"/>
                <w:sz w:val="24"/>
                <w:szCs w:val="24"/>
                <w:lang w:eastAsia="ro-RO"/>
              </w:rPr>
              <w:t>152086703</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A56D7">
              <w:rPr>
                <w:rFonts w:ascii="Arial" w:eastAsia="Times New Roman" w:hAnsi="Arial" w:cs="Arial"/>
                <w:sz w:val="24"/>
                <w:szCs w:val="24"/>
                <w:lang w:eastAsia="ro-RO"/>
              </w:rPr>
              <w:t>165858028</w:t>
            </w:r>
          </w:p>
        </w:tc>
      </w:tr>
      <w:tr w:rsidR="00CA0B63" w:rsidRPr="000A56D7"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0A56D7" w:rsidRDefault="00CA0B63" w:rsidP="0056118B">
            <w:pPr>
              <w:spacing w:after="0" w:line="240" w:lineRule="auto"/>
              <w:jc w:val="center"/>
              <w:rPr>
                <w:rFonts w:ascii="Arial" w:eastAsia="Times New Roman" w:hAnsi="Arial" w:cs="Arial"/>
                <w:sz w:val="24"/>
                <w:szCs w:val="24"/>
                <w:lang w:eastAsia="ro-RO"/>
              </w:rPr>
            </w:pPr>
            <w:r w:rsidRPr="000A56D7">
              <w:rPr>
                <w:rFonts w:ascii="Arial" w:eastAsia="Times New Roman" w:hAnsi="Arial" w:cs="Arial"/>
                <w:sz w:val="24"/>
                <w:szCs w:val="24"/>
                <w:lang w:eastAsia="ro-RO"/>
              </w:rPr>
              <w:t>NMVOC</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3,</w:t>
            </w:r>
            <w:r w:rsidR="00CA0B63" w:rsidRPr="000A56D7">
              <w:rPr>
                <w:rFonts w:ascii="Arial" w:eastAsia="Times New Roman" w:hAnsi="Arial" w:cs="Arial"/>
                <w:sz w:val="24"/>
                <w:szCs w:val="24"/>
                <w:lang w:eastAsia="ro-RO"/>
              </w:rPr>
              <w:t>16960937</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0A56D7">
              <w:rPr>
                <w:rFonts w:ascii="Arial" w:eastAsia="Times New Roman" w:hAnsi="Arial" w:cs="Arial"/>
                <w:sz w:val="24"/>
                <w:szCs w:val="24"/>
                <w:lang w:eastAsia="ro-RO"/>
              </w:rPr>
              <w:t>193661858</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0A56D7">
              <w:rPr>
                <w:rFonts w:ascii="Arial" w:eastAsia="Times New Roman" w:hAnsi="Arial" w:cs="Arial"/>
                <w:sz w:val="24"/>
                <w:szCs w:val="24"/>
                <w:lang w:eastAsia="ro-RO"/>
              </w:rPr>
              <w:t>619345497</w:t>
            </w:r>
          </w:p>
        </w:tc>
      </w:tr>
      <w:tr w:rsidR="00CA0B63" w:rsidRPr="000A56D7"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0A56D7" w:rsidRDefault="00CA0B63" w:rsidP="0056118B">
            <w:pPr>
              <w:spacing w:after="0" w:line="240" w:lineRule="auto"/>
              <w:jc w:val="center"/>
              <w:rPr>
                <w:rFonts w:ascii="Arial" w:eastAsia="Times New Roman" w:hAnsi="Arial" w:cs="Arial"/>
                <w:sz w:val="24"/>
                <w:szCs w:val="24"/>
                <w:lang w:eastAsia="ro-RO"/>
              </w:rPr>
            </w:pPr>
            <w:r w:rsidRPr="000A56D7">
              <w:rPr>
                <w:rFonts w:ascii="Arial" w:eastAsia="Times New Roman" w:hAnsi="Arial" w:cs="Arial"/>
                <w:sz w:val="24"/>
                <w:szCs w:val="24"/>
                <w:lang w:eastAsia="ro-RO"/>
              </w:rPr>
              <w:t>CO</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A56D7">
              <w:rPr>
                <w:rFonts w:ascii="Arial" w:eastAsia="Times New Roman" w:hAnsi="Arial" w:cs="Arial"/>
                <w:sz w:val="24"/>
                <w:szCs w:val="24"/>
                <w:lang w:eastAsia="ro-RO"/>
              </w:rPr>
              <w:t>585739016</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A56D7">
              <w:rPr>
                <w:rFonts w:ascii="Arial" w:eastAsia="Times New Roman" w:hAnsi="Arial" w:cs="Arial"/>
                <w:sz w:val="24"/>
                <w:szCs w:val="24"/>
                <w:lang w:eastAsia="ro-RO"/>
              </w:rPr>
              <w:t>578547989</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0A56D7"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A56D7">
              <w:rPr>
                <w:rFonts w:ascii="Arial" w:eastAsia="Times New Roman" w:hAnsi="Arial" w:cs="Arial"/>
                <w:sz w:val="24"/>
                <w:szCs w:val="24"/>
                <w:lang w:eastAsia="ro-RO"/>
              </w:rPr>
              <w:t>579791474</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I.3.1.8</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sidRPr="00EF48EE">
        <w:rPr>
          <w:rFonts w:ascii="Arial" w:hAnsi="Arial" w:cs="Arial"/>
          <w:b/>
          <w:bCs/>
          <w:sz w:val="24"/>
          <w:szCs w:val="24"/>
        </w:rPr>
        <w:t xml:space="preserve"> </w:t>
      </w:r>
      <w:r w:rsidRPr="00EF48EE">
        <w:rPr>
          <w:rFonts w:ascii="Arial" w:hAnsi="Arial" w:cs="Arial"/>
          <w:b/>
          <w:bCs/>
          <w:color w:val="000000"/>
          <w:sz w:val="24"/>
          <w:szCs w:val="24"/>
        </w:rPr>
        <w:t>de poluanti precursori ai ozonului</w:t>
      </w:r>
      <w:r>
        <w:rPr>
          <w:rFonts w:ascii="Arial" w:hAnsi="Arial" w:cs="Arial"/>
          <w:b/>
          <w:bCs/>
          <w:color w:val="000000"/>
          <w:sz w:val="24"/>
          <w:szCs w:val="24"/>
        </w:rPr>
        <w:t xml:space="preserve"> din industrie</w:t>
      </w:r>
    </w:p>
    <w:p w:rsidR="00787E64" w:rsidRDefault="00787E64" w:rsidP="00787E64">
      <w:pPr>
        <w:spacing w:before="120" w:after="120" w:line="240" w:lineRule="auto"/>
        <w:jc w:val="center"/>
        <w:rPr>
          <w:rFonts w:ascii="Arial" w:hAnsi="Arial" w:cs="Arial"/>
          <w:b/>
          <w:sz w:val="24"/>
          <w:szCs w:val="24"/>
        </w:rPr>
      </w:pPr>
    </w:p>
    <w:p w:rsidR="00CA0B63" w:rsidRDefault="00CA0B63" w:rsidP="00CA0B63">
      <w:pPr>
        <w:tabs>
          <w:tab w:val="left" w:pos="3332"/>
        </w:tabs>
        <w:jc w:val="center"/>
        <w:rPr>
          <w:rFonts w:ascii="Arial" w:hAnsi="Arial" w:cs="Arial"/>
          <w:sz w:val="24"/>
          <w:szCs w:val="24"/>
        </w:rPr>
      </w:pPr>
      <w:r w:rsidRPr="000A56D7">
        <w:rPr>
          <w:rFonts w:ascii="Arial" w:hAnsi="Arial" w:cs="Arial"/>
          <w:noProof/>
          <w:sz w:val="24"/>
          <w:szCs w:val="24"/>
          <w:lang w:val="ro-RO" w:eastAsia="ro-RO"/>
        </w:rPr>
        <w:drawing>
          <wp:inline distT="0" distB="0" distL="0" distR="0">
            <wp:extent cx="4295775" cy="2743200"/>
            <wp:effectExtent l="19050" t="0" r="9525" b="0"/>
            <wp:docPr id="7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A0B63" w:rsidRDefault="00CA0B63" w:rsidP="00787E64">
      <w:pPr>
        <w:spacing w:before="120" w:after="120" w:line="240" w:lineRule="auto"/>
        <w:jc w:val="center"/>
        <w:rPr>
          <w:rFonts w:ascii="Arial" w:hAnsi="Arial" w:cs="Arial"/>
          <w:b/>
          <w:sz w:val="24"/>
          <w:szCs w:val="24"/>
        </w:rPr>
      </w:pPr>
      <w:r>
        <w:rPr>
          <w:rFonts w:ascii="Arial" w:hAnsi="Arial" w:cs="Arial"/>
          <w:sz w:val="24"/>
          <w:szCs w:val="24"/>
        </w:rPr>
        <w:tab/>
      </w:r>
      <w:r>
        <w:rPr>
          <w:rFonts w:ascii="Arial" w:hAnsi="Arial" w:cs="Arial"/>
          <w:b/>
          <w:sz w:val="24"/>
          <w:szCs w:val="24"/>
        </w:rPr>
        <w:t>Figura I.3.1.8</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sidRPr="00EF48EE">
        <w:rPr>
          <w:rFonts w:ascii="Arial" w:hAnsi="Arial" w:cs="Arial"/>
          <w:b/>
          <w:bCs/>
          <w:sz w:val="24"/>
          <w:szCs w:val="24"/>
        </w:rPr>
        <w:t xml:space="preserve"> </w:t>
      </w:r>
      <w:r w:rsidRPr="00EF48EE">
        <w:rPr>
          <w:rFonts w:ascii="Arial" w:hAnsi="Arial" w:cs="Arial"/>
          <w:b/>
          <w:bCs/>
          <w:color w:val="000000"/>
          <w:sz w:val="24"/>
          <w:szCs w:val="24"/>
        </w:rPr>
        <w:t>de poluanti precursori ai ozonului</w:t>
      </w:r>
      <w:r>
        <w:rPr>
          <w:rFonts w:ascii="Arial" w:hAnsi="Arial" w:cs="Arial"/>
          <w:b/>
          <w:bCs/>
          <w:color w:val="000000"/>
          <w:sz w:val="24"/>
          <w:szCs w:val="24"/>
        </w:rPr>
        <w:t xml:space="preserve"> din indu</w:t>
      </w:r>
      <w:r>
        <w:rPr>
          <w:rFonts w:ascii="Arial" w:hAnsi="Arial" w:cs="Arial"/>
          <w:b/>
          <w:bCs/>
          <w:color w:val="000000"/>
          <w:sz w:val="24"/>
          <w:szCs w:val="24"/>
        </w:rPr>
        <w:t>s</w:t>
      </w:r>
      <w:r>
        <w:rPr>
          <w:rFonts w:ascii="Arial" w:hAnsi="Arial" w:cs="Arial"/>
          <w:b/>
          <w:bCs/>
          <w:color w:val="000000"/>
          <w:sz w:val="24"/>
          <w:szCs w:val="24"/>
        </w:rPr>
        <w:t>trie</w:t>
      </w:r>
    </w:p>
    <w:p w:rsidR="00CA0B63" w:rsidRDefault="00CA0B63" w:rsidP="00CA0B63">
      <w:pPr>
        <w:tabs>
          <w:tab w:val="left" w:pos="4337"/>
        </w:tabs>
        <w:jc w:val="both"/>
        <w:rPr>
          <w:rFonts w:ascii="Arial" w:hAnsi="Arial" w:cs="Arial"/>
          <w:sz w:val="24"/>
          <w:szCs w:val="24"/>
        </w:rPr>
      </w:pPr>
      <w:r>
        <w:rPr>
          <w:rFonts w:ascii="Arial" w:hAnsi="Arial" w:cs="Arial"/>
          <w:sz w:val="24"/>
          <w:szCs w:val="24"/>
        </w:rPr>
        <w:t>Tendinţa de creştere a emisiilor de NMVOC din sectorul industrial se datorează creşterii numărului de operatori economici cu profil alimentar incluşi în Inventarul local de emisii.</w:t>
      </w:r>
    </w:p>
    <w:p w:rsidR="00CA0B63" w:rsidRDefault="00CA0B63" w:rsidP="00CA0B63">
      <w:pPr>
        <w:pStyle w:val="Default"/>
        <w:jc w:val="both"/>
      </w:pPr>
      <w:r>
        <w:t>T</w:t>
      </w:r>
      <w:r w:rsidRPr="009218D8">
        <w:t>endinţa emi</w:t>
      </w:r>
      <w:r>
        <w:t xml:space="preserve">siilor </w:t>
      </w:r>
      <w:r w:rsidRPr="009218D8">
        <w:t>de poluanţi at</w:t>
      </w:r>
      <w:r>
        <w:t>mosferici precursori ai ozonului din sectorul transport, la nivelul judeţului Buzău este prezentată în tabelul I.3.1.9. şi figura I.3.1.9.</w:t>
      </w:r>
    </w:p>
    <w:p w:rsidR="00787E64" w:rsidRDefault="00787E64" w:rsidP="00CA0B63">
      <w:pPr>
        <w:pStyle w:val="Default"/>
        <w:jc w:val="both"/>
      </w:pPr>
    </w:p>
    <w:p w:rsidR="00CA0B63" w:rsidRDefault="00CA0B63" w:rsidP="00CA0B63">
      <w:pPr>
        <w:pStyle w:val="Default"/>
        <w:jc w:val="both"/>
      </w:pPr>
    </w:p>
    <w:tbl>
      <w:tblPr>
        <w:tblW w:w="6564" w:type="dxa"/>
        <w:jc w:val="center"/>
        <w:tblInd w:w="103" w:type="dxa"/>
        <w:tblLook w:val="04A0"/>
      </w:tblPr>
      <w:tblGrid>
        <w:gridCol w:w="1443"/>
        <w:gridCol w:w="1618"/>
        <w:gridCol w:w="1218"/>
        <w:gridCol w:w="2285"/>
      </w:tblGrid>
      <w:tr w:rsidR="00CA0B63" w:rsidRPr="00285A42"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285A42" w:rsidRDefault="00CA0B63" w:rsidP="0056118B">
            <w:pPr>
              <w:spacing w:after="0" w:line="240" w:lineRule="auto"/>
              <w:jc w:val="center"/>
              <w:rPr>
                <w:rFonts w:ascii="Arial" w:eastAsia="Times New Roman" w:hAnsi="Arial" w:cs="Arial"/>
                <w:b/>
                <w:sz w:val="24"/>
                <w:szCs w:val="24"/>
                <w:lang w:eastAsia="ro-RO"/>
              </w:rPr>
            </w:pPr>
            <w:r w:rsidRPr="00285A42">
              <w:rPr>
                <w:rFonts w:ascii="Arial" w:eastAsia="Times New Roman" w:hAnsi="Arial" w:cs="Arial"/>
                <w:b/>
                <w:sz w:val="24"/>
                <w:szCs w:val="24"/>
                <w:lang w:eastAsia="ro-RO"/>
              </w:rPr>
              <w:t>POLUANT, mii tone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CA0B63" w:rsidRPr="00285A42"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285A42"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CA0B63" w:rsidRPr="00285A42"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285A42"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285A42" w:rsidRDefault="00CA0B63" w:rsidP="0056118B">
            <w:pPr>
              <w:spacing w:after="0" w:line="240" w:lineRule="auto"/>
              <w:jc w:val="center"/>
              <w:rPr>
                <w:rFonts w:ascii="Arial" w:eastAsia="Times New Roman" w:hAnsi="Arial" w:cs="Arial"/>
                <w:sz w:val="24"/>
                <w:szCs w:val="24"/>
                <w:lang w:eastAsia="ro-RO"/>
              </w:rPr>
            </w:pPr>
            <w:r w:rsidRPr="00285A42">
              <w:rPr>
                <w:rFonts w:ascii="Arial" w:eastAsia="Times New Roman" w:hAnsi="Arial" w:cs="Arial"/>
                <w:sz w:val="24"/>
                <w:szCs w:val="24"/>
                <w:lang w:eastAsia="ro-RO"/>
              </w:rPr>
              <w:t>NOx</w:t>
            </w:r>
          </w:p>
        </w:tc>
        <w:tc>
          <w:tcPr>
            <w:tcW w:w="1618" w:type="dxa"/>
            <w:tcBorders>
              <w:top w:val="nil"/>
              <w:left w:val="nil"/>
              <w:bottom w:val="single" w:sz="4" w:space="0" w:color="auto"/>
              <w:right w:val="single" w:sz="4" w:space="0" w:color="auto"/>
            </w:tcBorders>
            <w:shd w:val="clear" w:color="auto" w:fill="auto"/>
            <w:vAlign w:val="center"/>
            <w:hideMark/>
          </w:tcPr>
          <w:p w:rsidR="00CA0B63" w:rsidRPr="00285A42"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285A42">
              <w:rPr>
                <w:rFonts w:ascii="Arial" w:eastAsia="Times New Roman" w:hAnsi="Arial" w:cs="Arial"/>
                <w:color w:val="000000"/>
                <w:sz w:val="24"/>
                <w:szCs w:val="24"/>
                <w:lang w:eastAsia="ro-RO"/>
              </w:rPr>
              <w:t>41</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285A42"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285A42">
              <w:rPr>
                <w:rFonts w:ascii="Arial" w:eastAsia="Times New Roman" w:hAnsi="Arial" w:cs="Arial"/>
                <w:sz w:val="24"/>
                <w:szCs w:val="24"/>
                <w:lang w:eastAsia="ro-RO"/>
              </w:rPr>
              <w:t>00067</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285A42"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285A42">
              <w:rPr>
                <w:rFonts w:ascii="Arial" w:eastAsia="Times New Roman" w:hAnsi="Arial" w:cs="Arial"/>
                <w:sz w:val="24"/>
                <w:szCs w:val="24"/>
                <w:lang w:eastAsia="ro-RO"/>
              </w:rPr>
              <w:t>27707262427796</w:t>
            </w:r>
          </w:p>
        </w:tc>
      </w:tr>
      <w:tr w:rsidR="00CA0B63" w:rsidRPr="00285A42"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285A42" w:rsidRDefault="00CA0B63" w:rsidP="0056118B">
            <w:pPr>
              <w:spacing w:after="0" w:line="240" w:lineRule="auto"/>
              <w:jc w:val="center"/>
              <w:rPr>
                <w:rFonts w:ascii="Arial" w:eastAsia="Times New Roman" w:hAnsi="Arial" w:cs="Arial"/>
                <w:sz w:val="24"/>
                <w:szCs w:val="24"/>
                <w:lang w:eastAsia="ro-RO"/>
              </w:rPr>
            </w:pPr>
            <w:r w:rsidRPr="00285A42">
              <w:rPr>
                <w:rFonts w:ascii="Arial" w:eastAsia="Times New Roman" w:hAnsi="Arial" w:cs="Arial"/>
                <w:sz w:val="24"/>
                <w:szCs w:val="24"/>
                <w:lang w:eastAsia="ro-RO"/>
              </w:rPr>
              <w:t>NMVOC</w:t>
            </w:r>
          </w:p>
        </w:tc>
        <w:tc>
          <w:tcPr>
            <w:tcW w:w="1618" w:type="dxa"/>
            <w:tcBorders>
              <w:top w:val="nil"/>
              <w:left w:val="nil"/>
              <w:bottom w:val="single" w:sz="4" w:space="0" w:color="auto"/>
              <w:right w:val="single" w:sz="4" w:space="0" w:color="auto"/>
            </w:tcBorders>
            <w:shd w:val="clear" w:color="auto" w:fill="auto"/>
            <w:noWrap/>
            <w:vAlign w:val="center"/>
            <w:hideMark/>
          </w:tcPr>
          <w:p w:rsidR="00CA0B63" w:rsidRPr="00285A42" w:rsidRDefault="00CA0B63" w:rsidP="0056118B">
            <w:pPr>
              <w:spacing w:after="0" w:line="240" w:lineRule="auto"/>
              <w:jc w:val="center"/>
              <w:rPr>
                <w:rFonts w:ascii="Arial" w:eastAsia="Times New Roman" w:hAnsi="Arial" w:cs="Arial"/>
                <w:sz w:val="24"/>
                <w:szCs w:val="24"/>
                <w:lang w:eastAsia="ro-RO"/>
              </w:rPr>
            </w:pPr>
            <w:r w:rsidRPr="00285A42">
              <w:rPr>
                <w:rFonts w:ascii="Arial" w:eastAsia="Times New Roman" w:hAnsi="Arial" w:cs="Arial"/>
                <w:sz w:val="24"/>
                <w:szCs w:val="24"/>
                <w:lang w:eastAsia="ro-RO"/>
              </w:rPr>
              <w:t>1</w:t>
            </w:r>
            <w:r w:rsidR="00FF72DB">
              <w:rPr>
                <w:rFonts w:ascii="Arial" w:eastAsia="Times New Roman" w:hAnsi="Arial" w:cs="Arial"/>
                <w:sz w:val="24"/>
                <w:szCs w:val="24"/>
                <w:lang w:eastAsia="ro-RO"/>
              </w:rPr>
              <w:t>,</w:t>
            </w:r>
            <w:r w:rsidRPr="00285A42">
              <w:rPr>
                <w:rFonts w:ascii="Arial" w:eastAsia="Times New Roman" w:hAnsi="Arial" w:cs="Arial"/>
                <w:sz w:val="24"/>
                <w:szCs w:val="24"/>
                <w:lang w:eastAsia="ro-RO"/>
              </w:rPr>
              <w:t>011291804</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285A42"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285A42">
              <w:rPr>
                <w:rFonts w:ascii="Arial" w:eastAsia="Times New Roman" w:hAnsi="Arial" w:cs="Arial"/>
                <w:sz w:val="24"/>
                <w:szCs w:val="24"/>
                <w:lang w:eastAsia="ro-RO"/>
              </w:rPr>
              <w:t>355359</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285A42"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285A42">
              <w:rPr>
                <w:rFonts w:ascii="Arial" w:eastAsia="Times New Roman" w:hAnsi="Arial" w:cs="Arial"/>
                <w:sz w:val="24"/>
                <w:szCs w:val="24"/>
                <w:lang w:eastAsia="ro-RO"/>
              </w:rPr>
              <w:t>02638940835689</w:t>
            </w:r>
          </w:p>
        </w:tc>
      </w:tr>
      <w:tr w:rsidR="00CA0B63" w:rsidRPr="00285A42"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285A42" w:rsidRDefault="00CA0B63" w:rsidP="0056118B">
            <w:pPr>
              <w:spacing w:after="0" w:line="240" w:lineRule="auto"/>
              <w:jc w:val="center"/>
              <w:rPr>
                <w:rFonts w:ascii="Arial" w:eastAsia="Times New Roman" w:hAnsi="Arial" w:cs="Arial"/>
                <w:sz w:val="24"/>
                <w:szCs w:val="24"/>
                <w:lang w:eastAsia="ro-RO"/>
              </w:rPr>
            </w:pPr>
            <w:r w:rsidRPr="00285A42">
              <w:rPr>
                <w:rFonts w:ascii="Arial" w:eastAsia="Times New Roman" w:hAnsi="Arial" w:cs="Arial"/>
                <w:sz w:val="24"/>
                <w:szCs w:val="24"/>
                <w:lang w:eastAsia="ro-RO"/>
              </w:rPr>
              <w:t>CO</w:t>
            </w:r>
          </w:p>
        </w:tc>
        <w:tc>
          <w:tcPr>
            <w:tcW w:w="1618" w:type="dxa"/>
            <w:tcBorders>
              <w:top w:val="nil"/>
              <w:left w:val="nil"/>
              <w:bottom w:val="single" w:sz="4" w:space="0" w:color="auto"/>
              <w:right w:val="single" w:sz="4" w:space="0" w:color="auto"/>
            </w:tcBorders>
            <w:shd w:val="clear" w:color="auto" w:fill="auto"/>
            <w:noWrap/>
            <w:vAlign w:val="center"/>
            <w:hideMark/>
          </w:tcPr>
          <w:p w:rsidR="00CA0B63" w:rsidRPr="00285A42"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6,</w:t>
            </w:r>
            <w:r w:rsidR="00CA0B63" w:rsidRPr="00285A42">
              <w:rPr>
                <w:rFonts w:ascii="Arial" w:eastAsia="Times New Roman" w:hAnsi="Arial" w:cs="Arial"/>
                <w:sz w:val="24"/>
                <w:szCs w:val="24"/>
                <w:lang w:eastAsia="ro-RO"/>
              </w:rPr>
              <w:t>79381275</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285A42"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w:t>
            </w:r>
            <w:r w:rsidR="00CA0B63" w:rsidRPr="00285A42">
              <w:rPr>
                <w:rFonts w:ascii="Arial" w:eastAsia="Times New Roman" w:hAnsi="Arial" w:cs="Arial"/>
                <w:sz w:val="24"/>
                <w:szCs w:val="24"/>
                <w:lang w:eastAsia="ro-RO"/>
              </w:rPr>
              <w:t>650711</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285A42"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285A42">
              <w:rPr>
                <w:rFonts w:ascii="Arial" w:eastAsia="Times New Roman" w:hAnsi="Arial" w:cs="Arial"/>
                <w:sz w:val="24"/>
                <w:szCs w:val="24"/>
                <w:lang w:eastAsia="ro-RO"/>
              </w:rPr>
              <w:t>08914227752155</w:t>
            </w:r>
          </w:p>
        </w:tc>
      </w:tr>
    </w:tbl>
    <w:p w:rsidR="00CA0B63" w:rsidRDefault="00CA0B63" w:rsidP="00787E64">
      <w:pPr>
        <w:spacing w:before="120" w:after="120" w:line="240" w:lineRule="auto"/>
        <w:jc w:val="center"/>
        <w:rPr>
          <w:rFonts w:ascii="Arial" w:hAnsi="Arial" w:cs="Arial"/>
          <w:b/>
          <w:sz w:val="24"/>
          <w:szCs w:val="24"/>
        </w:rPr>
      </w:pPr>
      <w:r>
        <w:rPr>
          <w:rFonts w:ascii="Arial" w:hAnsi="Arial" w:cs="Arial"/>
          <w:b/>
          <w:sz w:val="24"/>
          <w:szCs w:val="24"/>
        </w:rPr>
        <w:t>Tabel I.3.1.9</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sidRPr="00EF48EE">
        <w:rPr>
          <w:rFonts w:ascii="Arial" w:hAnsi="Arial" w:cs="Arial"/>
          <w:b/>
          <w:bCs/>
          <w:sz w:val="24"/>
          <w:szCs w:val="24"/>
        </w:rPr>
        <w:t xml:space="preserve"> </w:t>
      </w:r>
      <w:r w:rsidRPr="00EF48EE">
        <w:rPr>
          <w:rFonts w:ascii="Arial" w:hAnsi="Arial" w:cs="Arial"/>
          <w:b/>
          <w:bCs/>
          <w:color w:val="000000"/>
          <w:sz w:val="24"/>
          <w:szCs w:val="24"/>
        </w:rPr>
        <w:t>de poluanti precursori ai ozonului</w:t>
      </w:r>
      <w:r>
        <w:rPr>
          <w:rFonts w:ascii="Arial" w:hAnsi="Arial" w:cs="Arial"/>
          <w:b/>
          <w:bCs/>
          <w:color w:val="000000"/>
          <w:sz w:val="24"/>
          <w:szCs w:val="24"/>
        </w:rPr>
        <w:t xml:space="preserve"> din transport</w:t>
      </w:r>
    </w:p>
    <w:p w:rsidR="00CA0B63" w:rsidRDefault="00CA0B63" w:rsidP="00CA0B63">
      <w:pPr>
        <w:jc w:val="center"/>
        <w:rPr>
          <w:rFonts w:ascii="Arial" w:hAnsi="Arial" w:cs="Arial"/>
          <w:sz w:val="24"/>
          <w:szCs w:val="24"/>
        </w:rPr>
      </w:pPr>
      <w:r w:rsidRPr="00285A42">
        <w:rPr>
          <w:rFonts w:ascii="Arial" w:hAnsi="Arial" w:cs="Arial"/>
          <w:noProof/>
          <w:sz w:val="24"/>
          <w:szCs w:val="24"/>
          <w:lang w:val="ro-RO" w:eastAsia="ro-RO"/>
        </w:rPr>
        <w:lastRenderedPageBreak/>
        <w:drawing>
          <wp:inline distT="0" distB="0" distL="0" distR="0">
            <wp:extent cx="3962400" cy="2743200"/>
            <wp:effectExtent l="19050" t="0" r="19050" b="0"/>
            <wp:docPr id="7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A0B63" w:rsidRPr="00285A42" w:rsidRDefault="00CA0B63" w:rsidP="00787E64">
      <w:pPr>
        <w:spacing w:before="120" w:after="120" w:line="240" w:lineRule="auto"/>
        <w:jc w:val="center"/>
        <w:rPr>
          <w:rFonts w:ascii="Arial" w:hAnsi="Arial" w:cs="Arial"/>
          <w:b/>
          <w:sz w:val="24"/>
          <w:szCs w:val="24"/>
        </w:rPr>
      </w:pPr>
      <w:r w:rsidRPr="00285A42">
        <w:rPr>
          <w:rFonts w:ascii="Arial" w:hAnsi="Arial" w:cs="Arial"/>
          <w:b/>
          <w:sz w:val="24"/>
          <w:szCs w:val="24"/>
        </w:rPr>
        <w:t>Figura</w:t>
      </w:r>
      <w:r w:rsidR="00787E64">
        <w:rPr>
          <w:rFonts w:ascii="Arial" w:hAnsi="Arial" w:cs="Arial"/>
          <w:b/>
          <w:sz w:val="24"/>
          <w:szCs w:val="24"/>
        </w:rPr>
        <w:t xml:space="preserve"> </w:t>
      </w:r>
      <w:r w:rsidRPr="00285A42">
        <w:rPr>
          <w:rFonts w:ascii="Arial" w:hAnsi="Arial" w:cs="Arial"/>
          <w:b/>
          <w:sz w:val="24"/>
          <w:szCs w:val="24"/>
        </w:rPr>
        <w:t xml:space="preserve">I.3.1.9. </w:t>
      </w:r>
      <w:r w:rsidRPr="00285A42">
        <w:rPr>
          <w:rFonts w:ascii="Arial" w:hAnsi="Arial" w:cs="Arial"/>
          <w:b/>
          <w:bCs/>
          <w:color w:val="000000"/>
          <w:sz w:val="24"/>
          <w:szCs w:val="24"/>
        </w:rPr>
        <w:t>Tendinta emisiilor</w:t>
      </w:r>
      <w:r w:rsidRPr="00285A42">
        <w:rPr>
          <w:rFonts w:ascii="Arial" w:hAnsi="Arial" w:cs="Arial"/>
          <w:b/>
          <w:bCs/>
          <w:sz w:val="24"/>
          <w:szCs w:val="24"/>
        </w:rPr>
        <w:t xml:space="preserve"> </w:t>
      </w:r>
      <w:r w:rsidRPr="00285A42">
        <w:rPr>
          <w:rFonts w:ascii="Arial" w:hAnsi="Arial" w:cs="Arial"/>
          <w:b/>
          <w:bCs/>
          <w:color w:val="000000"/>
          <w:sz w:val="24"/>
          <w:szCs w:val="24"/>
        </w:rPr>
        <w:t>de poluanti precursori ai ozonului din transport</w:t>
      </w:r>
    </w:p>
    <w:p w:rsidR="00CA0B63" w:rsidRDefault="00CA0B63" w:rsidP="00CA0B63">
      <w:pPr>
        <w:tabs>
          <w:tab w:val="left" w:pos="5325"/>
        </w:tabs>
        <w:jc w:val="both"/>
        <w:rPr>
          <w:rFonts w:ascii="Arial" w:hAnsi="Arial" w:cs="Arial"/>
          <w:sz w:val="24"/>
          <w:szCs w:val="24"/>
        </w:rPr>
      </w:pPr>
      <w:r>
        <w:rPr>
          <w:rFonts w:ascii="Arial" w:hAnsi="Arial" w:cs="Arial"/>
          <w:sz w:val="24"/>
          <w:szCs w:val="24"/>
        </w:rPr>
        <w:t>Tendinţa descrescătoare a nivelului emisiilor de poluanţi precursori ai ozonului provenite din transport se datorează aplicării de noi strategii de optimizare a traficului şi de dezvo</w:t>
      </w:r>
      <w:r>
        <w:rPr>
          <w:rFonts w:ascii="Arial" w:hAnsi="Arial" w:cs="Arial"/>
          <w:sz w:val="24"/>
          <w:szCs w:val="24"/>
        </w:rPr>
        <w:t>l</w:t>
      </w:r>
      <w:r>
        <w:rPr>
          <w:rFonts w:ascii="Arial" w:hAnsi="Arial" w:cs="Arial"/>
          <w:sz w:val="24"/>
          <w:szCs w:val="24"/>
        </w:rPr>
        <w:t>tare a transportului public.</w:t>
      </w:r>
    </w:p>
    <w:p w:rsidR="00CA0B63" w:rsidRDefault="00CA0B63" w:rsidP="00CA0B63">
      <w:pPr>
        <w:pStyle w:val="Default"/>
        <w:jc w:val="both"/>
      </w:pPr>
      <w:r>
        <w:t>T</w:t>
      </w:r>
      <w:r w:rsidRPr="009218D8">
        <w:t>endinţa emi</w:t>
      </w:r>
      <w:r>
        <w:t xml:space="preserve">siilor </w:t>
      </w:r>
      <w:r w:rsidRPr="009218D8">
        <w:t>de poluanţi at</w:t>
      </w:r>
      <w:r>
        <w:t>mosferici precursori ai ozonului din sectorul agricol, la nivelul judeţului Buzău este prezentată în tabelul I.3.1.10. şi figura I.3.1.10.</w:t>
      </w:r>
    </w:p>
    <w:p w:rsidR="00CA0B63" w:rsidRDefault="00CA0B63" w:rsidP="00CA0B63">
      <w:pPr>
        <w:tabs>
          <w:tab w:val="left" w:pos="4035"/>
        </w:tabs>
        <w:rPr>
          <w:rFonts w:ascii="Arial" w:hAnsi="Arial" w:cs="Arial"/>
          <w:sz w:val="24"/>
          <w:szCs w:val="24"/>
        </w:rPr>
      </w:pPr>
    </w:p>
    <w:tbl>
      <w:tblPr>
        <w:tblW w:w="4963" w:type="dxa"/>
        <w:jc w:val="center"/>
        <w:tblInd w:w="103" w:type="dxa"/>
        <w:tblLook w:val="04A0"/>
      </w:tblPr>
      <w:tblGrid>
        <w:gridCol w:w="1443"/>
        <w:gridCol w:w="1218"/>
        <w:gridCol w:w="1218"/>
        <w:gridCol w:w="1084"/>
      </w:tblGrid>
      <w:tr w:rsidR="00CA0B63" w:rsidRPr="008E14FB"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8E14FB" w:rsidRDefault="00CA0B63" w:rsidP="0056118B">
            <w:pPr>
              <w:spacing w:after="0" w:line="240" w:lineRule="auto"/>
              <w:jc w:val="center"/>
              <w:rPr>
                <w:rFonts w:ascii="Arial" w:eastAsia="Times New Roman" w:hAnsi="Arial" w:cs="Arial"/>
                <w:b/>
                <w:color w:val="000000"/>
                <w:sz w:val="24"/>
                <w:szCs w:val="24"/>
                <w:lang w:eastAsia="ro-RO"/>
              </w:rPr>
            </w:pPr>
            <w:r w:rsidRPr="008E14FB">
              <w:rPr>
                <w:rFonts w:ascii="Arial" w:eastAsia="Times New Roman" w:hAnsi="Arial" w:cs="Arial"/>
                <w:b/>
                <w:color w:val="000000"/>
                <w:sz w:val="24"/>
                <w:szCs w:val="24"/>
                <w:lang w:eastAsia="ro-RO"/>
              </w:rPr>
              <w:t>POLUANT, mii tone</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8E14FB"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8E14FB"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2013</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CA0B63" w:rsidRPr="008E14FB"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2014</w:t>
            </w:r>
          </w:p>
        </w:tc>
      </w:tr>
      <w:tr w:rsidR="00CA0B63" w:rsidRPr="008E14F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8E14FB" w:rsidRDefault="00CA0B63" w:rsidP="0056118B">
            <w:pPr>
              <w:spacing w:after="0" w:line="240" w:lineRule="auto"/>
              <w:jc w:val="center"/>
              <w:rPr>
                <w:rFonts w:ascii="Arial" w:eastAsia="Times New Roman" w:hAnsi="Arial" w:cs="Arial"/>
                <w:color w:val="000000"/>
                <w:sz w:val="24"/>
                <w:szCs w:val="24"/>
                <w:lang w:eastAsia="ro-RO"/>
              </w:rPr>
            </w:pPr>
            <w:r w:rsidRPr="008E14FB">
              <w:rPr>
                <w:rFonts w:ascii="Arial" w:eastAsia="Times New Roman" w:hAnsi="Arial" w:cs="Arial"/>
                <w:color w:val="000000"/>
                <w:sz w:val="24"/>
                <w:szCs w:val="24"/>
                <w:lang w:eastAsia="ro-RO"/>
              </w:rPr>
              <w:t>NOx</w:t>
            </w:r>
          </w:p>
        </w:tc>
        <w:tc>
          <w:tcPr>
            <w:tcW w:w="1218" w:type="dxa"/>
            <w:tcBorders>
              <w:top w:val="nil"/>
              <w:left w:val="nil"/>
              <w:bottom w:val="single" w:sz="4" w:space="0" w:color="auto"/>
              <w:right w:val="single" w:sz="4" w:space="0" w:color="auto"/>
            </w:tcBorders>
            <w:shd w:val="clear" w:color="auto" w:fill="auto"/>
            <w:vAlign w:val="center"/>
            <w:hideMark/>
          </w:tcPr>
          <w:p w:rsidR="00CA0B63" w:rsidRPr="008E14FB"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8E14FB">
              <w:rPr>
                <w:rFonts w:ascii="Arial" w:eastAsia="Times New Roman" w:hAnsi="Arial" w:cs="Arial"/>
                <w:color w:val="000000"/>
                <w:sz w:val="24"/>
                <w:szCs w:val="24"/>
                <w:lang w:eastAsia="ro-RO"/>
              </w:rPr>
              <w:t>0145</w:t>
            </w:r>
          </w:p>
        </w:tc>
        <w:tc>
          <w:tcPr>
            <w:tcW w:w="1218" w:type="dxa"/>
            <w:tcBorders>
              <w:top w:val="nil"/>
              <w:left w:val="nil"/>
              <w:bottom w:val="single" w:sz="4" w:space="0" w:color="auto"/>
              <w:right w:val="single" w:sz="4" w:space="0" w:color="auto"/>
            </w:tcBorders>
            <w:shd w:val="clear" w:color="auto" w:fill="auto"/>
            <w:vAlign w:val="center"/>
            <w:hideMark/>
          </w:tcPr>
          <w:p w:rsidR="00CA0B63" w:rsidRPr="008E14FB"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8E14FB">
              <w:rPr>
                <w:rFonts w:ascii="Arial" w:eastAsia="Times New Roman" w:hAnsi="Arial" w:cs="Arial"/>
                <w:color w:val="000000"/>
                <w:sz w:val="24"/>
                <w:szCs w:val="24"/>
                <w:lang w:eastAsia="ro-RO"/>
              </w:rPr>
              <w:t>0081</w:t>
            </w:r>
          </w:p>
        </w:tc>
        <w:tc>
          <w:tcPr>
            <w:tcW w:w="1084" w:type="dxa"/>
            <w:tcBorders>
              <w:top w:val="nil"/>
              <w:left w:val="nil"/>
              <w:bottom w:val="single" w:sz="4" w:space="0" w:color="auto"/>
              <w:right w:val="single" w:sz="4" w:space="0" w:color="auto"/>
            </w:tcBorders>
            <w:shd w:val="clear" w:color="auto" w:fill="auto"/>
            <w:vAlign w:val="center"/>
            <w:hideMark/>
          </w:tcPr>
          <w:p w:rsidR="00CA0B63" w:rsidRPr="008E14FB"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8E14FB">
              <w:rPr>
                <w:rFonts w:ascii="Arial" w:eastAsia="Times New Roman" w:hAnsi="Arial" w:cs="Arial"/>
                <w:color w:val="000000"/>
                <w:sz w:val="24"/>
                <w:szCs w:val="24"/>
                <w:lang w:eastAsia="ro-RO"/>
              </w:rPr>
              <w:t>0189</w:t>
            </w:r>
          </w:p>
        </w:tc>
      </w:tr>
      <w:tr w:rsidR="00CA0B63" w:rsidRPr="008E14F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8E14FB" w:rsidRDefault="00CA0B63" w:rsidP="0056118B">
            <w:pPr>
              <w:spacing w:after="0" w:line="240" w:lineRule="auto"/>
              <w:jc w:val="center"/>
              <w:rPr>
                <w:rFonts w:ascii="Arial" w:eastAsia="Times New Roman" w:hAnsi="Arial" w:cs="Arial"/>
                <w:color w:val="000000"/>
                <w:sz w:val="24"/>
                <w:szCs w:val="24"/>
                <w:lang w:eastAsia="ro-RO"/>
              </w:rPr>
            </w:pPr>
            <w:r w:rsidRPr="008E14FB">
              <w:rPr>
                <w:rFonts w:ascii="Arial" w:eastAsia="Times New Roman" w:hAnsi="Arial" w:cs="Arial"/>
                <w:color w:val="000000"/>
                <w:sz w:val="24"/>
                <w:szCs w:val="24"/>
                <w:lang w:eastAsia="ro-RO"/>
              </w:rPr>
              <w:t>NMVOC</w:t>
            </w:r>
          </w:p>
        </w:tc>
        <w:tc>
          <w:tcPr>
            <w:tcW w:w="1218" w:type="dxa"/>
            <w:tcBorders>
              <w:top w:val="nil"/>
              <w:left w:val="nil"/>
              <w:bottom w:val="single" w:sz="4" w:space="0" w:color="auto"/>
              <w:right w:val="single" w:sz="4" w:space="0" w:color="auto"/>
            </w:tcBorders>
            <w:shd w:val="clear" w:color="auto" w:fill="auto"/>
            <w:vAlign w:val="center"/>
            <w:hideMark/>
          </w:tcPr>
          <w:p w:rsidR="00CA0B63" w:rsidRPr="008E14FB"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8E14FB">
              <w:rPr>
                <w:rFonts w:ascii="Arial" w:eastAsia="Times New Roman" w:hAnsi="Arial" w:cs="Arial"/>
                <w:color w:val="000000"/>
                <w:sz w:val="24"/>
                <w:szCs w:val="24"/>
                <w:lang w:eastAsia="ro-RO"/>
              </w:rPr>
              <w:t>416369</w:t>
            </w:r>
          </w:p>
        </w:tc>
        <w:tc>
          <w:tcPr>
            <w:tcW w:w="1218" w:type="dxa"/>
            <w:tcBorders>
              <w:top w:val="nil"/>
              <w:left w:val="nil"/>
              <w:bottom w:val="single" w:sz="4" w:space="0" w:color="auto"/>
              <w:right w:val="single" w:sz="4" w:space="0" w:color="auto"/>
            </w:tcBorders>
            <w:shd w:val="clear" w:color="auto" w:fill="auto"/>
            <w:vAlign w:val="center"/>
            <w:hideMark/>
          </w:tcPr>
          <w:p w:rsidR="00CA0B63" w:rsidRPr="008E14FB"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8E14FB">
              <w:rPr>
                <w:rFonts w:ascii="Arial" w:eastAsia="Times New Roman" w:hAnsi="Arial" w:cs="Arial"/>
                <w:color w:val="000000"/>
                <w:sz w:val="24"/>
                <w:szCs w:val="24"/>
                <w:lang w:eastAsia="ro-RO"/>
              </w:rPr>
              <w:t>348668</w:t>
            </w:r>
          </w:p>
        </w:tc>
        <w:tc>
          <w:tcPr>
            <w:tcW w:w="1084" w:type="dxa"/>
            <w:tcBorders>
              <w:top w:val="nil"/>
              <w:left w:val="nil"/>
              <w:bottom w:val="single" w:sz="4" w:space="0" w:color="auto"/>
              <w:right w:val="single" w:sz="4" w:space="0" w:color="auto"/>
            </w:tcBorders>
            <w:shd w:val="clear" w:color="auto" w:fill="auto"/>
            <w:vAlign w:val="center"/>
            <w:hideMark/>
          </w:tcPr>
          <w:p w:rsidR="00CA0B63" w:rsidRPr="008E14FB" w:rsidRDefault="00FF72DB"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8E14FB">
              <w:rPr>
                <w:rFonts w:ascii="Arial" w:eastAsia="Times New Roman" w:hAnsi="Arial" w:cs="Arial"/>
                <w:color w:val="000000"/>
                <w:sz w:val="24"/>
                <w:szCs w:val="24"/>
                <w:lang w:eastAsia="ro-RO"/>
              </w:rPr>
              <w:t>37478</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I.3.1.10</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sidRPr="00EF48EE">
        <w:rPr>
          <w:rFonts w:ascii="Arial" w:hAnsi="Arial" w:cs="Arial"/>
          <w:b/>
          <w:bCs/>
          <w:sz w:val="24"/>
          <w:szCs w:val="24"/>
        </w:rPr>
        <w:t xml:space="preserve"> </w:t>
      </w:r>
      <w:r w:rsidRPr="00EF48EE">
        <w:rPr>
          <w:rFonts w:ascii="Arial" w:hAnsi="Arial" w:cs="Arial"/>
          <w:b/>
          <w:bCs/>
          <w:color w:val="000000"/>
          <w:sz w:val="24"/>
          <w:szCs w:val="24"/>
        </w:rPr>
        <w:t>de poluanti precursori ai ozonului</w:t>
      </w:r>
      <w:r>
        <w:rPr>
          <w:rFonts w:ascii="Arial" w:hAnsi="Arial" w:cs="Arial"/>
          <w:b/>
          <w:bCs/>
          <w:color w:val="000000"/>
          <w:sz w:val="24"/>
          <w:szCs w:val="24"/>
        </w:rPr>
        <w:t xml:space="preserve"> din agricultură</w:t>
      </w:r>
    </w:p>
    <w:p w:rsidR="00787E64" w:rsidRDefault="00787E64" w:rsidP="00787E64">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8E14FB">
        <w:rPr>
          <w:rFonts w:ascii="Arial" w:hAnsi="Arial" w:cs="Arial"/>
          <w:noProof/>
          <w:sz w:val="24"/>
          <w:szCs w:val="24"/>
          <w:lang w:val="ro-RO" w:eastAsia="ro-RO"/>
        </w:rPr>
        <w:drawing>
          <wp:inline distT="0" distB="0" distL="0" distR="0">
            <wp:extent cx="4572000" cy="2743200"/>
            <wp:effectExtent l="19050" t="0" r="19050" b="0"/>
            <wp:docPr id="7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A0B63" w:rsidRDefault="00CA0B63" w:rsidP="00787E64">
      <w:pPr>
        <w:spacing w:before="120" w:after="120" w:line="240" w:lineRule="auto"/>
        <w:jc w:val="center"/>
        <w:rPr>
          <w:rFonts w:ascii="Arial" w:hAnsi="Arial" w:cs="Arial"/>
          <w:b/>
          <w:sz w:val="24"/>
          <w:szCs w:val="24"/>
        </w:rPr>
      </w:pPr>
      <w:r>
        <w:rPr>
          <w:rFonts w:ascii="Arial" w:hAnsi="Arial" w:cs="Arial"/>
          <w:sz w:val="24"/>
          <w:szCs w:val="24"/>
        </w:rPr>
        <w:tab/>
      </w:r>
      <w:r>
        <w:rPr>
          <w:rFonts w:ascii="Arial" w:hAnsi="Arial" w:cs="Arial"/>
          <w:b/>
          <w:sz w:val="24"/>
          <w:szCs w:val="24"/>
        </w:rPr>
        <w:t>Figura I.3.1.10</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sidRPr="00EF48EE">
        <w:rPr>
          <w:rFonts w:ascii="Arial" w:hAnsi="Arial" w:cs="Arial"/>
          <w:b/>
          <w:bCs/>
          <w:sz w:val="24"/>
          <w:szCs w:val="24"/>
        </w:rPr>
        <w:t xml:space="preserve"> </w:t>
      </w:r>
      <w:r w:rsidRPr="00EF48EE">
        <w:rPr>
          <w:rFonts w:ascii="Arial" w:hAnsi="Arial" w:cs="Arial"/>
          <w:b/>
          <w:bCs/>
          <w:color w:val="000000"/>
          <w:sz w:val="24"/>
          <w:szCs w:val="24"/>
        </w:rPr>
        <w:t>de poluanti precursori ai ozonului</w:t>
      </w:r>
      <w:r>
        <w:rPr>
          <w:rFonts w:ascii="Arial" w:hAnsi="Arial" w:cs="Arial"/>
          <w:b/>
          <w:bCs/>
          <w:color w:val="000000"/>
          <w:sz w:val="24"/>
          <w:szCs w:val="24"/>
        </w:rPr>
        <w:t xml:space="preserve"> din agricultură</w:t>
      </w:r>
    </w:p>
    <w:p w:rsidR="00CA0B63" w:rsidRDefault="00CA0B63" w:rsidP="00CA0B63">
      <w:pPr>
        <w:tabs>
          <w:tab w:val="left" w:pos="3734"/>
        </w:tabs>
        <w:rPr>
          <w:rFonts w:ascii="Arial" w:hAnsi="Arial" w:cs="Arial"/>
          <w:sz w:val="24"/>
          <w:szCs w:val="24"/>
        </w:rPr>
      </w:pPr>
      <w:r>
        <w:rPr>
          <w:rFonts w:ascii="Arial" w:hAnsi="Arial" w:cs="Arial"/>
          <w:sz w:val="24"/>
          <w:szCs w:val="24"/>
        </w:rPr>
        <w:lastRenderedPageBreak/>
        <w:t>Tendinţa variabilă a nivelului  emisiilor de NMVOC se datorează fluctuaţiei producţiei de pui de carne în unităţile de pe teritoriul judeţului.</w:t>
      </w:r>
    </w:p>
    <w:p w:rsidR="00787E64" w:rsidRDefault="00787E64" w:rsidP="00CA0B63">
      <w:pPr>
        <w:spacing w:after="120" w:line="240" w:lineRule="auto"/>
        <w:rPr>
          <w:rFonts w:ascii="Arial" w:hAnsi="Arial" w:cs="Arial"/>
          <w:b/>
          <w:sz w:val="24"/>
          <w:szCs w:val="24"/>
        </w:rPr>
      </w:pPr>
    </w:p>
    <w:p w:rsidR="00CA0B63" w:rsidRDefault="00CA0B63" w:rsidP="00CA0B63">
      <w:pPr>
        <w:spacing w:after="120" w:line="240" w:lineRule="auto"/>
        <w:rPr>
          <w:rFonts w:ascii="Arial" w:hAnsi="Arial" w:cs="Arial"/>
          <w:b/>
          <w:bCs/>
          <w:sz w:val="24"/>
          <w:szCs w:val="24"/>
        </w:rPr>
      </w:pPr>
      <w:r w:rsidRPr="00AA228F">
        <w:rPr>
          <w:rFonts w:ascii="Arial" w:hAnsi="Arial" w:cs="Arial"/>
          <w:b/>
          <w:sz w:val="24"/>
          <w:szCs w:val="24"/>
        </w:rPr>
        <w:t xml:space="preserve">c) </w:t>
      </w:r>
      <w:r w:rsidRPr="00AA228F">
        <w:rPr>
          <w:rFonts w:ascii="Arial" w:hAnsi="Arial" w:cs="Arial"/>
          <w:b/>
          <w:bCs/>
          <w:sz w:val="24"/>
          <w:szCs w:val="24"/>
        </w:rPr>
        <w:t>Emisii de particule primare şi precursori secundari de particule</w:t>
      </w:r>
    </w:p>
    <w:p w:rsidR="00CA0B63" w:rsidRDefault="00CA0B63" w:rsidP="00CA0B63">
      <w:pPr>
        <w:spacing w:after="120" w:line="240" w:lineRule="auto"/>
        <w:rPr>
          <w:rFonts w:ascii="Arial" w:hAnsi="Arial" w:cs="Arial"/>
          <w:sz w:val="24"/>
          <w:szCs w:val="24"/>
        </w:rPr>
      </w:pPr>
      <w:r w:rsidRPr="00C3358B">
        <w:rPr>
          <w:rFonts w:ascii="Arial" w:hAnsi="Arial" w:cs="Arial"/>
          <w:sz w:val="24"/>
          <w:szCs w:val="24"/>
        </w:rPr>
        <w:t xml:space="preserve">Tendinţa emisiilor totale de </w:t>
      </w:r>
      <w:r w:rsidRPr="00C3358B">
        <w:rPr>
          <w:rFonts w:ascii="Arial" w:hAnsi="Arial" w:cs="Arial"/>
          <w:bCs/>
          <w:sz w:val="24"/>
          <w:szCs w:val="24"/>
        </w:rPr>
        <w:t>particule primare şi precursori secundari de particule</w:t>
      </w:r>
      <w:r w:rsidRPr="00C3358B">
        <w:rPr>
          <w:rFonts w:ascii="Arial" w:hAnsi="Arial" w:cs="Arial"/>
          <w:sz w:val="24"/>
          <w:szCs w:val="24"/>
        </w:rPr>
        <w:t>, la nivelul judeţului Buzău este prezentată în tabelul I.3</w:t>
      </w:r>
      <w:r>
        <w:rPr>
          <w:rFonts w:ascii="Arial" w:hAnsi="Arial" w:cs="Arial"/>
          <w:sz w:val="24"/>
          <w:szCs w:val="24"/>
        </w:rPr>
        <w:t>.1.11. şi figura I.3.1.11</w:t>
      </w:r>
      <w:r w:rsidRPr="00C3358B">
        <w:rPr>
          <w:rFonts w:ascii="Arial" w:hAnsi="Arial" w:cs="Arial"/>
          <w:sz w:val="24"/>
          <w:szCs w:val="24"/>
        </w:rPr>
        <w:t>.</w:t>
      </w:r>
    </w:p>
    <w:p w:rsidR="00CA0B63" w:rsidRPr="00C3358B" w:rsidRDefault="00CA0B63" w:rsidP="00CA0B63">
      <w:pPr>
        <w:spacing w:after="120" w:line="240" w:lineRule="auto"/>
        <w:rPr>
          <w:rFonts w:ascii="Arial" w:hAnsi="Arial" w:cs="Arial"/>
          <w:bCs/>
          <w:sz w:val="24"/>
          <w:szCs w:val="24"/>
        </w:rPr>
      </w:pPr>
    </w:p>
    <w:tbl>
      <w:tblPr>
        <w:tblW w:w="4323" w:type="dxa"/>
        <w:jc w:val="center"/>
        <w:tblInd w:w="103" w:type="dxa"/>
        <w:tblLook w:val="04A0"/>
      </w:tblPr>
      <w:tblGrid>
        <w:gridCol w:w="1443"/>
        <w:gridCol w:w="960"/>
        <w:gridCol w:w="960"/>
        <w:gridCol w:w="960"/>
      </w:tblGrid>
      <w:tr w:rsidR="00CA0B63" w:rsidRPr="00C3358B" w:rsidTr="0056118B">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C3358B" w:rsidRDefault="00CA0B63" w:rsidP="0056118B">
            <w:pPr>
              <w:spacing w:after="0" w:line="240" w:lineRule="auto"/>
              <w:jc w:val="center"/>
              <w:rPr>
                <w:rFonts w:ascii="Arial" w:eastAsia="Times New Roman" w:hAnsi="Arial" w:cs="Arial"/>
                <w:b/>
                <w:sz w:val="24"/>
                <w:szCs w:val="24"/>
                <w:lang w:eastAsia="ro-RO"/>
              </w:rPr>
            </w:pPr>
            <w:r w:rsidRPr="00C3358B">
              <w:rPr>
                <w:rFonts w:ascii="Arial" w:eastAsia="Times New Roman" w:hAnsi="Arial" w:cs="Arial"/>
                <w:b/>
                <w:sz w:val="24"/>
                <w:szCs w:val="24"/>
                <w:lang w:eastAsia="ro-RO"/>
              </w:rPr>
              <w:t>POLUANT, mii tone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C3358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C3358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C3358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C3358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C3358B" w:rsidRDefault="00CA0B63" w:rsidP="0056118B">
            <w:pPr>
              <w:spacing w:after="0" w:line="240" w:lineRule="auto"/>
              <w:jc w:val="center"/>
              <w:rPr>
                <w:rFonts w:ascii="Arial" w:eastAsia="Times New Roman" w:hAnsi="Arial" w:cs="Arial"/>
                <w:sz w:val="24"/>
                <w:szCs w:val="24"/>
                <w:lang w:eastAsia="ro-RO"/>
              </w:rPr>
            </w:pPr>
            <w:r w:rsidRPr="00C3358B">
              <w:rPr>
                <w:rFonts w:ascii="Arial" w:eastAsia="Times New Roman" w:hAnsi="Arial" w:cs="Arial"/>
                <w:sz w:val="24"/>
                <w:szCs w:val="24"/>
                <w:lang w:eastAsia="ro-RO"/>
              </w:rPr>
              <w:t>PM2,5</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C3358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3,</w:t>
            </w:r>
            <w:r w:rsidR="00CA0B63" w:rsidRPr="00C3358B">
              <w:rPr>
                <w:rFonts w:ascii="Arial" w:eastAsia="Times New Roman" w:hAnsi="Arial" w:cs="Arial"/>
                <w:sz w:val="24"/>
                <w:szCs w:val="24"/>
                <w:lang w:eastAsia="ro-RO"/>
              </w:rPr>
              <w:t>08</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C3358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C3358B">
              <w:rPr>
                <w:rFonts w:ascii="Arial" w:eastAsia="Times New Roman" w:hAnsi="Arial" w:cs="Arial"/>
                <w:sz w:val="24"/>
                <w:szCs w:val="24"/>
                <w:lang w:eastAsia="ro-RO"/>
              </w:rPr>
              <w:t>12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C3358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C3358B">
              <w:rPr>
                <w:rFonts w:ascii="Arial" w:eastAsia="Times New Roman" w:hAnsi="Arial" w:cs="Arial"/>
                <w:sz w:val="24"/>
                <w:szCs w:val="24"/>
                <w:lang w:eastAsia="ro-RO"/>
              </w:rPr>
              <w:t>503</w:t>
            </w:r>
          </w:p>
        </w:tc>
      </w:tr>
      <w:tr w:rsidR="00CA0B63" w:rsidRPr="00C3358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C3358B" w:rsidRDefault="00CA0B63" w:rsidP="0056118B">
            <w:pPr>
              <w:spacing w:after="0" w:line="240" w:lineRule="auto"/>
              <w:jc w:val="center"/>
              <w:rPr>
                <w:rFonts w:ascii="Arial" w:eastAsia="Times New Roman" w:hAnsi="Arial" w:cs="Arial"/>
                <w:sz w:val="24"/>
                <w:szCs w:val="24"/>
                <w:lang w:eastAsia="ro-RO"/>
              </w:rPr>
            </w:pPr>
            <w:r w:rsidRPr="00C3358B">
              <w:rPr>
                <w:rFonts w:ascii="Arial" w:eastAsia="Times New Roman" w:hAnsi="Arial" w:cs="Arial"/>
                <w:sz w:val="24"/>
                <w:szCs w:val="24"/>
                <w:lang w:eastAsia="ro-RO"/>
              </w:rPr>
              <w:t>PM10</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C3358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3,</w:t>
            </w:r>
            <w:r w:rsidR="00CA0B63" w:rsidRPr="00C3358B">
              <w:rPr>
                <w:rFonts w:ascii="Arial" w:eastAsia="Times New Roman" w:hAnsi="Arial" w:cs="Arial"/>
                <w:sz w:val="24"/>
                <w:szCs w:val="24"/>
                <w:lang w:eastAsia="ro-RO"/>
              </w:rPr>
              <w:t>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C3358B" w:rsidRDefault="00CA0B63" w:rsidP="00FF72DB">
            <w:pPr>
              <w:spacing w:after="0" w:line="240" w:lineRule="auto"/>
              <w:jc w:val="center"/>
              <w:rPr>
                <w:rFonts w:ascii="Arial" w:eastAsia="Times New Roman" w:hAnsi="Arial" w:cs="Arial"/>
                <w:sz w:val="24"/>
                <w:szCs w:val="24"/>
                <w:lang w:eastAsia="ro-RO"/>
              </w:rPr>
            </w:pPr>
            <w:r w:rsidRPr="00C3358B">
              <w:rPr>
                <w:rFonts w:ascii="Arial" w:eastAsia="Times New Roman" w:hAnsi="Arial" w:cs="Arial"/>
                <w:sz w:val="24"/>
                <w:szCs w:val="24"/>
                <w:lang w:eastAsia="ro-RO"/>
              </w:rPr>
              <w:t>6</w:t>
            </w:r>
            <w:r w:rsidR="00FF72DB">
              <w:rPr>
                <w:rFonts w:ascii="Arial" w:eastAsia="Times New Roman" w:hAnsi="Arial" w:cs="Arial"/>
                <w:sz w:val="24"/>
                <w:szCs w:val="24"/>
                <w:lang w:eastAsia="ro-RO"/>
              </w:rPr>
              <w:t>,</w:t>
            </w:r>
            <w:r w:rsidRPr="00C3358B">
              <w:rPr>
                <w:rFonts w:ascii="Arial" w:eastAsia="Times New Roman" w:hAnsi="Arial" w:cs="Arial"/>
                <w:sz w:val="24"/>
                <w:szCs w:val="24"/>
                <w:lang w:eastAsia="ro-RO"/>
              </w:rPr>
              <w:t>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C3358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6,</w:t>
            </w:r>
            <w:r w:rsidR="00CA0B63" w:rsidRPr="00C3358B">
              <w:rPr>
                <w:rFonts w:ascii="Arial" w:eastAsia="Times New Roman" w:hAnsi="Arial" w:cs="Arial"/>
                <w:sz w:val="24"/>
                <w:szCs w:val="24"/>
                <w:lang w:eastAsia="ro-RO"/>
              </w:rPr>
              <w:t>154</w:t>
            </w:r>
          </w:p>
        </w:tc>
      </w:tr>
    </w:tbl>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Tabel I.3.1.11</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totale</w:t>
      </w:r>
      <w:r w:rsidRPr="00EF48EE">
        <w:rPr>
          <w:rFonts w:ascii="Arial" w:hAnsi="Arial" w:cs="Arial"/>
          <w:b/>
          <w:bCs/>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particule</w:t>
      </w:r>
    </w:p>
    <w:p w:rsidR="00787E64" w:rsidRDefault="00787E64" w:rsidP="00787E64">
      <w:pPr>
        <w:spacing w:before="120" w:after="120" w:line="240" w:lineRule="auto"/>
        <w:jc w:val="center"/>
        <w:rPr>
          <w:rFonts w:ascii="Arial" w:hAnsi="Arial" w:cs="Arial"/>
          <w:b/>
          <w:sz w:val="24"/>
          <w:szCs w:val="24"/>
        </w:rPr>
      </w:pPr>
    </w:p>
    <w:p w:rsidR="00CA0B63" w:rsidRDefault="00CA0B63" w:rsidP="00CA0B63">
      <w:pPr>
        <w:jc w:val="center"/>
        <w:rPr>
          <w:rFonts w:ascii="Arial" w:hAnsi="Arial" w:cs="Arial"/>
          <w:sz w:val="24"/>
          <w:szCs w:val="24"/>
        </w:rPr>
      </w:pPr>
      <w:r w:rsidRPr="00C3358B">
        <w:rPr>
          <w:rFonts w:ascii="Arial" w:hAnsi="Arial" w:cs="Arial"/>
          <w:noProof/>
          <w:sz w:val="24"/>
          <w:szCs w:val="24"/>
          <w:lang w:val="ro-RO" w:eastAsia="ro-RO"/>
        </w:rPr>
        <w:drawing>
          <wp:inline distT="0" distB="0" distL="0" distR="0">
            <wp:extent cx="3962400" cy="2743200"/>
            <wp:effectExtent l="19050" t="0" r="19050" b="0"/>
            <wp:docPr id="7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A0B63" w:rsidRDefault="00CA0B63" w:rsidP="00787E64">
      <w:pPr>
        <w:spacing w:before="120" w:after="120" w:line="240" w:lineRule="auto"/>
        <w:jc w:val="center"/>
        <w:rPr>
          <w:rFonts w:ascii="Arial" w:hAnsi="Arial" w:cs="Arial"/>
          <w:b/>
          <w:sz w:val="24"/>
          <w:szCs w:val="24"/>
        </w:rPr>
      </w:pPr>
      <w:r>
        <w:rPr>
          <w:rFonts w:ascii="Arial" w:hAnsi="Arial" w:cs="Arial"/>
          <w:b/>
          <w:sz w:val="24"/>
          <w:szCs w:val="24"/>
        </w:rPr>
        <w:t>Figura I.3.1.11</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totale</w:t>
      </w:r>
      <w:r w:rsidRPr="00EF48EE">
        <w:rPr>
          <w:rFonts w:ascii="Arial" w:hAnsi="Arial" w:cs="Arial"/>
          <w:b/>
          <w:bCs/>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particule</w:t>
      </w:r>
    </w:p>
    <w:p w:rsidR="00CA0B63" w:rsidRDefault="00CA0B63" w:rsidP="00CA0B63">
      <w:pPr>
        <w:jc w:val="both"/>
        <w:rPr>
          <w:rFonts w:ascii="Arial" w:hAnsi="Arial" w:cs="Arial"/>
          <w:sz w:val="24"/>
          <w:szCs w:val="24"/>
        </w:rPr>
      </w:pPr>
      <w:r>
        <w:rPr>
          <w:rFonts w:ascii="Arial" w:hAnsi="Arial" w:cs="Arial"/>
          <w:sz w:val="24"/>
          <w:szCs w:val="24"/>
        </w:rPr>
        <w:t>Din analiza datelor se observă o creştere a emisiilor de PM10 şi PM2,5, emisii datorate cuprinderii în anii 2013 şi 2014 în Inventarul local de emisii a tuturor surselor de ardere rezidenţială din teritoriu (toate primăriile).</w:t>
      </w:r>
    </w:p>
    <w:p w:rsidR="00CA0B63" w:rsidRDefault="00CA0B63" w:rsidP="00CA0B63">
      <w:pPr>
        <w:spacing w:after="120" w:line="240" w:lineRule="auto"/>
        <w:rPr>
          <w:rFonts w:ascii="Arial" w:hAnsi="Arial" w:cs="Arial"/>
          <w:sz w:val="24"/>
          <w:szCs w:val="24"/>
        </w:rPr>
      </w:pPr>
      <w:r w:rsidRPr="00C3358B">
        <w:rPr>
          <w:rFonts w:ascii="Arial" w:hAnsi="Arial" w:cs="Arial"/>
          <w:sz w:val="24"/>
          <w:szCs w:val="24"/>
        </w:rPr>
        <w:t>Tendinţa emi</w:t>
      </w:r>
      <w:r>
        <w:rPr>
          <w:rFonts w:ascii="Arial" w:hAnsi="Arial" w:cs="Arial"/>
          <w:sz w:val="24"/>
          <w:szCs w:val="24"/>
        </w:rPr>
        <w:t>siilor</w:t>
      </w:r>
      <w:r w:rsidRPr="00C3358B">
        <w:rPr>
          <w:rFonts w:ascii="Arial" w:hAnsi="Arial" w:cs="Arial"/>
          <w:sz w:val="24"/>
          <w:szCs w:val="24"/>
        </w:rPr>
        <w:t xml:space="preserve"> de </w:t>
      </w:r>
      <w:r w:rsidRPr="00C3358B">
        <w:rPr>
          <w:rFonts w:ascii="Arial" w:hAnsi="Arial" w:cs="Arial"/>
          <w:bCs/>
          <w:sz w:val="24"/>
          <w:szCs w:val="24"/>
        </w:rPr>
        <w:t>particule primare şi precursori secundari de particule</w:t>
      </w:r>
      <w:r>
        <w:rPr>
          <w:rFonts w:ascii="Arial" w:hAnsi="Arial" w:cs="Arial"/>
          <w:bCs/>
          <w:sz w:val="24"/>
          <w:szCs w:val="24"/>
        </w:rPr>
        <w:t xml:space="preserve"> din energie</w:t>
      </w:r>
      <w:r w:rsidRPr="00C3358B">
        <w:rPr>
          <w:rFonts w:ascii="Arial" w:hAnsi="Arial" w:cs="Arial"/>
          <w:sz w:val="24"/>
          <w:szCs w:val="24"/>
        </w:rPr>
        <w:t>, la nivelul judeţului Buzău este prezentată în tabelul I.3</w:t>
      </w:r>
      <w:r>
        <w:rPr>
          <w:rFonts w:ascii="Arial" w:hAnsi="Arial" w:cs="Arial"/>
          <w:sz w:val="24"/>
          <w:szCs w:val="24"/>
        </w:rPr>
        <w:t>.1.12. şi figura I.3.1.12</w:t>
      </w:r>
      <w:r w:rsidRPr="00C3358B">
        <w:rPr>
          <w:rFonts w:ascii="Arial" w:hAnsi="Arial" w:cs="Arial"/>
          <w:sz w:val="24"/>
          <w:szCs w:val="24"/>
        </w:rPr>
        <w:t>.</w:t>
      </w:r>
    </w:p>
    <w:p w:rsidR="00CA0B63" w:rsidRDefault="00CA0B63" w:rsidP="00CA0B63">
      <w:pPr>
        <w:spacing w:after="120" w:line="240" w:lineRule="auto"/>
        <w:rPr>
          <w:rFonts w:ascii="Arial" w:hAnsi="Arial" w:cs="Arial"/>
          <w:sz w:val="24"/>
          <w:szCs w:val="24"/>
        </w:rPr>
      </w:pPr>
    </w:p>
    <w:tbl>
      <w:tblPr>
        <w:tblW w:w="6843" w:type="dxa"/>
        <w:jc w:val="center"/>
        <w:tblInd w:w="103" w:type="dxa"/>
        <w:tblLook w:val="04A0"/>
      </w:tblPr>
      <w:tblGrid>
        <w:gridCol w:w="1443"/>
        <w:gridCol w:w="1880"/>
        <w:gridCol w:w="1760"/>
        <w:gridCol w:w="1760"/>
      </w:tblGrid>
      <w:tr w:rsidR="00CA0B63" w:rsidRPr="00D934B5"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D934B5" w:rsidRDefault="00CA0B63" w:rsidP="0056118B">
            <w:pPr>
              <w:spacing w:after="0" w:line="240" w:lineRule="auto"/>
              <w:jc w:val="center"/>
              <w:rPr>
                <w:rFonts w:ascii="Arial" w:eastAsia="Times New Roman" w:hAnsi="Arial" w:cs="Arial"/>
                <w:b/>
                <w:sz w:val="24"/>
                <w:szCs w:val="24"/>
                <w:lang w:eastAsia="ro-RO"/>
              </w:rPr>
            </w:pPr>
            <w:r w:rsidRPr="00D934B5">
              <w:rPr>
                <w:rFonts w:ascii="Arial" w:eastAsia="Times New Roman" w:hAnsi="Arial" w:cs="Arial"/>
                <w:b/>
                <w:sz w:val="24"/>
                <w:szCs w:val="24"/>
                <w:lang w:eastAsia="ro-RO"/>
              </w:rPr>
              <w:t>POLUANT, mii tone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A0B63" w:rsidRPr="00D934B5"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D934B5"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D934B5"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D934B5"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D934B5" w:rsidRDefault="00CA0B63" w:rsidP="0056118B">
            <w:pPr>
              <w:spacing w:after="0" w:line="240" w:lineRule="auto"/>
              <w:jc w:val="center"/>
              <w:rPr>
                <w:rFonts w:ascii="Arial" w:eastAsia="Times New Roman" w:hAnsi="Arial" w:cs="Arial"/>
                <w:sz w:val="24"/>
                <w:szCs w:val="24"/>
                <w:lang w:eastAsia="ro-RO"/>
              </w:rPr>
            </w:pPr>
            <w:r w:rsidRPr="00D934B5">
              <w:rPr>
                <w:rFonts w:ascii="Arial" w:eastAsia="Times New Roman" w:hAnsi="Arial" w:cs="Arial"/>
                <w:sz w:val="24"/>
                <w:szCs w:val="24"/>
                <w:lang w:eastAsia="ro-RO"/>
              </w:rPr>
              <w:t>PM2,5</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w:t>
            </w:r>
            <w:r w:rsidR="00CA0B63" w:rsidRPr="00D934B5">
              <w:rPr>
                <w:rFonts w:ascii="Arial" w:eastAsia="Times New Roman" w:hAnsi="Arial" w:cs="Arial"/>
                <w:sz w:val="24"/>
                <w:szCs w:val="24"/>
                <w:lang w:eastAsia="ro-RO"/>
              </w:rPr>
              <w:t>919787551</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w:t>
            </w:r>
            <w:r w:rsidR="00CA0B63" w:rsidRPr="00D934B5">
              <w:rPr>
                <w:rFonts w:ascii="Arial" w:eastAsia="Times New Roman" w:hAnsi="Arial" w:cs="Arial"/>
                <w:sz w:val="24"/>
                <w:szCs w:val="24"/>
                <w:lang w:eastAsia="ro-RO"/>
              </w:rPr>
              <w:t>998000214</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D934B5">
              <w:rPr>
                <w:rFonts w:ascii="Arial" w:eastAsia="Times New Roman" w:hAnsi="Arial" w:cs="Arial"/>
                <w:sz w:val="24"/>
                <w:szCs w:val="24"/>
                <w:lang w:eastAsia="ro-RO"/>
              </w:rPr>
              <w:t>404083403</w:t>
            </w:r>
          </w:p>
        </w:tc>
      </w:tr>
      <w:tr w:rsidR="00CA0B63" w:rsidRPr="00D934B5"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D934B5" w:rsidRDefault="00CA0B63" w:rsidP="0056118B">
            <w:pPr>
              <w:spacing w:after="0" w:line="240" w:lineRule="auto"/>
              <w:jc w:val="center"/>
              <w:rPr>
                <w:rFonts w:ascii="Arial" w:eastAsia="Times New Roman" w:hAnsi="Arial" w:cs="Arial"/>
                <w:sz w:val="24"/>
                <w:szCs w:val="24"/>
                <w:lang w:eastAsia="ro-RO"/>
              </w:rPr>
            </w:pPr>
            <w:r w:rsidRPr="00D934B5">
              <w:rPr>
                <w:rFonts w:ascii="Arial" w:eastAsia="Times New Roman" w:hAnsi="Arial" w:cs="Arial"/>
                <w:sz w:val="24"/>
                <w:szCs w:val="24"/>
                <w:lang w:eastAsia="ro-RO"/>
              </w:rPr>
              <w:t>PM10</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w:t>
            </w:r>
            <w:r w:rsidR="00CA0B63" w:rsidRPr="00D934B5">
              <w:rPr>
                <w:rFonts w:ascii="Arial" w:eastAsia="Times New Roman" w:hAnsi="Arial" w:cs="Arial"/>
                <w:sz w:val="24"/>
                <w:szCs w:val="24"/>
                <w:lang w:eastAsia="ro-RO"/>
              </w:rPr>
              <w:t>919974175</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w:t>
            </w:r>
            <w:r w:rsidR="00CA0B63" w:rsidRPr="00D934B5">
              <w:rPr>
                <w:rFonts w:ascii="Arial" w:eastAsia="Times New Roman" w:hAnsi="Arial" w:cs="Arial"/>
                <w:sz w:val="24"/>
                <w:szCs w:val="24"/>
                <w:lang w:eastAsia="ro-RO"/>
              </w:rPr>
              <w:t>998481604</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D934B5">
              <w:rPr>
                <w:rFonts w:ascii="Arial" w:eastAsia="Times New Roman" w:hAnsi="Arial" w:cs="Arial"/>
                <w:sz w:val="24"/>
                <w:szCs w:val="24"/>
                <w:lang w:eastAsia="ro-RO"/>
              </w:rPr>
              <w:t>374602801</w:t>
            </w:r>
          </w:p>
        </w:tc>
      </w:tr>
    </w:tbl>
    <w:p w:rsidR="00CA0B63" w:rsidRDefault="00CA0B63" w:rsidP="00787E64">
      <w:pPr>
        <w:spacing w:before="120" w:after="120" w:line="240" w:lineRule="auto"/>
        <w:jc w:val="center"/>
        <w:rPr>
          <w:rFonts w:ascii="Arial" w:hAnsi="Arial" w:cs="Arial"/>
          <w:b/>
          <w:sz w:val="24"/>
          <w:szCs w:val="24"/>
        </w:rPr>
      </w:pPr>
      <w:r>
        <w:rPr>
          <w:rFonts w:ascii="Arial" w:hAnsi="Arial" w:cs="Arial"/>
          <w:b/>
          <w:sz w:val="24"/>
          <w:szCs w:val="24"/>
        </w:rPr>
        <w:t>Tabel I.3.1.12</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w:t>
      </w:r>
      <w:r w:rsidRPr="00AA228F">
        <w:rPr>
          <w:rFonts w:ascii="Arial" w:hAnsi="Arial" w:cs="Arial"/>
          <w:b/>
          <w:bCs/>
          <w:sz w:val="24"/>
          <w:szCs w:val="24"/>
        </w:rPr>
        <w:t>r</w:t>
      </w:r>
      <w:r w:rsidRPr="00AA228F">
        <w:rPr>
          <w:rFonts w:ascii="Arial" w:hAnsi="Arial" w:cs="Arial"/>
          <w:b/>
          <w:bCs/>
          <w:sz w:val="24"/>
          <w:szCs w:val="24"/>
        </w:rPr>
        <w:t>ticule</w:t>
      </w:r>
      <w:r>
        <w:rPr>
          <w:rFonts w:ascii="Arial" w:hAnsi="Arial" w:cs="Arial"/>
          <w:b/>
          <w:bCs/>
          <w:sz w:val="24"/>
          <w:szCs w:val="24"/>
        </w:rPr>
        <w:t xml:space="preserve"> din energie</w:t>
      </w:r>
    </w:p>
    <w:p w:rsidR="00CA0B63" w:rsidRDefault="00CA0B63" w:rsidP="00CA0B63">
      <w:pPr>
        <w:jc w:val="center"/>
        <w:rPr>
          <w:rFonts w:ascii="Arial" w:hAnsi="Arial" w:cs="Arial"/>
          <w:sz w:val="24"/>
          <w:szCs w:val="24"/>
        </w:rPr>
      </w:pPr>
      <w:r w:rsidRPr="00D934B5">
        <w:rPr>
          <w:rFonts w:ascii="Arial" w:hAnsi="Arial" w:cs="Arial"/>
          <w:noProof/>
          <w:sz w:val="24"/>
          <w:szCs w:val="24"/>
          <w:lang w:val="ro-RO" w:eastAsia="ro-RO"/>
        </w:rPr>
        <w:lastRenderedPageBreak/>
        <w:drawing>
          <wp:inline distT="0" distB="0" distL="0" distR="0">
            <wp:extent cx="3962400" cy="2743200"/>
            <wp:effectExtent l="19050" t="0" r="19050" b="0"/>
            <wp:docPr id="7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A0B63" w:rsidRDefault="00CA0B63" w:rsidP="00787E64">
      <w:pPr>
        <w:spacing w:before="120" w:after="120" w:line="240" w:lineRule="auto"/>
        <w:jc w:val="center"/>
        <w:rPr>
          <w:rFonts w:ascii="Arial" w:hAnsi="Arial" w:cs="Arial"/>
          <w:b/>
          <w:sz w:val="24"/>
          <w:szCs w:val="24"/>
        </w:rPr>
      </w:pPr>
      <w:r>
        <w:rPr>
          <w:rFonts w:ascii="Arial" w:hAnsi="Arial" w:cs="Arial"/>
          <w:b/>
          <w:sz w:val="24"/>
          <w:szCs w:val="24"/>
        </w:rPr>
        <w:t>Figura I.3.1.12</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particule</w:t>
      </w:r>
      <w:r>
        <w:rPr>
          <w:rFonts w:ascii="Arial" w:hAnsi="Arial" w:cs="Arial"/>
          <w:b/>
          <w:bCs/>
          <w:sz w:val="24"/>
          <w:szCs w:val="24"/>
        </w:rPr>
        <w:t xml:space="preserve"> din energie</w:t>
      </w:r>
    </w:p>
    <w:p w:rsidR="00CA0B63" w:rsidRDefault="00CA0B63" w:rsidP="00CA0B63">
      <w:pPr>
        <w:jc w:val="both"/>
        <w:rPr>
          <w:rFonts w:ascii="Arial" w:hAnsi="Arial" w:cs="Arial"/>
          <w:sz w:val="24"/>
          <w:szCs w:val="24"/>
        </w:rPr>
      </w:pPr>
      <w:r>
        <w:rPr>
          <w:rFonts w:ascii="Arial" w:hAnsi="Arial" w:cs="Arial"/>
          <w:sz w:val="24"/>
          <w:szCs w:val="24"/>
        </w:rPr>
        <w:t>Din analiza datelor se observă o creştere a emisiilor de PM10 şi PM2,5, emisii datorate cuprinderii în anii 2013 şi 2014 în Inventarul local de emisii a tuturor surselor de ardere rezidenţială din teritoriu (toate primăriile).</w:t>
      </w:r>
    </w:p>
    <w:p w:rsidR="00CA0B63" w:rsidRDefault="00CA0B63" w:rsidP="00CA0B63">
      <w:pPr>
        <w:spacing w:after="120" w:line="240" w:lineRule="auto"/>
        <w:rPr>
          <w:rFonts w:ascii="Arial" w:hAnsi="Arial" w:cs="Arial"/>
          <w:sz w:val="24"/>
          <w:szCs w:val="24"/>
        </w:rPr>
      </w:pPr>
      <w:r w:rsidRPr="00C3358B">
        <w:rPr>
          <w:rFonts w:ascii="Arial" w:hAnsi="Arial" w:cs="Arial"/>
          <w:sz w:val="24"/>
          <w:szCs w:val="24"/>
        </w:rPr>
        <w:t>Tendinţa emi</w:t>
      </w:r>
      <w:r>
        <w:rPr>
          <w:rFonts w:ascii="Arial" w:hAnsi="Arial" w:cs="Arial"/>
          <w:sz w:val="24"/>
          <w:szCs w:val="24"/>
        </w:rPr>
        <w:t>siilor</w:t>
      </w:r>
      <w:r w:rsidRPr="00C3358B">
        <w:rPr>
          <w:rFonts w:ascii="Arial" w:hAnsi="Arial" w:cs="Arial"/>
          <w:sz w:val="24"/>
          <w:szCs w:val="24"/>
        </w:rPr>
        <w:t xml:space="preserve"> de </w:t>
      </w:r>
      <w:r w:rsidRPr="00C3358B">
        <w:rPr>
          <w:rFonts w:ascii="Arial" w:hAnsi="Arial" w:cs="Arial"/>
          <w:bCs/>
          <w:sz w:val="24"/>
          <w:szCs w:val="24"/>
        </w:rPr>
        <w:t>particule primare şi precursori secundari de particule</w:t>
      </w:r>
      <w:r>
        <w:rPr>
          <w:rFonts w:ascii="Arial" w:hAnsi="Arial" w:cs="Arial"/>
          <w:bCs/>
          <w:sz w:val="24"/>
          <w:szCs w:val="24"/>
        </w:rPr>
        <w:t xml:space="preserve"> din industrie</w:t>
      </w:r>
      <w:r w:rsidRPr="00C3358B">
        <w:rPr>
          <w:rFonts w:ascii="Arial" w:hAnsi="Arial" w:cs="Arial"/>
          <w:sz w:val="24"/>
          <w:szCs w:val="24"/>
        </w:rPr>
        <w:t>, la nivelul judeţului Buzău este prezentată în tabelul I.3</w:t>
      </w:r>
      <w:r>
        <w:rPr>
          <w:rFonts w:ascii="Arial" w:hAnsi="Arial" w:cs="Arial"/>
          <w:sz w:val="24"/>
          <w:szCs w:val="24"/>
        </w:rPr>
        <w:t>.1.13. şi figura I.3.1.13</w:t>
      </w:r>
      <w:r w:rsidRPr="00C3358B">
        <w:rPr>
          <w:rFonts w:ascii="Arial" w:hAnsi="Arial" w:cs="Arial"/>
          <w:sz w:val="24"/>
          <w:szCs w:val="24"/>
        </w:rPr>
        <w:t>.</w:t>
      </w:r>
    </w:p>
    <w:p w:rsidR="00787E64" w:rsidRDefault="00787E64" w:rsidP="00CA0B63">
      <w:pPr>
        <w:spacing w:after="120" w:line="240" w:lineRule="auto"/>
        <w:rPr>
          <w:rFonts w:ascii="Arial" w:hAnsi="Arial" w:cs="Arial"/>
          <w:sz w:val="24"/>
          <w:szCs w:val="24"/>
        </w:rPr>
      </w:pPr>
    </w:p>
    <w:tbl>
      <w:tblPr>
        <w:tblW w:w="7243" w:type="dxa"/>
        <w:jc w:val="center"/>
        <w:tblInd w:w="103" w:type="dxa"/>
        <w:tblLook w:val="04A0"/>
      </w:tblPr>
      <w:tblGrid>
        <w:gridCol w:w="1443"/>
        <w:gridCol w:w="1760"/>
        <w:gridCol w:w="2280"/>
        <w:gridCol w:w="1760"/>
      </w:tblGrid>
      <w:tr w:rsidR="00CA0B63" w:rsidRPr="00D934B5"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D934B5" w:rsidRDefault="00CA0B63" w:rsidP="0056118B">
            <w:pPr>
              <w:spacing w:after="0" w:line="240" w:lineRule="auto"/>
              <w:jc w:val="center"/>
              <w:rPr>
                <w:rFonts w:ascii="Arial" w:eastAsia="Times New Roman" w:hAnsi="Arial" w:cs="Arial"/>
                <w:b/>
                <w:sz w:val="24"/>
                <w:szCs w:val="24"/>
                <w:lang w:eastAsia="ro-RO"/>
              </w:rPr>
            </w:pPr>
            <w:r w:rsidRPr="00D934B5">
              <w:rPr>
                <w:rFonts w:ascii="Arial" w:eastAsia="Times New Roman" w:hAnsi="Arial" w:cs="Arial"/>
                <w:b/>
                <w:sz w:val="24"/>
                <w:szCs w:val="24"/>
                <w:lang w:eastAsia="ro-RO"/>
              </w:rPr>
              <w:t>POLUANT, mii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D934B5"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CA0B63" w:rsidRPr="00D934B5"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D934B5"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D934B5"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D934B5" w:rsidRDefault="00CA0B63" w:rsidP="0056118B">
            <w:pPr>
              <w:spacing w:after="0" w:line="240" w:lineRule="auto"/>
              <w:jc w:val="center"/>
              <w:rPr>
                <w:rFonts w:ascii="Arial" w:eastAsia="Times New Roman" w:hAnsi="Arial" w:cs="Arial"/>
                <w:sz w:val="24"/>
                <w:szCs w:val="24"/>
                <w:lang w:eastAsia="ro-RO"/>
              </w:rPr>
            </w:pPr>
            <w:r w:rsidRPr="00D934B5">
              <w:rPr>
                <w:rFonts w:ascii="Arial" w:eastAsia="Times New Roman" w:hAnsi="Arial" w:cs="Arial"/>
                <w:sz w:val="24"/>
                <w:szCs w:val="24"/>
                <w:lang w:eastAsia="ro-RO"/>
              </w:rPr>
              <w:t>PM2,5</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D934B5">
              <w:rPr>
                <w:rFonts w:ascii="Arial" w:eastAsia="Times New Roman" w:hAnsi="Arial" w:cs="Arial"/>
                <w:sz w:val="24"/>
                <w:szCs w:val="24"/>
                <w:lang w:eastAsia="ro-RO"/>
              </w:rPr>
              <w:t>038629238</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D934B5">
              <w:rPr>
                <w:rFonts w:ascii="Arial" w:eastAsia="Times New Roman" w:hAnsi="Arial" w:cs="Arial"/>
                <w:sz w:val="24"/>
                <w:szCs w:val="24"/>
                <w:lang w:eastAsia="ro-RO"/>
              </w:rPr>
              <w:t>100803961</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D934B5">
              <w:rPr>
                <w:rFonts w:ascii="Arial" w:eastAsia="Times New Roman" w:hAnsi="Arial" w:cs="Arial"/>
                <w:sz w:val="24"/>
                <w:szCs w:val="24"/>
                <w:lang w:eastAsia="ro-RO"/>
              </w:rPr>
              <w:t>108481438</w:t>
            </w:r>
          </w:p>
        </w:tc>
      </w:tr>
      <w:tr w:rsidR="00CA0B63" w:rsidRPr="00D934B5"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D934B5" w:rsidRDefault="00CA0B63" w:rsidP="0056118B">
            <w:pPr>
              <w:spacing w:after="0" w:line="240" w:lineRule="auto"/>
              <w:jc w:val="center"/>
              <w:rPr>
                <w:rFonts w:ascii="Arial" w:eastAsia="Times New Roman" w:hAnsi="Arial" w:cs="Arial"/>
                <w:sz w:val="24"/>
                <w:szCs w:val="24"/>
                <w:lang w:eastAsia="ro-RO"/>
              </w:rPr>
            </w:pPr>
            <w:r w:rsidRPr="00D934B5">
              <w:rPr>
                <w:rFonts w:ascii="Arial" w:eastAsia="Times New Roman" w:hAnsi="Arial" w:cs="Arial"/>
                <w:sz w:val="24"/>
                <w:szCs w:val="24"/>
                <w:lang w:eastAsia="ro-RO"/>
              </w:rPr>
              <w:t>PM10</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D934B5">
              <w:rPr>
                <w:rFonts w:ascii="Arial" w:eastAsia="Times New Roman" w:hAnsi="Arial" w:cs="Arial"/>
                <w:sz w:val="24"/>
                <w:szCs w:val="24"/>
                <w:lang w:eastAsia="ro-RO"/>
              </w:rPr>
              <w:t>108210099</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D934B5">
              <w:rPr>
                <w:rFonts w:ascii="Arial" w:eastAsia="Times New Roman" w:hAnsi="Arial" w:cs="Arial"/>
                <w:sz w:val="24"/>
                <w:szCs w:val="24"/>
                <w:lang w:eastAsia="ro-RO"/>
              </w:rPr>
              <w:t>938245472</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D934B5"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D934B5">
              <w:rPr>
                <w:rFonts w:ascii="Arial" w:eastAsia="Times New Roman" w:hAnsi="Arial" w:cs="Arial"/>
                <w:sz w:val="24"/>
                <w:szCs w:val="24"/>
                <w:lang w:eastAsia="ro-RO"/>
              </w:rPr>
              <w:t>464110922</w:t>
            </w:r>
          </w:p>
        </w:tc>
      </w:tr>
    </w:tbl>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Tabel I.3.1.13</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w:t>
      </w:r>
      <w:r w:rsidRPr="00AA228F">
        <w:rPr>
          <w:rFonts w:ascii="Arial" w:hAnsi="Arial" w:cs="Arial"/>
          <w:b/>
          <w:bCs/>
          <w:sz w:val="24"/>
          <w:szCs w:val="24"/>
        </w:rPr>
        <w:t>r</w:t>
      </w:r>
      <w:r w:rsidRPr="00AA228F">
        <w:rPr>
          <w:rFonts w:ascii="Arial" w:hAnsi="Arial" w:cs="Arial"/>
          <w:b/>
          <w:bCs/>
          <w:sz w:val="24"/>
          <w:szCs w:val="24"/>
        </w:rPr>
        <w:t>ticule</w:t>
      </w:r>
      <w:r>
        <w:rPr>
          <w:rFonts w:ascii="Arial" w:hAnsi="Arial" w:cs="Arial"/>
          <w:b/>
          <w:bCs/>
          <w:sz w:val="24"/>
          <w:szCs w:val="24"/>
        </w:rPr>
        <w:t xml:space="preserve"> din industrie</w:t>
      </w:r>
    </w:p>
    <w:p w:rsidR="00CA0B63" w:rsidRDefault="00CA0B63" w:rsidP="00CA0B63">
      <w:pPr>
        <w:tabs>
          <w:tab w:val="left" w:pos="4270"/>
        </w:tabs>
        <w:jc w:val="center"/>
        <w:rPr>
          <w:rFonts w:ascii="Arial" w:hAnsi="Arial" w:cs="Arial"/>
          <w:sz w:val="24"/>
          <w:szCs w:val="24"/>
        </w:rPr>
      </w:pPr>
      <w:r w:rsidRPr="00D934B5">
        <w:rPr>
          <w:rFonts w:ascii="Arial" w:hAnsi="Arial" w:cs="Arial"/>
          <w:noProof/>
          <w:sz w:val="24"/>
          <w:szCs w:val="24"/>
          <w:lang w:val="ro-RO" w:eastAsia="ro-RO"/>
        </w:rPr>
        <w:drawing>
          <wp:inline distT="0" distB="0" distL="0" distR="0">
            <wp:extent cx="4295775" cy="2743200"/>
            <wp:effectExtent l="19050" t="0" r="9525" b="0"/>
            <wp:docPr id="7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A0B63" w:rsidRDefault="00CA0B63" w:rsidP="00787E64">
      <w:pPr>
        <w:spacing w:before="120" w:after="120" w:line="240" w:lineRule="auto"/>
        <w:jc w:val="center"/>
        <w:rPr>
          <w:rFonts w:ascii="Arial" w:hAnsi="Arial" w:cs="Arial"/>
          <w:b/>
          <w:sz w:val="24"/>
          <w:szCs w:val="24"/>
        </w:rPr>
      </w:pPr>
      <w:r>
        <w:rPr>
          <w:rFonts w:ascii="Arial" w:hAnsi="Arial" w:cs="Arial"/>
          <w:b/>
          <w:sz w:val="24"/>
          <w:szCs w:val="24"/>
        </w:rPr>
        <w:t>Figura I.3.1.13</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particule</w:t>
      </w:r>
      <w:r>
        <w:rPr>
          <w:rFonts w:ascii="Arial" w:hAnsi="Arial" w:cs="Arial"/>
          <w:b/>
          <w:bCs/>
          <w:sz w:val="24"/>
          <w:szCs w:val="24"/>
        </w:rPr>
        <w:t xml:space="preserve"> din industrie</w:t>
      </w:r>
    </w:p>
    <w:p w:rsidR="00CA0B63" w:rsidRDefault="00CA0B63" w:rsidP="00CA0B63">
      <w:pPr>
        <w:tabs>
          <w:tab w:val="left" w:pos="3734"/>
        </w:tabs>
        <w:jc w:val="both"/>
        <w:rPr>
          <w:rFonts w:ascii="Arial" w:hAnsi="Arial" w:cs="Arial"/>
          <w:sz w:val="24"/>
          <w:szCs w:val="24"/>
        </w:rPr>
      </w:pPr>
      <w:r>
        <w:rPr>
          <w:rFonts w:ascii="Arial" w:hAnsi="Arial" w:cs="Arial"/>
          <w:sz w:val="24"/>
          <w:szCs w:val="24"/>
        </w:rPr>
        <w:lastRenderedPageBreak/>
        <w:t>Tendinţa variabilă a nivelului  emisiilor de PM10 se datorează fluctuaţiei producţiei în se</w:t>
      </w:r>
      <w:r>
        <w:rPr>
          <w:rFonts w:ascii="Arial" w:hAnsi="Arial" w:cs="Arial"/>
          <w:sz w:val="24"/>
          <w:szCs w:val="24"/>
        </w:rPr>
        <w:t>c</w:t>
      </w:r>
      <w:r>
        <w:rPr>
          <w:rFonts w:ascii="Arial" w:hAnsi="Arial" w:cs="Arial"/>
          <w:sz w:val="24"/>
          <w:szCs w:val="24"/>
        </w:rPr>
        <w:t>torul industriei alimentare în unităţile de pe teritoriul judeţului.</w:t>
      </w:r>
    </w:p>
    <w:p w:rsidR="00CA0B63" w:rsidRDefault="00CA0B63" w:rsidP="00CA0B63">
      <w:pPr>
        <w:spacing w:after="120" w:line="240" w:lineRule="auto"/>
        <w:rPr>
          <w:rFonts w:ascii="Arial" w:hAnsi="Arial" w:cs="Arial"/>
          <w:sz w:val="24"/>
          <w:szCs w:val="24"/>
        </w:rPr>
      </w:pPr>
      <w:r w:rsidRPr="00C3358B">
        <w:rPr>
          <w:rFonts w:ascii="Arial" w:hAnsi="Arial" w:cs="Arial"/>
          <w:sz w:val="24"/>
          <w:szCs w:val="24"/>
        </w:rPr>
        <w:t>Tendinţa emi</w:t>
      </w:r>
      <w:r>
        <w:rPr>
          <w:rFonts w:ascii="Arial" w:hAnsi="Arial" w:cs="Arial"/>
          <w:sz w:val="24"/>
          <w:szCs w:val="24"/>
        </w:rPr>
        <w:t>siilor</w:t>
      </w:r>
      <w:r w:rsidRPr="00C3358B">
        <w:rPr>
          <w:rFonts w:ascii="Arial" w:hAnsi="Arial" w:cs="Arial"/>
          <w:sz w:val="24"/>
          <w:szCs w:val="24"/>
        </w:rPr>
        <w:t xml:space="preserve"> de </w:t>
      </w:r>
      <w:r w:rsidRPr="00C3358B">
        <w:rPr>
          <w:rFonts w:ascii="Arial" w:hAnsi="Arial" w:cs="Arial"/>
          <w:bCs/>
          <w:sz w:val="24"/>
          <w:szCs w:val="24"/>
        </w:rPr>
        <w:t>particule primare şi precursori secundari de particule</w:t>
      </w:r>
      <w:r>
        <w:rPr>
          <w:rFonts w:ascii="Arial" w:hAnsi="Arial" w:cs="Arial"/>
          <w:bCs/>
          <w:sz w:val="24"/>
          <w:szCs w:val="24"/>
        </w:rPr>
        <w:t xml:space="preserve"> din transport</w:t>
      </w:r>
      <w:r w:rsidRPr="00C3358B">
        <w:rPr>
          <w:rFonts w:ascii="Arial" w:hAnsi="Arial" w:cs="Arial"/>
          <w:sz w:val="24"/>
          <w:szCs w:val="24"/>
        </w:rPr>
        <w:t>, la nivelul judeţului Buzău este prezentată în tabelul I.3</w:t>
      </w:r>
      <w:r>
        <w:rPr>
          <w:rFonts w:ascii="Arial" w:hAnsi="Arial" w:cs="Arial"/>
          <w:sz w:val="24"/>
          <w:szCs w:val="24"/>
        </w:rPr>
        <w:t>.1.14. şi figura I.3.1.14</w:t>
      </w:r>
      <w:r w:rsidRPr="00C3358B">
        <w:rPr>
          <w:rFonts w:ascii="Arial" w:hAnsi="Arial" w:cs="Arial"/>
          <w:sz w:val="24"/>
          <w:szCs w:val="24"/>
        </w:rPr>
        <w:t>.</w:t>
      </w:r>
    </w:p>
    <w:p w:rsidR="00CA0B63" w:rsidRDefault="00CA0B63" w:rsidP="00CA0B63">
      <w:pPr>
        <w:spacing w:after="120" w:line="240" w:lineRule="auto"/>
        <w:rPr>
          <w:rFonts w:ascii="Arial" w:hAnsi="Arial" w:cs="Arial"/>
          <w:sz w:val="24"/>
          <w:szCs w:val="24"/>
        </w:rPr>
      </w:pPr>
    </w:p>
    <w:tbl>
      <w:tblPr>
        <w:tblW w:w="6564" w:type="dxa"/>
        <w:jc w:val="center"/>
        <w:tblInd w:w="103" w:type="dxa"/>
        <w:tblLook w:val="04A0"/>
      </w:tblPr>
      <w:tblGrid>
        <w:gridCol w:w="1443"/>
        <w:gridCol w:w="1618"/>
        <w:gridCol w:w="1218"/>
        <w:gridCol w:w="2285"/>
      </w:tblGrid>
      <w:tr w:rsidR="00CA0B63" w:rsidRPr="008E164B" w:rsidTr="0056118B">
        <w:trPr>
          <w:trHeight w:val="9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8E164B" w:rsidRDefault="00CA0B63" w:rsidP="0056118B">
            <w:pPr>
              <w:spacing w:after="0" w:line="240" w:lineRule="auto"/>
              <w:jc w:val="center"/>
              <w:rPr>
                <w:rFonts w:ascii="Arial" w:eastAsia="Times New Roman" w:hAnsi="Arial" w:cs="Arial"/>
                <w:b/>
                <w:sz w:val="24"/>
                <w:szCs w:val="24"/>
                <w:lang w:eastAsia="ro-RO"/>
              </w:rPr>
            </w:pPr>
            <w:r w:rsidRPr="008E164B">
              <w:rPr>
                <w:rFonts w:ascii="Arial" w:eastAsia="Times New Roman" w:hAnsi="Arial" w:cs="Arial"/>
                <w:b/>
                <w:sz w:val="24"/>
                <w:szCs w:val="24"/>
                <w:lang w:eastAsia="ro-RO"/>
              </w:rPr>
              <w:t>POLUANT, mii tone</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CA0B63" w:rsidRPr="008E164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8E164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CA0B63" w:rsidRPr="008E164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8E164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8E164B" w:rsidRDefault="00CA0B63" w:rsidP="0056118B">
            <w:pPr>
              <w:spacing w:after="0" w:line="240" w:lineRule="auto"/>
              <w:jc w:val="center"/>
              <w:rPr>
                <w:rFonts w:ascii="Arial" w:eastAsia="Times New Roman" w:hAnsi="Arial" w:cs="Arial"/>
                <w:sz w:val="24"/>
                <w:szCs w:val="24"/>
                <w:lang w:eastAsia="ro-RO"/>
              </w:rPr>
            </w:pPr>
            <w:r w:rsidRPr="008E164B">
              <w:rPr>
                <w:rFonts w:ascii="Arial" w:eastAsia="Times New Roman" w:hAnsi="Arial" w:cs="Arial"/>
                <w:sz w:val="24"/>
                <w:szCs w:val="24"/>
                <w:lang w:eastAsia="ro-RO"/>
              </w:rPr>
              <w:t>PM2,5</w:t>
            </w:r>
          </w:p>
        </w:tc>
        <w:tc>
          <w:tcPr>
            <w:tcW w:w="1618" w:type="dxa"/>
            <w:tcBorders>
              <w:top w:val="nil"/>
              <w:left w:val="nil"/>
              <w:bottom w:val="single" w:sz="4" w:space="0" w:color="auto"/>
              <w:right w:val="single" w:sz="4" w:space="0" w:color="auto"/>
            </w:tcBorders>
            <w:shd w:val="clear" w:color="auto" w:fill="auto"/>
            <w:noWrap/>
            <w:vAlign w:val="center"/>
            <w:hideMark/>
          </w:tcPr>
          <w:p w:rsidR="00CA0B63" w:rsidRPr="008E164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E164B">
              <w:rPr>
                <w:rFonts w:ascii="Arial" w:eastAsia="Times New Roman" w:hAnsi="Arial" w:cs="Arial"/>
                <w:sz w:val="24"/>
                <w:szCs w:val="24"/>
                <w:lang w:eastAsia="ro-RO"/>
              </w:rPr>
              <w:t>092220758</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8E164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E164B">
              <w:rPr>
                <w:rFonts w:ascii="Arial" w:eastAsia="Times New Roman" w:hAnsi="Arial" w:cs="Arial"/>
                <w:sz w:val="24"/>
                <w:szCs w:val="24"/>
                <w:lang w:eastAsia="ro-RO"/>
              </w:rPr>
              <w:t>055908</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8E164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E164B">
              <w:rPr>
                <w:rFonts w:ascii="Arial" w:eastAsia="Times New Roman" w:hAnsi="Arial" w:cs="Arial"/>
                <w:sz w:val="24"/>
                <w:szCs w:val="24"/>
                <w:lang w:eastAsia="ro-RO"/>
              </w:rPr>
              <w:t>01295559654641</w:t>
            </w:r>
          </w:p>
        </w:tc>
      </w:tr>
      <w:tr w:rsidR="00CA0B63" w:rsidRPr="008E164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8E164B" w:rsidRDefault="00CA0B63" w:rsidP="0056118B">
            <w:pPr>
              <w:spacing w:after="0" w:line="240" w:lineRule="auto"/>
              <w:jc w:val="center"/>
              <w:rPr>
                <w:rFonts w:ascii="Arial" w:eastAsia="Times New Roman" w:hAnsi="Arial" w:cs="Arial"/>
                <w:sz w:val="24"/>
                <w:szCs w:val="24"/>
                <w:lang w:eastAsia="ro-RO"/>
              </w:rPr>
            </w:pPr>
            <w:r w:rsidRPr="008E164B">
              <w:rPr>
                <w:rFonts w:ascii="Arial" w:eastAsia="Times New Roman" w:hAnsi="Arial" w:cs="Arial"/>
                <w:sz w:val="24"/>
                <w:szCs w:val="24"/>
                <w:lang w:eastAsia="ro-RO"/>
              </w:rPr>
              <w:t>PM10</w:t>
            </w:r>
          </w:p>
        </w:tc>
        <w:tc>
          <w:tcPr>
            <w:tcW w:w="1618" w:type="dxa"/>
            <w:tcBorders>
              <w:top w:val="nil"/>
              <w:left w:val="nil"/>
              <w:bottom w:val="single" w:sz="4" w:space="0" w:color="auto"/>
              <w:right w:val="single" w:sz="4" w:space="0" w:color="auto"/>
            </w:tcBorders>
            <w:shd w:val="clear" w:color="auto" w:fill="auto"/>
            <w:noWrap/>
            <w:vAlign w:val="center"/>
            <w:hideMark/>
          </w:tcPr>
          <w:p w:rsidR="00CA0B63" w:rsidRPr="008E164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E164B">
              <w:rPr>
                <w:rFonts w:ascii="Arial" w:eastAsia="Times New Roman" w:hAnsi="Arial" w:cs="Arial"/>
                <w:sz w:val="24"/>
                <w:szCs w:val="24"/>
                <w:lang w:eastAsia="ro-RO"/>
              </w:rPr>
              <w:t>104264052</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8E164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E164B">
              <w:rPr>
                <w:rFonts w:ascii="Arial" w:eastAsia="Times New Roman" w:hAnsi="Arial" w:cs="Arial"/>
                <w:sz w:val="24"/>
                <w:szCs w:val="24"/>
                <w:lang w:eastAsia="ro-RO"/>
              </w:rPr>
              <w:t>063256</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8E164B" w:rsidRDefault="00FF72DB"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E164B">
              <w:rPr>
                <w:rFonts w:ascii="Arial" w:eastAsia="Times New Roman" w:hAnsi="Arial" w:cs="Arial"/>
                <w:sz w:val="24"/>
                <w:szCs w:val="24"/>
                <w:lang w:eastAsia="ro-RO"/>
              </w:rPr>
              <w:t>01299089887015</w:t>
            </w:r>
          </w:p>
        </w:tc>
      </w:tr>
    </w:tbl>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Tabel I.3.1.14</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w:t>
      </w:r>
      <w:r w:rsidRPr="00AA228F">
        <w:rPr>
          <w:rFonts w:ascii="Arial" w:hAnsi="Arial" w:cs="Arial"/>
          <w:b/>
          <w:bCs/>
          <w:sz w:val="24"/>
          <w:szCs w:val="24"/>
        </w:rPr>
        <w:t>r</w:t>
      </w:r>
      <w:r w:rsidRPr="00AA228F">
        <w:rPr>
          <w:rFonts w:ascii="Arial" w:hAnsi="Arial" w:cs="Arial"/>
          <w:b/>
          <w:bCs/>
          <w:sz w:val="24"/>
          <w:szCs w:val="24"/>
        </w:rPr>
        <w:t>ticule</w:t>
      </w:r>
      <w:r>
        <w:rPr>
          <w:rFonts w:ascii="Arial" w:hAnsi="Arial" w:cs="Arial"/>
          <w:b/>
          <w:bCs/>
          <w:sz w:val="24"/>
          <w:szCs w:val="24"/>
        </w:rPr>
        <w:t xml:space="preserve"> din transport</w:t>
      </w:r>
    </w:p>
    <w:p w:rsidR="00787E64" w:rsidRDefault="00787E64" w:rsidP="00787E64">
      <w:pPr>
        <w:spacing w:before="120" w:after="120" w:line="240" w:lineRule="auto"/>
        <w:jc w:val="center"/>
        <w:rPr>
          <w:rFonts w:ascii="Arial" w:hAnsi="Arial" w:cs="Arial"/>
          <w:b/>
          <w:bCs/>
          <w:sz w:val="24"/>
          <w:szCs w:val="24"/>
        </w:rPr>
      </w:pPr>
    </w:p>
    <w:p w:rsidR="00CA0B63" w:rsidRDefault="00CA0B63" w:rsidP="00CA0B63">
      <w:pPr>
        <w:jc w:val="center"/>
        <w:rPr>
          <w:rFonts w:ascii="Arial" w:hAnsi="Arial" w:cs="Arial"/>
          <w:b/>
          <w:sz w:val="24"/>
          <w:szCs w:val="24"/>
        </w:rPr>
      </w:pPr>
      <w:r w:rsidRPr="008E164B">
        <w:rPr>
          <w:rFonts w:ascii="Arial" w:hAnsi="Arial" w:cs="Arial"/>
          <w:b/>
          <w:noProof/>
          <w:sz w:val="24"/>
          <w:szCs w:val="24"/>
          <w:lang w:val="ro-RO" w:eastAsia="ro-RO"/>
        </w:rPr>
        <w:drawing>
          <wp:inline distT="0" distB="0" distL="0" distR="0">
            <wp:extent cx="3962400" cy="2743200"/>
            <wp:effectExtent l="19050" t="0" r="19050" b="0"/>
            <wp:docPr id="8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I.3.1.14</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particule</w:t>
      </w:r>
      <w:r>
        <w:rPr>
          <w:rFonts w:ascii="Arial" w:hAnsi="Arial" w:cs="Arial"/>
          <w:b/>
          <w:bCs/>
          <w:sz w:val="24"/>
          <w:szCs w:val="24"/>
        </w:rPr>
        <w:t xml:space="preserve"> din transport</w:t>
      </w:r>
    </w:p>
    <w:p w:rsidR="00CA0B63" w:rsidRPr="008E164B" w:rsidRDefault="00CA0B63" w:rsidP="00CA0B63">
      <w:pPr>
        <w:tabs>
          <w:tab w:val="left" w:pos="5325"/>
        </w:tabs>
        <w:jc w:val="both"/>
        <w:rPr>
          <w:rFonts w:ascii="Arial" w:hAnsi="Arial" w:cs="Arial"/>
          <w:sz w:val="24"/>
          <w:szCs w:val="24"/>
        </w:rPr>
      </w:pPr>
      <w:r w:rsidRPr="008E164B">
        <w:rPr>
          <w:rFonts w:ascii="Arial" w:hAnsi="Arial" w:cs="Arial"/>
          <w:sz w:val="24"/>
          <w:szCs w:val="24"/>
        </w:rPr>
        <w:t xml:space="preserve">Tendinţa descrescătoare a nivelului emisiilor de </w:t>
      </w:r>
      <w:r w:rsidRPr="008E164B">
        <w:rPr>
          <w:rFonts w:ascii="Arial" w:hAnsi="Arial" w:cs="Arial"/>
          <w:bCs/>
          <w:sz w:val="24"/>
          <w:szCs w:val="24"/>
        </w:rPr>
        <w:t>particule primare şi precursori secundari de particule</w:t>
      </w:r>
      <w:r w:rsidRPr="008E164B">
        <w:rPr>
          <w:rFonts w:ascii="Arial" w:hAnsi="Arial" w:cs="Arial"/>
          <w:sz w:val="24"/>
          <w:szCs w:val="24"/>
        </w:rPr>
        <w:t xml:space="preserve"> provenite din transport se datorează aplicării de noi strategii de optimizare a traficului şi de dezvoltare a transportului public.</w:t>
      </w:r>
    </w:p>
    <w:p w:rsidR="00CA0B63" w:rsidRDefault="00CA0B63" w:rsidP="00CA0B63">
      <w:pPr>
        <w:spacing w:after="120" w:line="240" w:lineRule="auto"/>
        <w:rPr>
          <w:rFonts w:ascii="Arial" w:hAnsi="Arial" w:cs="Arial"/>
          <w:sz w:val="24"/>
          <w:szCs w:val="24"/>
        </w:rPr>
      </w:pPr>
      <w:r w:rsidRPr="00C3358B">
        <w:rPr>
          <w:rFonts w:ascii="Arial" w:hAnsi="Arial" w:cs="Arial"/>
          <w:sz w:val="24"/>
          <w:szCs w:val="24"/>
        </w:rPr>
        <w:t>Tendinţa emi</w:t>
      </w:r>
      <w:r>
        <w:rPr>
          <w:rFonts w:ascii="Arial" w:hAnsi="Arial" w:cs="Arial"/>
          <w:sz w:val="24"/>
          <w:szCs w:val="24"/>
        </w:rPr>
        <w:t>siilor</w:t>
      </w:r>
      <w:r w:rsidRPr="00C3358B">
        <w:rPr>
          <w:rFonts w:ascii="Arial" w:hAnsi="Arial" w:cs="Arial"/>
          <w:sz w:val="24"/>
          <w:szCs w:val="24"/>
        </w:rPr>
        <w:t xml:space="preserve"> de </w:t>
      </w:r>
      <w:r w:rsidRPr="00C3358B">
        <w:rPr>
          <w:rFonts w:ascii="Arial" w:hAnsi="Arial" w:cs="Arial"/>
          <w:bCs/>
          <w:sz w:val="24"/>
          <w:szCs w:val="24"/>
        </w:rPr>
        <w:t>particule primare şi precursori secundari de particule</w:t>
      </w:r>
      <w:r>
        <w:rPr>
          <w:rFonts w:ascii="Arial" w:hAnsi="Arial" w:cs="Arial"/>
          <w:bCs/>
          <w:sz w:val="24"/>
          <w:szCs w:val="24"/>
        </w:rPr>
        <w:t xml:space="preserve"> din agricultură</w:t>
      </w:r>
      <w:r w:rsidRPr="00C3358B">
        <w:rPr>
          <w:rFonts w:ascii="Arial" w:hAnsi="Arial" w:cs="Arial"/>
          <w:sz w:val="24"/>
          <w:szCs w:val="24"/>
        </w:rPr>
        <w:t>, la nivelul judeţului Buzău este prezentată în tabelul I.3</w:t>
      </w:r>
      <w:r>
        <w:rPr>
          <w:rFonts w:ascii="Arial" w:hAnsi="Arial" w:cs="Arial"/>
          <w:sz w:val="24"/>
          <w:szCs w:val="24"/>
        </w:rPr>
        <w:t>.1.15. şi figura I.3.1.15</w:t>
      </w:r>
      <w:r w:rsidRPr="00C3358B">
        <w:rPr>
          <w:rFonts w:ascii="Arial" w:hAnsi="Arial" w:cs="Arial"/>
          <w:sz w:val="24"/>
          <w:szCs w:val="24"/>
        </w:rPr>
        <w:t>.</w:t>
      </w:r>
    </w:p>
    <w:p w:rsidR="00787E64" w:rsidRDefault="00787E64" w:rsidP="00CA0B63">
      <w:pPr>
        <w:spacing w:after="120" w:line="240" w:lineRule="auto"/>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843"/>
        <w:gridCol w:w="1984"/>
        <w:gridCol w:w="1985"/>
      </w:tblGrid>
      <w:tr w:rsidR="00CA0B63" w:rsidRPr="008E164B" w:rsidTr="00FF72DB">
        <w:trPr>
          <w:jc w:val="center"/>
        </w:trPr>
        <w:tc>
          <w:tcPr>
            <w:tcW w:w="1951" w:type="dxa"/>
            <w:vAlign w:val="center"/>
          </w:tcPr>
          <w:p w:rsidR="00CA0B63" w:rsidRPr="008E164B" w:rsidRDefault="00CA0B63" w:rsidP="00787E64">
            <w:pPr>
              <w:tabs>
                <w:tab w:val="left" w:pos="268"/>
              </w:tabs>
              <w:jc w:val="center"/>
              <w:rPr>
                <w:rFonts w:ascii="Arial" w:hAnsi="Arial" w:cs="Arial"/>
                <w:b/>
                <w:sz w:val="24"/>
                <w:szCs w:val="24"/>
              </w:rPr>
            </w:pPr>
            <w:r w:rsidRPr="008E164B">
              <w:rPr>
                <w:rFonts w:ascii="Arial" w:hAnsi="Arial" w:cs="Arial"/>
                <w:b/>
                <w:sz w:val="24"/>
                <w:szCs w:val="24"/>
              </w:rPr>
              <w:t>POLUANT, mii tone</w:t>
            </w:r>
          </w:p>
        </w:tc>
        <w:tc>
          <w:tcPr>
            <w:tcW w:w="1843" w:type="dxa"/>
            <w:vAlign w:val="center"/>
          </w:tcPr>
          <w:p w:rsidR="00CA0B63" w:rsidRPr="008E164B" w:rsidRDefault="00CA0B63" w:rsidP="00787E64">
            <w:pPr>
              <w:tabs>
                <w:tab w:val="left" w:pos="268"/>
              </w:tabs>
              <w:jc w:val="center"/>
              <w:rPr>
                <w:rFonts w:ascii="Arial" w:hAnsi="Arial" w:cs="Arial"/>
                <w:b/>
                <w:sz w:val="24"/>
                <w:szCs w:val="24"/>
              </w:rPr>
            </w:pPr>
            <w:r w:rsidRPr="008E164B">
              <w:rPr>
                <w:rFonts w:ascii="Arial" w:hAnsi="Arial" w:cs="Arial"/>
                <w:b/>
                <w:sz w:val="24"/>
                <w:szCs w:val="24"/>
              </w:rPr>
              <w:t>2012</w:t>
            </w:r>
          </w:p>
        </w:tc>
        <w:tc>
          <w:tcPr>
            <w:tcW w:w="1984" w:type="dxa"/>
            <w:vAlign w:val="center"/>
          </w:tcPr>
          <w:p w:rsidR="00CA0B63" w:rsidRPr="008E164B" w:rsidRDefault="00CA0B63" w:rsidP="00787E64">
            <w:pPr>
              <w:tabs>
                <w:tab w:val="left" w:pos="268"/>
              </w:tabs>
              <w:jc w:val="center"/>
              <w:rPr>
                <w:rFonts w:ascii="Arial" w:hAnsi="Arial" w:cs="Arial"/>
                <w:b/>
                <w:sz w:val="24"/>
                <w:szCs w:val="24"/>
              </w:rPr>
            </w:pPr>
            <w:r w:rsidRPr="008E164B">
              <w:rPr>
                <w:rFonts w:ascii="Arial" w:hAnsi="Arial" w:cs="Arial"/>
                <w:b/>
                <w:sz w:val="24"/>
                <w:szCs w:val="24"/>
              </w:rPr>
              <w:t>2013</w:t>
            </w:r>
          </w:p>
        </w:tc>
        <w:tc>
          <w:tcPr>
            <w:tcW w:w="1985" w:type="dxa"/>
            <w:vAlign w:val="center"/>
          </w:tcPr>
          <w:p w:rsidR="00CA0B63" w:rsidRPr="008E164B" w:rsidRDefault="00CA0B63" w:rsidP="00787E64">
            <w:pPr>
              <w:tabs>
                <w:tab w:val="left" w:pos="268"/>
              </w:tabs>
              <w:jc w:val="center"/>
              <w:rPr>
                <w:rFonts w:ascii="Arial" w:hAnsi="Arial" w:cs="Arial"/>
                <w:b/>
                <w:sz w:val="24"/>
                <w:szCs w:val="24"/>
              </w:rPr>
            </w:pPr>
            <w:r w:rsidRPr="008E164B">
              <w:rPr>
                <w:rFonts w:ascii="Arial" w:hAnsi="Arial" w:cs="Arial"/>
                <w:b/>
                <w:sz w:val="24"/>
                <w:szCs w:val="24"/>
              </w:rPr>
              <w:t>2014</w:t>
            </w:r>
          </w:p>
        </w:tc>
      </w:tr>
      <w:tr w:rsidR="00CA0B63" w:rsidRPr="008E164B" w:rsidTr="00FF72DB">
        <w:trPr>
          <w:jc w:val="center"/>
        </w:trPr>
        <w:tc>
          <w:tcPr>
            <w:tcW w:w="1951" w:type="dxa"/>
            <w:vAlign w:val="center"/>
          </w:tcPr>
          <w:p w:rsidR="00CA0B63" w:rsidRPr="008E164B" w:rsidRDefault="00CA0B63" w:rsidP="00787E64">
            <w:pPr>
              <w:jc w:val="center"/>
              <w:rPr>
                <w:rFonts w:ascii="Arial" w:hAnsi="Arial" w:cs="Arial"/>
                <w:color w:val="000000"/>
                <w:sz w:val="24"/>
                <w:szCs w:val="24"/>
              </w:rPr>
            </w:pPr>
            <w:r w:rsidRPr="008E164B">
              <w:rPr>
                <w:rFonts w:ascii="Arial" w:hAnsi="Arial" w:cs="Arial"/>
                <w:color w:val="000000"/>
                <w:sz w:val="24"/>
                <w:szCs w:val="24"/>
              </w:rPr>
              <w:t>PM10</w:t>
            </w:r>
          </w:p>
        </w:tc>
        <w:tc>
          <w:tcPr>
            <w:tcW w:w="1843" w:type="dxa"/>
            <w:vAlign w:val="center"/>
          </w:tcPr>
          <w:p w:rsidR="00CA0B63" w:rsidRPr="008E164B" w:rsidRDefault="00CA0B63" w:rsidP="00787E64">
            <w:pPr>
              <w:tabs>
                <w:tab w:val="left" w:pos="268"/>
              </w:tabs>
              <w:jc w:val="center"/>
              <w:rPr>
                <w:rFonts w:ascii="Arial" w:hAnsi="Arial" w:cs="Arial"/>
                <w:sz w:val="24"/>
                <w:szCs w:val="24"/>
              </w:rPr>
            </w:pPr>
            <w:r w:rsidRPr="008E164B">
              <w:rPr>
                <w:rFonts w:ascii="Arial" w:hAnsi="Arial" w:cs="Arial"/>
                <w:sz w:val="24"/>
                <w:szCs w:val="24"/>
              </w:rPr>
              <w:t>0,2692</w:t>
            </w:r>
          </w:p>
        </w:tc>
        <w:tc>
          <w:tcPr>
            <w:tcW w:w="1984" w:type="dxa"/>
            <w:vAlign w:val="center"/>
          </w:tcPr>
          <w:p w:rsidR="00CA0B63" w:rsidRPr="008E164B" w:rsidRDefault="00CA0B63" w:rsidP="00787E64">
            <w:pPr>
              <w:tabs>
                <w:tab w:val="left" w:pos="268"/>
              </w:tabs>
              <w:jc w:val="center"/>
              <w:rPr>
                <w:rFonts w:ascii="Arial" w:hAnsi="Arial" w:cs="Arial"/>
                <w:sz w:val="24"/>
                <w:szCs w:val="24"/>
              </w:rPr>
            </w:pPr>
            <w:r w:rsidRPr="008E164B">
              <w:rPr>
                <w:rFonts w:ascii="Arial" w:hAnsi="Arial" w:cs="Arial"/>
                <w:sz w:val="24"/>
                <w:szCs w:val="24"/>
              </w:rPr>
              <w:t>0,256009</w:t>
            </w:r>
          </w:p>
        </w:tc>
        <w:tc>
          <w:tcPr>
            <w:tcW w:w="1985" w:type="dxa"/>
            <w:vAlign w:val="center"/>
          </w:tcPr>
          <w:p w:rsidR="00CA0B63" w:rsidRPr="008E164B" w:rsidRDefault="00CA0B63" w:rsidP="00787E64">
            <w:pPr>
              <w:tabs>
                <w:tab w:val="left" w:pos="268"/>
              </w:tabs>
              <w:jc w:val="center"/>
              <w:rPr>
                <w:rFonts w:ascii="Arial" w:hAnsi="Arial" w:cs="Arial"/>
                <w:sz w:val="24"/>
                <w:szCs w:val="24"/>
              </w:rPr>
            </w:pPr>
            <w:r w:rsidRPr="008E164B">
              <w:rPr>
                <w:rFonts w:ascii="Arial" w:hAnsi="Arial" w:cs="Arial"/>
                <w:sz w:val="24"/>
                <w:szCs w:val="24"/>
              </w:rPr>
              <w:t>0,32321</w:t>
            </w:r>
          </w:p>
        </w:tc>
      </w:tr>
      <w:tr w:rsidR="00CA0B63" w:rsidRPr="008E164B" w:rsidTr="00FF72DB">
        <w:trPr>
          <w:jc w:val="center"/>
        </w:trPr>
        <w:tc>
          <w:tcPr>
            <w:tcW w:w="1951" w:type="dxa"/>
            <w:vAlign w:val="center"/>
          </w:tcPr>
          <w:p w:rsidR="00CA0B63" w:rsidRPr="008E164B" w:rsidRDefault="00CA0B63" w:rsidP="00787E64">
            <w:pPr>
              <w:tabs>
                <w:tab w:val="left" w:pos="268"/>
              </w:tabs>
              <w:jc w:val="center"/>
              <w:rPr>
                <w:rFonts w:ascii="Arial" w:hAnsi="Arial" w:cs="Arial"/>
                <w:sz w:val="24"/>
                <w:szCs w:val="24"/>
              </w:rPr>
            </w:pPr>
            <w:r w:rsidRPr="008E164B">
              <w:rPr>
                <w:rFonts w:ascii="Arial" w:hAnsi="Arial" w:cs="Arial"/>
                <w:sz w:val="24"/>
                <w:szCs w:val="24"/>
              </w:rPr>
              <w:t>PM2,5</w:t>
            </w:r>
          </w:p>
        </w:tc>
        <w:tc>
          <w:tcPr>
            <w:tcW w:w="1843" w:type="dxa"/>
            <w:vAlign w:val="center"/>
          </w:tcPr>
          <w:p w:rsidR="00CA0B63" w:rsidRPr="008E164B" w:rsidRDefault="00CA0B63" w:rsidP="00787E64">
            <w:pPr>
              <w:tabs>
                <w:tab w:val="left" w:pos="268"/>
              </w:tabs>
              <w:jc w:val="center"/>
              <w:rPr>
                <w:rFonts w:ascii="Arial" w:hAnsi="Arial" w:cs="Arial"/>
                <w:sz w:val="24"/>
                <w:szCs w:val="24"/>
              </w:rPr>
            </w:pPr>
            <w:r w:rsidRPr="008E164B">
              <w:rPr>
                <w:rFonts w:ascii="Arial" w:hAnsi="Arial" w:cs="Arial"/>
                <w:sz w:val="24"/>
                <w:szCs w:val="24"/>
              </w:rPr>
              <w:t>0,03112</w:t>
            </w:r>
          </w:p>
        </w:tc>
        <w:tc>
          <w:tcPr>
            <w:tcW w:w="1984" w:type="dxa"/>
            <w:vAlign w:val="center"/>
          </w:tcPr>
          <w:p w:rsidR="00CA0B63" w:rsidRPr="008E164B" w:rsidRDefault="00CA0B63" w:rsidP="00787E64">
            <w:pPr>
              <w:tabs>
                <w:tab w:val="left" w:pos="268"/>
              </w:tabs>
              <w:jc w:val="center"/>
              <w:rPr>
                <w:rFonts w:ascii="Arial" w:hAnsi="Arial" w:cs="Arial"/>
                <w:sz w:val="24"/>
                <w:szCs w:val="24"/>
              </w:rPr>
            </w:pPr>
            <w:r w:rsidRPr="008E164B">
              <w:rPr>
                <w:rFonts w:ascii="Arial" w:hAnsi="Arial" w:cs="Arial"/>
                <w:sz w:val="24"/>
                <w:szCs w:val="24"/>
              </w:rPr>
              <w:t>0,0024178</w:t>
            </w:r>
          </w:p>
        </w:tc>
        <w:tc>
          <w:tcPr>
            <w:tcW w:w="1985" w:type="dxa"/>
            <w:vAlign w:val="center"/>
          </w:tcPr>
          <w:p w:rsidR="00CA0B63" w:rsidRPr="008E164B" w:rsidRDefault="00CA0B63" w:rsidP="00787E64">
            <w:pPr>
              <w:tabs>
                <w:tab w:val="left" w:pos="268"/>
              </w:tabs>
              <w:jc w:val="center"/>
              <w:rPr>
                <w:rFonts w:ascii="Arial" w:hAnsi="Arial" w:cs="Arial"/>
                <w:sz w:val="24"/>
                <w:szCs w:val="24"/>
              </w:rPr>
            </w:pPr>
            <w:r w:rsidRPr="008E164B">
              <w:rPr>
                <w:rFonts w:ascii="Arial" w:hAnsi="Arial" w:cs="Arial"/>
                <w:sz w:val="24"/>
                <w:szCs w:val="24"/>
              </w:rPr>
              <w:t>0,02735</w:t>
            </w:r>
          </w:p>
        </w:tc>
      </w:tr>
    </w:tbl>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Tabel I.3.1.15</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w:t>
      </w:r>
      <w:r w:rsidRPr="00AA228F">
        <w:rPr>
          <w:rFonts w:ascii="Arial" w:hAnsi="Arial" w:cs="Arial"/>
          <w:b/>
          <w:bCs/>
          <w:sz w:val="24"/>
          <w:szCs w:val="24"/>
        </w:rPr>
        <w:t>r</w:t>
      </w:r>
      <w:r w:rsidRPr="00AA228F">
        <w:rPr>
          <w:rFonts w:ascii="Arial" w:hAnsi="Arial" w:cs="Arial"/>
          <w:b/>
          <w:bCs/>
          <w:sz w:val="24"/>
          <w:szCs w:val="24"/>
        </w:rPr>
        <w:t>ticule</w:t>
      </w:r>
      <w:r>
        <w:rPr>
          <w:rFonts w:ascii="Arial" w:hAnsi="Arial" w:cs="Arial"/>
          <w:b/>
          <w:bCs/>
          <w:sz w:val="24"/>
          <w:szCs w:val="24"/>
        </w:rPr>
        <w:t xml:space="preserve"> din agricultură</w:t>
      </w:r>
    </w:p>
    <w:p w:rsidR="00CA0B63" w:rsidRDefault="00CA0B63" w:rsidP="00CA0B63">
      <w:pPr>
        <w:tabs>
          <w:tab w:val="left" w:pos="268"/>
        </w:tabs>
        <w:jc w:val="center"/>
        <w:rPr>
          <w:rFonts w:ascii="Arial" w:hAnsi="Arial" w:cs="Arial"/>
          <w:sz w:val="24"/>
          <w:szCs w:val="24"/>
        </w:rPr>
      </w:pPr>
      <w:r w:rsidRPr="008E164B">
        <w:rPr>
          <w:rFonts w:ascii="Arial" w:hAnsi="Arial" w:cs="Arial"/>
          <w:noProof/>
          <w:sz w:val="24"/>
          <w:szCs w:val="24"/>
          <w:lang w:val="ro-RO" w:eastAsia="ro-RO"/>
        </w:rPr>
        <w:lastRenderedPageBreak/>
        <w:drawing>
          <wp:inline distT="0" distB="0" distL="0" distR="0">
            <wp:extent cx="4572000" cy="2743200"/>
            <wp:effectExtent l="19050" t="0" r="19050" b="0"/>
            <wp:docPr id="8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I.3.1.15</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 xml:space="preserve">de </w:t>
      </w:r>
      <w:r w:rsidRPr="00AA228F">
        <w:rPr>
          <w:rFonts w:ascii="Arial" w:hAnsi="Arial" w:cs="Arial"/>
          <w:b/>
          <w:bCs/>
          <w:sz w:val="24"/>
          <w:szCs w:val="24"/>
        </w:rPr>
        <w:t>particule primare şi precursori secundari de particule</w:t>
      </w:r>
      <w:r>
        <w:rPr>
          <w:rFonts w:ascii="Arial" w:hAnsi="Arial" w:cs="Arial"/>
          <w:b/>
          <w:bCs/>
          <w:sz w:val="24"/>
          <w:szCs w:val="24"/>
        </w:rPr>
        <w:t xml:space="preserve"> din agricultură</w:t>
      </w:r>
    </w:p>
    <w:p w:rsidR="00CA0B63" w:rsidRDefault="00CA0B63" w:rsidP="00CA0B63">
      <w:pPr>
        <w:jc w:val="both"/>
        <w:rPr>
          <w:rFonts w:ascii="Arial" w:hAnsi="Arial" w:cs="Arial"/>
          <w:sz w:val="24"/>
          <w:szCs w:val="24"/>
        </w:rPr>
      </w:pPr>
      <w:r>
        <w:rPr>
          <w:rFonts w:ascii="Arial" w:hAnsi="Arial" w:cs="Arial"/>
          <w:sz w:val="24"/>
          <w:szCs w:val="24"/>
        </w:rPr>
        <w:t>Uşoara tendinţă de creştere a emisiilor de PM10 se datorează creşterii numărului de op</w:t>
      </w:r>
      <w:r>
        <w:rPr>
          <w:rFonts w:ascii="Arial" w:hAnsi="Arial" w:cs="Arial"/>
          <w:sz w:val="24"/>
          <w:szCs w:val="24"/>
        </w:rPr>
        <w:t>e</w:t>
      </w:r>
      <w:r>
        <w:rPr>
          <w:rFonts w:ascii="Arial" w:hAnsi="Arial" w:cs="Arial"/>
          <w:sz w:val="24"/>
          <w:szCs w:val="24"/>
        </w:rPr>
        <w:t>ratori cuprinşi în Inventarul local de emisii.</w:t>
      </w:r>
    </w:p>
    <w:p w:rsidR="00CA0B63" w:rsidRPr="00890891" w:rsidRDefault="00CA0B63" w:rsidP="00CA0B63">
      <w:pPr>
        <w:spacing w:after="120" w:line="240" w:lineRule="auto"/>
        <w:rPr>
          <w:rFonts w:ascii="Arial" w:hAnsi="Arial" w:cs="Arial"/>
          <w:b/>
          <w:sz w:val="24"/>
          <w:szCs w:val="24"/>
        </w:rPr>
      </w:pPr>
      <w:r w:rsidRPr="00890891">
        <w:rPr>
          <w:rFonts w:ascii="Arial" w:hAnsi="Arial" w:cs="Arial"/>
          <w:b/>
          <w:sz w:val="24"/>
          <w:szCs w:val="24"/>
        </w:rPr>
        <w:t xml:space="preserve">d) </w:t>
      </w:r>
      <w:r w:rsidRPr="00890891">
        <w:rPr>
          <w:rFonts w:ascii="Arial" w:hAnsi="Arial" w:cs="Arial"/>
          <w:b/>
          <w:bCs/>
          <w:sz w:val="24"/>
          <w:szCs w:val="24"/>
        </w:rPr>
        <w:t>Emisii de metale grele</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siilor</w:t>
      </w:r>
      <w:r w:rsidRPr="00C3358B">
        <w:rPr>
          <w:rFonts w:ascii="Arial" w:hAnsi="Arial" w:cs="Arial"/>
          <w:sz w:val="24"/>
          <w:szCs w:val="24"/>
        </w:rPr>
        <w:t xml:space="preserve"> </w:t>
      </w:r>
      <w:r>
        <w:rPr>
          <w:rFonts w:ascii="Arial" w:hAnsi="Arial" w:cs="Arial"/>
          <w:sz w:val="24"/>
          <w:szCs w:val="24"/>
        </w:rPr>
        <w:t xml:space="preserve">totale </w:t>
      </w:r>
      <w:r w:rsidRPr="00C3358B">
        <w:rPr>
          <w:rFonts w:ascii="Arial" w:hAnsi="Arial" w:cs="Arial"/>
          <w:sz w:val="24"/>
          <w:szCs w:val="24"/>
        </w:rPr>
        <w:t>de</w:t>
      </w:r>
      <w:r>
        <w:rPr>
          <w:rFonts w:ascii="Arial" w:hAnsi="Arial" w:cs="Arial"/>
          <w:sz w:val="24"/>
          <w:szCs w:val="24"/>
        </w:rPr>
        <w:t xml:space="preserve"> metale grele</w:t>
      </w:r>
      <w:r w:rsidRPr="00C3358B">
        <w:rPr>
          <w:rFonts w:ascii="Arial" w:hAnsi="Arial" w:cs="Arial"/>
          <w:sz w:val="24"/>
          <w:szCs w:val="24"/>
        </w:rPr>
        <w:t>, la nivelul judeţului Buzău este prezentată în tab</w:t>
      </w:r>
      <w:r w:rsidRPr="00C3358B">
        <w:rPr>
          <w:rFonts w:ascii="Arial" w:hAnsi="Arial" w:cs="Arial"/>
          <w:sz w:val="24"/>
          <w:szCs w:val="24"/>
        </w:rPr>
        <w:t>e</w:t>
      </w:r>
      <w:r w:rsidRPr="00C3358B">
        <w:rPr>
          <w:rFonts w:ascii="Arial" w:hAnsi="Arial" w:cs="Arial"/>
          <w:sz w:val="24"/>
          <w:szCs w:val="24"/>
        </w:rPr>
        <w:t>lul I.3</w:t>
      </w:r>
      <w:r>
        <w:rPr>
          <w:rFonts w:ascii="Arial" w:hAnsi="Arial" w:cs="Arial"/>
          <w:sz w:val="24"/>
          <w:szCs w:val="24"/>
        </w:rPr>
        <w:t>.1.16. şi figura I.3.1.16</w:t>
      </w:r>
      <w:r w:rsidRPr="00C3358B">
        <w:rPr>
          <w:rFonts w:ascii="Arial" w:hAnsi="Arial" w:cs="Arial"/>
          <w:sz w:val="24"/>
          <w:szCs w:val="24"/>
        </w:rPr>
        <w:t>.</w:t>
      </w:r>
    </w:p>
    <w:p w:rsidR="00CA0B63" w:rsidRDefault="00CA0B63" w:rsidP="00CA0B63">
      <w:pPr>
        <w:spacing w:after="120" w:line="240" w:lineRule="auto"/>
        <w:jc w:val="both"/>
        <w:rPr>
          <w:rFonts w:ascii="Arial" w:hAnsi="Arial" w:cs="Arial"/>
          <w:sz w:val="24"/>
          <w:szCs w:val="24"/>
        </w:rPr>
      </w:pPr>
    </w:p>
    <w:tbl>
      <w:tblPr>
        <w:tblW w:w="4616" w:type="dxa"/>
        <w:jc w:val="center"/>
        <w:tblInd w:w="-98" w:type="dxa"/>
        <w:tblLook w:val="04A0"/>
      </w:tblPr>
      <w:tblGrid>
        <w:gridCol w:w="1618"/>
        <w:gridCol w:w="1078"/>
        <w:gridCol w:w="960"/>
        <w:gridCol w:w="960"/>
      </w:tblGrid>
      <w:tr w:rsidR="00CA0B63" w:rsidRPr="00957173" w:rsidTr="0056118B">
        <w:trPr>
          <w:trHeight w:val="600"/>
          <w:jc w:val="center"/>
        </w:trPr>
        <w:tc>
          <w:tcPr>
            <w:tcW w:w="1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957173" w:rsidRDefault="00CA0B63" w:rsidP="0056118B">
            <w:pPr>
              <w:spacing w:after="0" w:line="240" w:lineRule="auto"/>
              <w:jc w:val="center"/>
              <w:rPr>
                <w:rFonts w:ascii="Arial" w:eastAsia="Times New Roman" w:hAnsi="Arial" w:cs="Arial"/>
                <w:b/>
                <w:sz w:val="24"/>
                <w:szCs w:val="24"/>
                <w:lang w:eastAsia="ro-RO"/>
              </w:rPr>
            </w:pPr>
            <w:r w:rsidRPr="00957173">
              <w:rPr>
                <w:rFonts w:ascii="Arial" w:eastAsia="Times New Roman" w:hAnsi="Arial" w:cs="Arial"/>
                <w:b/>
                <w:sz w:val="24"/>
                <w:szCs w:val="24"/>
                <w:lang w:eastAsia="ro-RO"/>
              </w:rPr>
              <w:t>POLUANT, tone</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CA0B63" w:rsidRPr="00957173"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957173"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957173"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957173" w:rsidTr="0056118B">
        <w:trPr>
          <w:trHeight w:val="300"/>
          <w:jc w:val="center"/>
        </w:trPr>
        <w:tc>
          <w:tcPr>
            <w:tcW w:w="1618" w:type="dxa"/>
            <w:tcBorders>
              <w:top w:val="nil"/>
              <w:left w:val="single" w:sz="4" w:space="0" w:color="auto"/>
              <w:bottom w:val="single" w:sz="4" w:space="0" w:color="auto"/>
              <w:right w:val="single" w:sz="4" w:space="0" w:color="auto"/>
            </w:tcBorders>
            <w:shd w:val="clear" w:color="auto" w:fill="auto"/>
            <w:vAlign w:val="center"/>
            <w:hideMark/>
          </w:tcPr>
          <w:p w:rsidR="00CA0B63" w:rsidRPr="00957173" w:rsidRDefault="00CA0B63" w:rsidP="0056118B">
            <w:pPr>
              <w:spacing w:after="0" w:line="240" w:lineRule="auto"/>
              <w:jc w:val="center"/>
              <w:rPr>
                <w:rFonts w:ascii="Arial" w:eastAsia="Times New Roman" w:hAnsi="Arial" w:cs="Arial"/>
                <w:sz w:val="24"/>
                <w:szCs w:val="24"/>
                <w:lang w:eastAsia="ro-RO"/>
              </w:rPr>
            </w:pPr>
            <w:r w:rsidRPr="00957173">
              <w:rPr>
                <w:rFonts w:ascii="Arial" w:eastAsia="Times New Roman" w:hAnsi="Arial" w:cs="Arial"/>
                <w:sz w:val="24"/>
                <w:szCs w:val="24"/>
                <w:lang w:eastAsia="ro-RO"/>
              </w:rPr>
              <w:t>Pb</w:t>
            </w:r>
          </w:p>
        </w:tc>
        <w:tc>
          <w:tcPr>
            <w:tcW w:w="1078"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32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29</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64236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377</w:t>
            </w:r>
          </w:p>
        </w:tc>
      </w:tr>
      <w:tr w:rsidR="00CA0B63" w:rsidRPr="00957173" w:rsidTr="0056118B">
        <w:trPr>
          <w:trHeight w:val="300"/>
          <w:jc w:val="center"/>
        </w:trPr>
        <w:tc>
          <w:tcPr>
            <w:tcW w:w="1618" w:type="dxa"/>
            <w:tcBorders>
              <w:top w:val="nil"/>
              <w:left w:val="single" w:sz="4" w:space="0" w:color="auto"/>
              <w:bottom w:val="single" w:sz="4" w:space="0" w:color="auto"/>
              <w:right w:val="single" w:sz="4" w:space="0" w:color="auto"/>
            </w:tcBorders>
            <w:shd w:val="clear" w:color="auto" w:fill="auto"/>
            <w:vAlign w:val="center"/>
            <w:hideMark/>
          </w:tcPr>
          <w:p w:rsidR="00CA0B63" w:rsidRPr="00957173" w:rsidRDefault="00CA0B63" w:rsidP="0056118B">
            <w:pPr>
              <w:spacing w:after="0" w:line="240" w:lineRule="auto"/>
              <w:jc w:val="center"/>
              <w:rPr>
                <w:rFonts w:ascii="Arial" w:eastAsia="Times New Roman" w:hAnsi="Arial" w:cs="Arial"/>
                <w:sz w:val="24"/>
                <w:szCs w:val="24"/>
                <w:lang w:eastAsia="ro-RO"/>
              </w:rPr>
            </w:pPr>
            <w:r w:rsidRPr="00957173">
              <w:rPr>
                <w:rFonts w:ascii="Arial" w:eastAsia="Times New Roman" w:hAnsi="Arial" w:cs="Arial"/>
                <w:sz w:val="24"/>
                <w:szCs w:val="24"/>
                <w:lang w:eastAsia="ro-RO"/>
              </w:rPr>
              <w:t>Cd</w:t>
            </w:r>
          </w:p>
        </w:tc>
        <w:tc>
          <w:tcPr>
            <w:tcW w:w="1078"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096</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01</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0134</w:t>
            </w:r>
          </w:p>
        </w:tc>
      </w:tr>
      <w:tr w:rsidR="00CA0B63" w:rsidRPr="00957173" w:rsidTr="0056118B">
        <w:trPr>
          <w:trHeight w:val="300"/>
          <w:jc w:val="center"/>
        </w:trPr>
        <w:tc>
          <w:tcPr>
            <w:tcW w:w="1618" w:type="dxa"/>
            <w:tcBorders>
              <w:top w:val="nil"/>
              <w:left w:val="single" w:sz="4" w:space="0" w:color="auto"/>
              <w:bottom w:val="single" w:sz="4" w:space="0" w:color="auto"/>
              <w:right w:val="single" w:sz="4" w:space="0" w:color="auto"/>
            </w:tcBorders>
            <w:shd w:val="clear" w:color="auto" w:fill="auto"/>
            <w:vAlign w:val="center"/>
            <w:hideMark/>
          </w:tcPr>
          <w:p w:rsidR="00CA0B63" w:rsidRPr="00957173" w:rsidRDefault="00CA0B63" w:rsidP="0056118B">
            <w:pPr>
              <w:spacing w:after="0" w:line="240" w:lineRule="auto"/>
              <w:jc w:val="center"/>
              <w:rPr>
                <w:rFonts w:ascii="Arial" w:eastAsia="Times New Roman" w:hAnsi="Arial" w:cs="Arial"/>
                <w:sz w:val="24"/>
                <w:szCs w:val="24"/>
                <w:lang w:eastAsia="ro-RO"/>
              </w:rPr>
            </w:pPr>
            <w:r w:rsidRPr="00957173">
              <w:rPr>
                <w:rFonts w:ascii="Arial" w:eastAsia="Times New Roman" w:hAnsi="Arial" w:cs="Arial"/>
                <w:sz w:val="24"/>
                <w:szCs w:val="24"/>
                <w:lang w:eastAsia="ro-RO"/>
              </w:rPr>
              <w:t>Hg</w:t>
            </w:r>
          </w:p>
        </w:tc>
        <w:tc>
          <w:tcPr>
            <w:tcW w:w="1078"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035</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003</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957173"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957173">
              <w:rPr>
                <w:rFonts w:ascii="Arial" w:eastAsia="Times New Roman" w:hAnsi="Arial" w:cs="Arial"/>
                <w:sz w:val="24"/>
                <w:szCs w:val="24"/>
                <w:lang w:eastAsia="ro-RO"/>
              </w:rPr>
              <w:t>0053</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I.3.1.16</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totale </w:t>
      </w:r>
      <w:r w:rsidRPr="00EF48EE">
        <w:rPr>
          <w:rFonts w:ascii="Arial" w:hAnsi="Arial" w:cs="Arial"/>
          <w:b/>
          <w:bCs/>
          <w:color w:val="000000"/>
          <w:sz w:val="24"/>
          <w:szCs w:val="24"/>
        </w:rPr>
        <w:t>de</w:t>
      </w:r>
      <w:r>
        <w:rPr>
          <w:rFonts w:ascii="Arial" w:hAnsi="Arial" w:cs="Arial"/>
          <w:b/>
          <w:bCs/>
          <w:color w:val="000000"/>
          <w:sz w:val="24"/>
          <w:szCs w:val="24"/>
        </w:rPr>
        <w:t xml:space="preserve"> metale grele</w:t>
      </w:r>
    </w:p>
    <w:p w:rsidR="00787E64" w:rsidRDefault="00787E64" w:rsidP="00787E64">
      <w:pPr>
        <w:spacing w:before="120" w:after="120" w:line="240" w:lineRule="auto"/>
        <w:jc w:val="center"/>
        <w:rPr>
          <w:rFonts w:ascii="Arial" w:hAnsi="Arial" w:cs="Arial"/>
          <w:b/>
          <w:bCs/>
          <w:sz w:val="24"/>
          <w:szCs w:val="24"/>
        </w:rPr>
      </w:pPr>
    </w:p>
    <w:p w:rsidR="00CA0B63" w:rsidRDefault="00CA0B63" w:rsidP="00CA0B63">
      <w:pPr>
        <w:jc w:val="center"/>
        <w:rPr>
          <w:rFonts w:ascii="Arial" w:hAnsi="Arial" w:cs="Arial"/>
          <w:sz w:val="24"/>
          <w:szCs w:val="24"/>
        </w:rPr>
      </w:pPr>
      <w:r w:rsidRPr="00957173">
        <w:rPr>
          <w:rFonts w:ascii="Arial" w:hAnsi="Arial" w:cs="Arial"/>
          <w:noProof/>
          <w:sz w:val="24"/>
          <w:szCs w:val="24"/>
          <w:lang w:val="ro-RO" w:eastAsia="ro-RO"/>
        </w:rPr>
        <w:drawing>
          <wp:inline distT="0" distB="0" distL="0" distR="0">
            <wp:extent cx="3962400" cy="2743200"/>
            <wp:effectExtent l="19050" t="0" r="19050" b="0"/>
            <wp:docPr id="8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I.3.1.16</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totale </w:t>
      </w:r>
      <w:r w:rsidRPr="00EF48EE">
        <w:rPr>
          <w:rFonts w:ascii="Arial" w:hAnsi="Arial" w:cs="Arial"/>
          <w:b/>
          <w:bCs/>
          <w:color w:val="000000"/>
          <w:sz w:val="24"/>
          <w:szCs w:val="24"/>
        </w:rPr>
        <w:t>de</w:t>
      </w:r>
      <w:r>
        <w:rPr>
          <w:rFonts w:ascii="Arial" w:hAnsi="Arial" w:cs="Arial"/>
          <w:b/>
          <w:bCs/>
          <w:color w:val="000000"/>
          <w:sz w:val="24"/>
          <w:szCs w:val="24"/>
        </w:rPr>
        <w:t xml:space="preserve"> metale grele</w:t>
      </w:r>
    </w:p>
    <w:p w:rsidR="00CA0B63" w:rsidRDefault="00CA0B63" w:rsidP="00CA0B63">
      <w:pPr>
        <w:tabs>
          <w:tab w:val="left" w:pos="251"/>
        </w:tabs>
        <w:jc w:val="both"/>
        <w:rPr>
          <w:rFonts w:ascii="Arial" w:hAnsi="Arial" w:cs="Arial"/>
          <w:sz w:val="24"/>
          <w:szCs w:val="24"/>
        </w:rPr>
      </w:pPr>
      <w:r>
        <w:rPr>
          <w:rFonts w:ascii="Arial" w:hAnsi="Arial" w:cs="Arial"/>
          <w:sz w:val="24"/>
          <w:szCs w:val="24"/>
        </w:rPr>
        <w:lastRenderedPageBreak/>
        <w:t>Din datele prezentate mai sus, se observă o tendinţă de păstrare a nivelului emisiilor de metale grele la nivelul judeţului, variaţiile mici care apar datorându-se cantităţilor diferite de combustibili utilizate de la an la an şi a nivelului variabil al producţiei.</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 xml:space="preserve">siilor </w:t>
      </w:r>
      <w:r w:rsidRPr="00C3358B">
        <w:rPr>
          <w:rFonts w:ascii="Arial" w:hAnsi="Arial" w:cs="Arial"/>
          <w:sz w:val="24"/>
          <w:szCs w:val="24"/>
        </w:rPr>
        <w:t>de</w:t>
      </w:r>
      <w:r>
        <w:rPr>
          <w:rFonts w:ascii="Arial" w:hAnsi="Arial" w:cs="Arial"/>
          <w:sz w:val="24"/>
          <w:szCs w:val="24"/>
        </w:rPr>
        <w:t xml:space="preserve"> metale grele din energie</w:t>
      </w:r>
      <w:r w:rsidRPr="00C3358B">
        <w:rPr>
          <w:rFonts w:ascii="Arial" w:hAnsi="Arial" w:cs="Arial"/>
          <w:sz w:val="24"/>
          <w:szCs w:val="24"/>
        </w:rPr>
        <w:t>, la nivelul judeţului Buzău este prezentată în tabelul I.3</w:t>
      </w:r>
      <w:r>
        <w:rPr>
          <w:rFonts w:ascii="Arial" w:hAnsi="Arial" w:cs="Arial"/>
          <w:sz w:val="24"/>
          <w:szCs w:val="24"/>
        </w:rPr>
        <w:t>.1.17. şi figura I.3.1.17</w:t>
      </w:r>
      <w:r w:rsidRPr="00C3358B">
        <w:rPr>
          <w:rFonts w:ascii="Arial" w:hAnsi="Arial" w:cs="Arial"/>
          <w:sz w:val="24"/>
          <w:szCs w:val="24"/>
        </w:rPr>
        <w:t>.</w:t>
      </w:r>
    </w:p>
    <w:p w:rsidR="00787E64" w:rsidRDefault="00787E64" w:rsidP="00CA0B63">
      <w:pPr>
        <w:spacing w:after="120" w:line="240" w:lineRule="auto"/>
        <w:jc w:val="both"/>
        <w:rPr>
          <w:rFonts w:ascii="Arial" w:hAnsi="Arial" w:cs="Arial"/>
          <w:sz w:val="24"/>
          <w:szCs w:val="24"/>
        </w:rPr>
      </w:pPr>
    </w:p>
    <w:tbl>
      <w:tblPr>
        <w:tblW w:w="6843" w:type="dxa"/>
        <w:jc w:val="center"/>
        <w:tblInd w:w="103" w:type="dxa"/>
        <w:tblLook w:val="04A0"/>
      </w:tblPr>
      <w:tblGrid>
        <w:gridCol w:w="1443"/>
        <w:gridCol w:w="1880"/>
        <w:gridCol w:w="1760"/>
        <w:gridCol w:w="1760"/>
      </w:tblGrid>
      <w:tr w:rsidR="00CA0B63" w:rsidRPr="00601259" w:rsidTr="0056118B">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b/>
                <w:sz w:val="24"/>
                <w:szCs w:val="24"/>
                <w:lang w:eastAsia="ro-RO"/>
              </w:rPr>
            </w:pPr>
            <w:r w:rsidRPr="00601259">
              <w:rPr>
                <w:rFonts w:ascii="Arial" w:eastAsia="Times New Roman" w:hAnsi="Arial" w:cs="Arial"/>
                <w:b/>
                <w:sz w:val="24"/>
                <w:szCs w:val="24"/>
                <w:lang w:eastAsia="ro-RO"/>
              </w:rPr>
              <w:t>POLUANT, tone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A0B63" w:rsidRPr="00601259"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601259"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601259"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601259"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Pb</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286501826</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264718264</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291104838</w:t>
            </w:r>
          </w:p>
        </w:tc>
      </w:tr>
      <w:tr w:rsidR="00CA0B63" w:rsidRPr="00601259"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Cd</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095722389</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CA0B63" w:rsidP="00642360">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0</w:t>
            </w:r>
            <w:r w:rsidR="00642360">
              <w:rPr>
                <w:rFonts w:ascii="Arial" w:eastAsia="Times New Roman" w:hAnsi="Arial" w:cs="Arial"/>
                <w:sz w:val="24"/>
                <w:szCs w:val="24"/>
                <w:lang w:eastAsia="ro-RO"/>
              </w:rPr>
              <w:t>,</w:t>
            </w:r>
            <w:r w:rsidRPr="00601259">
              <w:rPr>
                <w:rFonts w:ascii="Arial" w:eastAsia="Times New Roman" w:hAnsi="Arial" w:cs="Arial"/>
                <w:sz w:val="24"/>
                <w:szCs w:val="24"/>
                <w:lang w:eastAsia="ro-RO"/>
              </w:rPr>
              <w:t>00978953</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011027801</w:t>
            </w:r>
          </w:p>
        </w:tc>
      </w:tr>
      <w:tr w:rsidR="00CA0B63" w:rsidRPr="00601259"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Hg</w:t>
            </w:r>
          </w:p>
        </w:tc>
        <w:tc>
          <w:tcPr>
            <w:tcW w:w="188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035038726</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003790637</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004487604</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I.3.1.17</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metale grele din energie</w:t>
      </w:r>
    </w:p>
    <w:p w:rsidR="00787E64" w:rsidRDefault="00787E64" w:rsidP="00787E64">
      <w:pPr>
        <w:spacing w:before="120" w:after="120" w:line="240" w:lineRule="auto"/>
        <w:jc w:val="center"/>
        <w:rPr>
          <w:rFonts w:ascii="Arial" w:hAnsi="Arial" w:cs="Arial"/>
          <w:b/>
          <w:bCs/>
          <w:sz w:val="24"/>
          <w:szCs w:val="24"/>
        </w:rPr>
      </w:pPr>
    </w:p>
    <w:p w:rsidR="00CA0B63" w:rsidRDefault="00CA0B63" w:rsidP="00CA0B63">
      <w:pPr>
        <w:jc w:val="center"/>
        <w:rPr>
          <w:rFonts w:ascii="Arial" w:hAnsi="Arial" w:cs="Arial"/>
          <w:sz w:val="24"/>
          <w:szCs w:val="24"/>
        </w:rPr>
      </w:pPr>
      <w:r w:rsidRPr="00601259">
        <w:rPr>
          <w:rFonts w:ascii="Arial" w:hAnsi="Arial" w:cs="Arial"/>
          <w:noProof/>
          <w:sz w:val="24"/>
          <w:szCs w:val="24"/>
          <w:lang w:val="ro-RO" w:eastAsia="ro-RO"/>
        </w:rPr>
        <w:drawing>
          <wp:inline distT="0" distB="0" distL="0" distR="0">
            <wp:extent cx="3962400" cy="2743200"/>
            <wp:effectExtent l="19050" t="0" r="19050" b="0"/>
            <wp:docPr id="8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I.3.1.17</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metale grele din energie</w:t>
      </w:r>
    </w:p>
    <w:p w:rsidR="00CA0B63" w:rsidRDefault="00CA0B63" w:rsidP="00CA0B63">
      <w:pPr>
        <w:tabs>
          <w:tab w:val="left" w:pos="251"/>
        </w:tabs>
        <w:jc w:val="both"/>
        <w:rPr>
          <w:rFonts w:ascii="Arial" w:hAnsi="Arial" w:cs="Arial"/>
          <w:sz w:val="24"/>
          <w:szCs w:val="24"/>
        </w:rPr>
      </w:pPr>
      <w:r>
        <w:rPr>
          <w:rFonts w:ascii="Arial" w:hAnsi="Arial" w:cs="Arial"/>
          <w:sz w:val="24"/>
          <w:szCs w:val="24"/>
        </w:rPr>
        <w:t>Din datele prezentate mai sus, se observă o tendinţă de păstrare a nivelului emisiilor de metale grele la nivelul judeţului, variaţiile mici care apar datorându-se cantităţilor diferite de combustibili utilizate de la an la an.</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 xml:space="preserve">siilor </w:t>
      </w:r>
      <w:r w:rsidRPr="00C3358B">
        <w:rPr>
          <w:rFonts w:ascii="Arial" w:hAnsi="Arial" w:cs="Arial"/>
          <w:sz w:val="24"/>
          <w:szCs w:val="24"/>
        </w:rPr>
        <w:t>de</w:t>
      </w:r>
      <w:r>
        <w:rPr>
          <w:rFonts w:ascii="Arial" w:hAnsi="Arial" w:cs="Arial"/>
          <w:sz w:val="24"/>
          <w:szCs w:val="24"/>
        </w:rPr>
        <w:t xml:space="preserve"> metale grele din industrie</w:t>
      </w:r>
      <w:r w:rsidRPr="00C3358B">
        <w:rPr>
          <w:rFonts w:ascii="Arial" w:hAnsi="Arial" w:cs="Arial"/>
          <w:sz w:val="24"/>
          <w:szCs w:val="24"/>
        </w:rPr>
        <w:t>, la nivelul judeţului Buzău este prezentată în tabelul I.3</w:t>
      </w:r>
      <w:r>
        <w:rPr>
          <w:rFonts w:ascii="Arial" w:hAnsi="Arial" w:cs="Arial"/>
          <w:sz w:val="24"/>
          <w:szCs w:val="24"/>
        </w:rPr>
        <w:t>.1.18. şi figura I.3.1.18</w:t>
      </w:r>
      <w:r w:rsidRPr="00C3358B">
        <w:rPr>
          <w:rFonts w:ascii="Arial" w:hAnsi="Arial" w:cs="Arial"/>
          <w:sz w:val="24"/>
          <w:szCs w:val="24"/>
        </w:rPr>
        <w:t>.</w:t>
      </w:r>
    </w:p>
    <w:p w:rsidR="00787E64" w:rsidRDefault="00787E64" w:rsidP="00CA0B63">
      <w:pPr>
        <w:spacing w:after="120" w:line="240" w:lineRule="auto"/>
        <w:jc w:val="both"/>
        <w:rPr>
          <w:rFonts w:ascii="Arial" w:hAnsi="Arial" w:cs="Arial"/>
          <w:sz w:val="24"/>
          <w:szCs w:val="24"/>
        </w:rPr>
      </w:pPr>
    </w:p>
    <w:tbl>
      <w:tblPr>
        <w:tblW w:w="7243" w:type="dxa"/>
        <w:jc w:val="center"/>
        <w:tblInd w:w="103" w:type="dxa"/>
        <w:tblLook w:val="04A0"/>
      </w:tblPr>
      <w:tblGrid>
        <w:gridCol w:w="1443"/>
        <w:gridCol w:w="1760"/>
        <w:gridCol w:w="2280"/>
        <w:gridCol w:w="1760"/>
      </w:tblGrid>
      <w:tr w:rsidR="00CA0B63" w:rsidRPr="00601259" w:rsidTr="0056118B">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b/>
                <w:sz w:val="24"/>
                <w:szCs w:val="24"/>
                <w:lang w:eastAsia="ro-RO"/>
              </w:rPr>
            </w:pPr>
            <w:r w:rsidRPr="00601259">
              <w:rPr>
                <w:rFonts w:ascii="Arial" w:eastAsia="Times New Roman" w:hAnsi="Arial" w:cs="Arial"/>
                <w:b/>
                <w:sz w:val="24"/>
                <w:szCs w:val="24"/>
                <w:lang w:eastAsia="ro-RO"/>
              </w:rPr>
              <w:t>POLUANT, tone</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601259"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CA0B63" w:rsidRPr="00601259"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CA0B63" w:rsidRPr="00601259"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601259"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Pb</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004255529</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010429612</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097780094</w:t>
            </w:r>
          </w:p>
        </w:tc>
      </w:tr>
      <w:tr w:rsidR="00CA0B63" w:rsidRPr="00601259"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Cd</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CA0B63" w:rsidP="00642360">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0</w:t>
            </w:r>
            <w:r w:rsidR="00642360">
              <w:rPr>
                <w:rFonts w:ascii="Arial" w:eastAsia="Times New Roman" w:hAnsi="Arial" w:cs="Arial"/>
                <w:sz w:val="24"/>
                <w:szCs w:val="24"/>
                <w:lang w:eastAsia="ro-RO"/>
              </w:rPr>
              <w:t>,</w:t>
            </w:r>
            <w:r w:rsidRPr="00601259">
              <w:rPr>
                <w:rFonts w:ascii="Arial" w:eastAsia="Times New Roman" w:hAnsi="Arial" w:cs="Arial"/>
                <w:sz w:val="24"/>
                <w:szCs w:val="24"/>
                <w:lang w:eastAsia="ro-RO"/>
              </w:rPr>
              <w:t>00326266</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001097166</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003504445</w:t>
            </w:r>
          </w:p>
        </w:tc>
      </w:tr>
      <w:tr w:rsidR="00CA0B63" w:rsidRPr="00601259"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601259" w:rsidRDefault="00CA0B63" w:rsidP="0056118B">
            <w:pPr>
              <w:spacing w:after="0" w:line="240" w:lineRule="auto"/>
              <w:jc w:val="center"/>
              <w:rPr>
                <w:rFonts w:ascii="Arial" w:eastAsia="Times New Roman" w:hAnsi="Arial" w:cs="Arial"/>
                <w:sz w:val="24"/>
                <w:szCs w:val="24"/>
                <w:lang w:eastAsia="ro-RO"/>
              </w:rPr>
            </w:pPr>
            <w:r w:rsidRPr="00601259">
              <w:rPr>
                <w:rFonts w:ascii="Arial" w:eastAsia="Times New Roman" w:hAnsi="Arial" w:cs="Arial"/>
                <w:sz w:val="24"/>
                <w:szCs w:val="24"/>
                <w:lang w:eastAsia="ro-RO"/>
              </w:rPr>
              <w:t>Hg</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001302669</w:t>
            </w:r>
          </w:p>
        </w:tc>
        <w:tc>
          <w:tcPr>
            <w:tcW w:w="228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000461242</w:t>
            </w:r>
          </w:p>
        </w:tc>
        <w:tc>
          <w:tcPr>
            <w:tcW w:w="1760" w:type="dxa"/>
            <w:tcBorders>
              <w:top w:val="nil"/>
              <w:left w:val="nil"/>
              <w:bottom w:val="single" w:sz="4" w:space="0" w:color="auto"/>
              <w:right w:val="single" w:sz="4" w:space="0" w:color="auto"/>
            </w:tcBorders>
            <w:shd w:val="clear" w:color="auto" w:fill="auto"/>
            <w:noWrap/>
            <w:vAlign w:val="center"/>
            <w:hideMark/>
          </w:tcPr>
          <w:p w:rsidR="00CA0B63" w:rsidRPr="00601259"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601259">
              <w:rPr>
                <w:rFonts w:ascii="Arial" w:eastAsia="Times New Roman" w:hAnsi="Arial" w:cs="Arial"/>
                <w:sz w:val="24"/>
                <w:szCs w:val="24"/>
                <w:lang w:eastAsia="ro-RO"/>
              </w:rPr>
              <w:t>001469349</w:t>
            </w:r>
          </w:p>
        </w:tc>
      </w:tr>
    </w:tbl>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Tabel I.3.1.18</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metale grele din industrie</w:t>
      </w:r>
    </w:p>
    <w:p w:rsidR="00CA0B63" w:rsidRDefault="00CA0B63" w:rsidP="00CA0B63">
      <w:pPr>
        <w:tabs>
          <w:tab w:val="left" w:pos="4270"/>
        </w:tabs>
        <w:jc w:val="center"/>
        <w:rPr>
          <w:rFonts w:ascii="Arial" w:hAnsi="Arial" w:cs="Arial"/>
          <w:sz w:val="24"/>
          <w:szCs w:val="24"/>
        </w:rPr>
      </w:pPr>
      <w:r w:rsidRPr="00BD5F48">
        <w:rPr>
          <w:rFonts w:ascii="Arial" w:hAnsi="Arial" w:cs="Arial"/>
          <w:noProof/>
          <w:sz w:val="24"/>
          <w:szCs w:val="24"/>
          <w:lang w:val="ro-RO" w:eastAsia="ro-RO"/>
        </w:rPr>
        <w:lastRenderedPageBreak/>
        <w:drawing>
          <wp:inline distT="0" distB="0" distL="0" distR="0">
            <wp:extent cx="4295775" cy="2743200"/>
            <wp:effectExtent l="19050" t="0" r="9525" b="0"/>
            <wp:docPr id="8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I.3.1.18</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metale grele din industrie</w:t>
      </w:r>
    </w:p>
    <w:p w:rsidR="00CA0B63" w:rsidRDefault="00CA0B63" w:rsidP="00CA0B63">
      <w:pPr>
        <w:jc w:val="both"/>
        <w:rPr>
          <w:rFonts w:ascii="Arial" w:hAnsi="Arial" w:cs="Arial"/>
          <w:sz w:val="24"/>
          <w:szCs w:val="24"/>
        </w:rPr>
      </w:pPr>
      <w:r>
        <w:rPr>
          <w:rFonts w:ascii="Arial" w:hAnsi="Arial" w:cs="Arial"/>
          <w:sz w:val="24"/>
          <w:szCs w:val="24"/>
        </w:rPr>
        <w:t>Tendinţa de creştere a emisiilor de Pb se datorează variaţiei nivelului de producţiei din industria metalurgică.</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 xml:space="preserve">siilor </w:t>
      </w:r>
      <w:r w:rsidRPr="00C3358B">
        <w:rPr>
          <w:rFonts w:ascii="Arial" w:hAnsi="Arial" w:cs="Arial"/>
          <w:sz w:val="24"/>
          <w:szCs w:val="24"/>
        </w:rPr>
        <w:t>de</w:t>
      </w:r>
      <w:r>
        <w:rPr>
          <w:rFonts w:ascii="Arial" w:hAnsi="Arial" w:cs="Arial"/>
          <w:sz w:val="24"/>
          <w:szCs w:val="24"/>
        </w:rPr>
        <w:t xml:space="preserve"> metale grele din transport</w:t>
      </w:r>
      <w:r w:rsidRPr="00C3358B">
        <w:rPr>
          <w:rFonts w:ascii="Arial" w:hAnsi="Arial" w:cs="Arial"/>
          <w:sz w:val="24"/>
          <w:szCs w:val="24"/>
        </w:rPr>
        <w:t>, la nivelul judeţului Buzău este prezentată în tabelul I.3</w:t>
      </w:r>
      <w:r>
        <w:rPr>
          <w:rFonts w:ascii="Arial" w:hAnsi="Arial" w:cs="Arial"/>
          <w:sz w:val="24"/>
          <w:szCs w:val="24"/>
        </w:rPr>
        <w:t>.1.19. şi figura I.3.1.19</w:t>
      </w:r>
      <w:r w:rsidRPr="00C3358B">
        <w:rPr>
          <w:rFonts w:ascii="Arial" w:hAnsi="Arial" w:cs="Arial"/>
          <w:sz w:val="24"/>
          <w:szCs w:val="24"/>
        </w:rPr>
        <w:t>.</w:t>
      </w:r>
    </w:p>
    <w:p w:rsidR="00D74DCC" w:rsidRDefault="00D74DCC" w:rsidP="00CA0B63">
      <w:pPr>
        <w:spacing w:after="120" w:line="240" w:lineRule="auto"/>
        <w:jc w:val="both"/>
        <w:rPr>
          <w:rFonts w:ascii="Arial" w:hAnsi="Arial" w:cs="Arial"/>
          <w:sz w:val="24"/>
          <w:szCs w:val="24"/>
        </w:rPr>
      </w:pPr>
    </w:p>
    <w:tbl>
      <w:tblPr>
        <w:tblW w:w="6697" w:type="dxa"/>
        <w:jc w:val="center"/>
        <w:tblInd w:w="103" w:type="dxa"/>
        <w:tblLook w:val="04A0"/>
      </w:tblPr>
      <w:tblGrid>
        <w:gridCol w:w="1443"/>
        <w:gridCol w:w="1751"/>
        <w:gridCol w:w="1218"/>
        <w:gridCol w:w="2285"/>
      </w:tblGrid>
      <w:tr w:rsidR="00CA0B63" w:rsidRPr="0002021B" w:rsidTr="0056118B">
        <w:trPr>
          <w:trHeight w:val="600"/>
          <w:jc w:val="center"/>
        </w:trPr>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02021B" w:rsidRDefault="00CA0B63" w:rsidP="0056118B">
            <w:pPr>
              <w:spacing w:after="0" w:line="240" w:lineRule="auto"/>
              <w:jc w:val="center"/>
              <w:rPr>
                <w:rFonts w:ascii="Arial" w:eastAsia="Times New Roman" w:hAnsi="Arial" w:cs="Arial"/>
                <w:b/>
                <w:sz w:val="24"/>
                <w:szCs w:val="24"/>
                <w:lang w:eastAsia="ro-RO"/>
              </w:rPr>
            </w:pPr>
            <w:r w:rsidRPr="0002021B">
              <w:rPr>
                <w:rFonts w:ascii="Arial" w:eastAsia="Times New Roman" w:hAnsi="Arial" w:cs="Arial"/>
                <w:b/>
                <w:sz w:val="24"/>
                <w:szCs w:val="24"/>
                <w:lang w:eastAsia="ro-RO"/>
              </w:rPr>
              <w:t>POLUANT, tone</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CA0B63" w:rsidRPr="0002021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2012</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CA0B63" w:rsidRPr="0002021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CA0B63" w:rsidRPr="0002021B" w:rsidRDefault="00642360" w:rsidP="0056118B">
            <w:pPr>
              <w:spacing w:after="0" w:line="240" w:lineRule="auto"/>
              <w:jc w:val="center"/>
              <w:rPr>
                <w:rFonts w:ascii="Arial" w:eastAsia="Times New Roman" w:hAnsi="Arial" w:cs="Arial"/>
                <w:b/>
                <w:sz w:val="24"/>
                <w:szCs w:val="24"/>
                <w:lang w:eastAsia="ro-RO"/>
              </w:rPr>
            </w:pPr>
            <w:r>
              <w:rPr>
                <w:rFonts w:ascii="Arial" w:eastAsia="Times New Roman" w:hAnsi="Arial" w:cs="Arial"/>
                <w:b/>
                <w:sz w:val="24"/>
                <w:szCs w:val="24"/>
                <w:lang w:eastAsia="ro-RO"/>
              </w:rPr>
              <w:t>2014</w:t>
            </w:r>
          </w:p>
        </w:tc>
      </w:tr>
      <w:tr w:rsidR="00CA0B63" w:rsidRPr="0002021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02021B" w:rsidRDefault="00CA0B63" w:rsidP="0056118B">
            <w:pPr>
              <w:spacing w:after="0" w:line="240" w:lineRule="auto"/>
              <w:jc w:val="center"/>
              <w:rPr>
                <w:rFonts w:ascii="Arial" w:eastAsia="Times New Roman" w:hAnsi="Arial" w:cs="Arial"/>
                <w:sz w:val="24"/>
                <w:szCs w:val="24"/>
                <w:lang w:eastAsia="ro-RO"/>
              </w:rPr>
            </w:pPr>
            <w:r w:rsidRPr="0002021B">
              <w:rPr>
                <w:rFonts w:ascii="Arial" w:eastAsia="Times New Roman" w:hAnsi="Arial" w:cs="Arial"/>
                <w:sz w:val="24"/>
                <w:szCs w:val="24"/>
                <w:lang w:eastAsia="ro-RO"/>
              </w:rPr>
              <w:t>Pb</w:t>
            </w:r>
          </w:p>
        </w:tc>
        <w:tc>
          <w:tcPr>
            <w:tcW w:w="1751"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2021B">
              <w:rPr>
                <w:rFonts w:ascii="Arial" w:eastAsia="Times New Roman" w:hAnsi="Arial" w:cs="Arial"/>
                <w:sz w:val="24"/>
                <w:szCs w:val="24"/>
                <w:lang w:eastAsia="ro-RO"/>
              </w:rPr>
              <w:t>043123615</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56118B">
            <w:pPr>
              <w:spacing w:after="0" w:line="240" w:lineRule="auto"/>
              <w:jc w:val="center"/>
              <w:rPr>
                <w:rFonts w:ascii="Arial" w:eastAsia="Times New Roman" w:hAnsi="Arial" w:cs="Arial"/>
                <w:bCs/>
                <w:color w:val="000000"/>
                <w:sz w:val="24"/>
                <w:szCs w:val="24"/>
                <w:lang w:eastAsia="ro-RO"/>
              </w:rPr>
            </w:pPr>
            <w:r>
              <w:rPr>
                <w:rFonts w:ascii="Arial" w:eastAsia="Times New Roman" w:hAnsi="Arial" w:cs="Arial"/>
                <w:bCs/>
                <w:color w:val="000000"/>
                <w:sz w:val="24"/>
                <w:szCs w:val="24"/>
                <w:lang w:eastAsia="ro-RO"/>
              </w:rPr>
              <w:t>0,</w:t>
            </w:r>
            <w:r w:rsidR="00CA0B63" w:rsidRPr="0002021B">
              <w:rPr>
                <w:rFonts w:ascii="Arial" w:eastAsia="Times New Roman" w:hAnsi="Arial" w:cs="Arial"/>
                <w:bCs/>
                <w:color w:val="000000"/>
                <w:sz w:val="24"/>
                <w:szCs w:val="24"/>
                <w:lang w:eastAsia="ro-RO"/>
              </w:rPr>
              <w:t>025154</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2021B">
              <w:rPr>
                <w:rFonts w:ascii="Arial" w:eastAsia="Times New Roman" w:hAnsi="Arial" w:cs="Arial"/>
                <w:sz w:val="24"/>
                <w:szCs w:val="24"/>
                <w:lang w:eastAsia="ro-RO"/>
              </w:rPr>
              <w:t>00014065235378</w:t>
            </w:r>
          </w:p>
        </w:tc>
      </w:tr>
      <w:tr w:rsidR="00CA0B63" w:rsidRPr="0002021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02021B" w:rsidRDefault="00CA0B63" w:rsidP="0056118B">
            <w:pPr>
              <w:spacing w:after="0" w:line="240" w:lineRule="auto"/>
              <w:jc w:val="center"/>
              <w:rPr>
                <w:rFonts w:ascii="Arial" w:eastAsia="Times New Roman" w:hAnsi="Arial" w:cs="Arial"/>
                <w:sz w:val="24"/>
                <w:szCs w:val="24"/>
                <w:lang w:eastAsia="ro-RO"/>
              </w:rPr>
            </w:pPr>
            <w:r w:rsidRPr="0002021B">
              <w:rPr>
                <w:rFonts w:ascii="Arial" w:eastAsia="Times New Roman" w:hAnsi="Arial" w:cs="Arial"/>
                <w:sz w:val="24"/>
                <w:szCs w:val="24"/>
                <w:lang w:eastAsia="ro-RO"/>
              </w:rPr>
              <w:t>Cd</w:t>
            </w:r>
          </w:p>
        </w:tc>
        <w:tc>
          <w:tcPr>
            <w:tcW w:w="1751"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2021B">
              <w:rPr>
                <w:rFonts w:ascii="Arial" w:eastAsia="Times New Roman" w:hAnsi="Arial" w:cs="Arial"/>
                <w:sz w:val="24"/>
                <w:szCs w:val="24"/>
                <w:lang w:eastAsia="ro-RO"/>
              </w:rPr>
              <w:t>001002318</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642360">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2021B">
              <w:rPr>
                <w:rFonts w:ascii="Arial" w:eastAsia="Times New Roman" w:hAnsi="Arial" w:cs="Arial"/>
                <w:sz w:val="24"/>
                <w:szCs w:val="24"/>
                <w:lang w:eastAsia="ro-RO"/>
              </w:rPr>
              <w:t>00067</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2021B">
              <w:rPr>
                <w:rFonts w:ascii="Arial" w:eastAsia="Times New Roman" w:hAnsi="Arial" w:cs="Arial"/>
                <w:sz w:val="24"/>
                <w:szCs w:val="24"/>
                <w:lang w:eastAsia="ro-RO"/>
              </w:rPr>
              <w:t>00011709709544</w:t>
            </w:r>
          </w:p>
        </w:tc>
      </w:tr>
      <w:tr w:rsidR="00CA0B63" w:rsidRPr="0002021B" w:rsidTr="0056118B">
        <w:trPr>
          <w:trHeight w:val="300"/>
          <w:jc w:val="center"/>
        </w:trPr>
        <w:tc>
          <w:tcPr>
            <w:tcW w:w="1443" w:type="dxa"/>
            <w:tcBorders>
              <w:top w:val="nil"/>
              <w:left w:val="single" w:sz="4" w:space="0" w:color="auto"/>
              <w:bottom w:val="single" w:sz="4" w:space="0" w:color="auto"/>
              <w:right w:val="single" w:sz="4" w:space="0" w:color="auto"/>
            </w:tcBorders>
            <w:shd w:val="clear" w:color="auto" w:fill="auto"/>
            <w:vAlign w:val="center"/>
            <w:hideMark/>
          </w:tcPr>
          <w:p w:rsidR="00CA0B63" w:rsidRPr="0002021B" w:rsidRDefault="00CA0B63" w:rsidP="0056118B">
            <w:pPr>
              <w:spacing w:after="0" w:line="240" w:lineRule="auto"/>
              <w:jc w:val="center"/>
              <w:rPr>
                <w:rFonts w:ascii="Arial" w:eastAsia="Times New Roman" w:hAnsi="Arial" w:cs="Arial"/>
                <w:sz w:val="24"/>
                <w:szCs w:val="24"/>
                <w:lang w:eastAsia="ro-RO"/>
              </w:rPr>
            </w:pPr>
            <w:r w:rsidRPr="0002021B">
              <w:rPr>
                <w:rFonts w:ascii="Arial" w:eastAsia="Times New Roman" w:hAnsi="Arial" w:cs="Arial"/>
                <w:sz w:val="24"/>
                <w:szCs w:val="24"/>
                <w:lang w:eastAsia="ro-RO"/>
              </w:rPr>
              <w:t>Hg</w:t>
            </w:r>
          </w:p>
        </w:tc>
        <w:tc>
          <w:tcPr>
            <w:tcW w:w="1751"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2021B">
              <w:rPr>
                <w:rFonts w:ascii="Arial" w:eastAsia="Times New Roman" w:hAnsi="Arial" w:cs="Arial"/>
                <w:sz w:val="24"/>
                <w:szCs w:val="24"/>
                <w:lang w:eastAsia="ro-RO"/>
              </w:rPr>
              <w:t>0000007725</w:t>
            </w:r>
          </w:p>
        </w:tc>
        <w:tc>
          <w:tcPr>
            <w:tcW w:w="1218" w:type="dxa"/>
            <w:tcBorders>
              <w:top w:val="nil"/>
              <w:left w:val="nil"/>
              <w:bottom w:val="single" w:sz="4" w:space="0" w:color="auto"/>
              <w:right w:val="single" w:sz="4" w:space="0" w:color="auto"/>
            </w:tcBorders>
            <w:shd w:val="clear" w:color="auto" w:fill="auto"/>
            <w:noWrap/>
            <w:vAlign w:val="center"/>
            <w:hideMark/>
          </w:tcPr>
          <w:p w:rsidR="00CA0B63" w:rsidRPr="0002021B" w:rsidRDefault="00CA0B63" w:rsidP="0056118B">
            <w:pPr>
              <w:spacing w:after="0" w:line="240" w:lineRule="auto"/>
              <w:jc w:val="center"/>
              <w:rPr>
                <w:rFonts w:ascii="Arial" w:eastAsia="Times New Roman" w:hAnsi="Arial" w:cs="Arial"/>
                <w:color w:val="000000"/>
                <w:sz w:val="24"/>
                <w:szCs w:val="24"/>
                <w:lang w:eastAsia="ro-RO"/>
              </w:rPr>
            </w:pPr>
            <w:r w:rsidRPr="0002021B">
              <w:rPr>
                <w:rFonts w:ascii="Arial" w:eastAsia="Times New Roman" w:hAnsi="Arial" w:cs="Arial"/>
                <w:color w:val="000000"/>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02021B"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02021B">
              <w:rPr>
                <w:rFonts w:ascii="Arial" w:eastAsia="Times New Roman" w:hAnsi="Arial" w:cs="Arial"/>
                <w:sz w:val="24"/>
                <w:szCs w:val="24"/>
                <w:lang w:eastAsia="ro-RO"/>
              </w:rPr>
              <w:t>00002544273118</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I.3.1.19</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metale grele din transport</w:t>
      </w:r>
    </w:p>
    <w:p w:rsidR="00787E64" w:rsidRDefault="00787E64" w:rsidP="00787E64">
      <w:pPr>
        <w:spacing w:before="120" w:after="120" w:line="240" w:lineRule="auto"/>
        <w:jc w:val="center"/>
        <w:rPr>
          <w:rFonts w:ascii="Arial" w:hAnsi="Arial" w:cs="Arial"/>
          <w:b/>
          <w:bCs/>
          <w:color w:val="000000"/>
          <w:sz w:val="24"/>
          <w:szCs w:val="24"/>
        </w:rPr>
      </w:pPr>
    </w:p>
    <w:p w:rsidR="00CA0B63" w:rsidRDefault="00CA0B63" w:rsidP="00CA0B63">
      <w:pPr>
        <w:jc w:val="center"/>
        <w:rPr>
          <w:rFonts w:ascii="Arial" w:hAnsi="Arial" w:cs="Arial"/>
          <w:sz w:val="24"/>
          <w:szCs w:val="24"/>
        </w:rPr>
      </w:pPr>
      <w:r w:rsidRPr="0002021B">
        <w:rPr>
          <w:rFonts w:ascii="Arial" w:hAnsi="Arial" w:cs="Arial"/>
          <w:noProof/>
          <w:sz w:val="24"/>
          <w:szCs w:val="24"/>
          <w:lang w:val="ro-RO" w:eastAsia="ro-RO"/>
        </w:rPr>
        <w:drawing>
          <wp:inline distT="0" distB="0" distL="0" distR="0">
            <wp:extent cx="3962400" cy="2743200"/>
            <wp:effectExtent l="19050" t="0" r="19050" b="0"/>
            <wp:docPr id="8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I.3.1.19</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metale grele din transport</w:t>
      </w:r>
    </w:p>
    <w:p w:rsidR="00CA0B63" w:rsidRPr="008E164B" w:rsidRDefault="00CA0B63" w:rsidP="00CA0B63">
      <w:pPr>
        <w:tabs>
          <w:tab w:val="left" w:pos="5325"/>
        </w:tabs>
        <w:jc w:val="both"/>
        <w:rPr>
          <w:rFonts w:ascii="Arial" w:hAnsi="Arial" w:cs="Arial"/>
          <w:sz w:val="24"/>
          <w:szCs w:val="24"/>
        </w:rPr>
      </w:pPr>
      <w:r w:rsidRPr="008E164B">
        <w:rPr>
          <w:rFonts w:ascii="Arial" w:hAnsi="Arial" w:cs="Arial"/>
          <w:sz w:val="24"/>
          <w:szCs w:val="24"/>
        </w:rPr>
        <w:lastRenderedPageBreak/>
        <w:t xml:space="preserve">Tendinţa descrescătoare a nivelului emisiilor de </w:t>
      </w:r>
      <w:r>
        <w:rPr>
          <w:rFonts w:ascii="Arial" w:hAnsi="Arial" w:cs="Arial"/>
          <w:sz w:val="24"/>
          <w:szCs w:val="24"/>
        </w:rPr>
        <w:t xml:space="preserve">metale grele </w:t>
      </w:r>
      <w:r w:rsidRPr="008E164B">
        <w:rPr>
          <w:rFonts w:ascii="Arial" w:hAnsi="Arial" w:cs="Arial"/>
          <w:sz w:val="24"/>
          <w:szCs w:val="24"/>
        </w:rPr>
        <w:t>provenite din transport se datorează aplicării de noi strategii de optimizare a traficului şi de dezvoltare a transportului public.</w:t>
      </w:r>
    </w:p>
    <w:p w:rsidR="00CA0B63" w:rsidRPr="00B24FA8" w:rsidRDefault="00CA0B63" w:rsidP="00CA0B63">
      <w:pPr>
        <w:spacing w:after="120" w:line="240" w:lineRule="auto"/>
        <w:rPr>
          <w:rFonts w:ascii="Arial" w:hAnsi="Arial" w:cs="Arial"/>
          <w:b/>
          <w:bCs/>
          <w:sz w:val="24"/>
          <w:szCs w:val="24"/>
        </w:rPr>
      </w:pPr>
      <w:r>
        <w:rPr>
          <w:rFonts w:ascii="Arial" w:hAnsi="Arial" w:cs="Arial"/>
          <w:b/>
          <w:bCs/>
          <w:sz w:val="24"/>
          <w:szCs w:val="24"/>
        </w:rPr>
        <w:t>e) Emisii</w:t>
      </w:r>
      <w:r w:rsidRPr="00B24FA8">
        <w:rPr>
          <w:rFonts w:ascii="Arial" w:hAnsi="Arial" w:cs="Arial"/>
          <w:b/>
          <w:bCs/>
          <w:sz w:val="24"/>
          <w:szCs w:val="24"/>
        </w:rPr>
        <w:t xml:space="preserve"> d</w:t>
      </w:r>
      <w:r>
        <w:rPr>
          <w:rFonts w:ascii="Arial" w:hAnsi="Arial" w:cs="Arial"/>
          <w:b/>
          <w:bCs/>
          <w:sz w:val="24"/>
          <w:szCs w:val="24"/>
        </w:rPr>
        <w:t>e poluanţi organici persistenţi</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 xml:space="preserve">siilor totale </w:t>
      </w:r>
      <w:r w:rsidRPr="00C3358B">
        <w:rPr>
          <w:rFonts w:ascii="Arial" w:hAnsi="Arial" w:cs="Arial"/>
          <w:sz w:val="24"/>
          <w:szCs w:val="24"/>
        </w:rPr>
        <w:t>de</w:t>
      </w:r>
      <w:r>
        <w:rPr>
          <w:rFonts w:ascii="Arial" w:hAnsi="Arial" w:cs="Arial"/>
          <w:sz w:val="24"/>
          <w:szCs w:val="24"/>
        </w:rPr>
        <w:t xml:space="preserve"> poluanţi organici persistenţi</w:t>
      </w:r>
      <w:r w:rsidRPr="00C3358B">
        <w:rPr>
          <w:rFonts w:ascii="Arial" w:hAnsi="Arial" w:cs="Arial"/>
          <w:sz w:val="24"/>
          <w:szCs w:val="24"/>
        </w:rPr>
        <w:t>, la nivelul judeţului Buzău este prezentată în tabelul I.3</w:t>
      </w:r>
      <w:r>
        <w:rPr>
          <w:rFonts w:ascii="Arial" w:hAnsi="Arial" w:cs="Arial"/>
          <w:sz w:val="24"/>
          <w:szCs w:val="24"/>
        </w:rPr>
        <w:t>.1.20. şi figura I.3.1.20</w:t>
      </w:r>
      <w:r w:rsidRPr="00C3358B">
        <w:rPr>
          <w:rFonts w:ascii="Arial" w:hAnsi="Arial" w:cs="Arial"/>
          <w:sz w:val="24"/>
          <w:szCs w:val="24"/>
        </w:rPr>
        <w:t>.</w:t>
      </w:r>
    </w:p>
    <w:p w:rsidR="00CA0B63" w:rsidRDefault="00CA0B63" w:rsidP="00CA0B63">
      <w:pPr>
        <w:spacing w:after="120" w:line="240" w:lineRule="auto"/>
        <w:jc w:val="both"/>
        <w:rPr>
          <w:rFonts w:ascii="Arial" w:hAnsi="Arial" w:cs="Arial"/>
          <w:sz w:val="24"/>
          <w:szCs w:val="24"/>
        </w:rPr>
      </w:pPr>
    </w:p>
    <w:tbl>
      <w:tblPr>
        <w:tblW w:w="4497" w:type="dxa"/>
        <w:jc w:val="center"/>
        <w:tblInd w:w="103" w:type="dxa"/>
        <w:tblLook w:val="04A0"/>
      </w:tblPr>
      <w:tblGrid>
        <w:gridCol w:w="1617"/>
        <w:gridCol w:w="960"/>
        <w:gridCol w:w="960"/>
        <w:gridCol w:w="960"/>
      </w:tblGrid>
      <w:tr w:rsidR="00CA0B63" w:rsidRPr="003C5372" w:rsidTr="0056118B">
        <w:trPr>
          <w:trHeight w:val="3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3C5372" w:rsidRDefault="00CA0B63" w:rsidP="0056118B">
            <w:pPr>
              <w:spacing w:after="0" w:line="240" w:lineRule="auto"/>
              <w:jc w:val="center"/>
              <w:rPr>
                <w:rFonts w:ascii="Arial" w:eastAsia="Times New Roman" w:hAnsi="Arial" w:cs="Arial"/>
                <w:b/>
                <w:color w:val="000000"/>
                <w:sz w:val="24"/>
                <w:szCs w:val="24"/>
                <w:lang w:eastAsia="ro-RO"/>
              </w:rPr>
            </w:pPr>
            <w:r w:rsidRPr="003C5372">
              <w:rPr>
                <w:rFonts w:ascii="Arial" w:eastAsia="Times New Roman" w:hAnsi="Arial" w:cs="Arial"/>
                <w:b/>
                <w:color w:val="000000"/>
                <w:sz w:val="24"/>
                <w:szCs w:val="24"/>
                <w:lang w:eastAsia="ro-RO"/>
              </w:rPr>
              <w:t>POLUANT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3C5372"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3C5372"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A0B63" w:rsidRPr="003C5372" w:rsidRDefault="00CA0B63" w:rsidP="00642360">
            <w:pPr>
              <w:spacing w:after="0" w:line="240" w:lineRule="auto"/>
              <w:jc w:val="center"/>
              <w:rPr>
                <w:rFonts w:ascii="Arial" w:eastAsia="Times New Roman" w:hAnsi="Arial" w:cs="Arial"/>
                <w:b/>
                <w:color w:val="000000"/>
                <w:sz w:val="24"/>
                <w:szCs w:val="24"/>
                <w:lang w:eastAsia="ro-RO"/>
              </w:rPr>
            </w:pPr>
            <w:r w:rsidRPr="003C5372">
              <w:rPr>
                <w:rFonts w:ascii="Arial" w:eastAsia="Times New Roman" w:hAnsi="Arial" w:cs="Arial"/>
                <w:b/>
                <w:color w:val="000000"/>
                <w:sz w:val="24"/>
                <w:szCs w:val="24"/>
                <w:lang w:eastAsia="ro-RO"/>
              </w:rPr>
              <w:t>2014</w:t>
            </w:r>
          </w:p>
        </w:tc>
      </w:tr>
      <w:tr w:rsidR="00CA0B63" w:rsidRPr="003C5372" w:rsidTr="0056118B">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3C5372" w:rsidRDefault="00CA0B63" w:rsidP="0056118B">
            <w:pPr>
              <w:spacing w:after="0" w:line="240" w:lineRule="auto"/>
              <w:jc w:val="center"/>
              <w:rPr>
                <w:rFonts w:ascii="Arial" w:eastAsia="Times New Roman" w:hAnsi="Arial" w:cs="Arial"/>
                <w:color w:val="000000"/>
                <w:sz w:val="24"/>
                <w:szCs w:val="24"/>
                <w:lang w:eastAsia="ro-RO"/>
              </w:rPr>
            </w:pPr>
            <w:r w:rsidRPr="003C5372">
              <w:rPr>
                <w:rFonts w:ascii="Arial" w:eastAsia="Times New Roman" w:hAnsi="Arial" w:cs="Arial"/>
                <w:color w:val="000000"/>
                <w:sz w:val="24"/>
                <w:szCs w:val="24"/>
                <w:lang w:eastAsia="ro-RO"/>
              </w:rPr>
              <w:t>PCDD/PCDF (gl-Teq)</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4,</w:t>
            </w:r>
            <w:r w:rsidR="00CA0B63" w:rsidRPr="003C5372">
              <w:rPr>
                <w:rFonts w:ascii="Arial" w:eastAsia="Times New Roman" w:hAnsi="Arial" w:cs="Arial"/>
                <w:color w:val="000000"/>
                <w:sz w:val="24"/>
                <w:szCs w:val="24"/>
                <w:lang w:eastAsia="ro-RO"/>
              </w:rPr>
              <w:t>92</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CA0B63" w:rsidP="0056118B">
            <w:pPr>
              <w:spacing w:after="0" w:line="240" w:lineRule="auto"/>
              <w:jc w:val="center"/>
              <w:rPr>
                <w:rFonts w:ascii="Arial" w:eastAsia="Times New Roman" w:hAnsi="Arial" w:cs="Arial"/>
                <w:color w:val="000000"/>
                <w:sz w:val="24"/>
                <w:szCs w:val="24"/>
                <w:lang w:eastAsia="ro-RO"/>
              </w:rPr>
            </w:pPr>
            <w:r w:rsidRPr="003C5372">
              <w:rPr>
                <w:rFonts w:ascii="Arial" w:eastAsia="Times New Roman" w:hAnsi="Arial" w:cs="Arial"/>
                <w:color w:val="000000"/>
                <w:sz w:val="24"/>
                <w:szCs w:val="24"/>
                <w:lang w:eastAsia="ro-RO"/>
              </w:rPr>
              <w:t>5</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3C5372">
              <w:rPr>
                <w:rFonts w:ascii="Arial" w:eastAsia="Times New Roman" w:hAnsi="Arial" w:cs="Arial"/>
                <w:color w:val="000000"/>
                <w:sz w:val="24"/>
                <w:szCs w:val="24"/>
                <w:lang w:eastAsia="ro-RO"/>
              </w:rPr>
              <w:t>45</w:t>
            </w:r>
          </w:p>
        </w:tc>
      </w:tr>
      <w:tr w:rsidR="00CA0B63" w:rsidRPr="003C5372" w:rsidTr="0056118B">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3C5372" w:rsidRDefault="00CA0B63" w:rsidP="0056118B">
            <w:pPr>
              <w:spacing w:after="0" w:line="240" w:lineRule="auto"/>
              <w:jc w:val="center"/>
              <w:rPr>
                <w:rFonts w:ascii="Arial" w:eastAsia="Times New Roman" w:hAnsi="Arial" w:cs="Arial"/>
                <w:color w:val="000000"/>
                <w:sz w:val="24"/>
                <w:szCs w:val="24"/>
                <w:lang w:eastAsia="ro-RO"/>
              </w:rPr>
            </w:pPr>
            <w:r w:rsidRPr="003C5372">
              <w:rPr>
                <w:rFonts w:ascii="Arial" w:eastAsia="Times New Roman" w:hAnsi="Arial" w:cs="Arial"/>
                <w:color w:val="000000"/>
                <w:sz w:val="24"/>
                <w:szCs w:val="24"/>
                <w:lang w:eastAsia="ro-RO"/>
              </w:rPr>
              <w:t>PAH (Mg)</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2,</w:t>
            </w:r>
            <w:r w:rsidR="00CA0B63" w:rsidRPr="003C5372">
              <w:rPr>
                <w:rFonts w:ascii="Arial" w:eastAsia="Times New Roman" w:hAnsi="Arial" w:cs="Arial"/>
                <w:sz w:val="24"/>
                <w:szCs w:val="24"/>
                <w:lang w:eastAsia="ro-RO"/>
              </w:rPr>
              <w:t>989</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3C5372">
              <w:rPr>
                <w:rFonts w:ascii="Arial" w:eastAsia="Times New Roman" w:hAnsi="Arial" w:cs="Arial"/>
                <w:sz w:val="24"/>
                <w:szCs w:val="24"/>
                <w:lang w:eastAsia="ro-RO"/>
              </w:rPr>
              <w:t>1157</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3C5372">
              <w:rPr>
                <w:rFonts w:ascii="Arial" w:eastAsia="Times New Roman" w:hAnsi="Arial" w:cs="Arial"/>
                <w:color w:val="000000"/>
                <w:sz w:val="24"/>
                <w:szCs w:val="24"/>
                <w:lang w:eastAsia="ro-RO"/>
              </w:rPr>
              <w:t>5155</w:t>
            </w:r>
          </w:p>
        </w:tc>
      </w:tr>
      <w:tr w:rsidR="00CA0B63" w:rsidRPr="003C5372" w:rsidTr="0056118B">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3C5372" w:rsidRDefault="00CA0B63" w:rsidP="0056118B">
            <w:pPr>
              <w:spacing w:after="0" w:line="240" w:lineRule="auto"/>
              <w:jc w:val="center"/>
              <w:rPr>
                <w:rFonts w:ascii="Arial" w:eastAsia="Times New Roman" w:hAnsi="Arial" w:cs="Arial"/>
                <w:color w:val="000000"/>
                <w:sz w:val="24"/>
                <w:szCs w:val="24"/>
                <w:lang w:eastAsia="ro-RO"/>
              </w:rPr>
            </w:pPr>
            <w:r w:rsidRPr="003C5372">
              <w:rPr>
                <w:rFonts w:ascii="Arial" w:eastAsia="Times New Roman" w:hAnsi="Arial" w:cs="Arial"/>
                <w:color w:val="000000"/>
                <w:sz w:val="24"/>
                <w:szCs w:val="24"/>
                <w:lang w:eastAsia="ro-RO"/>
              </w:rPr>
              <w:t>HCB (kg)</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C5372">
              <w:rPr>
                <w:rFonts w:ascii="Arial" w:eastAsia="Times New Roman" w:hAnsi="Arial" w:cs="Arial"/>
                <w:color w:val="000000"/>
                <w:sz w:val="24"/>
                <w:szCs w:val="24"/>
                <w:lang w:eastAsia="ro-RO"/>
              </w:rPr>
              <w:t>024</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3C5372">
              <w:rPr>
                <w:rFonts w:ascii="Arial" w:eastAsia="Times New Roman" w:hAnsi="Arial" w:cs="Arial"/>
                <w:color w:val="000000"/>
                <w:sz w:val="24"/>
                <w:szCs w:val="24"/>
                <w:lang w:eastAsia="ro-RO"/>
              </w:rPr>
              <w:t>041</w:t>
            </w:r>
          </w:p>
        </w:tc>
        <w:tc>
          <w:tcPr>
            <w:tcW w:w="960" w:type="dxa"/>
            <w:tcBorders>
              <w:top w:val="nil"/>
              <w:left w:val="nil"/>
              <w:bottom w:val="single" w:sz="4" w:space="0" w:color="auto"/>
              <w:right w:val="single" w:sz="4" w:space="0" w:color="auto"/>
            </w:tcBorders>
            <w:shd w:val="clear" w:color="auto" w:fill="auto"/>
            <w:noWrap/>
            <w:vAlign w:val="center"/>
            <w:hideMark/>
          </w:tcPr>
          <w:p w:rsidR="00CA0B63" w:rsidRPr="003C5372" w:rsidRDefault="00CA0B63" w:rsidP="00642360">
            <w:pPr>
              <w:spacing w:after="0" w:line="240" w:lineRule="auto"/>
              <w:jc w:val="center"/>
              <w:rPr>
                <w:rFonts w:ascii="Arial" w:eastAsia="Times New Roman" w:hAnsi="Arial" w:cs="Arial"/>
                <w:color w:val="000000"/>
                <w:sz w:val="24"/>
                <w:szCs w:val="24"/>
                <w:lang w:eastAsia="ro-RO"/>
              </w:rPr>
            </w:pPr>
            <w:r w:rsidRPr="003C5372">
              <w:rPr>
                <w:rFonts w:ascii="Arial" w:eastAsia="Times New Roman" w:hAnsi="Arial" w:cs="Arial"/>
                <w:color w:val="000000"/>
                <w:sz w:val="24"/>
                <w:szCs w:val="24"/>
                <w:lang w:eastAsia="ro-RO"/>
              </w:rPr>
              <w:t>0</w:t>
            </w:r>
            <w:r w:rsidR="00642360">
              <w:rPr>
                <w:rFonts w:ascii="Arial" w:eastAsia="Times New Roman" w:hAnsi="Arial" w:cs="Arial"/>
                <w:color w:val="000000"/>
                <w:sz w:val="24"/>
                <w:szCs w:val="24"/>
                <w:lang w:eastAsia="ro-RO"/>
              </w:rPr>
              <w:t>,</w:t>
            </w:r>
            <w:r w:rsidRPr="003C5372">
              <w:rPr>
                <w:rFonts w:ascii="Arial" w:eastAsia="Times New Roman" w:hAnsi="Arial" w:cs="Arial"/>
                <w:color w:val="000000"/>
                <w:sz w:val="24"/>
                <w:szCs w:val="24"/>
                <w:lang w:eastAsia="ro-RO"/>
              </w:rPr>
              <w:t>044</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I.3.1.20</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totale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w:t>
      </w:r>
    </w:p>
    <w:p w:rsidR="00787E64" w:rsidRDefault="00787E64" w:rsidP="00787E64">
      <w:pPr>
        <w:spacing w:before="120" w:after="120" w:line="240" w:lineRule="auto"/>
        <w:jc w:val="center"/>
        <w:rPr>
          <w:rFonts w:ascii="Arial" w:hAnsi="Arial" w:cs="Arial"/>
          <w:b/>
          <w:bCs/>
          <w:sz w:val="24"/>
          <w:szCs w:val="24"/>
        </w:rPr>
      </w:pPr>
    </w:p>
    <w:p w:rsidR="00CA0B63" w:rsidRDefault="00CA0B63" w:rsidP="00CA0B63">
      <w:pPr>
        <w:jc w:val="center"/>
        <w:rPr>
          <w:rFonts w:ascii="Arial" w:hAnsi="Arial" w:cs="Arial"/>
          <w:sz w:val="24"/>
          <w:szCs w:val="24"/>
        </w:rPr>
      </w:pPr>
      <w:r w:rsidRPr="003C5372">
        <w:rPr>
          <w:rFonts w:ascii="Arial" w:hAnsi="Arial" w:cs="Arial"/>
          <w:noProof/>
          <w:sz w:val="24"/>
          <w:szCs w:val="24"/>
          <w:lang w:val="ro-RO" w:eastAsia="ro-RO"/>
        </w:rPr>
        <w:drawing>
          <wp:inline distT="0" distB="0" distL="0" distR="0">
            <wp:extent cx="3962400" cy="2743200"/>
            <wp:effectExtent l="19050" t="0" r="19050" b="0"/>
            <wp:docPr id="8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I.3.1.20</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totale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w:t>
      </w:r>
    </w:p>
    <w:p w:rsidR="00CA0B63" w:rsidRDefault="00CA0B63" w:rsidP="00CA0B63">
      <w:pPr>
        <w:tabs>
          <w:tab w:val="left" w:pos="251"/>
        </w:tabs>
        <w:jc w:val="both"/>
        <w:rPr>
          <w:rFonts w:ascii="Arial" w:hAnsi="Arial" w:cs="Arial"/>
          <w:sz w:val="24"/>
          <w:szCs w:val="24"/>
        </w:rPr>
      </w:pPr>
      <w:r>
        <w:rPr>
          <w:rFonts w:ascii="Arial" w:hAnsi="Arial" w:cs="Arial"/>
          <w:sz w:val="24"/>
          <w:szCs w:val="24"/>
        </w:rPr>
        <w:t>Din datele prezentate mai sus, se observă o tendinţă de păstrare a nivelului emisiilor de poluanţi organici persistenţi la nivelul judeţului, variaţiile mici care apar datorându-se cantităţilor diferite de combustibili utilizate de la an la an.</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 xml:space="preserve">siilor </w:t>
      </w:r>
      <w:r w:rsidRPr="00C3358B">
        <w:rPr>
          <w:rFonts w:ascii="Arial" w:hAnsi="Arial" w:cs="Arial"/>
          <w:sz w:val="24"/>
          <w:szCs w:val="24"/>
        </w:rPr>
        <w:t>de</w:t>
      </w:r>
      <w:r>
        <w:rPr>
          <w:rFonts w:ascii="Arial" w:hAnsi="Arial" w:cs="Arial"/>
          <w:sz w:val="24"/>
          <w:szCs w:val="24"/>
        </w:rPr>
        <w:t xml:space="preserve"> poluanţi organici persistenţi din energie</w:t>
      </w:r>
      <w:r w:rsidRPr="00C3358B">
        <w:rPr>
          <w:rFonts w:ascii="Arial" w:hAnsi="Arial" w:cs="Arial"/>
          <w:sz w:val="24"/>
          <w:szCs w:val="24"/>
        </w:rPr>
        <w:t>, la nivelul judeţului Buzău este prezentată în tabelul I.3</w:t>
      </w:r>
      <w:r>
        <w:rPr>
          <w:rFonts w:ascii="Arial" w:hAnsi="Arial" w:cs="Arial"/>
          <w:sz w:val="24"/>
          <w:szCs w:val="24"/>
        </w:rPr>
        <w:t>.1.21. şi figura I.3.1.21</w:t>
      </w:r>
      <w:r w:rsidRPr="00C3358B">
        <w:rPr>
          <w:rFonts w:ascii="Arial" w:hAnsi="Arial" w:cs="Arial"/>
          <w:sz w:val="24"/>
          <w:szCs w:val="24"/>
        </w:rPr>
        <w:t>.</w:t>
      </w:r>
    </w:p>
    <w:p w:rsidR="00787E64" w:rsidRDefault="00787E64" w:rsidP="00CA0B63">
      <w:pPr>
        <w:spacing w:after="120" w:line="240" w:lineRule="auto"/>
        <w:jc w:val="both"/>
        <w:rPr>
          <w:rFonts w:ascii="Arial" w:hAnsi="Arial" w:cs="Arial"/>
          <w:sz w:val="24"/>
          <w:szCs w:val="24"/>
        </w:rPr>
      </w:pPr>
    </w:p>
    <w:tbl>
      <w:tblPr>
        <w:tblW w:w="6911" w:type="dxa"/>
        <w:jc w:val="center"/>
        <w:tblInd w:w="103" w:type="dxa"/>
        <w:tblLook w:val="04A0"/>
      </w:tblPr>
      <w:tblGrid>
        <w:gridCol w:w="1617"/>
        <w:gridCol w:w="1840"/>
        <w:gridCol w:w="1727"/>
        <w:gridCol w:w="1727"/>
      </w:tblGrid>
      <w:tr w:rsidR="00CA0B63" w:rsidRPr="008C097A" w:rsidTr="0056118B">
        <w:trPr>
          <w:trHeight w:val="6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b/>
                <w:color w:val="000000"/>
                <w:sz w:val="24"/>
                <w:szCs w:val="24"/>
                <w:lang w:eastAsia="ro-RO"/>
              </w:rPr>
            </w:pPr>
            <w:r w:rsidRPr="008C097A">
              <w:rPr>
                <w:rFonts w:ascii="Arial" w:eastAsia="Times New Roman" w:hAnsi="Arial" w:cs="Arial"/>
                <w:b/>
                <w:color w:val="000000"/>
                <w:sz w:val="24"/>
                <w:szCs w:val="24"/>
                <w:lang w:eastAsia="ro-RO"/>
              </w:rPr>
              <w:t>POLUANT</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A0B63" w:rsidRPr="008C097A"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2012</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CA0B63" w:rsidRPr="008C097A"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2013</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CA0B63" w:rsidRPr="008C097A"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2014</w:t>
            </w:r>
          </w:p>
        </w:tc>
      </w:tr>
      <w:tr w:rsidR="00CA0B63" w:rsidRPr="008C097A" w:rsidTr="0056118B">
        <w:trPr>
          <w:trHeight w:val="9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color w:val="000000"/>
                <w:sz w:val="24"/>
                <w:szCs w:val="24"/>
                <w:lang w:eastAsia="ro-RO"/>
              </w:rPr>
            </w:pPr>
            <w:r w:rsidRPr="008C097A">
              <w:rPr>
                <w:rFonts w:ascii="Arial" w:eastAsia="Times New Roman" w:hAnsi="Arial" w:cs="Arial"/>
                <w:color w:val="000000"/>
                <w:sz w:val="24"/>
                <w:szCs w:val="24"/>
                <w:lang w:eastAsia="ro-RO"/>
              </w:rPr>
              <w:t>PCDD/PCDF (gl-Teq)</w:t>
            </w:r>
          </w:p>
        </w:tc>
        <w:tc>
          <w:tcPr>
            <w:tcW w:w="1840"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4,</w:t>
            </w:r>
            <w:r w:rsidR="00CA0B63" w:rsidRPr="008C097A">
              <w:rPr>
                <w:rFonts w:ascii="Arial" w:eastAsia="Times New Roman" w:hAnsi="Arial" w:cs="Arial"/>
                <w:sz w:val="24"/>
                <w:szCs w:val="24"/>
                <w:lang w:eastAsia="ro-RO"/>
              </w:rPr>
              <w:t>926572442</w:t>
            </w:r>
          </w:p>
        </w:tc>
        <w:tc>
          <w:tcPr>
            <w:tcW w:w="1727"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8C097A">
              <w:rPr>
                <w:rFonts w:ascii="Arial" w:eastAsia="Times New Roman" w:hAnsi="Arial" w:cs="Arial"/>
                <w:sz w:val="24"/>
                <w:szCs w:val="24"/>
                <w:lang w:eastAsia="ro-RO"/>
              </w:rPr>
              <w:t>004162278</w:t>
            </w:r>
          </w:p>
        </w:tc>
        <w:tc>
          <w:tcPr>
            <w:tcW w:w="1727"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5,</w:t>
            </w:r>
            <w:r w:rsidR="00CA0B63" w:rsidRPr="008C097A">
              <w:rPr>
                <w:rFonts w:ascii="Arial" w:eastAsia="Times New Roman" w:hAnsi="Arial" w:cs="Arial"/>
                <w:sz w:val="24"/>
                <w:szCs w:val="24"/>
                <w:lang w:eastAsia="ro-RO"/>
              </w:rPr>
              <w:t>426807356</w:t>
            </w:r>
          </w:p>
        </w:tc>
      </w:tr>
      <w:tr w:rsidR="00CA0B63" w:rsidRPr="008C097A" w:rsidTr="0056118B">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color w:val="000000"/>
                <w:sz w:val="24"/>
                <w:szCs w:val="24"/>
                <w:lang w:eastAsia="ro-RO"/>
              </w:rPr>
            </w:pPr>
            <w:r w:rsidRPr="008C097A">
              <w:rPr>
                <w:rFonts w:ascii="Arial" w:eastAsia="Times New Roman" w:hAnsi="Arial" w:cs="Arial"/>
                <w:color w:val="000000"/>
                <w:sz w:val="24"/>
                <w:szCs w:val="24"/>
                <w:lang w:eastAsia="ro-RO"/>
              </w:rPr>
              <w:t>PAH (Mg)</w:t>
            </w:r>
          </w:p>
        </w:tc>
        <w:tc>
          <w:tcPr>
            <w:tcW w:w="1840"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2,</w:t>
            </w:r>
            <w:r w:rsidR="00CA0B63" w:rsidRPr="008C097A">
              <w:rPr>
                <w:rFonts w:ascii="Arial" w:eastAsia="Times New Roman" w:hAnsi="Arial" w:cs="Arial"/>
                <w:color w:val="000000"/>
                <w:sz w:val="24"/>
                <w:szCs w:val="24"/>
                <w:lang w:eastAsia="ro-RO"/>
              </w:rPr>
              <w:t>952</w:t>
            </w:r>
          </w:p>
        </w:tc>
        <w:tc>
          <w:tcPr>
            <w:tcW w:w="1727"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8C097A">
              <w:rPr>
                <w:rFonts w:ascii="Arial" w:eastAsia="Times New Roman" w:hAnsi="Arial" w:cs="Arial"/>
                <w:color w:val="000000"/>
                <w:sz w:val="24"/>
                <w:szCs w:val="24"/>
                <w:lang w:eastAsia="ro-RO"/>
              </w:rPr>
              <w:t>08</w:t>
            </w:r>
          </w:p>
        </w:tc>
        <w:tc>
          <w:tcPr>
            <w:tcW w:w="1727"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5,</w:t>
            </w:r>
            <w:r w:rsidR="00CA0B63" w:rsidRPr="008C097A">
              <w:rPr>
                <w:rFonts w:ascii="Arial" w:eastAsia="Times New Roman" w:hAnsi="Arial" w:cs="Arial"/>
                <w:color w:val="000000"/>
                <w:sz w:val="24"/>
                <w:szCs w:val="24"/>
                <w:lang w:eastAsia="ro-RO"/>
              </w:rPr>
              <w:t>506</w:t>
            </w:r>
          </w:p>
        </w:tc>
      </w:tr>
      <w:tr w:rsidR="00CA0B63" w:rsidRPr="008C097A" w:rsidTr="0056118B">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color w:val="000000"/>
                <w:sz w:val="24"/>
                <w:szCs w:val="24"/>
                <w:lang w:eastAsia="ro-RO"/>
              </w:rPr>
            </w:pPr>
            <w:r w:rsidRPr="008C097A">
              <w:rPr>
                <w:rFonts w:ascii="Arial" w:eastAsia="Times New Roman" w:hAnsi="Arial" w:cs="Arial"/>
                <w:color w:val="000000"/>
                <w:sz w:val="24"/>
                <w:szCs w:val="24"/>
                <w:lang w:eastAsia="ro-RO"/>
              </w:rPr>
              <w:t>HCB (kg)</w:t>
            </w:r>
          </w:p>
        </w:tc>
        <w:tc>
          <w:tcPr>
            <w:tcW w:w="1840"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024467531</w:t>
            </w:r>
          </w:p>
        </w:tc>
        <w:tc>
          <w:tcPr>
            <w:tcW w:w="1727"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038597941</w:t>
            </w:r>
          </w:p>
        </w:tc>
        <w:tc>
          <w:tcPr>
            <w:tcW w:w="1727"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042057832</w:t>
            </w:r>
          </w:p>
        </w:tc>
      </w:tr>
    </w:tbl>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Tabel I.3.1.21</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 din energie</w:t>
      </w:r>
    </w:p>
    <w:p w:rsidR="00CA0B63" w:rsidRDefault="00CA0B63" w:rsidP="00CA0B63">
      <w:pPr>
        <w:tabs>
          <w:tab w:val="left" w:pos="301"/>
        </w:tabs>
        <w:jc w:val="center"/>
        <w:rPr>
          <w:rFonts w:ascii="Arial" w:hAnsi="Arial" w:cs="Arial"/>
          <w:sz w:val="24"/>
          <w:szCs w:val="24"/>
        </w:rPr>
      </w:pPr>
      <w:r w:rsidRPr="008C097A">
        <w:rPr>
          <w:rFonts w:ascii="Arial" w:hAnsi="Arial" w:cs="Arial"/>
          <w:noProof/>
          <w:sz w:val="24"/>
          <w:szCs w:val="24"/>
          <w:lang w:val="ro-RO" w:eastAsia="ro-RO"/>
        </w:rPr>
        <w:lastRenderedPageBreak/>
        <w:drawing>
          <wp:inline distT="0" distB="0" distL="0" distR="0">
            <wp:extent cx="3962400" cy="2743200"/>
            <wp:effectExtent l="19050" t="0" r="19050" b="0"/>
            <wp:docPr id="8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sz w:val="24"/>
          <w:szCs w:val="24"/>
        </w:rPr>
        <w:tab/>
      </w:r>
      <w:r>
        <w:rPr>
          <w:rFonts w:ascii="Arial" w:hAnsi="Arial" w:cs="Arial"/>
          <w:b/>
          <w:sz w:val="24"/>
          <w:szCs w:val="24"/>
        </w:rPr>
        <w:t>Figura I.3.1.21</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 din energie</w:t>
      </w:r>
    </w:p>
    <w:p w:rsidR="00CA0B63" w:rsidRDefault="00CA0B63" w:rsidP="00CA0B63">
      <w:pPr>
        <w:tabs>
          <w:tab w:val="left" w:pos="251"/>
        </w:tabs>
        <w:jc w:val="both"/>
        <w:rPr>
          <w:rFonts w:ascii="Arial" w:hAnsi="Arial" w:cs="Arial"/>
          <w:sz w:val="24"/>
          <w:szCs w:val="24"/>
        </w:rPr>
      </w:pPr>
      <w:r>
        <w:rPr>
          <w:rFonts w:ascii="Arial" w:hAnsi="Arial" w:cs="Arial"/>
          <w:sz w:val="24"/>
          <w:szCs w:val="24"/>
        </w:rPr>
        <w:t>Din datele prezentate mai sus, se observă o tendinţă de păstrare a nivelului emisiilor de poluanţi organici persistenţi la nivelul judeţului, variaţiile mici care apar datorându-se cantităţilor diferite de combustibili utilizate de la an la an.</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 xml:space="preserve">siilor </w:t>
      </w:r>
      <w:r w:rsidRPr="00C3358B">
        <w:rPr>
          <w:rFonts w:ascii="Arial" w:hAnsi="Arial" w:cs="Arial"/>
          <w:sz w:val="24"/>
          <w:szCs w:val="24"/>
        </w:rPr>
        <w:t>de</w:t>
      </w:r>
      <w:r>
        <w:rPr>
          <w:rFonts w:ascii="Arial" w:hAnsi="Arial" w:cs="Arial"/>
          <w:sz w:val="24"/>
          <w:szCs w:val="24"/>
        </w:rPr>
        <w:t xml:space="preserve"> poluanţi organici persistenţi din industrie</w:t>
      </w:r>
      <w:r w:rsidRPr="00C3358B">
        <w:rPr>
          <w:rFonts w:ascii="Arial" w:hAnsi="Arial" w:cs="Arial"/>
          <w:sz w:val="24"/>
          <w:szCs w:val="24"/>
        </w:rPr>
        <w:t>, la nivelul judeţului Buzău este prezentată în tabelul I.3</w:t>
      </w:r>
      <w:r>
        <w:rPr>
          <w:rFonts w:ascii="Arial" w:hAnsi="Arial" w:cs="Arial"/>
          <w:sz w:val="24"/>
          <w:szCs w:val="24"/>
        </w:rPr>
        <w:t>.1.22. şi figura I.3.1.22</w:t>
      </w:r>
      <w:r w:rsidRPr="00C3358B">
        <w:rPr>
          <w:rFonts w:ascii="Arial" w:hAnsi="Arial" w:cs="Arial"/>
          <w:sz w:val="24"/>
          <w:szCs w:val="24"/>
        </w:rPr>
        <w:t>.</w:t>
      </w:r>
    </w:p>
    <w:p w:rsidR="00CA0B63" w:rsidRDefault="00CA0B63" w:rsidP="00CA0B63">
      <w:pPr>
        <w:spacing w:after="120" w:line="240" w:lineRule="auto"/>
        <w:jc w:val="both"/>
        <w:rPr>
          <w:rFonts w:ascii="Arial" w:hAnsi="Arial" w:cs="Arial"/>
          <w:sz w:val="24"/>
          <w:szCs w:val="24"/>
        </w:rPr>
      </w:pPr>
    </w:p>
    <w:tbl>
      <w:tblPr>
        <w:tblW w:w="7312" w:type="dxa"/>
        <w:jc w:val="center"/>
        <w:tblInd w:w="103" w:type="dxa"/>
        <w:tblLook w:val="04A0"/>
      </w:tblPr>
      <w:tblGrid>
        <w:gridCol w:w="1617"/>
        <w:gridCol w:w="1733"/>
        <w:gridCol w:w="2229"/>
        <w:gridCol w:w="1733"/>
      </w:tblGrid>
      <w:tr w:rsidR="00CA0B63" w:rsidRPr="008C097A" w:rsidTr="0056118B">
        <w:trPr>
          <w:trHeight w:val="6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b/>
                <w:color w:val="000000"/>
                <w:sz w:val="24"/>
                <w:szCs w:val="24"/>
                <w:lang w:eastAsia="ro-RO"/>
              </w:rPr>
            </w:pPr>
            <w:r w:rsidRPr="008C097A">
              <w:rPr>
                <w:rFonts w:ascii="Arial" w:eastAsia="Times New Roman" w:hAnsi="Arial" w:cs="Arial"/>
                <w:b/>
                <w:color w:val="000000"/>
                <w:sz w:val="24"/>
                <w:szCs w:val="24"/>
                <w:lang w:eastAsia="ro-RO"/>
              </w:rPr>
              <w:t>POLUANT</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CA0B63" w:rsidRPr="008C097A"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2012</w:t>
            </w:r>
          </w:p>
        </w:tc>
        <w:tc>
          <w:tcPr>
            <w:tcW w:w="2229" w:type="dxa"/>
            <w:tcBorders>
              <w:top w:val="single" w:sz="4" w:space="0" w:color="auto"/>
              <w:left w:val="nil"/>
              <w:bottom w:val="single" w:sz="4" w:space="0" w:color="auto"/>
              <w:right w:val="single" w:sz="4" w:space="0" w:color="auto"/>
            </w:tcBorders>
            <w:shd w:val="clear" w:color="auto" w:fill="auto"/>
            <w:vAlign w:val="center"/>
            <w:hideMark/>
          </w:tcPr>
          <w:p w:rsidR="00CA0B63" w:rsidRPr="008C097A"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2013</w:t>
            </w:r>
          </w:p>
        </w:tc>
        <w:tc>
          <w:tcPr>
            <w:tcW w:w="1733" w:type="dxa"/>
            <w:tcBorders>
              <w:top w:val="single" w:sz="4" w:space="0" w:color="auto"/>
              <w:left w:val="nil"/>
              <w:bottom w:val="single" w:sz="4" w:space="0" w:color="auto"/>
              <w:right w:val="single" w:sz="4" w:space="0" w:color="auto"/>
            </w:tcBorders>
            <w:shd w:val="clear" w:color="auto" w:fill="auto"/>
            <w:vAlign w:val="center"/>
            <w:hideMark/>
          </w:tcPr>
          <w:p w:rsidR="00CA0B63" w:rsidRPr="008C097A"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2014</w:t>
            </w:r>
          </w:p>
        </w:tc>
      </w:tr>
      <w:tr w:rsidR="00CA0B63" w:rsidRPr="008C097A" w:rsidTr="0056118B">
        <w:trPr>
          <w:trHeight w:val="9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color w:val="000000"/>
                <w:sz w:val="24"/>
                <w:szCs w:val="24"/>
                <w:lang w:eastAsia="ro-RO"/>
              </w:rPr>
            </w:pPr>
            <w:r w:rsidRPr="008C097A">
              <w:rPr>
                <w:rFonts w:ascii="Arial" w:eastAsia="Times New Roman" w:hAnsi="Arial" w:cs="Arial"/>
                <w:color w:val="000000"/>
                <w:sz w:val="24"/>
                <w:szCs w:val="24"/>
                <w:lang w:eastAsia="ro-RO"/>
              </w:rPr>
              <w:t>PCDD/PCDF (gl-Teq)</w:t>
            </w:r>
          </w:p>
        </w:tc>
        <w:tc>
          <w:tcPr>
            <w:tcW w:w="1733"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052476303</w:t>
            </w:r>
          </w:p>
        </w:tc>
        <w:tc>
          <w:tcPr>
            <w:tcW w:w="2229"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108503361</w:t>
            </w:r>
          </w:p>
        </w:tc>
        <w:tc>
          <w:tcPr>
            <w:tcW w:w="1733"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136134007</w:t>
            </w:r>
          </w:p>
        </w:tc>
      </w:tr>
      <w:tr w:rsidR="00CA0B63" w:rsidRPr="008C097A" w:rsidTr="0056118B">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color w:val="000000"/>
                <w:sz w:val="24"/>
                <w:szCs w:val="24"/>
                <w:lang w:eastAsia="ro-RO"/>
              </w:rPr>
            </w:pPr>
            <w:r w:rsidRPr="008C097A">
              <w:rPr>
                <w:rFonts w:ascii="Arial" w:eastAsia="Times New Roman" w:hAnsi="Arial" w:cs="Arial"/>
                <w:color w:val="000000"/>
                <w:sz w:val="24"/>
                <w:szCs w:val="24"/>
                <w:lang w:eastAsia="ro-RO"/>
              </w:rPr>
              <w:t>PAH (Mg)</w:t>
            </w:r>
          </w:p>
        </w:tc>
        <w:tc>
          <w:tcPr>
            <w:tcW w:w="1733"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0189</w:t>
            </w:r>
          </w:p>
        </w:tc>
        <w:tc>
          <w:tcPr>
            <w:tcW w:w="2229"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0498</w:t>
            </w:r>
          </w:p>
        </w:tc>
        <w:tc>
          <w:tcPr>
            <w:tcW w:w="1733"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0498</w:t>
            </w:r>
          </w:p>
        </w:tc>
      </w:tr>
      <w:tr w:rsidR="00CA0B63" w:rsidRPr="008C097A" w:rsidTr="0056118B">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8C097A" w:rsidRDefault="00CA0B63" w:rsidP="0056118B">
            <w:pPr>
              <w:spacing w:after="0" w:line="240" w:lineRule="auto"/>
              <w:jc w:val="center"/>
              <w:rPr>
                <w:rFonts w:ascii="Arial" w:eastAsia="Times New Roman" w:hAnsi="Arial" w:cs="Arial"/>
                <w:color w:val="000000"/>
                <w:sz w:val="24"/>
                <w:szCs w:val="24"/>
                <w:lang w:eastAsia="ro-RO"/>
              </w:rPr>
            </w:pPr>
            <w:r w:rsidRPr="008C097A">
              <w:rPr>
                <w:rFonts w:ascii="Arial" w:eastAsia="Times New Roman" w:hAnsi="Arial" w:cs="Arial"/>
                <w:color w:val="000000"/>
                <w:sz w:val="24"/>
                <w:szCs w:val="24"/>
                <w:lang w:eastAsia="ro-RO"/>
              </w:rPr>
              <w:t>HCB (kg)</w:t>
            </w:r>
          </w:p>
        </w:tc>
        <w:tc>
          <w:tcPr>
            <w:tcW w:w="1733"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000735165</w:t>
            </w:r>
          </w:p>
        </w:tc>
        <w:tc>
          <w:tcPr>
            <w:tcW w:w="2229"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004523467</w:t>
            </w:r>
          </w:p>
        </w:tc>
        <w:tc>
          <w:tcPr>
            <w:tcW w:w="1733" w:type="dxa"/>
            <w:tcBorders>
              <w:top w:val="nil"/>
              <w:left w:val="nil"/>
              <w:bottom w:val="single" w:sz="4" w:space="0" w:color="auto"/>
              <w:right w:val="single" w:sz="4" w:space="0" w:color="auto"/>
            </w:tcBorders>
            <w:shd w:val="clear" w:color="auto" w:fill="auto"/>
            <w:noWrap/>
            <w:vAlign w:val="center"/>
            <w:hideMark/>
          </w:tcPr>
          <w:p w:rsidR="00CA0B63" w:rsidRPr="008C097A"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8C097A">
              <w:rPr>
                <w:rFonts w:ascii="Arial" w:eastAsia="Times New Roman" w:hAnsi="Arial" w:cs="Arial"/>
                <w:sz w:val="24"/>
                <w:szCs w:val="24"/>
                <w:lang w:eastAsia="ro-RO"/>
              </w:rPr>
              <w:t>00464583</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I.3.1.22</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 din industrie</w:t>
      </w:r>
    </w:p>
    <w:p w:rsidR="00787E64" w:rsidRDefault="00787E64" w:rsidP="00787E64">
      <w:pPr>
        <w:spacing w:before="120" w:after="120" w:line="240" w:lineRule="auto"/>
        <w:jc w:val="center"/>
        <w:rPr>
          <w:rFonts w:ascii="Arial" w:hAnsi="Arial" w:cs="Arial"/>
          <w:b/>
          <w:bCs/>
          <w:color w:val="000000"/>
          <w:sz w:val="24"/>
          <w:szCs w:val="24"/>
        </w:rPr>
      </w:pPr>
    </w:p>
    <w:p w:rsidR="00CA0B63" w:rsidRDefault="00CA0B63" w:rsidP="00CA0B63">
      <w:pPr>
        <w:tabs>
          <w:tab w:val="left" w:pos="4353"/>
        </w:tabs>
        <w:jc w:val="center"/>
        <w:rPr>
          <w:rFonts w:ascii="Arial" w:hAnsi="Arial" w:cs="Arial"/>
          <w:sz w:val="24"/>
          <w:szCs w:val="24"/>
        </w:rPr>
      </w:pPr>
      <w:r w:rsidRPr="008C097A">
        <w:rPr>
          <w:rFonts w:ascii="Arial" w:hAnsi="Arial" w:cs="Arial"/>
          <w:noProof/>
          <w:sz w:val="24"/>
          <w:szCs w:val="24"/>
          <w:lang w:val="ro-RO" w:eastAsia="ro-RO"/>
        </w:rPr>
        <w:drawing>
          <wp:inline distT="0" distB="0" distL="0" distR="0">
            <wp:extent cx="4295775" cy="2514600"/>
            <wp:effectExtent l="19050" t="0" r="9525" b="0"/>
            <wp:docPr id="88"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b/>
          <w:sz w:val="24"/>
          <w:szCs w:val="24"/>
        </w:rPr>
        <w:t>Figura I.3.1.22</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 din industrie</w:t>
      </w:r>
    </w:p>
    <w:p w:rsidR="00CA0B63" w:rsidRDefault="00CA0B63" w:rsidP="00CA0B63">
      <w:pPr>
        <w:jc w:val="both"/>
        <w:rPr>
          <w:rFonts w:ascii="Arial" w:hAnsi="Arial" w:cs="Arial"/>
          <w:sz w:val="24"/>
          <w:szCs w:val="24"/>
        </w:rPr>
      </w:pPr>
      <w:r>
        <w:rPr>
          <w:rFonts w:ascii="Arial" w:hAnsi="Arial" w:cs="Arial"/>
          <w:sz w:val="24"/>
          <w:szCs w:val="24"/>
        </w:rPr>
        <w:lastRenderedPageBreak/>
        <w:t>Tendinţa de creştere a emisiilor de poluanţi organici persistenţi se datorează variaţiei niv</w:t>
      </w:r>
      <w:r>
        <w:rPr>
          <w:rFonts w:ascii="Arial" w:hAnsi="Arial" w:cs="Arial"/>
          <w:sz w:val="24"/>
          <w:szCs w:val="24"/>
        </w:rPr>
        <w:t>e</w:t>
      </w:r>
      <w:r>
        <w:rPr>
          <w:rFonts w:ascii="Arial" w:hAnsi="Arial" w:cs="Arial"/>
          <w:sz w:val="24"/>
          <w:szCs w:val="24"/>
        </w:rPr>
        <w:t>lului de producţiei din industria metalurgică.</w:t>
      </w:r>
    </w:p>
    <w:p w:rsidR="00CA0B63" w:rsidRDefault="00CA0B63" w:rsidP="00CA0B63">
      <w:pPr>
        <w:spacing w:after="120" w:line="240" w:lineRule="auto"/>
        <w:jc w:val="both"/>
        <w:rPr>
          <w:rFonts w:ascii="Arial" w:hAnsi="Arial" w:cs="Arial"/>
          <w:sz w:val="24"/>
          <w:szCs w:val="24"/>
        </w:rPr>
      </w:pPr>
      <w:r w:rsidRPr="00C3358B">
        <w:rPr>
          <w:rFonts w:ascii="Arial" w:hAnsi="Arial" w:cs="Arial"/>
          <w:sz w:val="24"/>
          <w:szCs w:val="24"/>
        </w:rPr>
        <w:t>Tendinţa emi</w:t>
      </w:r>
      <w:r>
        <w:rPr>
          <w:rFonts w:ascii="Arial" w:hAnsi="Arial" w:cs="Arial"/>
          <w:sz w:val="24"/>
          <w:szCs w:val="24"/>
        </w:rPr>
        <w:t xml:space="preserve">siilor </w:t>
      </w:r>
      <w:r w:rsidRPr="00C3358B">
        <w:rPr>
          <w:rFonts w:ascii="Arial" w:hAnsi="Arial" w:cs="Arial"/>
          <w:sz w:val="24"/>
          <w:szCs w:val="24"/>
        </w:rPr>
        <w:t>de</w:t>
      </w:r>
      <w:r>
        <w:rPr>
          <w:rFonts w:ascii="Arial" w:hAnsi="Arial" w:cs="Arial"/>
          <w:sz w:val="24"/>
          <w:szCs w:val="24"/>
        </w:rPr>
        <w:t xml:space="preserve"> poluanţi organici persistenţi din transport</w:t>
      </w:r>
      <w:r w:rsidRPr="00C3358B">
        <w:rPr>
          <w:rFonts w:ascii="Arial" w:hAnsi="Arial" w:cs="Arial"/>
          <w:sz w:val="24"/>
          <w:szCs w:val="24"/>
        </w:rPr>
        <w:t>, la nivelul judeţului Buzău este prezentată în tabelul I.3</w:t>
      </w:r>
      <w:r>
        <w:rPr>
          <w:rFonts w:ascii="Arial" w:hAnsi="Arial" w:cs="Arial"/>
          <w:sz w:val="24"/>
          <w:szCs w:val="24"/>
        </w:rPr>
        <w:t>.1.23. şi figura I.3.1.23</w:t>
      </w:r>
      <w:r w:rsidRPr="00C3358B">
        <w:rPr>
          <w:rFonts w:ascii="Arial" w:hAnsi="Arial" w:cs="Arial"/>
          <w:sz w:val="24"/>
          <w:szCs w:val="24"/>
        </w:rPr>
        <w:t>.</w:t>
      </w:r>
    </w:p>
    <w:p w:rsidR="00CA0B63" w:rsidRDefault="00CA0B63" w:rsidP="00CA0B63">
      <w:pPr>
        <w:spacing w:after="120" w:line="240" w:lineRule="auto"/>
        <w:jc w:val="both"/>
        <w:rPr>
          <w:rFonts w:ascii="Arial" w:hAnsi="Arial" w:cs="Arial"/>
          <w:sz w:val="24"/>
          <w:szCs w:val="24"/>
        </w:rPr>
      </w:pPr>
    </w:p>
    <w:tbl>
      <w:tblPr>
        <w:tblW w:w="6337" w:type="dxa"/>
        <w:jc w:val="center"/>
        <w:tblInd w:w="103" w:type="dxa"/>
        <w:tblLook w:val="04A0"/>
      </w:tblPr>
      <w:tblGrid>
        <w:gridCol w:w="1617"/>
        <w:gridCol w:w="1484"/>
        <w:gridCol w:w="951"/>
        <w:gridCol w:w="2285"/>
      </w:tblGrid>
      <w:tr w:rsidR="00CA0B63" w:rsidRPr="004B09CD" w:rsidTr="0056118B">
        <w:trPr>
          <w:trHeight w:val="600"/>
          <w:jc w:val="cent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0B63" w:rsidRPr="004B09CD" w:rsidRDefault="00CA0B63" w:rsidP="0056118B">
            <w:pPr>
              <w:spacing w:after="0" w:line="240" w:lineRule="auto"/>
              <w:jc w:val="center"/>
              <w:rPr>
                <w:rFonts w:ascii="Arial" w:eastAsia="Times New Roman" w:hAnsi="Arial" w:cs="Arial"/>
                <w:b/>
                <w:color w:val="000000"/>
                <w:sz w:val="24"/>
                <w:szCs w:val="24"/>
                <w:lang w:eastAsia="ro-RO"/>
              </w:rPr>
            </w:pPr>
            <w:r w:rsidRPr="004B09CD">
              <w:rPr>
                <w:rFonts w:ascii="Arial" w:eastAsia="Times New Roman" w:hAnsi="Arial" w:cs="Arial"/>
                <w:b/>
                <w:color w:val="000000"/>
                <w:sz w:val="24"/>
                <w:szCs w:val="24"/>
                <w:lang w:eastAsia="ro-RO"/>
              </w:rPr>
              <w:t>POLUANT</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rsidR="00CA0B63" w:rsidRPr="004B09CD"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2012</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A0B63" w:rsidRPr="004B09CD" w:rsidRDefault="00CA0B63" w:rsidP="0056118B">
            <w:pPr>
              <w:spacing w:after="0" w:line="240" w:lineRule="auto"/>
              <w:jc w:val="center"/>
              <w:rPr>
                <w:rFonts w:ascii="Arial" w:eastAsia="Times New Roman" w:hAnsi="Arial" w:cs="Arial"/>
                <w:b/>
                <w:color w:val="000000"/>
                <w:sz w:val="24"/>
                <w:szCs w:val="24"/>
                <w:lang w:eastAsia="ro-RO"/>
              </w:rPr>
            </w:pPr>
            <w:r w:rsidRPr="004B09CD">
              <w:rPr>
                <w:rFonts w:ascii="Arial" w:eastAsia="Times New Roman" w:hAnsi="Arial" w:cs="Arial"/>
                <w:b/>
                <w:color w:val="000000"/>
                <w:sz w:val="24"/>
                <w:szCs w:val="24"/>
                <w:lang w:eastAsia="ro-RO"/>
              </w:rPr>
              <w:t>2013</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CA0B63" w:rsidRPr="004B09CD" w:rsidRDefault="00642360" w:rsidP="0056118B">
            <w:pPr>
              <w:spacing w:after="0" w:line="240" w:lineRule="auto"/>
              <w:jc w:val="center"/>
              <w:rPr>
                <w:rFonts w:ascii="Arial" w:eastAsia="Times New Roman" w:hAnsi="Arial" w:cs="Arial"/>
                <w:b/>
                <w:color w:val="000000"/>
                <w:sz w:val="24"/>
                <w:szCs w:val="24"/>
                <w:lang w:eastAsia="ro-RO"/>
              </w:rPr>
            </w:pPr>
            <w:r>
              <w:rPr>
                <w:rFonts w:ascii="Arial" w:eastAsia="Times New Roman" w:hAnsi="Arial" w:cs="Arial"/>
                <w:b/>
                <w:color w:val="000000"/>
                <w:sz w:val="24"/>
                <w:szCs w:val="24"/>
                <w:lang w:eastAsia="ro-RO"/>
              </w:rPr>
              <w:t>2014</w:t>
            </w:r>
          </w:p>
        </w:tc>
      </w:tr>
      <w:tr w:rsidR="00CA0B63" w:rsidRPr="004B09CD" w:rsidTr="0056118B">
        <w:trPr>
          <w:trHeight w:val="9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4B09CD" w:rsidRDefault="00CA0B63" w:rsidP="0056118B">
            <w:pPr>
              <w:spacing w:after="0" w:line="240" w:lineRule="auto"/>
              <w:jc w:val="center"/>
              <w:rPr>
                <w:rFonts w:ascii="Arial" w:eastAsia="Times New Roman" w:hAnsi="Arial" w:cs="Arial"/>
                <w:b/>
                <w:color w:val="000000"/>
                <w:sz w:val="24"/>
                <w:szCs w:val="24"/>
                <w:lang w:eastAsia="ro-RO"/>
              </w:rPr>
            </w:pPr>
            <w:r w:rsidRPr="004B09CD">
              <w:rPr>
                <w:rFonts w:ascii="Arial" w:eastAsia="Times New Roman" w:hAnsi="Arial" w:cs="Arial"/>
                <w:b/>
                <w:color w:val="000000"/>
                <w:sz w:val="24"/>
                <w:szCs w:val="24"/>
                <w:lang w:eastAsia="ro-RO"/>
              </w:rPr>
              <w:t>PCDD/PCDF (gl-Teq)</w:t>
            </w:r>
          </w:p>
        </w:tc>
        <w:tc>
          <w:tcPr>
            <w:tcW w:w="1484" w:type="dxa"/>
            <w:tcBorders>
              <w:top w:val="nil"/>
              <w:left w:val="nil"/>
              <w:bottom w:val="single" w:sz="4" w:space="0" w:color="auto"/>
              <w:right w:val="single" w:sz="4" w:space="0" w:color="auto"/>
            </w:tcBorders>
            <w:shd w:val="clear" w:color="auto" w:fill="auto"/>
            <w:noWrap/>
            <w:vAlign w:val="center"/>
            <w:hideMark/>
          </w:tcPr>
          <w:p w:rsidR="00CA0B63" w:rsidRPr="004B09CD" w:rsidRDefault="00CA0B63" w:rsidP="0056118B">
            <w:pPr>
              <w:spacing w:after="0" w:line="240" w:lineRule="auto"/>
              <w:jc w:val="center"/>
              <w:rPr>
                <w:rFonts w:ascii="Arial" w:eastAsia="Times New Roman" w:hAnsi="Arial" w:cs="Arial"/>
                <w:sz w:val="24"/>
                <w:szCs w:val="24"/>
                <w:lang w:eastAsia="ro-RO"/>
              </w:rPr>
            </w:pPr>
            <w:r w:rsidRPr="004B09CD">
              <w:rPr>
                <w:rFonts w:ascii="Arial" w:eastAsia="Times New Roman" w:hAnsi="Arial" w:cs="Arial"/>
                <w:sz w:val="24"/>
                <w:szCs w:val="24"/>
                <w:lang w:eastAsia="ro-RO"/>
              </w:rPr>
              <w:t>0,00007725</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4B09CD" w:rsidRDefault="00CA0B63" w:rsidP="0056118B">
            <w:pPr>
              <w:spacing w:after="0" w:line="240" w:lineRule="auto"/>
              <w:jc w:val="center"/>
              <w:rPr>
                <w:rFonts w:ascii="Arial" w:eastAsia="Times New Roman" w:hAnsi="Arial" w:cs="Arial"/>
                <w:color w:val="000000"/>
                <w:sz w:val="24"/>
                <w:szCs w:val="24"/>
                <w:lang w:eastAsia="ro-RO"/>
              </w:rPr>
            </w:pPr>
            <w:r w:rsidRPr="004B09CD">
              <w:rPr>
                <w:rFonts w:ascii="Arial" w:eastAsia="Times New Roman" w:hAnsi="Arial" w:cs="Arial"/>
                <w:color w:val="000000"/>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4B09CD" w:rsidRDefault="00642360" w:rsidP="0056118B">
            <w:pPr>
              <w:spacing w:after="0" w:line="240" w:lineRule="auto"/>
              <w:jc w:val="center"/>
              <w:rPr>
                <w:rFonts w:ascii="Arial" w:eastAsia="Times New Roman" w:hAnsi="Arial" w:cs="Arial"/>
                <w:sz w:val="24"/>
                <w:szCs w:val="24"/>
                <w:lang w:eastAsia="ro-RO"/>
              </w:rPr>
            </w:pPr>
            <w:r>
              <w:rPr>
                <w:rFonts w:ascii="Arial" w:eastAsia="Times New Roman" w:hAnsi="Arial" w:cs="Arial"/>
                <w:sz w:val="24"/>
                <w:szCs w:val="24"/>
                <w:lang w:eastAsia="ro-RO"/>
              </w:rPr>
              <w:t>0,</w:t>
            </w:r>
            <w:r w:rsidR="00CA0B63" w:rsidRPr="004B09CD">
              <w:rPr>
                <w:rFonts w:ascii="Arial" w:eastAsia="Times New Roman" w:hAnsi="Arial" w:cs="Arial"/>
                <w:sz w:val="24"/>
                <w:szCs w:val="24"/>
                <w:lang w:eastAsia="ro-RO"/>
              </w:rPr>
              <w:t>00016895492604</w:t>
            </w:r>
          </w:p>
        </w:tc>
      </w:tr>
      <w:tr w:rsidR="00CA0B63" w:rsidRPr="004B09CD" w:rsidTr="0056118B">
        <w:trPr>
          <w:trHeight w:val="6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4B09CD" w:rsidRDefault="00CA0B63" w:rsidP="0056118B">
            <w:pPr>
              <w:spacing w:after="0" w:line="240" w:lineRule="auto"/>
              <w:jc w:val="center"/>
              <w:rPr>
                <w:rFonts w:ascii="Arial" w:eastAsia="Times New Roman" w:hAnsi="Arial" w:cs="Arial"/>
                <w:b/>
                <w:color w:val="000000"/>
                <w:sz w:val="24"/>
                <w:szCs w:val="24"/>
                <w:lang w:eastAsia="ro-RO"/>
              </w:rPr>
            </w:pPr>
            <w:r w:rsidRPr="004B09CD">
              <w:rPr>
                <w:rFonts w:ascii="Arial" w:eastAsia="Times New Roman" w:hAnsi="Arial" w:cs="Arial"/>
                <w:b/>
                <w:color w:val="000000"/>
                <w:sz w:val="24"/>
                <w:szCs w:val="24"/>
                <w:lang w:eastAsia="ro-RO"/>
              </w:rPr>
              <w:t>PAH (Mg)</w:t>
            </w:r>
          </w:p>
        </w:tc>
        <w:tc>
          <w:tcPr>
            <w:tcW w:w="1484" w:type="dxa"/>
            <w:tcBorders>
              <w:top w:val="nil"/>
              <w:left w:val="nil"/>
              <w:bottom w:val="single" w:sz="4" w:space="0" w:color="auto"/>
              <w:right w:val="single" w:sz="4" w:space="0" w:color="auto"/>
            </w:tcBorders>
            <w:shd w:val="clear" w:color="auto" w:fill="auto"/>
            <w:noWrap/>
            <w:vAlign w:val="center"/>
            <w:hideMark/>
          </w:tcPr>
          <w:p w:rsidR="00CA0B63" w:rsidRPr="004B09CD"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B09CD">
              <w:rPr>
                <w:rFonts w:ascii="Arial" w:eastAsia="Times New Roman" w:hAnsi="Arial" w:cs="Arial"/>
                <w:color w:val="000000"/>
                <w:sz w:val="24"/>
                <w:szCs w:val="24"/>
                <w:lang w:eastAsia="ro-RO"/>
              </w:rPr>
              <w:t>00388</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4B09CD"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B09CD">
              <w:rPr>
                <w:rFonts w:ascii="Arial" w:eastAsia="Times New Roman" w:hAnsi="Arial" w:cs="Arial"/>
                <w:color w:val="000000"/>
                <w:sz w:val="24"/>
                <w:szCs w:val="24"/>
                <w:lang w:eastAsia="ro-RO"/>
              </w:rPr>
              <w:t>0253</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4B09CD" w:rsidRDefault="00642360" w:rsidP="0056118B">
            <w:pPr>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0,</w:t>
            </w:r>
            <w:r w:rsidR="00CA0B63" w:rsidRPr="004B09CD">
              <w:rPr>
                <w:rFonts w:ascii="Arial" w:eastAsia="Times New Roman" w:hAnsi="Arial" w:cs="Arial"/>
                <w:color w:val="000000"/>
                <w:sz w:val="24"/>
                <w:szCs w:val="24"/>
                <w:lang w:eastAsia="ro-RO"/>
              </w:rPr>
              <w:t>022</w:t>
            </w:r>
          </w:p>
        </w:tc>
      </w:tr>
      <w:tr w:rsidR="00CA0B63" w:rsidRPr="004B09CD" w:rsidTr="0056118B">
        <w:trPr>
          <w:trHeight w:val="300"/>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CA0B63" w:rsidRPr="004B09CD" w:rsidRDefault="00CA0B63" w:rsidP="0056118B">
            <w:pPr>
              <w:spacing w:after="0" w:line="240" w:lineRule="auto"/>
              <w:jc w:val="center"/>
              <w:rPr>
                <w:rFonts w:ascii="Arial" w:eastAsia="Times New Roman" w:hAnsi="Arial" w:cs="Arial"/>
                <w:b/>
                <w:color w:val="000000"/>
                <w:sz w:val="24"/>
                <w:szCs w:val="24"/>
                <w:lang w:eastAsia="ro-RO"/>
              </w:rPr>
            </w:pPr>
            <w:r w:rsidRPr="004B09CD">
              <w:rPr>
                <w:rFonts w:ascii="Arial" w:eastAsia="Times New Roman" w:hAnsi="Arial" w:cs="Arial"/>
                <w:b/>
                <w:color w:val="000000"/>
                <w:sz w:val="24"/>
                <w:szCs w:val="24"/>
                <w:lang w:eastAsia="ro-RO"/>
              </w:rPr>
              <w:t>HCB (kg)</w:t>
            </w:r>
          </w:p>
        </w:tc>
        <w:tc>
          <w:tcPr>
            <w:tcW w:w="1484" w:type="dxa"/>
            <w:tcBorders>
              <w:top w:val="nil"/>
              <w:left w:val="nil"/>
              <w:bottom w:val="single" w:sz="4" w:space="0" w:color="auto"/>
              <w:right w:val="single" w:sz="4" w:space="0" w:color="auto"/>
            </w:tcBorders>
            <w:shd w:val="clear" w:color="auto" w:fill="auto"/>
            <w:noWrap/>
            <w:vAlign w:val="center"/>
            <w:hideMark/>
          </w:tcPr>
          <w:p w:rsidR="00CA0B63" w:rsidRPr="004B09CD" w:rsidRDefault="00CA0B63" w:rsidP="0056118B">
            <w:pPr>
              <w:spacing w:after="0" w:line="240" w:lineRule="auto"/>
              <w:jc w:val="center"/>
              <w:rPr>
                <w:rFonts w:ascii="Arial" w:eastAsia="Times New Roman" w:hAnsi="Arial" w:cs="Arial"/>
                <w:color w:val="000000"/>
                <w:sz w:val="24"/>
                <w:szCs w:val="24"/>
                <w:lang w:eastAsia="ro-RO"/>
              </w:rPr>
            </w:pPr>
            <w:r w:rsidRPr="004B09CD">
              <w:rPr>
                <w:rFonts w:ascii="Arial" w:eastAsia="Times New Roman" w:hAnsi="Arial" w:cs="Arial"/>
                <w:color w:val="000000"/>
                <w:sz w:val="24"/>
                <w:szCs w:val="24"/>
                <w:lang w:eastAsia="ro-RO"/>
              </w:rPr>
              <w:t>0</w:t>
            </w:r>
          </w:p>
        </w:tc>
        <w:tc>
          <w:tcPr>
            <w:tcW w:w="951" w:type="dxa"/>
            <w:tcBorders>
              <w:top w:val="nil"/>
              <w:left w:val="nil"/>
              <w:bottom w:val="single" w:sz="4" w:space="0" w:color="auto"/>
              <w:right w:val="single" w:sz="4" w:space="0" w:color="auto"/>
            </w:tcBorders>
            <w:shd w:val="clear" w:color="auto" w:fill="auto"/>
            <w:noWrap/>
            <w:vAlign w:val="center"/>
            <w:hideMark/>
          </w:tcPr>
          <w:p w:rsidR="00CA0B63" w:rsidRPr="004B09CD" w:rsidRDefault="00CA0B63" w:rsidP="0056118B">
            <w:pPr>
              <w:spacing w:after="0" w:line="240" w:lineRule="auto"/>
              <w:jc w:val="center"/>
              <w:rPr>
                <w:rFonts w:ascii="Arial" w:eastAsia="Times New Roman" w:hAnsi="Arial" w:cs="Arial"/>
                <w:color w:val="000000"/>
                <w:sz w:val="24"/>
                <w:szCs w:val="24"/>
                <w:lang w:eastAsia="ro-RO"/>
              </w:rPr>
            </w:pPr>
            <w:r w:rsidRPr="004B09CD">
              <w:rPr>
                <w:rFonts w:ascii="Arial" w:eastAsia="Times New Roman" w:hAnsi="Arial" w:cs="Arial"/>
                <w:color w:val="000000"/>
                <w:sz w:val="24"/>
                <w:szCs w:val="24"/>
                <w:lang w:eastAsia="ro-RO"/>
              </w:rPr>
              <w:t>0</w:t>
            </w:r>
          </w:p>
        </w:tc>
        <w:tc>
          <w:tcPr>
            <w:tcW w:w="2285" w:type="dxa"/>
            <w:tcBorders>
              <w:top w:val="nil"/>
              <w:left w:val="nil"/>
              <w:bottom w:val="single" w:sz="4" w:space="0" w:color="auto"/>
              <w:right w:val="single" w:sz="4" w:space="0" w:color="auto"/>
            </w:tcBorders>
            <w:shd w:val="clear" w:color="auto" w:fill="auto"/>
            <w:noWrap/>
            <w:vAlign w:val="center"/>
            <w:hideMark/>
          </w:tcPr>
          <w:p w:rsidR="00CA0B63" w:rsidRPr="004B09CD" w:rsidRDefault="00CA0B63" w:rsidP="0056118B">
            <w:pPr>
              <w:spacing w:after="0" w:line="240" w:lineRule="auto"/>
              <w:jc w:val="center"/>
              <w:rPr>
                <w:rFonts w:ascii="Arial" w:eastAsia="Times New Roman" w:hAnsi="Arial" w:cs="Arial"/>
                <w:color w:val="000000"/>
                <w:sz w:val="24"/>
                <w:szCs w:val="24"/>
                <w:lang w:eastAsia="ro-RO"/>
              </w:rPr>
            </w:pPr>
            <w:r w:rsidRPr="004B09CD">
              <w:rPr>
                <w:rFonts w:ascii="Arial" w:eastAsia="Times New Roman" w:hAnsi="Arial" w:cs="Arial"/>
                <w:color w:val="000000"/>
                <w:sz w:val="24"/>
                <w:szCs w:val="24"/>
                <w:lang w:eastAsia="ro-RO"/>
              </w:rPr>
              <w:t>0</w:t>
            </w:r>
          </w:p>
        </w:tc>
      </w:tr>
    </w:tbl>
    <w:p w:rsidR="00CA0B63" w:rsidRDefault="00CA0B63" w:rsidP="00787E64">
      <w:pPr>
        <w:spacing w:before="120" w:after="120" w:line="240" w:lineRule="auto"/>
        <w:jc w:val="center"/>
        <w:rPr>
          <w:rFonts w:ascii="Arial" w:hAnsi="Arial" w:cs="Arial"/>
          <w:b/>
          <w:bCs/>
          <w:color w:val="000000"/>
          <w:sz w:val="24"/>
          <w:szCs w:val="24"/>
        </w:rPr>
      </w:pPr>
      <w:r>
        <w:rPr>
          <w:rFonts w:ascii="Arial" w:hAnsi="Arial" w:cs="Arial"/>
          <w:b/>
          <w:sz w:val="24"/>
          <w:szCs w:val="24"/>
        </w:rPr>
        <w:t>Tabel I.3.1.23</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 din transport</w:t>
      </w:r>
    </w:p>
    <w:p w:rsidR="00787E64" w:rsidRDefault="00787E64" w:rsidP="00787E64">
      <w:pPr>
        <w:spacing w:before="120" w:after="120" w:line="240" w:lineRule="auto"/>
        <w:jc w:val="center"/>
        <w:rPr>
          <w:rFonts w:ascii="Arial" w:hAnsi="Arial" w:cs="Arial"/>
          <w:b/>
          <w:bCs/>
          <w:sz w:val="24"/>
          <w:szCs w:val="24"/>
        </w:rPr>
      </w:pPr>
    </w:p>
    <w:p w:rsidR="00CA0B63" w:rsidRDefault="00CA0B63" w:rsidP="00CA0B63">
      <w:pPr>
        <w:tabs>
          <w:tab w:val="left" w:pos="201"/>
        </w:tabs>
        <w:jc w:val="center"/>
        <w:rPr>
          <w:rFonts w:ascii="Arial" w:hAnsi="Arial" w:cs="Arial"/>
          <w:sz w:val="24"/>
          <w:szCs w:val="24"/>
        </w:rPr>
      </w:pPr>
      <w:r w:rsidRPr="004B09CD">
        <w:rPr>
          <w:rFonts w:ascii="Arial" w:hAnsi="Arial" w:cs="Arial"/>
          <w:noProof/>
          <w:sz w:val="24"/>
          <w:szCs w:val="24"/>
          <w:lang w:val="ro-RO" w:eastAsia="ro-RO"/>
        </w:rPr>
        <w:drawing>
          <wp:inline distT="0" distB="0" distL="0" distR="0">
            <wp:extent cx="3962400" cy="2743200"/>
            <wp:effectExtent l="19050" t="0" r="19050" b="0"/>
            <wp:docPr id="89"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A0B63" w:rsidRDefault="00CA0B63" w:rsidP="00787E64">
      <w:pPr>
        <w:spacing w:before="120" w:after="120" w:line="240" w:lineRule="auto"/>
        <w:jc w:val="center"/>
        <w:rPr>
          <w:rFonts w:ascii="Arial" w:hAnsi="Arial" w:cs="Arial"/>
          <w:b/>
          <w:bCs/>
          <w:sz w:val="24"/>
          <w:szCs w:val="24"/>
        </w:rPr>
      </w:pPr>
      <w:r>
        <w:rPr>
          <w:rFonts w:ascii="Arial" w:hAnsi="Arial" w:cs="Arial"/>
          <w:sz w:val="24"/>
          <w:szCs w:val="24"/>
        </w:rPr>
        <w:tab/>
      </w:r>
      <w:r>
        <w:rPr>
          <w:rFonts w:ascii="Arial" w:hAnsi="Arial" w:cs="Arial"/>
          <w:b/>
          <w:sz w:val="24"/>
          <w:szCs w:val="24"/>
        </w:rPr>
        <w:t>Figura I.3.1.23</w:t>
      </w:r>
      <w:r w:rsidRPr="00EF48EE">
        <w:rPr>
          <w:rFonts w:ascii="Arial" w:hAnsi="Arial" w:cs="Arial"/>
          <w:b/>
          <w:sz w:val="24"/>
          <w:szCs w:val="24"/>
        </w:rPr>
        <w:t xml:space="preserve">. </w:t>
      </w:r>
      <w:r w:rsidRPr="00EF48EE">
        <w:rPr>
          <w:rFonts w:ascii="Arial" w:hAnsi="Arial" w:cs="Arial"/>
          <w:b/>
          <w:bCs/>
          <w:color w:val="000000"/>
          <w:sz w:val="24"/>
          <w:szCs w:val="24"/>
        </w:rPr>
        <w:t>Tendinta emisiilor</w:t>
      </w:r>
      <w:r>
        <w:rPr>
          <w:rFonts w:ascii="Arial" w:hAnsi="Arial" w:cs="Arial"/>
          <w:b/>
          <w:bCs/>
          <w:color w:val="000000"/>
          <w:sz w:val="24"/>
          <w:szCs w:val="24"/>
        </w:rPr>
        <w:t xml:space="preserve"> </w:t>
      </w:r>
      <w:r w:rsidRPr="00EF48EE">
        <w:rPr>
          <w:rFonts w:ascii="Arial" w:hAnsi="Arial" w:cs="Arial"/>
          <w:b/>
          <w:bCs/>
          <w:color w:val="000000"/>
          <w:sz w:val="24"/>
          <w:szCs w:val="24"/>
        </w:rPr>
        <w:t>de</w:t>
      </w:r>
      <w:r>
        <w:rPr>
          <w:rFonts w:ascii="Arial" w:hAnsi="Arial" w:cs="Arial"/>
          <w:b/>
          <w:bCs/>
          <w:color w:val="000000"/>
          <w:sz w:val="24"/>
          <w:szCs w:val="24"/>
        </w:rPr>
        <w:t xml:space="preserve"> poluanţi organici persistenţi din tran</w:t>
      </w:r>
      <w:r>
        <w:rPr>
          <w:rFonts w:ascii="Arial" w:hAnsi="Arial" w:cs="Arial"/>
          <w:b/>
          <w:bCs/>
          <w:color w:val="000000"/>
          <w:sz w:val="24"/>
          <w:szCs w:val="24"/>
        </w:rPr>
        <w:t>s</w:t>
      </w:r>
      <w:r>
        <w:rPr>
          <w:rFonts w:ascii="Arial" w:hAnsi="Arial" w:cs="Arial"/>
          <w:b/>
          <w:bCs/>
          <w:color w:val="000000"/>
          <w:sz w:val="24"/>
          <w:szCs w:val="24"/>
        </w:rPr>
        <w:t>port</w:t>
      </w:r>
    </w:p>
    <w:p w:rsidR="00CA0B63" w:rsidRPr="008E164B" w:rsidRDefault="00CA0B63" w:rsidP="00CA0B63">
      <w:pPr>
        <w:tabs>
          <w:tab w:val="left" w:pos="5325"/>
        </w:tabs>
        <w:jc w:val="both"/>
        <w:rPr>
          <w:rFonts w:ascii="Arial" w:hAnsi="Arial" w:cs="Arial"/>
          <w:sz w:val="24"/>
          <w:szCs w:val="24"/>
        </w:rPr>
      </w:pPr>
      <w:r w:rsidRPr="008E164B">
        <w:rPr>
          <w:rFonts w:ascii="Arial" w:hAnsi="Arial" w:cs="Arial"/>
          <w:sz w:val="24"/>
          <w:szCs w:val="24"/>
        </w:rPr>
        <w:t xml:space="preserve">Tendinţa descrescătoare a nivelului emisiilor de </w:t>
      </w:r>
      <w:r>
        <w:rPr>
          <w:rFonts w:ascii="Arial" w:hAnsi="Arial" w:cs="Arial"/>
          <w:sz w:val="24"/>
          <w:szCs w:val="24"/>
        </w:rPr>
        <w:t xml:space="preserve">metale grele </w:t>
      </w:r>
      <w:r w:rsidRPr="008E164B">
        <w:rPr>
          <w:rFonts w:ascii="Arial" w:hAnsi="Arial" w:cs="Arial"/>
          <w:sz w:val="24"/>
          <w:szCs w:val="24"/>
        </w:rPr>
        <w:t>provenite din transport se datorează aplicării de noi strategii de optimizare a traficului şi de dezvoltare a transportului public.</w:t>
      </w:r>
    </w:p>
    <w:p w:rsidR="00CA0B63" w:rsidRPr="004B09CD" w:rsidRDefault="00CA0B63" w:rsidP="00CA0B63">
      <w:pPr>
        <w:spacing w:after="120" w:line="240" w:lineRule="auto"/>
        <w:jc w:val="both"/>
        <w:rPr>
          <w:rFonts w:ascii="Arial" w:hAnsi="Arial" w:cs="Arial"/>
          <w:sz w:val="24"/>
          <w:szCs w:val="24"/>
        </w:rPr>
      </w:pPr>
      <w:r w:rsidRPr="004B09CD">
        <w:rPr>
          <w:rFonts w:ascii="Arial" w:hAnsi="Arial" w:cs="Arial"/>
          <w:sz w:val="24"/>
          <w:szCs w:val="24"/>
        </w:rPr>
        <w:t>Valorile emisiilor de substanţe poluante evacuate în atmosferă prezentate mai sus sunt direct proporţionale cu:</w:t>
      </w:r>
    </w:p>
    <w:p w:rsidR="00CA0B63" w:rsidRPr="004B09CD" w:rsidRDefault="00CA0B63" w:rsidP="00CA0B63">
      <w:pPr>
        <w:spacing w:after="120" w:line="240" w:lineRule="auto"/>
        <w:jc w:val="both"/>
        <w:rPr>
          <w:rFonts w:ascii="Arial" w:hAnsi="Arial" w:cs="Arial"/>
          <w:sz w:val="24"/>
          <w:szCs w:val="24"/>
        </w:rPr>
      </w:pPr>
      <w:r w:rsidRPr="004B09CD">
        <w:rPr>
          <w:rFonts w:ascii="Arial" w:hAnsi="Arial" w:cs="Arial"/>
          <w:sz w:val="24"/>
          <w:szCs w:val="24"/>
        </w:rPr>
        <w:t>- nivelul producţiei realizate din diverse sectoare de activitate la nivel local;</w:t>
      </w:r>
    </w:p>
    <w:p w:rsidR="00CA0B63" w:rsidRPr="004B09CD" w:rsidRDefault="00CA0B63" w:rsidP="00CA0B63">
      <w:pPr>
        <w:spacing w:after="120" w:line="240" w:lineRule="auto"/>
        <w:jc w:val="both"/>
        <w:rPr>
          <w:rFonts w:ascii="Arial" w:hAnsi="Arial" w:cs="Arial"/>
          <w:sz w:val="24"/>
          <w:szCs w:val="24"/>
        </w:rPr>
      </w:pPr>
      <w:r w:rsidRPr="004B09CD">
        <w:rPr>
          <w:rFonts w:ascii="Arial" w:hAnsi="Arial" w:cs="Arial"/>
          <w:sz w:val="24"/>
          <w:szCs w:val="24"/>
        </w:rPr>
        <w:t>- retehnologizarea instalaţiilor (tehnologii mai curate, cu emisii de substanţe poluante m</w:t>
      </w:r>
      <w:r w:rsidRPr="004B09CD">
        <w:rPr>
          <w:rFonts w:ascii="Arial" w:hAnsi="Arial" w:cs="Arial"/>
          <w:sz w:val="24"/>
          <w:szCs w:val="24"/>
        </w:rPr>
        <w:t>i</w:t>
      </w:r>
      <w:r w:rsidRPr="004B09CD">
        <w:rPr>
          <w:rFonts w:ascii="Arial" w:hAnsi="Arial" w:cs="Arial"/>
          <w:sz w:val="24"/>
          <w:szCs w:val="24"/>
        </w:rPr>
        <w:t>nime);</w:t>
      </w:r>
    </w:p>
    <w:p w:rsidR="00CA0B63" w:rsidRPr="004B09CD" w:rsidRDefault="00CA0B63" w:rsidP="00CA0B63">
      <w:pPr>
        <w:spacing w:after="120" w:line="240" w:lineRule="auto"/>
        <w:jc w:val="both"/>
        <w:rPr>
          <w:rFonts w:ascii="Arial" w:hAnsi="Arial" w:cs="Arial"/>
          <w:sz w:val="24"/>
          <w:szCs w:val="24"/>
        </w:rPr>
      </w:pPr>
      <w:r w:rsidRPr="004B09CD">
        <w:rPr>
          <w:rFonts w:ascii="Arial" w:hAnsi="Arial" w:cs="Arial"/>
          <w:sz w:val="24"/>
          <w:szCs w:val="24"/>
        </w:rPr>
        <w:t>- aplicarea legislaţiei astfel încât să se realizeze ţintele privind limitarea emisiilor de poluanţi în atmosferă, menţinerea şi îmbunătăţirea indicatorilor de calitate a aerului.</w:t>
      </w:r>
    </w:p>
    <w:p w:rsidR="00D74DCC" w:rsidRDefault="00D74DCC" w:rsidP="00CA0B63">
      <w:pPr>
        <w:tabs>
          <w:tab w:val="left" w:pos="4353"/>
        </w:tabs>
        <w:rPr>
          <w:rFonts w:ascii="Arial" w:hAnsi="Arial" w:cs="Arial"/>
          <w:b/>
          <w:sz w:val="24"/>
          <w:szCs w:val="24"/>
        </w:rPr>
      </w:pPr>
    </w:p>
    <w:p w:rsidR="00787E64" w:rsidRDefault="00787E64" w:rsidP="00CA0B63">
      <w:pPr>
        <w:tabs>
          <w:tab w:val="left" w:pos="4353"/>
        </w:tabs>
        <w:rPr>
          <w:rFonts w:ascii="Arial" w:hAnsi="Arial" w:cs="Arial"/>
          <w:b/>
          <w:sz w:val="24"/>
          <w:szCs w:val="24"/>
        </w:rPr>
      </w:pPr>
    </w:p>
    <w:p w:rsidR="00CA0B63" w:rsidRDefault="00CA0B63" w:rsidP="00CA0B63">
      <w:pPr>
        <w:tabs>
          <w:tab w:val="left" w:pos="4353"/>
        </w:tabs>
        <w:rPr>
          <w:rFonts w:ascii="Arial" w:hAnsi="Arial" w:cs="Arial"/>
          <w:b/>
          <w:sz w:val="24"/>
          <w:szCs w:val="24"/>
        </w:rPr>
      </w:pPr>
      <w:r w:rsidRPr="004B09CD">
        <w:rPr>
          <w:rFonts w:ascii="Arial" w:hAnsi="Arial" w:cs="Arial"/>
          <w:b/>
          <w:sz w:val="24"/>
          <w:szCs w:val="24"/>
        </w:rPr>
        <w:lastRenderedPageBreak/>
        <w:t>I.4. Politici, acţiuni şi măsuri pentru îmbunătăţirea calităţii aerului înconjurător</w:t>
      </w:r>
    </w:p>
    <w:p w:rsidR="00CA0B63" w:rsidRDefault="00CA0B63" w:rsidP="00CA0B63">
      <w:pPr>
        <w:spacing w:after="120" w:line="240" w:lineRule="auto"/>
        <w:jc w:val="both"/>
        <w:rPr>
          <w:rFonts w:ascii="Arial" w:hAnsi="Arial" w:cs="Arial"/>
          <w:sz w:val="24"/>
          <w:szCs w:val="24"/>
        </w:rPr>
      </w:pPr>
      <w:r>
        <w:rPr>
          <w:rFonts w:ascii="Arial" w:hAnsi="Arial" w:cs="Arial"/>
          <w:sz w:val="24"/>
          <w:szCs w:val="24"/>
        </w:rPr>
        <w:t>Agenţia pentru Protecţia Mediului Buzău este instituţia care asigură aplicarea legislaţiei privind calitatea aerului la nivel teritorial, efectuează activităţi de monitorizare a aerului înconjurător prin sistemul RNMCA, colaborează cu alte instituţii locale şi centrale pentru evaluarea calităţii aerului înconjurător, informează titularii de activităţi în cazul apariţiei ri</w:t>
      </w:r>
      <w:r>
        <w:rPr>
          <w:rFonts w:ascii="Arial" w:hAnsi="Arial" w:cs="Arial"/>
          <w:sz w:val="24"/>
          <w:szCs w:val="24"/>
        </w:rPr>
        <w:t>s</w:t>
      </w:r>
      <w:r>
        <w:rPr>
          <w:rFonts w:ascii="Arial" w:hAnsi="Arial" w:cs="Arial"/>
          <w:sz w:val="24"/>
          <w:szCs w:val="24"/>
        </w:rPr>
        <w:t>cului de depăşiri ale valorilor limită, participă la elaborarea planurilor de calitatea aerului şi monitorizează îndeplinirea şi efectele aplicării măsurilor, introduce în actele de regleme</w:t>
      </w:r>
      <w:r>
        <w:rPr>
          <w:rFonts w:ascii="Arial" w:hAnsi="Arial" w:cs="Arial"/>
          <w:sz w:val="24"/>
          <w:szCs w:val="24"/>
        </w:rPr>
        <w:t>n</w:t>
      </w:r>
      <w:r>
        <w:rPr>
          <w:rFonts w:ascii="Arial" w:hAnsi="Arial" w:cs="Arial"/>
          <w:sz w:val="24"/>
          <w:szCs w:val="24"/>
        </w:rPr>
        <w:t>tare aceste măsuri, acolo unde este cazul şi asigură informarea publicului cu privire la cal</w:t>
      </w:r>
      <w:r>
        <w:rPr>
          <w:rFonts w:ascii="Arial" w:hAnsi="Arial" w:cs="Arial"/>
          <w:sz w:val="24"/>
          <w:szCs w:val="24"/>
        </w:rPr>
        <w:t>i</w:t>
      </w:r>
      <w:r>
        <w:rPr>
          <w:rFonts w:ascii="Arial" w:hAnsi="Arial" w:cs="Arial"/>
          <w:sz w:val="24"/>
          <w:szCs w:val="24"/>
        </w:rPr>
        <w:t>tatea aerului înconjurător.</w:t>
      </w:r>
    </w:p>
    <w:p w:rsidR="00CA0B63" w:rsidRDefault="00CA0B63" w:rsidP="00CA0B63">
      <w:pPr>
        <w:spacing w:after="120" w:line="240" w:lineRule="auto"/>
        <w:jc w:val="both"/>
        <w:rPr>
          <w:rFonts w:ascii="Arial" w:hAnsi="Arial" w:cs="Arial"/>
          <w:sz w:val="24"/>
          <w:szCs w:val="24"/>
        </w:rPr>
      </w:pPr>
      <w:r>
        <w:rPr>
          <w:rFonts w:ascii="Arial" w:hAnsi="Arial" w:cs="Arial"/>
          <w:sz w:val="24"/>
          <w:szCs w:val="24"/>
        </w:rPr>
        <w:t>La nivelul judeţului Buzău, există ca parte a RNMCA, staţia BZ-1 de tip fond urban, situată în municipiul Buzău şi staţia BZ-2, de tip trafic, situată în municipiul Rîmnicu Sărat, care nu este pusă în funcţiune.</w:t>
      </w:r>
    </w:p>
    <w:p w:rsidR="00CA0B63" w:rsidRPr="00892024" w:rsidRDefault="00CA0B63" w:rsidP="00CA0B63">
      <w:pPr>
        <w:spacing w:after="120" w:line="240" w:lineRule="auto"/>
        <w:jc w:val="both"/>
        <w:rPr>
          <w:rFonts w:ascii="Arial" w:hAnsi="Arial" w:cs="Arial"/>
          <w:color w:val="000000"/>
          <w:sz w:val="24"/>
          <w:szCs w:val="24"/>
        </w:rPr>
      </w:pPr>
      <w:r w:rsidRPr="00892024">
        <w:rPr>
          <w:rFonts w:ascii="Arial" w:hAnsi="Arial" w:cs="Arial"/>
          <w:color w:val="000000"/>
          <w:sz w:val="24"/>
          <w:szCs w:val="24"/>
        </w:rPr>
        <w:t>Pentru poluanţii SO</w:t>
      </w:r>
      <w:r w:rsidRPr="00892024">
        <w:rPr>
          <w:rFonts w:ascii="Arial" w:hAnsi="Arial" w:cs="Arial"/>
          <w:color w:val="000000"/>
          <w:sz w:val="24"/>
          <w:szCs w:val="24"/>
          <w:vertAlign w:val="subscript"/>
        </w:rPr>
        <w:t>2</w:t>
      </w:r>
      <w:r w:rsidRPr="00892024">
        <w:rPr>
          <w:rFonts w:ascii="Arial" w:hAnsi="Arial" w:cs="Arial"/>
          <w:color w:val="000000"/>
          <w:sz w:val="24"/>
          <w:szCs w:val="24"/>
        </w:rPr>
        <w:t>, NO</w:t>
      </w:r>
      <w:r w:rsidRPr="00892024">
        <w:rPr>
          <w:rFonts w:ascii="Arial" w:hAnsi="Arial" w:cs="Arial"/>
          <w:color w:val="000000"/>
          <w:sz w:val="24"/>
          <w:szCs w:val="24"/>
          <w:vertAlign w:val="subscript"/>
        </w:rPr>
        <w:t>2</w:t>
      </w:r>
      <w:r w:rsidRPr="00892024">
        <w:rPr>
          <w:rFonts w:ascii="Arial" w:hAnsi="Arial" w:cs="Arial"/>
          <w:color w:val="000000"/>
          <w:sz w:val="24"/>
          <w:szCs w:val="24"/>
        </w:rPr>
        <w:t>, CO, O</w:t>
      </w:r>
      <w:r w:rsidRPr="00892024">
        <w:rPr>
          <w:rFonts w:ascii="Arial" w:hAnsi="Arial" w:cs="Arial"/>
          <w:color w:val="000000"/>
          <w:sz w:val="24"/>
          <w:szCs w:val="24"/>
          <w:vertAlign w:val="subscript"/>
        </w:rPr>
        <w:t>3</w:t>
      </w:r>
      <w:r w:rsidRPr="00892024">
        <w:rPr>
          <w:rFonts w:ascii="Arial" w:hAnsi="Arial" w:cs="Arial"/>
          <w:color w:val="000000"/>
          <w:sz w:val="24"/>
          <w:szCs w:val="24"/>
        </w:rPr>
        <w:t>,</w:t>
      </w:r>
      <w:r>
        <w:rPr>
          <w:rFonts w:ascii="Arial" w:hAnsi="Arial" w:cs="Arial"/>
          <w:color w:val="000000"/>
          <w:sz w:val="24"/>
          <w:szCs w:val="24"/>
        </w:rPr>
        <w:t xml:space="preserve"> Benzen monitorizaţi de Staţia BZ-1,</w:t>
      </w:r>
      <w:r w:rsidRPr="00892024">
        <w:rPr>
          <w:rFonts w:ascii="Arial" w:hAnsi="Arial" w:cs="Arial"/>
          <w:color w:val="000000"/>
          <w:sz w:val="24"/>
          <w:szCs w:val="24"/>
        </w:rPr>
        <w:t xml:space="preserve"> neînregistrându-se depăşiri ale </w:t>
      </w:r>
      <w:r>
        <w:rPr>
          <w:rFonts w:ascii="Arial" w:hAnsi="Arial" w:cs="Arial"/>
          <w:color w:val="000000"/>
          <w:sz w:val="24"/>
          <w:szCs w:val="24"/>
        </w:rPr>
        <w:t xml:space="preserve">valorilor limită, </w:t>
      </w:r>
      <w:r w:rsidRPr="00892024">
        <w:rPr>
          <w:rFonts w:ascii="Arial" w:hAnsi="Arial" w:cs="Arial"/>
          <w:color w:val="000000"/>
          <w:sz w:val="24"/>
          <w:szCs w:val="24"/>
        </w:rPr>
        <w:t xml:space="preserve">obiectivul pentru viitor este de </w:t>
      </w:r>
      <w:r>
        <w:rPr>
          <w:rFonts w:ascii="Arial" w:hAnsi="Arial" w:cs="Arial"/>
          <w:color w:val="000000"/>
          <w:sz w:val="24"/>
          <w:szCs w:val="24"/>
        </w:rPr>
        <w:t>a păstra nivelele atinse în 2014</w:t>
      </w:r>
      <w:r w:rsidRPr="00892024">
        <w:rPr>
          <w:rFonts w:ascii="Arial" w:hAnsi="Arial" w:cs="Arial"/>
          <w:color w:val="000000"/>
          <w:sz w:val="24"/>
          <w:szCs w:val="24"/>
        </w:rPr>
        <w:t xml:space="preserve"> pentru aceşti poluanţi.</w:t>
      </w:r>
    </w:p>
    <w:p w:rsidR="00CA0B63" w:rsidRPr="00892024" w:rsidRDefault="00CA0B63" w:rsidP="00CA0B63">
      <w:pPr>
        <w:spacing w:after="120" w:line="240" w:lineRule="auto"/>
        <w:jc w:val="both"/>
        <w:rPr>
          <w:rFonts w:ascii="Arial" w:hAnsi="Arial" w:cs="Arial"/>
          <w:sz w:val="24"/>
          <w:szCs w:val="24"/>
        </w:rPr>
      </w:pPr>
      <w:r w:rsidRPr="00892024">
        <w:rPr>
          <w:rFonts w:ascii="Arial" w:hAnsi="Arial" w:cs="Arial"/>
          <w:sz w:val="24"/>
          <w:szCs w:val="24"/>
        </w:rPr>
        <w:t>În urma realizării evaluării privind calitatea aerului pe anul 2007 au fost constate depăşiri ale poluantului PM</w:t>
      </w:r>
      <w:r w:rsidRPr="00892024">
        <w:rPr>
          <w:rFonts w:ascii="Arial" w:hAnsi="Arial" w:cs="Arial"/>
          <w:sz w:val="24"/>
          <w:szCs w:val="24"/>
          <w:vertAlign w:val="subscript"/>
        </w:rPr>
        <w:t>10</w:t>
      </w:r>
      <w:r w:rsidRPr="00892024">
        <w:rPr>
          <w:rFonts w:ascii="Arial" w:hAnsi="Arial" w:cs="Arial"/>
          <w:sz w:val="24"/>
          <w:szCs w:val="24"/>
        </w:rPr>
        <w:t xml:space="preserve"> în următoarele localităţi: Buzău, Vadu-Paşii, Râmnicu Sărat, Podg</w:t>
      </w:r>
      <w:r w:rsidRPr="00892024">
        <w:rPr>
          <w:rFonts w:ascii="Arial" w:hAnsi="Arial" w:cs="Arial"/>
          <w:sz w:val="24"/>
          <w:szCs w:val="24"/>
        </w:rPr>
        <w:t>o</w:t>
      </w:r>
      <w:r w:rsidRPr="00892024">
        <w:rPr>
          <w:rFonts w:ascii="Arial" w:hAnsi="Arial" w:cs="Arial"/>
          <w:sz w:val="24"/>
          <w:szCs w:val="24"/>
        </w:rPr>
        <w:t>ria, Topliceni, Grebănu şi Valea Râmnicului. Împreună cu autorităţile locale s-a trecut la iniţierea Programului de îmbunătăţire a calităţii aerului din punctul de vedere al pulberilor în suspensie PM</w:t>
      </w:r>
      <w:r w:rsidRPr="00892024">
        <w:rPr>
          <w:rFonts w:ascii="Arial" w:hAnsi="Arial" w:cs="Arial"/>
          <w:sz w:val="24"/>
          <w:szCs w:val="24"/>
          <w:vertAlign w:val="subscript"/>
        </w:rPr>
        <w:t>10</w:t>
      </w:r>
      <w:r w:rsidRPr="00892024">
        <w:rPr>
          <w:rFonts w:ascii="Arial" w:hAnsi="Arial" w:cs="Arial"/>
          <w:sz w:val="24"/>
          <w:szCs w:val="24"/>
        </w:rPr>
        <w:t>, program care trebuie să stabilească măsurile care se impun pentru încadrarea zonelor respective în valorile de emisie stabilite prin actele normative în v</w:t>
      </w:r>
      <w:r w:rsidRPr="00892024">
        <w:rPr>
          <w:rFonts w:ascii="Arial" w:hAnsi="Arial" w:cs="Arial"/>
          <w:sz w:val="24"/>
          <w:szCs w:val="24"/>
        </w:rPr>
        <w:t>i</w:t>
      </w:r>
      <w:r w:rsidRPr="00892024">
        <w:rPr>
          <w:rFonts w:ascii="Arial" w:hAnsi="Arial" w:cs="Arial"/>
          <w:sz w:val="24"/>
          <w:szCs w:val="24"/>
        </w:rPr>
        <w:t>goare. Acest program a fost finalizat în anul 2010 şi aprobat de Consiliul Judeţean Buzău prin Hotărârea nr. 76/25.06.2010.</w:t>
      </w:r>
    </w:p>
    <w:p w:rsidR="00CA0B63" w:rsidRDefault="00CA0B63" w:rsidP="00CA0B63">
      <w:pPr>
        <w:spacing w:after="120" w:line="240" w:lineRule="auto"/>
        <w:jc w:val="both"/>
        <w:rPr>
          <w:rFonts w:ascii="Arial" w:hAnsi="Arial" w:cs="Arial"/>
          <w:sz w:val="24"/>
          <w:szCs w:val="24"/>
        </w:rPr>
      </w:pPr>
      <w:r w:rsidRPr="00892024">
        <w:rPr>
          <w:rFonts w:ascii="Arial" w:hAnsi="Arial" w:cs="Arial"/>
          <w:sz w:val="24"/>
          <w:szCs w:val="24"/>
        </w:rPr>
        <w:t>La finalul anului 20</w:t>
      </w:r>
      <w:r>
        <w:rPr>
          <w:rFonts w:ascii="Arial" w:hAnsi="Arial" w:cs="Arial"/>
          <w:sz w:val="24"/>
          <w:szCs w:val="24"/>
        </w:rPr>
        <w:t>14</w:t>
      </w:r>
      <w:r w:rsidRPr="00892024">
        <w:rPr>
          <w:rFonts w:ascii="Arial" w:hAnsi="Arial" w:cs="Arial"/>
          <w:sz w:val="24"/>
          <w:szCs w:val="24"/>
        </w:rPr>
        <w:t xml:space="preserve"> a fost întocmit Raportul </w:t>
      </w:r>
      <w:r>
        <w:rPr>
          <w:rFonts w:ascii="Arial" w:hAnsi="Arial" w:cs="Arial"/>
          <w:sz w:val="24"/>
          <w:szCs w:val="24"/>
        </w:rPr>
        <w:t xml:space="preserve">final </w:t>
      </w:r>
      <w:r w:rsidRPr="00892024">
        <w:rPr>
          <w:rFonts w:ascii="Arial" w:hAnsi="Arial" w:cs="Arial"/>
          <w:sz w:val="24"/>
          <w:szCs w:val="24"/>
        </w:rPr>
        <w:t>pr</w:t>
      </w:r>
      <w:r>
        <w:rPr>
          <w:rFonts w:ascii="Arial" w:hAnsi="Arial" w:cs="Arial"/>
          <w:sz w:val="24"/>
          <w:szCs w:val="24"/>
        </w:rPr>
        <w:t>ivind măsurile realizate</w:t>
      </w:r>
      <w:r w:rsidRPr="00892024">
        <w:rPr>
          <w:rFonts w:ascii="Arial" w:hAnsi="Arial" w:cs="Arial"/>
          <w:sz w:val="24"/>
          <w:szCs w:val="24"/>
        </w:rPr>
        <w:t xml:space="preserve"> din Programul de Gestionare a Calităţii Aerului, raport aprobat de Consiliul</w:t>
      </w:r>
      <w:r>
        <w:rPr>
          <w:rFonts w:ascii="Arial" w:hAnsi="Arial" w:cs="Arial"/>
          <w:sz w:val="24"/>
          <w:szCs w:val="24"/>
        </w:rPr>
        <w:t xml:space="preserve"> Judeţean prin Hotărârea nr. 5626/04.05.2015 şi prin care se confirmă îndeplinirea măsurilor cuprinse în Program.</w:t>
      </w:r>
    </w:p>
    <w:p w:rsidR="00CA0B63" w:rsidRPr="00892024" w:rsidRDefault="00CA0B63" w:rsidP="00CA0B63">
      <w:pPr>
        <w:spacing w:after="120" w:line="240" w:lineRule="auto"/>
        <w:jc w:val="both"/>
        <w:rPr>
          <w:rFonts w:ascii="Arial" w:hAnsi="Arial" w:cs="Arial"/>
          <w:sz w:val="24"/>
          <w:szCs w:val="24"/>
        </w:rPr>
      </w:pPr>
      <w:r w:rsidRPr="00892024">
        <w:rPr>
          <w:rFonts w:ascii="Arial" w:hAnsi="Arial" w:cs="Arial"/>
          <w:sz w:val="24"/>
          <w:szCs w:val="24"/>
        </w:rPr>
        <w:t>Situaţia privind emisiile de PM10 în aerul înconjurător s-a modificat faţă de momentul elaborării PGCA în sensul că sistemele centralizate de încălzire  în cele două zone au, în prezent, o pondere mult mai mică faţă de sistemele individuale de încălzire. Aceste si</w:t>
      </w:r>
      <w:r w:rsidRPr="00892024">
        <w:rPr>
          <w:rFonts w:ascii="Arial" w:hAnsi="Arial" w:cs="Arial"/>
          <w:sz w:val="24"/>
          <w:szCs w:val="24"/>
        </w:rPr>
        <w:t>s</w:t>
      </w:r>
      <w:r w:rsidRPr="00892024">
        <w:rPr>
          <w:rFonts w:ascii="Arial" w:hAnsi="Arial" w:cs="Arial"/>
          <w:sz w:val="24"/>
          <w:szCs w:val="24"/>
        </w:rPr>
        <w:t>teme individuale de încălzire au înregistrat o creătere numerică substanţială şi o răspândire pe toată suprafaţa celor două zone, înmulţindu-se, astfel, sursele punctuale de emisii în aerul înconjurător.</w:t>
      </w:r>
    </w:p>
    <w:p w:rsidR="00CA0B63" w:rsidRPr="00892024" w:rsidRDefault="00CA0B63" w:rsidP="00CA0B63">
      <w:pPr>
        <w:spacing w:after="120" w:line="240" w:lineRule="auto"/>
        <w:jc w:val="both"/>
        <w:rPr>
          <w:rFonts w:ascii="Arial" w:hAnsi="Arial" w:cs="Arial"/>
          <w:sz w:val="24"/>
          <w:szCs w:val="24"/>
        </w:rPr>
      </w:pPr>
      <w:r w:rsidRPr="00892024">
        <w:rPr>
          <w:rFonts w:ascii="Arial" w:hAnsi="Arial" w:cs="Arial"/>
          <w:sz w:val="24"/>
          <w:szCs w:val="24"/>
        </w:rPr>
        <w:t>Determinările privind PM10</w:t>
      </w:r>
      <w:r>
        <w:rPr>
          <w:rFonts w:ascii="Arial" w:hAnsi="Arial" w:cs="Arial"/>
          <w:sz w:val="24"/>
          <w:szCs w:val="24"/>
        </w:rPr>
        <w:t xml:space="preserve"> s-au efectuat atât în cadrul RNMCA, la Staţia BZ-1, cât şi în</w:t>
      </w:r>
      <w:r w:rsidRPr="00892024">
        <w:rPr>
          <w:rFonts w:ascii="Arial" w:hAnsi="Arial" w:cs="Arial"/>
          <w:sz w:val="24"/>
          <w:szCs w:val="24"/>
        </w:rPr>
        <w:t xml:space="preserve"> afara </w:t>
      </w:r>
      <w:r>
        <w:rPr>
          <w:rFonts w:ascii="Arial" w:hAnsi="Arial" w:cs="Arial"/>
          <w:sz w:val="24"/>
          <w:szCs w:val="24"/>
        </w:rPr>
        <w:t>reţelei,</w:t>
      </w:r>
      <w:r w:rsidRPr="00892024">
        <w:rPr>
          <w:rFonts w:ascii="Arial" w:hAnsi="Arial" w:cs="Arial"/>
          <w:sz w:val="24"/>
          <w:szCs w:val="24"/>
        </w:rPr>
        <w:t xml:space="preserve"> în municipiul Râmnicu Sărat, fără însă a se respecta în totalitate prevederile standardelor în domeniu (în funcţie de dotarea tehnică şi materială existentă). Rezultatele acestor măsurări  confirmă existenţa în continuare a depăşirilor valorii limită (pentru med</w:t>
      </w:r>
      <w:r>
        <w:rPr>
          <w:rFonts w:ascii="Arial" w:hAnsi="Arial" w:cs="Arial"/>
          <w:sz w:val="24"/>
          <w:szCs w:val="24"/>
        </w:rPr>
        <w:t>ia zilnică), înregistrându-se 24 depăşiri în anul 2014</w:t>
      </w:r>
      <w:r w:rsidRPr="00892024">
        <w:rPr>
          <w:rFonts w:ascii="Arial" w:hAnsi="Arial" w:cs="Arial"/>
          <w:sz w:val="24"/>
          <w:szCs w:val="24"/>
        </w:rPr>
        <w:t>.</w:t>
      </w:r>
    </w:p>
    <w:p w:rsidR="00CA0B63" w:rsidRPr="00892024" w:rsidRDefault="00CA0B63" w:rsidP="00CA0B63">
      <w:pPr>
        <w:spacing w:after="120" w:line="240" w:lineRule="auto"/>
        <w:jc w:val="both"/>
        <w:rPr>
          <w:rFonts w:ascii="Arial" w:hAnsi="Arial" w:cs="Arial"/>
          <w:sz w:val="24"/>
          <w:szCs w:val="24"/>
        </w:rPr>
      </w:pPr>
      <w:r w:rsidRPr="00892024">
        <w:rPr>
          <w:rFonts w:ascii="Arial" w:hAnsi="Arial" w:cs="Arial"/>
          <w:sz w:val="24"/>
          <w:szCs w:val="24"/>
        </w:rPr>
        <w:t>Analizând datele pentru indicatoru</w:t>
      </w:r>
      <w:r>
        <w:rPr>
          <w:rFonts w:ascii="Arial" w:hAnsi="Arial" w:cs="Arial"/>
          <w:sz w:val="24"/>
          <w:szCs w:val="24"/>
        </w:rPr>
        <w:t>l PM10 înregistrate în anul 2014</w:t>
      </w:r>
      <w:r w:rsidRPr="00892024">
        <w:rPr>
          <w:rFonts w:ascii="Arial" w:hAnsi="Arial" w:cs="Arial"/>
          <w:sz w:val="24"/>
          <w:szCs w:val="24"/>
        </w:rPr>
        <w:t xml:space="preserve"> la staţia automată de monitorizare a calităţii aerului BZ-1 şi cele obţinute din măsurătorile efectuate în zona Rîmnicu Sărat, se poate trage concluzia că, în continuare, se înregistrează depăşiri ale valorilor limită pentru concentraţiile medii zilnice în aerul înconjurător, dar numărul lor este în scădere şi mai mic decât numărul impus prin lege a nu fi depăşit pentru valoarea limită (a nu se depăşi de mai mult de 35 de ori într-un an calendaristic). Menţionăm că aceste depăşiri s-au înregistrat doar în perioadele reci ale anului (când sunt în funcţiune instalaţiile de încălzire rezidenţiale) şi în condiţii de calm atmosferic, expunerea populaţiei fiind una de scurtă durată.</w:t>
      </w:r>
    </w:p>
    <w:p w:rsidR="00CA0B63" w:rsidRPr="00892024" w:rsidRDefault="00CA0B63" w:rsidP="00CA0B63">
      <w:pPr>
        <w:spacing w:after="120" w:line="240" w:lineRule="auto"/>
        <w:jc w:val="both"/>
        <w:rPr>
          <w:rFonts w:ascii="Arial" w:hAnsi="Arial" w:cs="Arial"/>
          <w:sz w:val="24"/>
          <w:szCs w:val="24"/>
        </w:rPr>
      </w:pPr>
      <w:r w:rsidRPr="00892024">
        <w:rPr>
          <w:rFonts w:ascii="Arial" w:hAnsi="Arial" w:cs="Arial"/>
          <w:sz w:val="24"/>
          <w:szCs w:val="24"/>
        </w:rPr>
        <w:t>Pentru informarea în timp real a populaţiei cu privire la calitatea aerului, inclusiv cu datele privind PM10, s-a menţinut în bună stare de funcţiona</w:t>
      </w:r>
      <w:r>
        <w:rPr>
          <w:rFonts w:ascii="Arial" w:hAnsi="Arial" w:cs="Arial"/>
          <w:sz w:val="24"/>
          <w:szCs w:val="24"/>
        </w:rPr>
        <w:t>re pe toată perioada anului 2014</w:t>
      </w:r>
      <w:r w:rsidRPr="00892024">
        <w:rPr>
          <w:rFonts w:ascii="Arial" w:hAnsi="Arial" w:cs="Arial"/>
          <w:sz w:val="24"/>
          <w:szCs w:val="24"/>
        </w:rPr>
        <w:t xml:space="preserve"> panoul exterior de informare a publicului de la sediul APM Buzău; de asemenea, se </w:t>
      </w:r>
      <w:r w:rsidRPr="00892024">
        <w:rPr>
          <w:rFonts w:ascii="Arial" w:hAnsi="Arial" w:cs="Arial"/>
          <w:sz w:val="24"/>
          <w:szCs w:val="24"/>
        </w:rPr>
        <w:lastRenderedPageBreak/>
        <w:t>postează pe site-ul instituţiei buletine zilnice de informare a populaţiei cu date privind cal</w:t>
      </w:r>
      <w:r w:rsidRPr="00892024">
        <w:rPr>
          <w:rFonts w:ascii="Arial" w:hAnsi="Arial" w:cs="Arial"/>
          <w:sz w:val="24"/>
          <w:szCs w:val="24"/>
        </w:rPr>
        <w:t>i</w:t>
      </w:r>
      <w:r w:rsidRPr="00892024">
        <w:rPr>
          <w:rFonts w:ascii="Arial" w:hAnsi="Arial" w:cs="Arial"/>
          <w:sz w:val="24"/>
          <w:szCs w:val="24"/>
        </w:rPr>
        <w:t xml:space="preserve">tatea aerului.  </w:t>
      </w:r>
    </w:p>
    <w:p w:rsidR="00CA0B63" w:rsidRPr="00892024" w:rsidRDefault="00CA0B63" w:rsidP="00CA0B63">
      <w:pPr>
        <w:spacing w:after="120" w:line="240" w:lineRule="auto"/>
        <w:jc w:val="both"/>
        <w:rPr>
          <w:rFonts w:ascii="Arial" w:hAnsi="Arial" w:cs="Arial"/>
          <w:sz w:val="24"/>
          <w:szCs w:val="24"/>
        </w:rPr>
      </w:pPr>
      <w:r w:rsidRPr="00892024">
        <w:rPr>
          <w:rFonts w:ascii="Arial" w:hAnsi="Arial" w:cs="Arial"/>
          <w:color w:val="000000"/>
          <w:sz w:val="24"/>
          <w:szCs w:val="24"/>
        </w:rPr>
        <w:t>În vederea monitorizării calităţii aerului în municipiul Rm.Sărat se vor depune toate efort</w:t>
      </w:r>
      <w:r w:rsidRPr="00892024">
        <w:rPr>
          <w:rFonts w:ascii="Arial" w:hAnsi="Arial" w:cs="Arial"/>
          <w:color w:val="000000"/>
          <w:sz w:val="24"/>
          <w:szCs w:val="24"/>
        </w:rPr>
        <w:t>u</w:t>
      </w:r>
      <w:r w:rsidRPr="00892024">
        <w:rPr>
          <w:rFonts w:ascii="Arial" w:hAnsi="Arial" w:cs="Arial"/>
          <w:color w:val="000000"/>
          <w:sz w:val="24"/>
          <w:szCs w:val="24"/>
        </w:rPr>
        <w:t>rile pentru punerea în</w:t>
      </w:r>
      <w:r>
        <w:rPr>
          <w:rFonts w:ascii="Arial" w:hAnsi="Arial" w:cs="Arial"/>
          <w:color w:val="000000"/>
          <w:sz w:val="24"/>
          <w:szCs w:val="24"/>
        </w:rPr>
        <w:t xml:space="preserve"> funcţiune în cursul anului 2015</w:t>
      </w:r>
      <w:r w:rsidRPr="00892024">
        <w:rPr>
          <w:rFonts w:ascii="Arial" w:hAnsi="Arial" w:cs="Arial"/>
          <w:color w:val="000000"/>
          <w:sz w:val="24"/>
          <w:szCs w:val="24"/>
        </w:rPr>
        <w:t xml:space="preserve">  a staţiei BZ – 2, de tip trafic</w:t>
      </w:r>
      <w:r>
        <w:rPr>
          <w:rFonts w:ascii="Arial" w:hAnsi="Arial" w:cs="Arial"/>
          <w:color w:val="000000"/>
          <w:sz w:val="24"/>
          <w:szCs w:val="24"/>
        </w:rPr>
        <w:t>.</w:t>
      </w:r>
    </w:p>
    <w:p w:rsidR="00CA0B63" w:rsidRDefault="00CA0B63" w:rsidP="00CA0B63">
      <w:pPr>
        <w:spacing w:after="120" w:line="240" w:lineRule="auto"/>
        <w:jc w:val="both"/>
        <w:rPr>
          <w:rFonts w:ascii="Arial" w:hAnsi="Arial" w:cs="Arial"/>
          <w:b/>
          <w:i/>
          <w:sz w:val="24"/>
          <w:szCs w:val="24"/>
        </w:rPr>
      </w:pPr>
    </w:p>
    <w:p w:rsidR="00CA0B63" w:rsidRPr="00CA0B63" w:rsidRDefault="00CA0B63" w:rsidP="00CA0B63">
      <w:pPr>
        <w:spacing w:after="120" w:line="240" w:lineRule="auto"/>
        <w:jc w:val="both"/>
        <w:rPr>
          <w:rFonts w:ascii="Arial" w:hAnsi="Arial" w:cs="Arial"/>
          <w:b/>
          <w:i/>
          <w:sz w:val="24"/>
          <w:szCs w:val="24"/>
        </w:rPr>
      </w:pPr>
      <w:r w:rsidRPr="00CA0B63">
        <w:rPr>
          <w:rFonts w:ascii="Arial" w:hAnsi="Arial" w:cs="Arial"/>
          <w:b/>
          <w:i/>
          <w:sz w:val="24"/>
          <w:szCs w:val="24"/>
        </w:rPr>
        <w:t>Sursa datelor din Capitolul I: Agenţia pentru Protecţia Mediului Buzău-Inventare l</w:t>
      </w:r>
      <w:r w:rsidRPr="00CA0B63">
        <w:rPr>
          <w:rFonts w:ascii="Arial" w:hAnsi="Arial" w:cs="Arial"/>
          <w:b/>
          <w:i/>
          <w:sz w:val="24"/>
          <w:szCs w:val="24"/>
        </w:rPr>
        <w:t>o</w:t>
      </w:r>
      <w:r w:rsidRPr="00CA0B63">
        <w:rPr>
          <w:rFonts w:ascii="Arial" w:hAnsi="Arial" w:cs="Arial"/>
          <w:b/>
          <w:i/>
          <w:sz w:val="24"/>
          <w:szCs w:val="24"/>
        </w:rPr>
        <w:t>cale de emisii, 2012, 2013, 2014 şi date preluate de la Staţia BZ-1 şi de la Prelevat</w:t>
      </w:r>
      <w:r w:rsidRPr="00CA0B63">
        <w:rPr>
          <w:rFonts w:ascii="Arial" w:hAnsi="Arial" w:cs="Arial"/>
          <w:b/>
          <w:i/>
          <w:sz w:val="24"/>
          <w:szCs w:val="24"/>
        </w:rPr>
        <w:t>o</w:t>
      </w:r>
      <w:r w:rsidRPr="00CA0B63">
        <w:rPr>
          <w:rFonts w:ascii="Arial" w:hAnsi="Arial" w:cs="Arial"/>
          <w:b/>
          <w:i/>
          <w:sz w:val="24"/>
          <w:szCs w:val="24"/>
        </w:rPr>
        <w:t>rul de pulberi SVEN LECKEL</w:t>
      </w:r>
    </w:p>
    <w:p w:rsidR="00CA0B63" w:rsidRPr="00EE7872" w:rsidRDefault="00CA0B63" w:rsidP="00CA0B63">
      <w:pPr>
        <w:rPr>
          <w:rFonts w:ascii="Arial" w:hAnsi="Arial" w:cs="Arial"/>
          <w:sz w:val="24"/>
          <w:szCs w:val="24"/>
        </w:rPr>
      </w:pPr>
    </w:p>
    <w:p w:rsidR="00CA0B63" w:rsidRDefault="00CA0B63" w:rsidP="00232324">
      <w:pPr>
        <w:spacing w:before="120" w:line="60" w:lineRule="atLeast"/>
        <w:jc w:val="center"/>
        <w:outlineLvl w:val="0"/>
        <w:rPr>
          <w:rFonts w:ascii="Times New Roman" w:hAnsi="Times New Roman"/>
          <w:b/>
          <w:sz w:val="28"/>
          <w:szCs w:val="28"/>
          <w:lang w:val="ro-RO"/>
        </w:rPr>
      </w:pPr>
    </w:p>
    <w:p w:rsidR="00150CB4" w:rsidRDefault="00150CB4" w:rsidP="00232324">
      <w:pPr>
        <w:spacing w:before="120" w:line="60" w:lineRule="atLeast"/>
        <w:jc w:val="center"/>
        <w:outlineLvl w:val="0"/>
        <w:rPr>
          <w:rFonts w:ascii="Times New Roman" w:hAnsi="Times New Roman"/>
          <w:b/>
          <w:sz w:val="28"/>
          <w:szCs w:val="28"/>
          <w:lang w:val="ro-RO"/>
        </w:rPr>
      </w:pPr>
    </w:p>
    <w:p w:rsidR="00150CB4" w:rsidRDefault="00150CB4" w:rsidP="00232324">
      <w:pPr>
        <w:spacing w:before="120" w:line="60" w:lineRule="atLeast"/>
        <w:jc w:val="center"/>
        <w:outlineLvl w:val="0"/>
        <w:rPr>
          <w:rFonts w:ascii="Times New Roman" w:hAnsi="Times New Roman"/>
          <w:b/>
          <w:sz w:val="28"/>
          <w:szCs w:val="28"/>
          <w:lang w:val="ro-RO"/>
        </w:rPr>
      </w:pPr>
    </w:p>
    <w:p w:rsidR="00150CB4" w:rsidRDefault="00150CB4" w:rsidP="00232324">
      <w:pPr>
        <w:spacing w:before="120" w:line="60" w:lineRule="atLeast"/>
        <w:jc w:val="center"/>
        <w:outlineLvl w:val="0"/>
        <w:rPr>
          <w:rFonts w:ascii="Times New Roman" w:hAnsi="Times New Roman"/>
          <w:b/>
          <w:sz w:val="28"/>
          <w:szCs w:val="28"/>
          <w:lang w:val="ro-RO"/>
        </w:rPr>
      </w:pPr>
    </w:p>
    <w:p w:rsidR="00150CB4" w:rsidRDefault="00150CB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787E64" w:rsidRDefault="00787E64" w:rsidP="00232324">
      <w:pPr>
        <w:spacing w:before="120" w:line="60" w:lineRule="atLeast"/>
        <w:jc w:val="center"/>
        <w:outlineLvl w:val="0"/>
        <w:rPr>
          <w:rFonts w:ascii="Times New Roman" w:hAnsi="Times New Roman"/>
          <w:b/>
          <w:sz w:val="28"/>
          <w:szCs w:val="28"/>
          <w:lang w:val="ro-RO"/>
        </w:rPr>
      </w:pPr>
    </w:p>
    <w:p w:rsidR="00420717" w:rsidRDefault="00420717" w:rsidP="00232324">
      <w:pPr>
        <w:spacing w:before="120" w:line="60" w:lineRule="atLeast"/>
        <w:jc w:val="center"/>
        <w:outlineLvl w:val="0"/>
        <w:rPr>
          <w:rFonts w:ascii="Times New Roman" w:hAnsi="Times New Roman"/>
          <w:b/>
          <w:sz w:val="28"/>
          <w:szCs w:val="28"/>
          <w:lang w:val="ro-RO"/>
        </w:rPr>
        <w:sectPr w:rsidR="00420717" w:rsidSect="00D9564E">
          <w:footerReference w:type="default" r:id="rId75"/>
          <w:pgSz w:w="11907" w:h="16839" w:code="9"/>
          <w:pgMar w:top="851" w:right="851" w:bottom="851" w:left="1418" w:header="0" w:footer="0" w:gutter="0"/>
          <w:pgNumType w:start="1"/>
          <w:cols w:space="720"/>
          <w:docGrid w:linePitch="360"/>
        </w:sectPr>
      </w:pPr>
    </w:p>
    <w:p w:rsidR="00420717" w:rsidRPr="00702A15" w:rsidRDefault="00420717" w:rsidP="00420717">
      <w:pPr>
        <w:tabs>
          <w:tab w:val="left" w:pos="540"/>
          <w:tab w:val="left" w:leader="dot" w:pos="9356"/>
        </w:tabs>
        <w:spacing w:after="0" w:line="240" w:lineRule="auto"/>
        <w:rPr>
          <w:rFonts w:ascii="Arial" w:hAnsi="Arial" w:cs="Arial"/>
          <w:b/>
          <w:sz w:val="24"/>
          <w:szCs w:val="24"/>
        </w:rPr>
      </w:pPr>
      <w:r w:rsidRPr="00702A15">
        <w:rPr>
          <w:rFonts w:ascii="Arial" w:hAnsi="Arial" w:cs="Arial"/>
          <w:b/>
          <w:sz w:val="24"/>
          <w:szCs w:val="24"/>
        </w:rPr>
        <w:lastRenderedPageBreak/>
        <w:t>II. APA</w:t>
      </w:r>
      <w:r>
        <w:rPr>
          <w:rFonts w:ascii="Arial" w:hAnsi="Arial" w:cs="Arial"/>
          <w:b/>
          <w:sz w:val="24"/>
          <w:szCs w:val="24"/>
        </w:rPr>
        <w:t xml:space="preserve"> </w:t>
      </w:r>
    </w:p>
    <w:p w:rsidR="00420717" w:rsidRPr="00702A15" w:rsidRDefault="00420717" w:rsidP="00420717">
      <w:pPr>
        <w:tabs>
          <w:tab w:val="left" w:pos="540"/>
          <w:tab w:val="left" w:leader="dot" w:pos="9356"/>
        </w:tabs>
        <w:spacing w:after="0" w:line="240" w:lineRule="auto"/>
        <w:rPr>
          <w:rFonts w:ascii="Arial" w:hAnsi="Arial" w:cs="Arial"/>
          <w:b/>
          <w:sz w:val="24"/>
          <w:szCs w:val="24"/>
        </w:rPr>
      </w:pPr>
      <w:r w:rsidRPr="00702A15">
        <w:rPr>
          <w:rFonts w:ascii="Arial" w:hAnsi="Arial" w:cs="Arial"/>
          <w:b/>
          <w:sz w:val="24"/>
          <w:szCs w:val="24"/>
        </w:rPr>
        <w:t xml:space="preserve">   </w:t>
      </w:r>
    </w:p>
    <w:p w:rsidR="00420717" w:rsidRPr="00702A15" w:rsidRDefault="00420717" w:rsidP="00420717">
      <w:pPr>
        <w:tabs>
          <w:tab w:val="left" w:leader="dot" w:pos="9356"/>
        </w:tabs>
        <w:spacing w:after="0" w:line="240" w:lineRule="auto"/>
        <w:rPr>
          <w:rFonts w:ascii="Arial" w:hAnsi="Arial" w:cs="Arial"/>
          <w:b/>
          <w:sz w:val="24"/>
          <w:szCs w:val="24"/>
        </w:rPr>
      </w:pPr>
      <w:r w:rsidRPr="00702A15">
        <w:rPr>
          <w:rFonts w:ascii="Arial" w:hAnsi="Arial" w:cs="Arial"/>
          <w:b/>
          <w:sz w:val="24"/>
          <w:szCs w:val="24"/>
        </w:rPr>
        <w:t xml:space="preserve">II.1.Resursele de apă, cantităţi şi debite </w:t>
      </w:r>
    </w:p>
    <w:p w:rsidR="00420717" w:rsidRPr="005C4CFE" w:rsidRDefault="00420717" w:rsidP="00420717">
      <w:pPr>
        <w:tabs>
          <w:tab w:val="left" w:pos="1204"/>
          <w:tab w:val="left" w:leader="dot" w:pos="9356"/>
        </w:tabs>
        <w:spacing w:after="0" w:line="240" w:lineRule="auto"/>
        <w:rPr>
          <w:rFonts w:ascii="Arial" w:hAnsi="Arial" w:cs="Arial"/>
          <w:b/>
          <w:sz w:val="24"/>
          <w:szCs w:val="24"/>
        </w:rPr>
      </w:pPr>
      <w:r w:rsidRPr="005C4CFE">
        <w:rPr>
          <w:rFonts w:ascii="Arial" w:hAnsi="Arial" w:cs="Arial"/>
          <w:b/>
          <w:sz w:val="24"/>
          <w:szCs w:val="24"/>
        </w:rPr>
        <w:t xml:space="preserve">II.1.1. Stare, presiuni şi consecinţe </w:t>
      </w:r>
    </w:p>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sz w:val="24"/>
          <w:szCs w:val="24"/>
        </w:rPr>
        <w:t xml:space="preserve">II.1.1.1. Resurse de apă potenţiale şi tehnic utilizabile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Resursele de apă potenţiale şi tehnic utilizabile, pentru jude</w:t>
      </w:r>
      <w:r>
        <w:rPr>
          <w:rFonts w:ascii="Arial" w:hAnsi="Arial" w:cs="Arial"/>
          <w:sz w:val="24"/>
          <w:szCs w:val="24"/>
        </w:rPr>
        <w:t>ţ</w:t>
      </w:r>
      <w:r w:rsidRPr="00702A15">
        <w:rPr>
          <w:rFonts w:ascii="Arial" w:hAnsi="Arial" w:cs="Arial"/>
          <w:sz w:val="24"/>
          <w:szCs w:val="24"/>
        </w:rPr>
        <w:t>ul Buzău sunt redate în tabelul de mai jos.</w:t>
      </w: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3"/>
        <w:gridCol w:w="861"/>
        <w:gridCol w:w="1822"/>
        <w:gridCol w:w="1684"/>
        <w:gridCol w:w="1684"/>
        <w:gridCol w:w="1678"/>
      </w:tblGrid>
      <w:tr w:rsidR="00420717" w:rsidRPr="00702A15" w:rsidTr="00D92384">
        <w:trPr>
          <w:trHeight w:val="265"/>
          <w:jc w:val="center"/>
        </w:trPr>
        <w:tc>
          <w:tcPr>
            <w:tcW w:w="855"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bCs/>
                <w:sz w:val="24"/>
                <w:szCs w:val="24"/>
              </w:rPr>
              <w:t>Bazinul H</w:t>
            </w:r>
            <w:r w:rsidRPr="00702A15">
              <w:rPr>
                <w:rFonts w:ascii="Arial" w:hAnsi="Arial" w:cs="Arial"/>
                <w:b/>
                <w:bCs/>
                <w:sz w:val="24"/>
                <w:szCs w:val="24"/>
              </w:rPr>
              <w:t>i</w:t>
            </w:r>
            <w:r w:rsidRPr="00702A15">
              <w:rPr>
                <w:rFonts w:ascii="Arial" w:hAnsi="Arial" w:cs="Arial"/>
                <w:b/>
                <w:bCs/>
                <w:sz w:val="24"/>
                <w:szCs w:val="24"/>
              </w:rPr>
              <w:t>drografic</w:t>
            </w:r>
          </w:p>
        </w:tc>
        <w:tc>
          <w:tcPr>
            <w:tcW w:w="462"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Anul</w:t>
            </w:r>
          </w:p>
        </w:tc>
        <w:tc>
          <w:tcPr>
            <w:tcW w:w="1880" w:type="pct"/>
            <w:gridSpan w:val="2"/>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Resursa de suprafaţă</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(mii mc)</w:t>
            </w:r>
          </w:p>
        </w:tc>
        <w:tc>
          <w:tcPr>
            <w:tcW w:w="1804" w:type="pct"/>
            <w:gridSpan w:val="2"/>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Resursa din subteran</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(mii mc)</w:t>
            </w:r>
          </w:p>
        </w:tc>
      </w:tr>
      <w:tr w:rsidR="00420717" w:rsidRPr="00702A15" w:rsidTr="00D92384">
        <w:trPr>
          <w:trHeight w:val="141"/>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977" w:type="pc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Teoretică</w:t>
            </w:r>
          </w:p>
        </w:tc>
        <w:tc>
          <w:tcPr>
            <w:tcW w:w="903" w:type="pc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Utilizabilă</w:t>
            </w:r>
          </w:p>
        </w:tc>
        <w:tc>
          <w:tcPr>
            <w:tcW w:w="903" w:type="pc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Teoretică</w:t>
            </w:r>
          </w:p>
        </w:tc>
        <w:tc>
          <w:tcPr>
            <w:tcW w:w="901" w:type="pc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Utilizabilă</w:t>
            </w:r>
          </w:p>
        </w:tc>
      </w:tr>
      <w:tr w:rsidR="00420717" w:rsidRPr="00702A15" w:rsidTr="00D92384">
        <w:trPr>
          <w:trHeight w:val="265"/>
          <w:jc w:val="center"/>
        </w:trPr>
        <w:tc>
          <w:tcPr>
            <w:tcW w:w="855"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BH Buzău</w:t>
            </w: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2010</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829.397</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95.400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211.300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2011</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829.397</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95.400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211.300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2012</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829.397</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95.400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211.300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2013</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829.397</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95.400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211.300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2014</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829.397</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95.400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211.300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120.000</w:t>
            </w:r>
          </w:p>
        </w:tc>
      </w:tr>
      <w:tr w:rsidR="00420717" w:rsidRPr="00702A15" w:rsidTr="00D92384">
        <w:trPr>
          <w:trHeight w:val="265"/>
          <w:jc w:val="center"/>
        </w:trPr>
        <w:tc>
          <w:tcPr>
            <w:tcW w:w="855"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bCs/>
                <w:sz w:val="24"/>
                <w:szCs w:val="24"/>
              </w:rPr>
              <w:t>BH Ialomiţa</w:t>
            </w: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2010</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1.879.500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429.920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649.600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417.000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2011</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1.879.500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429.920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649.600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417.000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2012</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1.879.500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429.920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649.600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417.000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2013</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1.879.500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429.920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649.600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417.000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2014</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1.879.500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429.920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649.600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417.000</w:t>
            </w:r>
          </w:p>
        </w:tc>
      </w:tr>
      <w:tr w:rsidR="00420717" w:rsidRPr="00702A15" w:rsidTr="00D92384">
        <w:trPr>
          <w:trHeight w:val="265"/>
          <w:jc w:val="center"/>
        </w:trPr>
        <w:tc>
          <w:tcPr>
            <w:tcW w:w="855"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bCs/>
                <w:sz w:val="24"/>
                <w:szCs w:val="24"/>
              </w:rPr>
              <w:t>BH Dunăre (Călmăţui)</w:t>
            </w: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2010</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27.500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3.630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162.400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2011</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27.500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3.630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162.400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2012</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27.500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3.630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162.400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2013</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27.500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3.630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162.400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2014</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27.500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3.630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162.400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48.000</w:t>
            </w:r>
          </w:p>
        </w:tc>
      </w:tr>
      <w:tr w:rsidR="00420717" w:rsidRPr="00702A15" w:rsidTr="00D92384">
        <w:trPr>
          <w:trHeight w:val="265"/>
          <w:jc w:val="center"/>
        </w:trPr>
        <w:tc>
          <w:tcPr>
            <w:tcW w:w="855" w:type="pct"/>
            <w:vMerge w:val="restart"/>
            <w:vAlign w:val="center"/>
          </w:tcPr>
          <w:p w:rsidR="00420717" w:rsidRPr="00702A15" w:rsidRDefault="00420717" w:rsidP="00D92384">
            <w:pPr>
              <w:rPr>
                <w:rFonts w:ascii="Arial" w:hAnsi="Arial" w:cs="Arial"/>
                <w:b/>
                <w:sz w:val="24"/>
                <w:szCs w:val="24"/>
              </w:rPr>
            </w:pPr>
            <w:r w:rsidRPr="00702A15">
              <w:rPr>
                <w:rFonts w:ascii="Arial" w:hAnsi="Arial" w:cs="Arial"/>
                <w:b/>
                <w:sz w:val="24"/>
                <w:szCs w:val="24"/>
              </w:rPr>
              <w:t>BH SIRET</w:t>
            </w: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2010</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30.000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2011</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30.000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2012</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30.000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2013</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30.000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20.000</w:t>
            </w:r>
          </w:p>
        </w:tc>
      </w:tr>
      <w:tr w:rsidR="00420717" w:rsidRPr="00702A15" w:rsidTr="00D92384">
        <w:trPr>
          <w:trHeight w:val="26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46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2014</w:t>
            </w:r>
          </w:p>
        </w:tc>
        <w:tc>
          <w:tcPr>
            <w:tcW w:w="97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5.000</w:t>
            </w:r>
          </w:p>
        </w:tc>
        <w:tc>
          <w:tcPr>
            <w:tcW w:w="903"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30.000</w:t>
            </w:r>
          </w:p>
        </w:tc>
        <w:tc>
          <w:tcPr>
            <w:tcW w:w="901"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20.000</w:t>
            </w:r>
          </w:p>
        </w:tc>
      </w:tr>
    </w:tbl>
    <w:p w:rsidR="00420717" w:rsidRPr="005C4CFE" w:rsidRDefault="00420717" w:rsidP="00420717">
      <w:pPr>
        <w:spacing w:after="0" w:line="240" w:lineRule="auto"/>
        <w:jc w:val="both"/>
        <w:rPr>
          <w:rFonts w:ascii="Arial" w:hAnsi="Arial" w:cs="Arial"/>
          <w:b/>
          <w:sz w:val="24"/>
          <w:szCs w:val="24"/>
        </w:rPr>
      </w:pPr>
      <w:r w:rsidRPr="005C4CFE">
        <w:rPr>
          <w:rFonts w:ascii="Arial" w:hAnsi="Arial" w:cs="Arial"/>
          <w:b/>
          <w:sz w:val="24"/>
          <w:szCs w:val="24"/>
        </w:rPr>
        <w:t>Tabel II.1.1.1.1. Resursele de apă, în judeţul Buzău, în perioada 2010-2014</w:t>
      </w:r>
    </w:p>
    <w:p w:rsidR="00420717" w:rsidRPr="00702A15" w:rsidRDefault="00420717" w:rsidP="00420717">
      <w:pPr>
        <w:pStyle w:val="Default"/>
        <w:jc w:val="both"/>
        <w:rPr>
          <w:b/>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spacing w:after="0" w:line="240" w:lineRule="auto"/>
        <w:rPr>
          <w:rFonts w:ascii="Arial" w:hAnsi="Arial" w:cs="Arial"/>
          <w:b/>
          <w:sz w:val="24"/>
          <w:szCs w:val="24"/>
        </w:rPr>
      </w:pPr>
    </w:p>
    <w:p w:rsidR="00420717" w:rsidRPr="00702A15" w:rsidRDefault="00420717" w:rsidP="00420717">
      <w:pPr>
        <w:spacing w:after="0" w:line="240" w:lineRule="auto"/>
        <w:jc w:val="center"/>
        <w:rPr>
          <w:rFonts w:ascii="Arial" w:hAnsi="Arial" w:cs="Arial"/>
          <w:b/>
          <w:sz w:val="24"/>
          <w:szCs w:val="24"/>
        </w:rPr>
      </w:pPr>
      <w:r w:rsidRPr="00702A15">
        <w:rPr>
          <w:rFonts w:ascii="Arial" w:hAnsi="Arial" w:cs="Arial"/>
          <w:b/>
          <w:noProof/>
          <w:sz w:val="24"/>
          <w:szCs w:val="24"/>
          <w:lang w:val="ro-RO" w:eastAsia="ro-RO"/>
        </w:rPr>
        <w:drawing>
          <wp:inline distT="0" distB="0" distL="0" distR="0">
            <wp:extent cx="5418074" cy="3211373"/>
            <wp:effectExtent l="19050" t="0" r="11176" b="8077"/>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20717" w:rsidRPr="005C4CFE" w:rsidRDefault="00420717" w:rsidP="00420717">
      <w:pPr>
        <w:spacing w:after="0" w:line="240" w:lineRule="auto"/>
        <w:jc w:val="center"/>
        <w:rPr>
          <w:rFonts w:ascii="Arial" w:hAnsi="Arial" w:cs="Arial"/>
          <w:b/>
          <w:sz w:val="24"/>
          <w:szCs w:val="24"/>
        </w:rPr>
      </w:pPr>
      <w:r w:rsidRPr="005C4CFE">
        <w:rPr>
          <w:rFonts w:ascii="Arial" w:hAnsi="Arial" w:cs="Arial"/>
          <w:b/>
          <w:sz w:val="24"/>
          <w:szCs w:val="24"/>
        </w:rPr>
        <w:t>Figura II 1.1.1.1. Resursele de apă, în judeţul Buzău, în perioada 2010-2014</w:t>
      </w:r>
    </w:p>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sz w:val="24"/>
          <w:szCs w:val="24"/>
        </w:rPr>
        <w:lastRenderedPageBreak/>
        <w:t>II.1.1.2. Utilizarea resurselor de apă</w:t>
      </w:r>
      <w:r>
        <w:rPr>
          <w:rFonts w:ascii="Arial" w:hAnsi="Arial" w:cs="Arial"/>
          <w:b/>
          <w:sz w:val="24"/>
          <w:szCs w:val="24"/>
        </w:rPr>
        <w:t xml:space="preserve"> </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Cerinţele de apă, în judeţul Buzău, în anul 2014, sunt date în tabelul următor:   </w:t>
      </w:r>
    </w:p>
    <w:tbl>
      <w:tblPr>
        <w:tblW w:w="3513" w:type="pct"/>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8"/>
        <w:gridCol w:w="2492"/>
        <w:gridCol w:w="1518"/>
        <w:gridCol w:w="1325"/>
      </w:tblGrid>
      <w:tr w:rsidR="00420717" w:rsidRPr="00702A15" w:rsidTr="00D92384">
        <w:trPr>
          <w:trHeight w:val="400"/>
          <w:jc w:val="center"/>
        </w:trPr>
        <w:tc>
          <w:tcPr>
            <w:tcW w:w="1147"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Bazinul H</w:t>
            </w:r>
            <w:r w:rsidRPr="00702A15">
              <w:rPr>
                <w:rFonts w:ascii="Arial" w:hAnsi="Arial" w:cs="Arial"/>
                <w:b/>
                <w:bCs/>
                <w:sz w:val="24"/>
                <w:szCs w:val="24"/>
              </w:rPr>
              <w:t>i</w:t>
            </w:r>
            <w:r w:rsidRPr="00702A15">
              <w:rPr>
                <w:rFonts w:ascii="Arial" w:hAnsi="Arial" w:cs="Arial"/>
                <w:b/>
                <w:bCs/>
                <w:sz w:val="24"/>
                <w:szCs w:val="24"/>
              </w:rPr>
              <w:t>drografic</w:t>
            </w:r>
          </w:p>
        </w:tc>
        <w:tc>
          <w:tcPr>
            <w:tcW w:w="1800"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Sursa de apă</w:t>
            </w:r>
          </w:p>
        </w:tc>
        <w:tc>
          <w:tcPr>
            <w:tcW w:w="2053" w:type="pct"/>
            <w:gridSpan w:val="2"/>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Cerinţa de apă</w:t>
            </w:r>
          </w:p>
        </w:tc>
      </w:tr>
      <w:tr w:rsidR="00420717" w:rsidRPr="00702A15" w:rsidTr="00D92384">
        <w:trPr>
          <w:trHeight w:val="845"/>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1096"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Activitatea</w:t>
            </w:r>
          </w:p>
        </w:tc>
        <w:tc>
          <w:tcPr>
            <w:tcW w:w="957"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Valoarea</w:t>
            </w:r>
          </w:p>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(mii. mc)</w:t>
            </w:r>
          </w:p>
        </w:tc>
      </w:tr>
      <w:tr w:rsidR="00420717" w:rsidRPr="00702A15" w:rsidTr="00D92384">
        <w:trPr>
          <w:trHeight w:val="400"/>
          <w:jc w:val="center"/>
        </w:trPr>
        <w:tc>
          <w:tcPr>
            <w:tcW w:w="1147"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BH Buzău</w:t>
            </w:r>
          </w:p>
          <w:p w:rsidR="00420717" w:rsidRPr="00702A15" w:rsidRDefault="00420717" w:rsidP="00D92384">
            <w:pPr>
              <w:spacing w:after="0" w:line="240" w:lineRule="auto"/>
              <w:jc w:val="center"/>
              <w:rPr>
                <w:rFonts w:ascii="Arial" w:hAnsi="Arial" w:cs="Arial"/>
                <w:bCs/>
                <w:sz w:val="24"/>
                <w:szCs w:val="24"/>
              </w:rPr>
            </w:pPr>
          </w:p>
          <w:p w:rsidR="00420717" w:rsidRPr="00702A15" w:rsidRDefault="00420717" w:rsidP="00D92384">
            <w:pPr>
              <w:spacing w:after="0" w:line="240" w:lineRule="auto"/>
              <w:jc w:val="center"/>
              <w:rPr>
                <w:rFonts w:ascii="Arial" w:hAnsi="Arial" w:cs="Arial"/>
                <w:bCs/>
                <w:sz w:val="24"/>
                <w:szCs w:val="24"/>
              </w:rPr>
            </w:pP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de suprafaţă</w:t>
            </w: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1.406,4</w:t>
            </w:r>
          </w:p>
        </w:tc>
      </w:tr>
      <w:tr w:rsidR="00420717" w:rsidRPr="00702A15" w:rsidTr="00D92384">
        <w:trPr>
          <w:trHeight w:val="400"/>
          <w:jc w:val="center"/>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1.194,6</w:t>
            </w:r>
          </w:p>
        </w:tc>
      </w:tr>
      <w:tr w:rsidR="00420717" w:rsidRPr="00702A15" w:rsidTr="00D92384">
        <w:trPr>
          <w:trHeight w:val="400"/>
          <w:jc w:val="center"/>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16.721,2</w:t>
            </w:r>
          </w:p>
        </w:tc>
      </w:tr>
      <w:tr w:rsidR="00420717" w:rsidRPr="00702A15" w:rsidTr="00D92384">
        <w:trPr>
          <w:trHeight w:val="400"/>
          <w:jc w:val="center"/>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19.322,2</w:t>
            </w:r>
          </w:p>
        </w:tc>
      </w:tr>
      <w:tr w:rsidR="00420717" w:rsidRPr="00702A15" w:rsidTr="00D92384">
        <w:trPr>
          <w:trHeight w:val="400"/>
          <w:jc w:val="center"/>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10.749,3</w:t>
            </w:r>
          </w:p>
        </w:tc>
      </w:tr>
      <w:tr w:rsidR="00420717" w:rsidRPr="00702A15" w:rsidTr="00D92384">
        <w:trPr>
          <w:trHeight w:val="400"/>
          <w:jc w:val="center"/>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3.987,0</w:t>
            </w:r>
          </w:p>
        </w:tc>
      </w:tr>
      <w:tr w:rsidR="00420717" w:rsidRPr="00702A15" w:rsidTr="00D92384">
        <w:trPr>
          <w:trHeight w:val="400"/>
          <w:jc w:val="center"/>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759,1</w:t>
            </w:r>
          </w:p>
        </w:tc>
      </w:tr>
      <w:tr w:rsidR="00420717" w:rsidRPr="00702A15" w:rsidTr="00D92384">
        <w:trPr>
          <w:trHeight w:val="400"/>
          <w:jc w:val="center"/>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15.495,4</w:t>
            </w:r>
          </w:p>
        </w:tc>
      </w:tr>
      <w:tr w:rsidR="00420717" w:rsidRPr="00702A15" w:rsidTr="00D92384">
        <w:trPr>
          <w:trHeight w:val="158"/>
          <w:jc w:val="center"/>
        </w:trPr>
        <w:tc>
          <w:tcPr>
            <w:tcW w:w="1147"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BH Dunăre (Călmăţui)</w:t>
            </w: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de suprafaţă</w:t>
            </w: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1.736,4</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1.736,4</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505,1</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462,3</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74,9</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1.042,3</w:t>
            </w:r>
          </w:p>
        </w:tc>
      </w:tr>
      <w:tr w:rsidR="00420717" w:rsidRPr="00702A15" w:rsidTr="00D92384">
        <w:trPr>
          <w:trHeight w:val="158"/>
          <w:jc w:val="center"/>
        </w:trPr>
        <w:tc>
          <w:tcPr>
            <w:tcW w:w="1147"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BH Ialomiţa (Sărata)</w:t>
            </w: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de suprafaţă</w:t>
            </w: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471,9</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62,1</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569,5</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bCs/>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1.103,5</w:t>
            </w:r>
          </w:p>
        </w:tc>
      </w:tr>
      <w:tr w:rsidR="00420717" w:rsidRPr="00702A15" w:rsidTr="00D92384">
        <w:trPr>
          <w:trHeight w:val="158"/>
          <w:jc w:val="center"/>
        </w:trPr>
        <w:tc>
          <w:tcPr>
            <w:tcW w:w="1147" w:type="pct"/>
            <w:vMerge w:val="restart"/>
            <w:vAlign w:val="center"/>
          </w:tcPr>
          <w:p w:rsidR="00420717" w:rsidRPr="00702A15" w:rsidRDefault="00420717" w:rsidP="00D92384">
            <w:pPr>
              <w:spacing w:after="0" w:line="240" w:lineRule="auto"/>
              <w:jc w:val="center"/>
              <w:rPr>
                <w:rFonts w:ascii="Arial" w:hAnsi="Arial" w:cs="Arial"/>
                <w:b/>
                <w:sz w:val="24"/>
                <w:szCs w:val="24"/>
              </w:rPr>
            </w:pP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 xml:space="preserve"> BH SIRET </w:t>
            </w:r>
          </w:p>
        </w:tc>
        <w:tc>
          <w:tcPr>
            <w:tcW w:w="1800" w:type="pct"/>
            <w:vMerge w:val="restart"/>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bCs/>
                <w:sz w:val="24"/>
                <w:szCs w:val="24"/>
              </w:rPr>
              <w:t>Sursă de suprafaţă</w:t>
            </w:r>
          </w:p>
        </w:tc>
        <w:tc>
          <w:tcPr>
            <w:tcW w:w="1096"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108,8</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108,8</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2.630</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657,2</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57,2</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3.344,4</w:t>
            </w:r>
          </w:p>
        </w:tc>
      </w:tr>
      <w:tr w:rsidR="00420717" w:rsidRPr="00702A15" w:rsidTr="00D92384">
        <w:trPr>
          <w:trHeight w:val="158"/>
          <w:jc w:val="center"/>
        </w:trPr>
        <w:tc>
          <w:tcPr>
            <w:tcW w:w="1147" w:type="pct"/>
            <w:vMerge w:val="restart"/>
            <w:vAlign w:val="center"/>
          </w:tcPr>
          <w:p w:rsidR="00420717" w:rsidRPr="00702A15" w:rsidRDefault="00420717" w:rsidP="00D92384">
            <w:pPr>
              <w:spacing w:after="0" w:line="240" w:lineRule="auto"/>
              <w:jc w:val="center"/>
              <w:rPr>
                <w:rFonts w:ascii="Arial" w:hAnsi="Arial" w:cs="Arial"/>
                <w:b/>
                <w:sz w:val="24"/>
                <w:szCs w:val="24"/>
              </w:rPr>
            </w:pP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Total judeţ Buzău</w:t>
            </w:r>
          </w:p>
        </w:tc>
        <w:tc>
          <w:tcPr>
            <w:tcW w:w="1800" w:type="pct"/>
            <w:vMerge w:val="restart"/>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bCs/>
                <w:sz w:val="24"/>
                <w:szCs w:val="24"/>
              </w:rPr>
              <w:t>Sursă de suprafaţă</w:t>
            </w: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1.406,4</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1.303,4</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18.457,6</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21.167,4</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00"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14.356,3</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5.168,6</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1.460,7</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096" w:type="pct"/>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20.985,6</w:t>
            </w:r>
          </w:p>
        </w:tc>
      </w:tr>
      <w:tr w:rsidR="00420717" w:rsidRPr="00702A15" w:rsidTr="00D92384">
        <w:trPr>
          <w:trHeight w:val="158"/>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2896" w:type="pct"/>
            <w:gridSpan w:val="2"/>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sz w:val="24"/>
                <w:szCs w:val="24"/>
              </w:rPr>
              <w:t>Total general</w:t>
            </w:r>
          </w:p>
        </w:tc>
        <w:tc>
          <w:tcPr>
            <w:tcW w:w="957"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42.153</w:t>
            </w:r>
          </w:p>
        </w:tc>
      </w:tr>
    </w:tbl>
    <w:p w:rsidR="00420717" w:rsidRPr="005C4CFE" w:rsidRDefault="00420717" w:rsidP="00420717">
      <w:pPr>
        <w:spacing w:after="0" w:line="240" w:lineRule="auto"/>
        <w:jc w:val="both"/>
        <w:rPr>
          <w:rFonts w:ascii="Arial" w:hAnsi="Arial" w:cs="Arial"/>
          <w:b/>
          <w:sz w:val="24"/>
          <w:szCs w:val="24"/>
        </w:rPr>
      </w:pPr>
      <w:r w:rsidRPr="005C4CFE">
        <w:rPr>
          <w:rFonts w:ascii="Arial" w:hAnsi="Arial" w:cs="Arial"/>
          <w:b/>
          <w:sz w:val="24"/>
          <w:szCs w:val="24"/>
        </w:rPr>
        <w:t>Tabel II.1.1.2.1. Cerinţe de apă în anul 2014, în judeţul Buzău</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lastRenderedPageBreak/>
        <w:t>Centralizatorul cu volumele de apă prelevate din sursele de apă de suprafaţă şi din su</w:t>
      </w:r>
      <w:r w:rsidRPr="00702A15">
        <w:rPr>
          <w:rFonts w:ascii="Arial" w:hAnsi="Arial" w:cs="Arial"/>
          <w:sz w:val="24"/>
          <w:szCs w:val="24"/>
        </w:rPr>
        <w:t>r</w:t>
      </w:r>
      <w:r w:rsidRPr="00702A15">
        <w:rPr>
          <w:rFonts w:ascii="Arial" w:hAnsi="Arial" w:cs="Arial"/>
          <w:sz w:val="24"/>
          <w:szCs w:val="24"/>
        </w:rPr>
        <w:t>sele subterane de apă, în judeţul Buzău, în anul 2014, este redat în tabelul de mai jos.</w:t>
      </w:r>
    </w:p>
    <w:p w:rsidR="00420717" w:rsidRPr="00702A15" w:rsidRDefault="00420717" w:rsidP="00420717">
      <w:pPr>
        <w:spacing w:after="0" w:line="240" w:lineRule="auto"/>
        <w:jc w:val="both"/>
        <w:rPr>
          <w:rFonts w:ascii="Arial" w:hAnsi="Arial" w:cs="Arial"/>
          <w:sz w:val="24"/>
          <w:szCs w:val="24"/>
        </w:rPr>
      </w:pPr>
    </w:p>
    <w:tbl>
      <w:tblPr>
        <w:tblW w:w="442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8"/>
        <w:gridCol w:w="3281"/>
        <w:gridCol w:w="1742"/>
        <w:gridCol w:w="1740"/>
      </w:tblGrid>
      <w:tr w:rsidR="00420717" w:rsidRPr="00702A15" w:rsidTr="00D92384">
        <w:trPr>
          <w:trHeight w:val="400"/>
        </w:trPr>
        <w:tc>
          <w:tcPr>
            <w:tcW w:w="1118"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Bazinul Hidr</w:t>
            </w:r>
            <w:r w:rsidRPr="00702A15">
              <w:rPr>
                <w:rFonts w:ascii="Arial" w:hAnsi="Arial" w:cs="Arial"/>
                <w:b/>
                <w:bCs/>
                <w:sz w:val="24"/>
                <w:szCs w:val="24"/>
              </w:rPr>
              <w:t>o</w:t>
            </w:r>
            <w:r w:rsidRPr="00702A15">
              <w:rPr>
                <w:rFonts w:ascii="Arial" w:hAnsi="Arial" w:cs="Arial"/>
                <w:b/>
                <w:bCs/>
                <w:sz w:val="24"/>
                <w:szCs w:val="24"/>
              </w:rPr>
              <w:t>grafic</w:t>
            </w:r>
          </w:p>
        </w:tc>
        <w:tc>
          <w:tcPr>
            <w:tcW w:w="1883" w:type="pct"/>
            <w:vMerge w:val="restar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Sursa de apă</w:t>
            </w:r>
          </w:p>
        </w:tc>
        <w:tc>
          <w:tcPr>
            <w:tcW w:w="2000" w:type="pct"/>
            <w:gridSpan w:val="2"/>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Prelevări de apă</w:t>
            </w:r>
          </w:p>
        </w:tc>
      </w:tr>
      <w:tr w:rsidR="00420717" w:rsidRPr="00702A15" w:rsidTr="00D92384">
        <w:trPr>
          <w:trHeight w:val="845"/>
        </w:trPr>
        <w:tc>
          <w:tcPr>
            <w:tcW w:w="0" w:type="auto"/>
            <w:vMerge/>
            <w:vAlign w:val="center"/>
          </w:tcPr>
          <w:p w:rsidR="00420717" w:rsidRPr="00702A15" w:rsidRDefault="00420717" w:rsidP="00D92384">
            <w:pPr>
              <w:spacing w:after="0" w:line="240" w:lineRule="auto"/>
              <w:jc w:val="center"/>
              <w:rPr>
                <w:rFonts w:ascii="Arial" w:hAnsi="Arial" w:cs="Arial"/>
                <w:b/>
                <w:bCs/>
                <w:sz w:val="24"/>
                <w:szCs w:val="24"/>
              </w:rPr>
            </w:pPr>
          </w:p>
        </w:tc>
        <w:tc>
          <w:tcPr>
            <w:tcW w:w="1883" w:type="pct"/>
            <w:vMerge/>
            <w:vAlign w:val="center"/>
          </w:tcPr>
          <w:p w:rsidR="00420717" w:rsidRPr="00702A15" w:rsidRDefault="00420717" w:rsidP="00D92384">
            <w:pPr>
              <w:spacing w:after="0" w:line="240" w:lineRule="auto"/>
              <w:jc w:val="center"/>
              <w:rPr>
                <w:rFonts w:ascii="Arial" w:hAnsi="Arial" w:cs="Arial"/>
                <w:b/>
                <w:bCs/>
                <w:sz w:val="24"/>
                <w:szCs w:val="24"/>
              </w:rPr>
            </w:pPr>
          </w:p>
        </w:tc>
        <w:tc>
          <w:tcPr>
            <w:tcW w:w="1000"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Activitatea</w:t>
            </w:r>
          </w:p>
        </w:tc>
        <w:tc>
          <w:tcPr>
            <w:tcW w:w="1000"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Valoarea</w:t>
            </w:r>
          </w:p>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(mii.mc)</w:t>
            </w:r>
          </w:p>
        </w:tc>
      </w:tr>
      <w:tr w:rsidR="00420717" w:rsidRPr="00702A15" w:rsidTr="00D92384">
        <w:trPr>
          <w:trHeight w:val="158"/>
        </w:trPr>
        <w:tc>
          <w:tcPr>
            <w:tcW w:w="1118" w:type="pct"/>
            <w:vMerge w:val="restart"/>
            <w:vAlign w:val="center"/>
          </w:tcPr>
          <w:p w:rsidR="00420717" w:rsidRPr="00702A15" w:rsidRDefault="00420717" w:rsidP="00D92384">
            <w:pPr>
              <w:spacing w:after="0" w:line="240" w:lineRule="auto"/>
              <w:jc w:val="both"/>
              <w:rPr>
                <w:rFonts w:ascii="Arial" w:hAnsi="Arial" w:cs="Arial"/>
                <w:b/>
                <w:bCs/>
                <w:sz w:val="24"/>
                <w:szCs w:val="24"/>
              </w:rPr>
            </w:pPr>
            <w:r w:rsidRPr="00702A15">
              <w:rPr>
                <w:rFonts w:ascii="Arial" w:hAnsi="Arial" w:cs="Arial"/>
                <w:b/>
                <w:bCs/>
                <w:sz w:val="24"/>
                <w:szCs w:val="24"/>
              </w:rPr>
              <w:t>BH Buzău</w:t>
            </w:r>
          </w:p>
          <w:p w:rsidR="00420717" w:rsidRPr="00702A15" w:rsidRDefault="00420717" w:rsidP="00D92384">
            <w:pPr>
              <w:spacing w:after="0" w:line="240" w:lineRule="auto"/>
              <w:jc w:val="both"/>
              <w:rPr>
                <w:rFonts w:ascii="Arial" w:hAnsi="Arial" w:cs="Arial"/>
                <w:bCs/>
                <w:sz w:val="24"/>
                <w:szCs w:val="24"/>
              </w:rPr>
            </w:pPr>
          </w:p>
          <w:p w:rsidR="00420717" w:rsidRPr="00702A15" w:rsidRDefault="00420717" w:rsidP="00D92384">
            <w:pPr>
              <w:spacing w:after="0" w:line="240" w:lineRule="auto"/>
              <w:jc w:val="both"/>
              <w:rPr>
                <w:rFonts w:ascii="Arial" w:hAnsi="Arial" w:cs="Arial"/>
                <w:bCs/>
                <w:sz w:val="24"/>
                <w:szCs w:val="24"/>
              </w:rPr>
            </w:pP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de suprafaţă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1.343,2</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1.247,9</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8.503</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11.094,1</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9.728,9</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3.769,6</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330,7</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Cs/>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13.829,3</w:t>
            </w:r>
          </w:p>
        </w:tc>
      </w:tr>
      <w:tr w:rsidR="00420717" w:rsidRPr="00702A15" w:rsidTr="00D92384">
        <w:trPr>
          <w:trHeight w:val="158"/>
        </w:trPr>
        <w:tc>
          <w:tcPr>
            <w:tcW w:w="1118" w:type="pct"/>
            <w:vMerge w:val="restart"/>
            <w:vAlign w:val="center"/>
          </w:tcPr>
          <w:p w:rsidR="00420717" w:rsidRPr="00702A15" w:rsidRDefault="00420717" w:rsidP="00D92384">
            <w:pPr>
              <w:rPr>
                <w:rFonts w:ascii="Arial" w:hAnsi="Arial" w:cs="Arial"/>
                <w:b/>
                <w:sz w:val="24"/>
                <w:szCs w:val="24"/>
              </w:rPr>
            </w:pPr>
            <w:r w:rsidRPr="00702A15">
              <w:rPr>
                <w:rFonts w:ascii="Arial" w:hAnsi="Arial" w:cs="Arial"/>
                <w:b/>
                <w:sz w:val="24"/>
                <w:szCs w:val="24"/>
              </w:rPr>
              <w:t>BH Dunăre (Călmăţui)</w:t>
            </w: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de suprafaţă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1.736,4</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1.736,4</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483,8</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520,5</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52,7</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1.057,0</w:t>
            </w:r>
          </w:p>
        </w:tc>
      </w:tr>
      <w:tr w:rsidR="00420717" w:rsidRPr="00702A15" w:rsidTr="00D92384">
        <w:trPr>
          <w:trHeight w:val="158"/>
        </w:trPr>
        <w:tc>
          <w:tcPr>
            <w:tcW w:w="1118" w:type="pct"/>
            <w:vMerge w:val="restart"/>
            <w:vAlign w:val="center"/>
          </w:tcPr>
          <w:p w:rsidR="00420717" w:rsidRPr="00702A15" w:rsidRDefault="00420717" w:rsidP="00D92384">
            <w:pPr>
              <w:rPr>
                <w:rFonts w:ascii="Arial" w:hAnsi="Arial" w:cs="Arial"/>
                <w:b/>
                <w:sz w:val="24"/>
                <w:szCs w:val="24"/>
              </w:rPr>
            </w:pPr>
            <w:r w:rsidRPr="00702A15">
              <w:rPr>
                <w:rFonts w:ascii="Arial" w:hAnsi="Arial" w:cs="Arial"/>
                <w:b/>
                <w:sz w:val="24"/>
                <w:szCs w:val="24"/>
              </w:rPr>
              <w:t>BH Ialomiţa (Sărata)</w:t>
            </w: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de suprafaţă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517,6</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55,0</w:t>
            </w:r>
          </w:p>
        </w:tc>
      </w:tr>
      <w:tr w:rsidR="00420717" w:rsidRPr="00702A15" w:rsidTr="00D92384">
        <w:trPr>
          <w:trHeight w:val="158"/>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311,7</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884,3</w:t>
            </w:r>
          </w:p>
        </w:tc>
      </w:tr>
      <w:tr w:rsidR="00420717" w:rsidRPr="00702A15" w:rsidTr="00D92384">
        <w:trPr>
          <w:trHeight w:val="299"/>
        </w:trPr>
        <w:tc>
          <w:tcPr>
            <w:tcW w:w="1118" w:type="pct"/>
            <w:vMerge w:val="restart"/>
            <w:vAlign w:val="center"/>
          </w:tcPr>
          <w:p w:rsidR="00420717" w:rsidRPr="00702A15" w:rsidRDefault="00420717" w:rsidP="00D92384">
            <w:pPr>
              <w:spacing w:after="0" w:line="240" w:lineRule="auto"/>
              <w:jc w:val="both"/>
              <w:rPr>
                <w:rFonts w:ascii="Arial" w:hAnsi="Arial" w:cs="Arial"/>
                <w:b/>
                <w:sz w:val="24"/>
                <w:szCs w:val="24"/>
              </w:rPr>
            </w:pPr>
          </w:p>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 xml:space="preserve"> BH Siret </w:t>
            </w:r>
          </w:p>
        </w:tc>
        <w:tc>
          <w:tcPr>
            <w:tcW w:w="1883" w:type="pct"/>
            <w:vMerge w:val="restart"/>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bCs/>
                <w:sz w:val="24"/>
                <w:szCs w:val="24"/>
              </w:rPr>
              <w:t>Sursă de suprafaţă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52,2</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52,2</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1.955,7</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285</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34,4</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2.275,1</w:t>
            </w:r>
          </w:p>
        </w:tc>
      </w:tr>
      <w:tr w:rsidR="00420717" w:rsidRPr="00702A15" w:rsidTr="00D92384">
        <w:trPr>
          <w:trHeight w:val="299"/>
        </w:trPr>
        <w:tc>
          <w:tcPr>
            <w:tcW w:w="1118" w:type="pct"/>
            <w:vMerge w:val="restart"/>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Total judeţ</w:t>
            </w:r>
          </w:p>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 xml:space="preserve">Buzău </w:t>
            </w:r>
          </w:p>
        </w:tc>
        <w:tc>
          <w:tcPr>
            <w:tcW w:w="1883" w:type="pct"/>
            <w:vMerge w:val="restart"/>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bCs/>
                <w:sz w:val="24"/>
                <w:szCs w:val="24"/>
              </w:rPr>
              <w:t>Sursă de suprafaţă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sz w:val="24"/>
                <w:szCs w:val="24"/>
              </w:rPr>
              <w:t>1.343,2</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1.300,1</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10.239,4</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12.882,7</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restar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Sursă subterană</w:t>
            </w: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populaţie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12.686</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industrie</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4.630,1</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agricultură</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729,5</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1883" w:type="pct"/>
            <w:vMerge/>
            <w:vAlign w:val="center"/>
          </w:tcPr>
          <w:p w:rsidR="00420717" w:rsidRPr="00702A15" w:rsidRDefault="00420717" w:rsidP="00D92384">
            <w:pPr>
              <w:spacing w:after="0" w:line="240" w:lineRule="auto"/>
              <w:rPr>
                <w:rFonts w:ascii="Arial" w:hAnsi="Arial" w:cs="Arial"/>
                <w:bCs/>
                <w:sz w:val="24"/>
                <w:szCs w:val="24"/>
              </w:rPr>
            </w:pPr>
          </w:p>
        </w:tc>
        <w:tc>
          <w:tcPr>
            <w:tcW w:w="1000" w:type="pct"/>
            <w:vAlign w:val="center"/>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18.045,6</w:t>
            </w:r>
          </w:p>
        </w:tc>
      </w:tr>
      <w:tr w:rsidR="00420717" w:rsidRPr="00702A15" w:rsidTr="00D92384">
        <w:trPr>
          <w:trHeight w:val="299"/>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2883" w:type="pct"/>
            <w:gridSpan w:val="2"/>
          </w:tcPr>
          <w:p w:rsidR="00420717" w:rsidRPr="00702A15" w:rsidRDefault="00420717" w:rsidP="00D92384">
            <w:pPr>
              <w:spacing w:after="0" w:line="240" w:lineRule="auto"/>
              <w:jc w:val="both"/>
              <w:rPr>
                <w:rFonts w:ascii="Arial" w:hAnsi="Arial" w:cs="Arial"/>
                <w:bCs/>
                <w:sz w:val="24"/>
                <w:szCs w:val="24"/>
              </w:rPr>
            </w:pPr>
            <w:r w:rsidRPr="00702A15">
              <w:rPr>
                <w:rFonts w:ascii="Arial" w:hAnsi="Arial" w:cs="Arial"/>
                <w:bCs/>
                <w:sz w:val="24"/>
                <w:szCs w:val="24"/>
              </w:rPr>
              <w:t>Total general</w:t>
            </w:r>
          </w:p>
        </w:tc>
        <w:tc>
          <w:tcPr>
            <w:tcW w:w="1000"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30.928,3</w:t>
            </w:r>
          </w:p>
        </w:tc>
      </w:tr>
    </w:tbl>
    <w:p w:rsidR="00420717" w:rsidRPr="005C4CFE" w:rsidRDefault="00420717" w:rsidP="00420717">
      <w:pPr>
        <w:spacing w:after="0" w:line="240" w:lineRule="auto"/>
        <w:jc w:val="both"/>
        <w:rPr>
          <w:rFonts w:ascii="Arial" w:hAnsi="Arial" w:cs="Arial"/>
          <w:b/>
          <w:sz w:val="24"/>
          <w:szCs w:val="24"/>
        </w:rPr>
      </w:pPr>
      <w:r w:rsidRPr="005C4CFE">
        <w:rPr>
          <w:rFonts w:ascii="Arial" w:hAnsi="Arial" w:cs="Arial"/>
          <w:b/>
          <w:sz w:val="24"/>
          <w:szCs w:val="24"/>
        </w:rPr>
        <w:t>Tabel II.1.1.2.2. Prelevări apă în anul 2014, în judeţul Buzău</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pStyle w:val="Default"/>
        <w:jc w:val="both"/>
        <w:rPr>
          <w:b/>
          <w:bCs/>
          <w:color w:val="auto"/>
        </w:rPr>
      </w:pPr>
      <w:r w:rsidRPr="00702A15">
        <w:rPr>
          <w:bCs/>
          <w:color w:val="auto"/>
        </w:rPr>
        <w:lastRenderedPageBreak/>
        <w:t>Raportul cerinţă/prelevare pentru resursele de apă în perioada 2010-2014 în jude</w:t>
      </w:r>
      <w:r>
        <w:rPr>
          <w:bCs/>
          <w:color w:val="auto"/>
        </w:rPr>
        <w:t>ţ</w:t>
      </w:r>
      <w:r w:rsidRPr="00702A15">
        <w:rPr>
          <w:bCs/>
          <w:color w:val="auto"/>
        </w:rPr>
        <w:t xml:space="preserve">ul Buzău </w:t>
      </w:r>
    </w:p>
    <w:tbl>
      <w:tblPr>
        <w:tblW w:w="83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260"/>
        <w:gridCol w:w="1800"/>
        <w:gridCol w:w="1800"/>
        <w:gridCol w:w="1585"/>
        <w:gridCol w:w="1927"/>
      </w:tblGrid>
      <w:tr w:rsidR="00420717" w:rsidRPr="00702A15" w:rsidTr="00D92384">
        <w:trPr>
          <w:trHeight w:val="679"/>
        </w:trPr>
        <w:tc>
          <w:tcPr>
            <w:tcW w:w="1260" w:type="dxa"/>
            <w:vMerge w:val="restart"/>
            <w:vAlign w:val="center"/>
          </w:tcPr>
          <w:p w:rsidR="00420717" w:rsidRPr="00702A15" w:rsidRDefault="00420717" w:rsidP="00D92384">
            <w:pPr>
              <w:pStyle w:val="Default"/>
              <w:jc w:val="center"/>
              <w:rPr>
                <w:b/>
                <w:bCs/>
                <w:color w:val="auto"/>
              </w:rPr>
            </w:pPr>
            <w:r w:rsidRPr="00702A15">
              <w:rPr>
                <w:b/>
                <w:bCs/>
                <w:color w:val="auto"/>
              </w:rPr>
              <w:t>Anul</w:t>
            </w:r>
          </w:p>
        </w:tc>
        <w:tc>
          <w:tcPr>
            <w:tcW w:w="1800" w:type="dxa"/>
            <w:vMerge w:val="restart"/>
            <w:vAlign w:val="center"/>
          </w:tcPr>
          <w:p w:rsidR="00420717" w:rsidRPr="00702A15" w:rsidRDefault="00420717" w:rsidP="00D92384">
            <w:pPr>
              <w:pStyle w:val="Default"/>
              <w:jc w:val="center"/>
              <w:rPr>
                <w:color w:val="auto"/>
              </w:rPr>
            </w:pPr>
            <w:r w:rsidRPr="00702A15">
              <w:rPr>
                <w:b/>
                <w:bCs/>
                <w:color w:val="auto"/>
              </w:rPr>
              <w:t>Activitate</w:t>
            </w:r>
          </w:p>
        </w:tc>
        <w:tc>
          <w:tcPr>
            <w:tcW w:w="1800" w:type="dxa"/>
            <w:vAlign w:val="center"/>
          </w:tcPr>
          <w:p w:rsidR="00420717" w:rsidRPr="00702A15" w:rsidRDefault="00420717" w:rsidP="00D92384">
            <w:pPr>
              <w:pStyle w:val="Default"/>
              <w:jc w:val="center"/>
              <w:rPr>
                <w:b/>
                <w:bCs/>
                <w:color w:val="auto"/>
              </w:rPr>
            </w:pPr>
            <w:r w:rsidRPr="00702A15">
              <w:rPr>
                <w:b/>
                <w:bCs/>
                <w:color w:val="auto"/>
              </w:rPr>
              <w:t>Cerinţa de apă</w:t>
            </w:r>
          </w:p>
        </w:tc>
        <w:tc>
          <w:tcPr>
            <w:tcW w:w="1585" w:type="dxa"/>
            <w:vAlign w:val="center"/>
          </w:tcPr>
          <w:p w:rsidR="00420717" w:rsidRPr="00702A15" w:rsidRDefault="00420717" w:rsidP="00D92384">
            <w:pPr>
              <w:pStyle w:val="Default"/>
              <w:jc w:val="center"/>
              <w:rPr>
                <w:color w:val="auto"/>
              </w:rPr>
            </w:pPr>
            <w:r w:rsidRPr="00702A15">
              <w:rPr>
                <w:b/>
                <w:bCs/>
                <w:color w:val="auto"/>
              </w:rPr>
              <w:t>Prelevările de apă</w:t>
            </w:r>
          </w:p>
        </w:tc>
        <w:tc>
          <w:tcPr>
            <w:tcW w:w="1927" w:type="dxa"/>
            <w:vAlign w:val="center"/>
          </w:tcPr>
          <w:p w:rsidR="00420717" w:rsidRPr="00702A15" w:rsidRDefault="00420717" w:rsidP="00D92384">
            <w:pPr>
              <w:pStyle w:val="Default"/>
              <w:jc w:val="center"/>
              <w:rPr>
                <w:color w:val="auto"/>
              </w:rPr>
            </w:pPr>
            <w:r w:rsidRPr="00702A15">
              <w:rPr>
                <w:b/>
                <w:bCs/>
                <w:color w:val="auto"/>
              </w:rPr>
              <w:t>Gradul de utilizare</w:t>
            </w:r>
          </w:p>
        </w:tc>
      </w:tr>
      <w:tr w:rsidR="00420717" w:rsidRPr="00702A15" w:rsidTr="00D92384">
        <w:trPr>
          <w:trHeight w:val="346"/>
        </w:trPr>
        <w:tc>
          <w:tcPr>
            <w:tcW w:w="1260" w:type="dxa"/>
            <w:vMerge/>
            <w:vAlign w:val="center"/>
          </w:tcPr>
          <w:p w:rsidR="00420717" w:rsidRPr="00702A15" w:rsidRDefault="00420717" w:rsidP="00D92384">
            <w:pPr>
              <w:spacing w:after="0" w:line="240" w:lineRule="auto"/>
              <w:jc w:val="center"/>
              <w:rPr>
                <w:rFonts w:ascii="Arial" w:hAnsi="Arial" w:cs="Arial"/>
                <w:b/>
                <w:bCs/>
                <w:sz w:val="24"/>
                <w:szCs w:val="24"/>
              </w:rPr>
            </w:pPr>
          </w:p>
        </w:tc>
        <w:tc>
          <w:tcPr>
            <w:tcW w:w="1800" w:type="dxa"/>
            <w:vMerge/>
            <w:vAlign w:val="center"/>
          </w:tcPr>
          <w:p w:rsidR="00420717" w:rsidRPr="00702A15" w:rsidRDefault="00420717" w:rsidP="00D92384">
            <w:pPr>
              <w:pStyle w:val="Default"/>
              <w:jc w:val="center"/>
              <w:rPr>
                <w:color w:val="auto"/>
              </w:rPr>
            </w:pP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b/>
                <w:bCs/>
                <w:sz w:val="24"/>
                <w:szCs w:val="24"/>
              </w:rPr>
              <w:t>Valoare (mii m</w:t>
            </w:r>
            <w:r w:rsidRPr="00702A15">
              <w:rPr>
                <w:rFonts w:ascii="Arial" w:hAnsi="Arial" w:cs="Arial"/>
                <w:sz w:val="24"/>
                <w:szCs w:val="24"/>
              </w:rPr>
              <w:t>³</w:t>
            </w:r>
            <w:r w:rsidRPr="00702A15">
              <w:rPr>
                <w:rFonts w:ascii="Arial" w:hAnsi="Arial" w:cs="Arial"/>
                <w:b/>
                <w:bCs/>
                <w:sz w:val="24"/>
                <w:szCs w:val="24"/>
              </w:rPr>
              <w:t>)</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b/>
                <w:bCs/>
                <w:sz w:val="24"/>
                <w:szCs w:val="24"/>
              </w:rPr>
              <w:t>Valoare (mii m</w:t>
            </w:r>
            <w:r w:rsidRPr="00702A15">
              <w:rPr>
                <w:rFonts w:ascii="Arial" w:hAnsi="Arial" w:cs="Arial"/>
                <w:sz w:val="24"/>
                <w:szCs w:val="24"/>
              </w:rPr>
              <w:t>³</w:t>
            </w:r>
            <w:r w:rsidRPr="00702A15">
              <w:rPr>
                <w:rFonts w:ascii="Arial" w:hAnsi="Arial" w:cs="Arial"/>
                <w:b/>
                <w:bCs/>
                <w:sz w:val="24"/>
                <w:szCs w:val="24"/>
              </w:rPr>
              <w:t>)</w:t>
            </w:r>
          </w:p>
        </w:tc>
        <w:tc>
          <w:tcPr>
            <w:tcW w:w="1927" w:type="dxa"/>
            <w:vAlign w:val="center"/>
          </w:tcPr>
          <w:p w:rsidR="00420717" w:rsidRPr="00702A15" w:rsidRDefault="00420717" w:rsidP="00D92384">
            <w:pPr>
              <w:pStyle w:val="Default"/>
              <w:jc w:val="center"/>
              <w:rPr>
                <w:color w:val="auto"/>
              </w:rPr>
            </w:pPr>
            <w:r w:rsidRPr="00702A15">
              <w:rPr>
                <w:b/>
                <w:bCs/>
                <w:color w:val="auto"/>
              </w:rPr>
              <w:t>%</w:t>
            </w:r>
          </w:p>
        </w:tc>
      </w:tr>
      <w:tr w:rsidR="00420717" w:rsidRPr="00702A15" w:rsidTr="00D92384">
        <w:trPr>
          <w:trHeight w:val="84"/>
        </w:trPr>
        <w:tc>
          <w:tcPr>
            <w:tcW w:w="1260" w:type="dxa"/>
            <w:vMerge w:val="restart"/>
            <w:vAlign w:val="center"/>
          </w:tcPr>
          <w:p w:rsidR="00420717" w:rsidRPr="00702A15" w:rsidRDefault="00420717" w:rsidP="00D92384">
            <w:pPr>
              <w:pStyle w:val="Default"/>
              <w:spacing w:line="276" w:lineRule="auto"/>
              <w:jc w:val="center"/>
              <w:rPr>
                <w:color w:val="auto"/>
              </w:rPr>
            </w:pPr>
            <w:r w:rsidRPr="00702A15">
              <w:rPr>
                <w:color w:val="auto"/>
              </w:rPr>
              <w:t>2010</w:t>
            </w:r>
          </w:p>
        </w:tc>
        <w:tc>
          <w:tcPr>
            <w:tcW w:w="1800" w:type="dxa"/>
            <w:vAlign w:val="center"/>
          </w:tcPr>
          <w:p w:rsidR="00420717" w:rsidRPr="00702A15" w:rsidRDefault="00420717" w:rsidP="00D92384">
            <w:pPr>
              <w:pStyle w:val="Default"/>
              <w:spacing w:line="276" w:lineRule="auto"/>
              <w:rPr>
                <w:color w:val="auto"/>
              </w:rPr>
            </w:pPr>
            <w:r w:rsidRPr="00702A15">
              <w:rPr>
                <w:color w:val="auto"/>
              </w:rPr>
              <w:t>Populaţie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17.104,9</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14.868</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86,9</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Industrie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12.879,4</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6.192,8</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48,0</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Agricultură</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2.559,9</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5.573,4</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217,7</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Total</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32.544,2</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26.634,2</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81,8</w:t>
            </w:r>
          </w:p>
        </w:tc>
      </w:tr>
      <w:tr w:rsidR="00420717" w:rsidRPr="00702A15" w:rsidTr="00D92384">
        <w:trPr>
          <w:trHeight w:val="84"/>
        </w:trPr>
        <w:tc>
          <w:tcPr>
            <w:tcW w:w="1260" w:type="dxa"/>
            <w:vMerge w:val="restart"/>
            <w:vAlign w:val="center"/>
          </w:tcPr>
          <w:p w:rsidR="00420717" w:rsidRPr="00702A15" w:rsidRDefault="00420717" w:rsidP="00D92384">
            <w:pPr>
              <w:pStyle w:val="Default"/>
              <w:spacing w:line="276" w:lineRule="auto"/>
              <w:jc w:val="center"/>
              <w:rPr>
                <w:color w:val="auto"/>
              </w:rPr>
            </w:pPr>
            <w:r w:rsidRPr="00702A15">
              <w:rPr>
                <w:color w:val="auto"/>
              </w:rPr>
              <w:t>2011</w:t>
            </w:r>
          </w:p>
        </w:tc>
        <w:tc>
          <w:tcPr>
            <w:tcW w:w="1800" w:type="dxa"/>
            <w:vAlign w:val="center"/>
          </w:tcPr>
          <w:p w:rsidR="00420717" w:rsidRPr="00702A15" w:rsidRDefault="00420717" w:rsidP="00D92384">
            <w:pPr>
              <w:pStyle w:val="Default"/>
              <w:spacing w:line="276" w:lineRule="auto"/>
              <w:rPr>
                <w:color w:val="auto"/>
              </w:rPr>
            </w:pPr>
            <w:r w:rsidRPr="00702A15">
              <w:rPr>
                <w:color w:val="auto"/>
              </w:rPr>
              <w:t>Populaţie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20.512,7</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15.222,8</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74,2</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Industrie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10.079,4</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5.274,4</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52,3</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Agricultură</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40.342,5</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4.958,3</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12,3</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Total</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70.934,6</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25.455,5</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35,9</w:t>
            </w:r>
          </w:p>
        </w:tc>
      </w:tr>
      <w:tr w:rsidR="00420717" w:rsidRPr="00702A15" w:rsidTr="00D92384">
        <w:trPr>
          <w:trHeight w:val="84"/>
        </w:trPr>
        <w:tc>
          <w:tcPr>
            <w:tcW w:w="1260" w:type="dxa"/>
            <w:vMerge w:val="restart"/>
            <w:vAlign w:val="center"/>
          </w:tcPr>
          <w:p w:rsidR="00420717" w:rsidRPr="00702A15" w:rsidRDefault="00420717" w:rsidP="00D92384">
            <w:pPr>
              <w:pStyle w:val="Default"/>
              <w:spacing w:line="276" w:lineRule="auto"/>
              <w:jc w:val="center"/>
              <w:rPr>
                <w:color w:val="auto"/>
              </w:rPr>
            </w:pPr>
            <w:r w:rsidRPr="00702A15">
              <w:rPr>
                <w:color w:val="auto"/>
              </w:rPr>
              <w:t>2012</w:t>
            </w:r>
          </w:p>
        </w:tc>
        <w:tc>
          <w:tcPr>
            <w:tcW w:w="1800" w:type="dxa"/>
            <w:vAlign w:val="center"/>
          </w:tcPr>
          <w:p w:rsidR="00420717" w:rsidRPr="00702A15" w:rsidRDefault="00420717" w:rsidP="00D92384">
            <w:pPr>
              <w:pStyle w:val="Default"/>
              <w:spacing w:line="276" w:lineRule="auto"/>
              <w:rPr>
                <w:color w:val="auto"/>
              </w:rPr>
            </w:pPr>
            <w:r w:rsidRPr="00702A15">
              <w:rPr>
                <w:color w:val="auto"/>
              </w:rPr>
              <w:t>Populaţie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17.051,8</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14.653,6</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85,9</w:t>
            </w:r>
          </w:p>
        </w:tc>
      </w:tr>
      <w:tr w:rsidR="00420717" w:rsidRPr="00702A15" w:rsidTr="00D92384">
        <w:trPr>
          <w:trHeight w:val="84"/>
        </w:trPr>
        <w:tc>
          <w:tcPr>
            <w:tcW w:w="1260" w:type="dxa"/>
            <w:vMerge/>
            <w:vAlign w:val="center"/>
          </w:tcPr>
          <w:p w:rsidR="00420717" w:rsidRPr="00702A15" w:rsidRDefault="00420717" w:rsidP="00D92384">
            <w:pPr>
              <w:pStyle w:val="Default"/>
              <w:spacing w:line="276" w:lineRule="auto"/>
              <w:jc w:val="center"/>
              <w:rPr>
                <w:color w:val="auto"/>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Industrie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7.296,7</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5.621,2</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77,0</w:t>
            </w:r>
          </w:p>
        </w:tc>
      </w:tr>
      <w:tr w:rsidR="00420717" w:rsidRPr="00702A15" w:rsidTr="00D92384">
        <w:trPr>
          <w:trHeight w:val="84"/>
        </w:trPr>
        <w:tc>
          <w:tcPr>
            <w:tcW w:w="1260" w:type="dxa"/>
            <w:vMerge/>
            <w:vAlign w:val="center"/>
          </w:tcPr>
          <w:p w:rsidR="00420717" w:rsidRPr="00702A15" w:rsidRDefault="00420717" w:rsidP="00D92384">
            <w:pPr>
              <w:pStyle w:val="Default"/>
              <w:spacing w:line="276" w:lineRule="auto"/>
              <w:jc w:val="center"/>
              <w:rPr>
                <w:color w:val="auto"/>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Agricultură</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2.829,2</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7.013,8</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247,9</w:t>
            </w:r>
          </w:p>
        </w:tc>
      </w:tr>
      <w:tr w:rsidR="00420717" w:rsidRPr="00702A15" w:rsidTr="00D92384">
        <w:trPr>
          <w:trHeight w:val="84"/>
        </w:trPr>
        <w:tc>
          <w:tcPr>
            <w:tcW w:w="1260" w:type="dxa"/>
            <w:vMerge/>
            <w:vAlign w:val="center"/>
          </w:tcPr>
          <w:p w:rsidR="00420717" w:rsidRPr="00702A15" w:rsidRDefault="00420717" w:rsidP="00D92384">
            <w:pPr>
              <w:pStyle w:val="Default"/>
              <w:spacing w:line="276" w:lineRule="auto"/>
              <w:jc w:val="center"/>
              <w:rPr>
                <w:color w:val="auto"/>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Total</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27.177,7</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27.288,6</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100,4</w:t>
            </w:r>
          </w:p>
        </w:tc>
      </w:tr>
      <w:tr w:rsidR="00420717" w:rsidRPr="00702A15" w:rsidTr="00D92384">
        <w:trPr>
          <w:trHeight w:val="84"/>
        </w:trPr>
        <w:tc>
          <w:tcPr>
            <w:tcW w:w="1260" w:type="dxa"/>
            <w:vMerge w:val="restart"/>
            <w:vAlign w:val="center"/>
          </w:tcPr>
          <w:p w:rsidR="00420717" w:rsidRPr="00702A15" w:rsidRDefault="00420717" w:rsidP="00D92384">
            <w:pPr>
              <w:pStyle w:val="Default"/>
              <w:spacing w:line="276" w:lineRule="auto"/>
              <w:jc w:val="center"/>
              <w:rPr>
                <w:color w:val="auto"/>
              </w:rPr>
            </w:pPr>
            <w:r w:rsidRPr="00702A15">
              <w:rPr>
                <w:color w:val="auto"/>
              </w:rPr>
              <w:t>2013</w:t>
            </w:r>
          </w:p>
        </w:tc>
        <w:tc>
          <w:tcPr>
            <w:tcW w:w="1800" w:type="dxa"/>
            <w:vAlign w:val="center"/>
          </w:tcPr>
          <w:p w:rsidR="00420717" w:rsidRPr="00702A15" w:rsidRDefault="00420717" w:rsidP="00D92384">
            <w:pPr>
              <w:pStyle w:val="Default"/>
              <w:spacing w:line="276" w:lineRule="auto"/>
              <w:rPr>
                <w:color w:val="auto"/>
              </w:rPr>
            </w:pPr>
            <w:r w:rsidRPr="00702A15">
              <w:rPr>
                <w:color w:val="auto"/>
              </w:rPr>
              <w:t>Populaţie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16.224,9</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14.527,9</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89,5</w:t>
            </w:r>
          </w:p>
        </w:tc>
      </w:tr>
      <w:tr w:rsidR="00420717" w:rsidRPr="00702A15" w:rsidTr="00D92384">
        <w:trPr>
          <w:trHeight w:val="84"/>
        </w:trPr>
        <w:tc>
          <w:tcPr>
            <w:tcW w:w="1260" w:type="dxa"/>
            <w:vMerge/>
            <w:vAlign w:val="center"/>
          </w:tcPr>
          <w:p w:rsidR="00420717" w:rsidRPr="00702A15" w:rsidRDefault="00420717" w:rsidP="00D92384">
            <w:pPr>
              <w:pStyle w:val="Default"/>
              <w:spacing w:line="276" w:lineRule="auto"/>
              <w:jc w:val="center"/>
              <w:rPr>
                <w:color w:val="auto"/>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Industrie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6.841,8</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5.974,4</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87,3</w:t>
            </w:r>
          </w:p>
        </w:tc>
      </w:tr>
      <w:tr w:rsidR="00420717" w:rsidRPr="00702A15" w:rsidTr="00D92384">
        <w:trPr>
          <w:trHeight w:val="84"/>
        </w:trPr>
        <w:tc>
          <w:tcPr>
            <w:tcW w:w="1260" w:type="dxa"/>
            <w:vMerge/>
            <w:vAlign w:val="center"/>
          </w:tcPr>
          <w:p w:rsidR="00420717" w:rsidRPr="00702A15" w:rsidRDefault="00420717" w:rsidP="00D92384">
            <w:pPr>
              <w:pStyle w:val="Default"/>
              <w:spacing w:line="276" w:lineRule="auto"/>
              <w:jc w:val="center"/>
              <w:rPr>
                <w:color w:val="auto"/>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Agricultură</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13.858,8</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9.522,7</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68,7</w:t>
            </w:r>
          </w:p>
        </w:tc>
      </w:tr>
      <w:tr w:rsidR="00420717" w:rsidRPr="00702A15" w:rsidTr="00D92384">
        <w:trPr>
          <w:trHeight w:val="84"/>
        </w:trPr>
        <w:tc>
          <w:tcPr>
            <w:tcW w:w="1260" w:type="dxa"/>
            <w:vMerge/>
            <w:vAlign w:val="center"/>
          </w:tcPr>
          <w:p w:rsidR="00420717" w:rsidRPr="00702A15" w:rsidRDefault="00420717" w:rsidP="00D92384">
            <w:pPr>
              <w:pStyle w:val="Default"/>
              <w:spacing w:line="276" w:lineRule="auto"/>
              <w:jc w:val="center"/>
              <w:rPr>
                <w:color w:val="auto"/>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Total</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36.925,5</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30.025</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81,3</w:t>
            </w:r>
          </w:p>
        </w:tc>
      </w:tr>
      <w:tr w:rsidR="00420717" w:rsidRPr="00702A15" w:rsidTr="00D92384">
        <w:trPr>
          <w:trHeight w:val="84"/>
        </w:trPr>
        <w:tc>
          <w:tcPr>
            <w:tcW w:w="1260" w:type="dxa"/>
            <w:vMerge w:val="restart"/>
            <w:vAlign w:val="center"/>
          </w:tcPr>
          <w:p w:rsidR="00420717" w:rsidRPr="00702A15" w:rsidRDefault="00420717" w:rsidP="00D92384">
            <w:pPr>
              <w:pStyle w:val="Default"/>
              <w:spacing w:line="276" w:lineRule="auto"/>
              <w:jc w:val="center"/>
              <w:rPr>
                <w:color w:val="auto"/>
              </w:rPr>
            </w:pPr>
            <w:r w:rsidRPr="00702A15">
              <w:rPr>
                <w:color w:val="auto"/>
              </w:rPr>
              <w:t>2014</w:t>
            </w:r>
          </w:p>
        </w:tc>
        <w:tc>
          <w:tcPr>
            <w:tcW w:w="1800" w:type="dxa"/>
            <w:vAlign w:val="center"/>
          </w:tcPr>
          <w:p w:rsidR="00420717" w:rsidRPr="00702A15" w:rsidRDefault="00420717" w:rsidP="00D92384">
            <w:pPr>
              <w:pStyle w:val="Default"/>
              <w:spacing w:line="276" w:lineRule="auto"/>
              <w:rPr>
                <w:color w:val="auto"/>
              </w:rPr>
            </w:pPr>
            <w:r w:rsidRPr="00702A15">
              <w:rPr>
                <w:color w:val="auto"/>
              </w:rPr>
              <w:t>Populaţie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15.762,7</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14.029,2</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89,0</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Industrie</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6.472</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5.930,2</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91,2</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Agricultură</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19.918,3</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10.968,9</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55,0</w:t>
            </w:r>
          </w:p>
        </w:tc>
      </w:tr>
      <w:tr w:rsidR="00420717" w:rsidRPr="00702A15" w:rsidTr="00D92384">
        <w:trPr>
          <w:trHeight w:val="84"/>
        </w:trPr>
        <w:tc>
          <w:tcPr>
            <w:tcW w:w="1260" w:type="dxa"/>
            <w:vMerge/>
            <w:vAlign w:val="center"/>
          </w:tcPr>
          <w:p w:rsidR="00420717" w:rsidRPr="00702A15" w:rsidRDefault="00420717" w:rsidP="00D92384">
            <w:pPr>
              <w:spacing w:after="0" w:line="240" w:lineRule="auto"/>
              <w:rPr>
                <w:rFonts w:ascii="Arial" w:hAnsi="Arial" w:cs="Arial"/>
                <w:sz w:val="24"/>
                <w:szCs w:val="24"/>
              </w:rPr>
            </w:pPr>
          </w:p>
        </w:tc>
        <w:tc>
          <w:tcPr>
            <w:tcW w:w="1800" w:type="dxa"/>
            <w:vAlign w:val="center"/>
          </w:tcPr>
          <w:p w:rsidR="00420717" w:rsidRPr="00702A15" w:rsidRDefault="00420717" w:rsidP="00D92384">
            <w:pPr>
              <w:pStyle w:val="Default"/>
              <w:spacing w:line="276" w:lineRule="auto"/>
              <w:rPr>
                <w:color w:val="auto"/>
              </w:rPr>
            </w:pPr>
            <w:r w:rsidRPr="00702A15">
              <w:rPr>
                <w:color w:val="auto"/>
              </w:rPr>
              <w:t>Total</w:t>
            </w:r>
          </w:p>
        </w:tc>
        <w:tc>
          <w:tcPr>
            <w:tcW w:w="180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42.153</w:t>
            </w:r>
          </w:p>
        </w:tc>
        <w:tc>
          <w:tcPr>
            <w:tcW w:w="158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30.928,3</w:t>
            </w:r>
          </w:p>
        </w:tc>
        <w:tc>
          <w:tcPr>
            <w:tcW w:w="1927"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73,4</w:t>
            </w:r>
          </w:p>
        </w:tc>
      </w:tr>
    </w:tbl>
    <w:p w:rsidR="00420717" w:rsidRPr="005C4CFE" w:rsidRDefault="00420717" w:rsidP="00420717">
      <w:pPr>
        <w:pStyle w:val="Default"/>
        <w:jc w:val="both"/>
        <w:rPr>
          <w:b/>
          <w:bCs/>
          <w:color w:val="auto"/>
        </w:rPr>
      </w:pPr>
      <w:r w:rsidRPr="005C4CFE">
        <w:rPr>
          <w:b/>
          <w:color w:val="auto"/>
        </w:rPr>
        <w:t>Tabel II.1.1.2.3.</w:t>
      </w:r>
      <w:r w:rsidRPr="005C4CFE">
        <w:rPr>
          <w:b/>
          <w:bCs/>
          <w:color w:val="auto"/>
        </w:rPr>
        <w:t xml:space="preserve"> Raportul cerinţă/prelevare pentru resursele de apă în perioada 2010-2014 în jude</w:t>
      </w:r>
      <w:r w:rsidRPr="005C4CFE">
        <w:rPr>
          <w:rFonts w:ascii="Tahoma" w:hAnsi="Tahoma" w:cs="Tahoma"/>
          <w:b/>
          <w:bCs/>
          <w:color w:val="auto"/>
        </w:rPr>
        <w:t>ţ</w:t>
      </w:r>
      <w:r w:rsidRPr="005C4CFE">
        <w:rPr>
          <w:b/>
          <w:bCs/>
          <w:color w:val="auto"/>
        </w:rPr>
        <w:t xml:space="preserve">ul Buzău </w:t>
      </w:r>
    </w:p>
    <w:p w:rsidR="00420717" w:rsidRPr="00702A15" w:rsidRDefault="00420717" w:rsidP="00420717">
      <w:pPr>
        <w:pStyle w:val="Default"/>
        <w:jc w:val="right"/>
        <w:rPr>
          <w:bCs/>
          <w:color w:val="auto"/>
        </w:rPr>
      </w:pPr>
      <w:r w:rsidRPr="00702A15">
        <w:rPr>
          <w:bCs/>
          <w:color w:val="auto"/>
        </w:rPr>
        <w:t>Sursa datelor: ABA Buzău-Ialomi</w:t>
      </w:r>
      <w:r>
        <w:rPr>
          <w:rFonts w:ascii="Tahoma" w:hAnsi="Tahoma" w:cs="Tahoma"/>
          <w:bCs/>
          <w:color w:val="auto"/>
        </w:rPr>
        <w:t>ţ</w:t>
      </w:r>
      <w:r w:rsidRPr="00702A15">
        <w:rPr>
          <w:bCs/>
          <w:color w:val="auto"/>
        </w:rPr>
        <w:t xml:space="preserve">a </w:t>
      </w:r>
      <w:r>
        <w:rPr>
          <w:rFonts w:ascii="Tahoma" w:hAnsi="Tahoma" w:cs="Tahoma"/>
          <w:bCs/>
          <w:color w:val="auto"/>
        </w:rPr>
        <w:t>ş</w:t>
      </w:r>
      <w:r w:rsidRPr="00702A15">
        <w:rPr>
          <w:bCs/>
          <w:color w:val="auto"/>
        </w:rPr>
        <w:t>i SGA Vrancea</w:t>
      </w:r>
    </w:p>
    <w:p w:rsidR="00420717" w:rsidRPr="00702A15" w:rsidRDefault="00420717" w:rsidP="00420717">
      <w:pPr>
        <w:pStyle w:val="Default"/>
        <w:jc w:val="both"/>
        <w:rPr>
          <w:b/>
          <w:bCs/>
          <w:color w:val="auto"/>
        </w:rPr>
      </w:pPr>
    </w:p>
    <w:p w:rsidR="00420717" w:rsidRPr="00702A15" w:rsidRDefault="00420717" w:rsidP="00420717">
      <w:pPr>
        <w:pStyle w:val="Default"/>
        <w:jc w:val="center"/>
        <w:rPr>
          <w:b/>
          <w:bCs/>
          <w:color w:val="auto"/>
        </w:rPr>
      </w:pPr>
      <w:r w:rsidRPr="00702A15">
        <w:rPr>
          <w:b/>
          <w:bCs/>
          <w:noProof/>
          <w:color w:val="auto"/>
          <w:lang w:eastAsia="ro-RO"/>
        </w:rPr>
        <w:drawing>
          <wp:inline distT="0" distB="0" distL="0" distR="0">
            <wp:extent cx="5701436" cy="3143631"/>
            <wp:effectExtent l="19050" t="0" r="13564"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20717" w:rsidRPr="005C4CFE" w:rsidRDefault="00420717" w:rsidP="00420717">
      <w:pPr>
        <w:pStyle w:val="Default"/>
        <w:jc w:val="both"/>
        <w:rPr>
          <w:b/>
          <w:bCs/>
          <w:color w:val="auto"/>
        </w:rPr>
      </w:pPr>
      <w:r w:rsidRPr="005C4CFE">
        <w:rPr>
          <w:b/>
          <w:bCs/>
          <w:color w:val="auto"/>
        </w:rPr>
        <w:t>Figura nr. II.1.1.2.1. Raportul cerinţă/prelevare pentru resursele de apă în perioada 2010-2014 în judeţul Buzău (RO 18)</w:t>
      </w:r>
    </w:p>
    <w:p w:rsidR="00420717" w:rsidRPr="00702A15" w:rsidRDefault="00420717" w:rsidP="00420717">
      <w:pPr>
        <w:pStyle w:val="Default"/>
        <w:jc w:val="both"/>
        <w:rPr>
          <w:bCs/>
          <w:color w:val="auto"/>
        </w:rPr>
      </w:pPr>
    </w:p>
    <w:p w:rsidR="00420717" w:rsidRPr="00702A15" w:rsidRDefault="00420717" w:rsidP="00420717">
      <w:pPr>
        <w:pStyle w:val="Default"/>
        <w:jc w:val="center"/>
        <w:rPr>
          <w:bCs/>
          <w:color w:val="auto"/>
        </w:rPr>
      </w:pPr>
      <w:r w:rsidRPr="00702A15">
        <w:rPr>
          <w:bCs/>
          <w:noProof/>
          <w:color w:val="auto"/>
          <w:lang w:eastAsia="ro-RO"/>
        </w:rPr>
        <w:lastRenderedPageBreak/>
        <w:drawing>
          <wp:inline distT="0" distB="0" distL="0" distR="0">
            <wp:extent cx="5758993" cy="2918765"/>
            <wp:effectExtent l="19050" t="0" r="13157" b="0"/>
            <wp:docPr id="2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20717" w:rsidRPr="005C4CFE" w:rsidRDefault="00420717" w:rsidP="00420717">
      <w:pPr>
        <w:pStyle w:val="Default"/>
        <w:jc w:val="both"/>
        <w:rPr>
          <w:b/>
          <w:color w:val="auto"/>
        </w:rPr>
      </w:pPr>
      <w:r w:rsidRPr="005C4CFE">
        <w:rPr>
          <w:b/>
          <w:bCs/>
          <w:color w:val="auto"/>
        </w:rPr>
        <w:t>Figura nr. II.1.1.2.2. Evoluţia volumelor de apă prelevate pentru acoperirea cerinţelor diferitelor categorii de folosinţe, în judeţul Buzău, în perioada 2010-2014</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sz w:val="24"/>
          <w:szCs w:val="24"/>
        </w:rPr>
        <w:t>II.1.1.3. Evenimente extreme produse de debitele cursurilor de apă</w:t>
      </w:r>
      <w:r>
        <w:rPr>
          <w:rFonts w:ascii="Arial" w:hAnsi="Arial" w:cs="Arial"/>
          <w:b/>
          <w:sz w:val="24"/>
          <w:szCs w:val="24"/>
        </w:rPr>
        <w:t xml:space="preserve"> </w:t>
      </w:r>
    </w:p>
    <w:p w:rsidR="00420717" w:rsidRDefault="00420717" w:rsidP="00420717">
      <w:pPr>
        <w:pStyle w:val="BodyText"/>
        <w:spacing w:after="0" w:line="240" w:lineRule="auto"/>
        <w:jc w:val="both"/>
        <w:rPr>
          <w:rFonts w:ascii="Arial" w:hAnsi="Arial" w:cs="Arial"/>
          <w:iCs/>
          <w:sz w:val="24"/>
          <w:szCs w:val="24"/>
          <w:lang w:val="ro-RO"/>
        </w:rPr>
      </w:pPr>
    </w:p>
    <w:p w:rsidR="00420717" w:rsidRPr="00702A15" w:rsidRDefault="00420717" w:rsidP="00420717">
      <w:pPr>
        <w:pStyle w:val="BodyText"/>
        <w:spacing w:after="0" w:line="240" w:lineRule="auto"/>
        <w:jc w:val="both"/>
        <w:rPr>
          <w:rFonts w:ascii="Arial" w:hAnsi="Arial" w:cs="Arial"/>
          <w:iCs/>
          <w:sz w:val="24"/>
          <w:szCs w:val="24"/>
          <w:lang w:val="ro-RO"/>
        </w:rPr>
      </w:pPr>
      <w:r w:rsidRPr="00702A15">
        <w:rPr>
          <w:rFonts w:ascii="Arial" w:hAnsi="Arial" w:cs="Arial"/>
          <w:iCs/>
          <w:sz w:val="24"/>
          <w:szCs w:val="24"/>
          <w:lang w:val="ro-RO"/>
        </w:rPr>
        <w:t>Caracterizarea regimului hidrologic, din punct de vedere al debitelor maxime, al principalelor cursuri de apă (Buzău, Sărata, Călmă</w:t>
      </w:r>
      <w:r>
        <w:rPr>
          <w:rFonts w:ascii="Arial" w:hAnsi="Arial" w:cs="Arial"/>
          <w:iCs/>
          <w:sz w:val="24"/>
          <w:szCs w:val="24"/>
          <w:lang w:val="ro-RO"/>
        </w:rPr>
        <w:t>ţ</w:t>
      </w:r>
      <w:r w:rsidRPr="00702A15">
        <w:rPr>
          <w:rFonts w:ascii="Arial" w:hAnsi="Arial" w:cs="Arial"/>
          <w:iCs/>
          <w:sz w:val="24"/>
          <w:szCs w:val="24"/>
          <w:lang w:val="ro-RO"/>
        </w:rPr>
        <w:t xml:space="preserve">ui </w:t>
      </w:r>
      <w:r>
        <w:rPr>
          <w:rFonts w:ascii="Arial" w:hAnsi="Arial" w:cs="Arial"/>
          <w:iCs/>
          <w:sz w:val="24"/>
          <w:szCs w:val="24"/>
          <w:lang w:val="ro-RO"/>
        </w:rPr>
        <w:t>ş</w:t>
      </w:r>
      <w:r w:rsidRPr="00702A15">
        <w:rPr>
          <w:rFonts w:ascii="Arial" w:hAnsi="Arial" w:cs="Arial"/>
          <w:iCs/>
          <w:sz w:val="24"/>
          <w:szCs w:val="24"/>
          <w:lang w:val="ro-RO"/>
        </w:rPr>
        <w:t>i Rm. Sărat) din jude</w:t>
      </w:r>
      <w:r>
        <w:rPr>
          <w:rFonts w:ascii="Arial" w:hAnsi="Arial" w:cs="Arial"/>
          <w:iCs/>
          <w:sz w:val="24"/>
          <w:szCs w:val="24"/>
          <w:lang w:val="ro-RO"/>
        </w:rPr>
        <w:t>ţ</w:t>
      </w:r>
      <w:r w:rsidRPr="00702A15">
        <w:rPr>
          <w:rFonts w:ascii="Arial" w:hAnsi="Arial" w:cs="Arial"/>
          <w:iCs/>
          <w:sz w:val="24"/>
          <w:szCs w:val="24"/>
          <w:lang w:val="ro-RO"/>
        </w:rPr>
        <w:t>ul Buzău în perioada 2010-2014</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Numărul de viituri şi numărul mediu de evenimente pe an în judeţul Buzău, pe bazine h</w:t>
      </w:r>
      <w:r w:rsidRPr="00702A15">
        <w:rPr>
          <w:rFonts w:ascii="Arial" w:hAnsi="Arial" w:cs="Arial"/>
          <w:sz w:val="24"/>
          <w:szCs w:val="24"/>
        </w:rPr>
        <w:t>i</w:t>
      </w:r>
      <w:r w:rsidRPr="00702A15">
        <w:rPr>
          <w:rFonts w:ascii="Arial" w:hAnsi="Arial" w:cs="Arial"/>
          <w:sz w:val="24"/>
          <w:szCs w:val="24"/>
        </w:rPr>
        <w:t>drografice în perioda 2010-2014, este prezentat în tabelul următor.</w:t>
      </w:r>
    </w:p>
    <w:tbl>
      <w:tblPr>
        <w:tblStyle w:val="TableGrid"/>
        <w:tblW w:w="0" w:type="auto"/>
        <w:tblLook w:val="01E0"/>
      </w:tblPr>
      <w:tblGrid>
        <w:gridCol w:w="647"/>
        <w:gridCol w:w="2204"/>
        <w:gridCol w:w="953"/>
        <w:gridCol w:w="951"/>
        <w:gridCol w:w="1072"/>
        <w:gridCol w:w="1081"/>
        <w:gridCol w:w="970"/>
        <w:gridCol w:w="1976"/>
      </w:tblGrid>
      <w:tr w:rsidR="00420717" w:rsidRPr="00702A15" w:rsidTr="00D92384">
        <w:trPr>
          <w:trHeight w:val="360"/>
        </w:trPr>
        <w:tc>
          <w:tcPr>
            <w:tcW w:w="648"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Nr.</w:t>
            </w:r>
          </w:p>
          <w:p w:rsidR="00420717" w:rsidRPr="00702A15" w:rsidRDefault="00420717" w:rsidP="00D92384">
            <w:pPr>
              <w:jc w:val="center"/>
              <w:rPr>
                <w:rFonts w:ascii="Arial" w:hAnsi="Arial" w:cs="Arial"/>
                <w:sz w:val="24"/>
                <w:szCs w:val="24"/>
              </w:rPr>
            </w:pPr>
            <w:r w:rsidRPr="00702A15">
              <w:rPr>
                <w:rFonts w:ascii="Arial" w:hAnsi="Arial" w:cs="Arial"/>
                <w:sz w:val="24"/>
                <w:szCs w:val="24"/>
              </w:rPr>
              <w:t>Crt.</w:t>
            </w:r>
          </w:p>
        </w:tc>
        <w:tc>
          <w:tcPr>
            <w:tcW w:w="2226"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Bazin hidrografic</w:t>
            </w:r>
          </w:p>
        </w:tc>
        <w:tc>
          <w:tcPr>
            <w:tcW w:w="5059" w:type="dxa"/>
            <w:gridSpan w:val="5"/>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de viituri</w:t>
            </w:r>
          </w:p>
        </w:tc>
        <w:tc>
          <w:tcPr>
            <w:tcW w:w="1989"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mediu de evenimente pe an</w:t>
            </w:r>
          </w:p>
        </w:tc>
      </w:tr>
      <w:tr w:rsidR="00420717" w:rsidRPr="00702A15" w:rsidTr="00D92384">
        <w:trPr>
          <w:trHeight w:val="455"/>
        </w:trPr>
        <w:tc>
          <w:tcPr>
            <w:tcW w:w="648" w:type="dxa"/>
            <w:vMerge/>
          </w:tcPr>
          <w:p w:rsidR="00420717" w:rsidRPr="00702A15" w:rsidRDefault="00420717" w:rsidP="00D92384">
            <w:pPr>
              <w:jc w:val="center"/>
              <w:rPr>
                <w:rFonts w:ascii="Arial" w:hAnsi="Arial" w:cs="Arial"/>
                <w:sz w:val="24"/>
                <w:szCs w:val="24"/>
              </w:rPr>
            </w:pPr>
          </w:p>
        </w:tc>
        <w:tc>
          <w:tcPr>
            <w:tcW w:w="2226" w:type="dxa"/>
            <w:vMerge/>
          </w:tcPr>
          <w:p w:rsidR="00420717" w:rsidRPr="00702A15" w:rsidRDefault="00420717" w:rsidP="00D92384">
            <w:pPr>
              <w:jc w:val="center"/>
              <w:rPr>
                <w:rFonts w:ascii="Arial" w:hAnsi="Arial" w:cs="Arial"/>
                <w:sz w:val="24"/>
                <w:szCs w:val="24"/>
              </w:rPr>
            </w:pPr>
          </w:p>
        </w:tc>
        <w:tc>
          <w:tcPr>
            <w:tcW w:w="95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2010</w:t>
            </w:r>
          </w:p>
        </w:tc>
        <w:tc>
          <w:tcPr>
            <w:tcW w:w="956"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2011</w:t>
            </w:r>
          </w:p>
        </w:tc>
        <w:tc>
          <w:tcPr>
            <w:tcW w:w="108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2012</w:t>
            </w:r>
          </w:p>
        </w:tc>
        <w:tc>
          <w:tcPr>
            <w:tcW w:w="108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2013</w:t>
            </w:r>
          </w:p>
        </w:tc>
        <w:tc>
          <w:tcPr>
            <w:tcW w:w="976" w:type="dxa"/>
            <w:tcBorders>
              <w:top w:val="nil"/>
            </w:tcBorders>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2014</w:t>
            </w:r>
          </w:p>
        </w:tc>
        <w:tc>
          <w:tcPr>
            <w:tcW w:w="1989" w:type="dxa"/>
            <w:vMerge/>
          </w:tcPr>
          <w:p w:rsidR="00420717" w:rsidRPr="00702A15" w:rsidRDefault="00420717" w:rsidP="00D92384">
            <w:pPr>
              <w:jc w:val="center"/>
              <w:rPr>
                <w:rFonts w:ascii="Arial" w:hAnsi="Arial" w:cs="Arial"/>
                <w:sz w:val="24"/>
                <w:szCs w:val="24"/>
              </w:rPr>
            </w:pPr>
          </w:p>
        </w:tc>
      </w:tr>
      <w:tr w:rsidR="00420717" w:rsidRPr="00702A15" w:rsidTr="00D92384">
        <w:tc>
          <w:tcPr>
            <w:tcW w:w="64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226" w:type="dxa"/>
            <w:vAlign w:val="center"/>
          </w:tcPr>
          <w:p w:rsidR="00420717" w:rsidRPr="00702A15" w:rsidRDefault="00420717" w:rsidP="00D92384">
            <w:pPr>
              <w:rPr>
                <w:rFonts w:ascii="Arial" w:hAnsi="Arial" w:cs="Arial"/>
                <w:sz w:val="24"/>
                <w:szCs w:val="24"/>
              </w:rPr>
            </w:pPr>
            <w:r w:rsidRPr="00702A15">
              <w:rPr>
                <w:rFonts w:ascii="Arial" w:hAnsi="Arial" w:cs="Arial"/>
                <w:sz w:val="24"/>
                <w:szCs w:val="24"/>
              </w:rPr>
              <w:t>Buzău</w:t>
            </w:r>
          </w:p>
        </w:tc>
        <w:tc>
          <w:tcPr>
            <w:tcW w:w="95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95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108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10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97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4</w:t>
            </w:r>
          </w:p>
        </w:tc>
        <w:tc>
          <w:tcPr>
            <w:tcW w:w="19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2,2</w:t>
            </w:r>
          </w:p>
        </w:tc>
      </w:tr>
      <w:tr w:rsidR="00420717" w:rsidRPr="00702A15" w:rsidTr="00D92384">
        <w:tc>
          <w:tcPr>
            <w:tcW w:w="64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2226" w:type="dxa"/>
            <w:vAlign w:val="center"/>
          </w:tcPr>
          <w:p w:rsidR="00420717" w:rsidRPr="00702A15" w:rsidRDefault="00420717" w:rsidP="00D92384">
            <w:pPr>
              <w:rPr>
                <w:rFonts w:ascii="Arial" w:hAnsi="Arial" w:cs="Arial"/>
                <w:sz w:val="24"/>
                <w:szCs w:val="24"/>
              </w:rPr>
            </w:pPr>
            <w:r w:rsidRPr="00702A15">
              <w:rPr>
                <w:rFonts w:ascii="Arial" w:hAnsi="Arial" w:cs="Arial"/>
                <w:sz w:val="24"/>
                <w:szCs w:val="24"/>
              </w:rPr>
              <w:t>Sărata</w:t>
            </w:r>
          </w:p>
        </w:tc>
        <w:tc>
          <w:tcPr>
            <w:tcW w:w="95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95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08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0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97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9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64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2226" w:type="dxa"/>
            <w:vAlign w:val="center"/>
          </w:tcPr>
          <w:p w:rsidR="00420717" w:rsidRPr="00702A15" w:rsidRDefault="00420717" w:rsidP="00D92384">
            <w:pPr>
              <w:rPr>
                <w:rFonts w:ascii="Arial" w:hAnsi="Arial" w:cs="Arial"/>
                <w:sz w:val="24"/>
                <w:szCs w:val="24"/>
              </w:rPr>
            </w:pPr>
            <w:r w:rsidRPr="00702A15">
              <w:rPr>
                <w:rFonts w:ascii="Arial" w:hAnsi="Arial" w:cs="Arial"/>
                <w:sz w:val="24"/>
                <w:szCs w:val="24"/>
              </w:rPr>
              <w:t>Călmăţui</w:t>
            </w:r>
          </w:p>
        </w:tc>
        <w:tc>
          <w:tcPr>
            <w:tcW w:w="95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95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08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0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97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9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64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4.</w:t>
            </w:r>
          </w:p>
        </w:tc>
        <w:tc>
          <w:tcPr>
            <w:tcW w:w="2226" w:type="dxa"/>
            <w:vAlign w:val="center"/>
          </w:tcPr>
          <w:p w:rsidR="00420717" w:rsidRPr="00702A15" w:rsidRDefault="00420717" w:rsidP="00D92384">
            <w:pPr>
              <w:rPr>
                <w:rFonts w:ascii="Arial" w:hAnsi="Arial" w:cs="Arial"/>
                <w:sz w:val="24"/>
                <w:szCs w:val="24"/>
              </w:rPr>
            </w:pPr>
            <w:r w:rsidRPr="00702A15">
              <w:rPr>
                <w:rFonts w:ascii="Arial" w:hAnsi="Arial" w:cs="Arial"/>
                <w:sz w:val="24"/>
                <w:szCs w:val="24"/>
              </w:rPr>
              <w:t>Râmnicu Sărat</w:t>
            </w:r>
          </w:p>
        </w:tc>
        <w:tc>
          <w:tcPr>
            <w:tcW w:w="95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95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108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0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97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19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r>
      <w:tr w:rsidR="00420717" w:rsidRPr="00702A15" w:rsidTr="00D92384">
        <w:tc>
          <w:tcPr>
            <w:tcW w:w="64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5.</w:t>
            </w:r>
          </w:p>
        </w:tc>
        <w:tc>
          <w:tcPr>
            <w:tcW w:w="2226" w:type="dxa"/>
            <w:vAlign w:val="center"/>
          </w:tcPr>
          <w:p w:rsidR="00420717" w:rsidRPr="00702A15" w:rsidRDefault="00420717" w:rsidP="00D92384">
            <w:pPr>
              <w:rPr>
                <w:rFonts w:ascii="Arial" w:hAnsi="Arial" w:cs="Arial"/>
                <w:sz w:val="24"/>
                <w:szCs w:val="24"/>
              </w:rPr>
            </w:pPr>
            <w:r w:rsidRPr="00702A15">
              <w:rPr>
                <w:rFonts w:ascii="Arial" w:hAnsi="Arial" w:cs="Arial"/>
                <w:sz w:val="24"/>
                <w:szCs w:val="24"/>
              </w:rPr>
              <w:t>Total</w:t>
            </w:r>
          </w:p>
        </w:tc>
        <w:tc>
          <w:tcPr>
            <w:tcW w:w="95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95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108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10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4</w:t>
            </w:r>
          </w:p>
        </w:tc>
        <w:tc>
          <w:tcPr>
            <w:tcW w:w="97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7</w:t>
            </w:r>
          </w:p>
        </w:tc>
        <w:tc>
          <w:tcPr>
            <w:tcW w:w="1989"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3,2</w:t>
            </w:r>
          </w:p>
        </w:tc>
      </w:tr>
    </w:tbl>
    <w:p w:rsidR="00420717" w:rsidRPr="005C4CFE" w:rsidRDefault="00420717" w:rsidP="00420717">
      <w:pPr>
        <w:pStyle w:val="Default"/>
        <w:jc w:val="both"/>
        <w:rPr>
          <w:b/>
          <w:bCs/>
          <w:color w:val="auto"/>
        </w:rPr>
      </w:pPr>
      <w:r w:rsidRPr="005C4CFE">
        <w:rPr>
          <w:b/>
          <w:color w:val="auto"/>
        </w:rPr>
        <w:t>Tabel II.1.1.3.1.</w:t>
      </w:r>
      <w:r w:rsidRPr="005C4CFE">
        <w:rPr>
          <w:b/>
          <w:bCs/>
          <w:color w:val="auto"/>
        </w:rPr>
        <w:t xml:space="preserve"> </w:t>
      </w:r>
      <w:r w:rsidRPr="005C4CFE">
        <w:rPr>
          <w:b/>
          <w:color w:val="auto"/>
        </w:rPr>
        <w:t xml:space="preserve">Număr de viituri pe principalele cursuri de apă din judeţul Buzău în perioda 2010-2014 </w:t>
      </w:r>
      <w:r w:rsidRPr="005C4CFE">
        <w:rPr>
          <w:b/>
          <w:bCs/>
          <w:color w:val="auto"/>
        </w:rPr>
        <w:t>în jude</w:t>
      </w:r>
      <w:r w:rsidRPr="005C4CFE">
        <w:rPr>
          <w:rFonts w:ascii="Tahoma" w:hAnsi="Tahoma" w:cs="Tahoma"/>
          <w:b/>
          <w:bCs/>
          <w:color w:val="auto"/>
        </w:rPr>
        <w:t>ţ</w:t>
      </w:r>
      <w:r w:rsidRPr="005C4CFE">
        <w:rPr>
          <w:b/>
          <w:bCs/>
          <w:color w:val="auto"/>
        </w:rPr>
        <w:t xml:space="preserve">ul Buzău </w:t>
      </w:r>
    </w:p>
    <w:p w:rsidR="00420717" w:rsidRPr="00702A15" w:rsidRDefault="00420717" w:rsidP="00420717">
      <w:pPr>
        <w:pStyle w:val="Default"/>
        <w:jc w:val="right"/>
        <w:rPr>
          <w:bCs/>
          <w:color w:val="auto"/>
        </w:rPr>
      </w:pPr>
      <w:r w:rsidRPr="00702A15">
        <w:rPr>
          <w:bCs/>
          <w:color w:val="auto"/>
        </w:rPr>
        <w:t>Sursa datelor: I.S.U. Buzău</w:t>
      </w:r>
    </w:p>
    <w:p w:rsidR="00420717" w:rsidRPr="00702A15" w:rsidRDefault="00420717" w:rsidP="00420717">
      <w:pPr>
        <w:tabs>
          <w:tab w:val="left" w:pos="1080"/>
        </w:tabs>
        <w:spacing w:after="0" w:line="240" w:lineRule="auto"/>
        <w:jc w:val="both"/>
        <w:rPr>
          <w:rFonts w:ascii="Arial" w:hAnsi="Arial" w:cs="Arial"/>
          <w:sz w:val="24"/>
          <w:szCs w:val="24"/>
        </w:rPr>
      </w:pPr>
      <w:r w:rsidRPr="00702A15">
        <w:rPr>
          <w:rFonts w:ascii="Arial" w:hAnsi="Arial" w:cs="Arial"/>
          <w:sz w:val="24"/>
          <w:szCs w:val="24"/>
        </w:rPr>
        <w:t>Numărul de persoane afectate de cele mai semnificative inundaţii din judeţul Buzău, în perioda 2010-2014, este redat în tabelul următor.</w:t>
      </w:r>
    </w:p>
    <w:tbl>
      <w:tblPr>
        <w:tblStyle w:val="TableGrid"/>
        <w:tblW w:w="0" w:type="auto"/>
        <w:tblInd w:w="250" w:type="dxa"/>
        <w:tblLook w:val="01E0"/>
      </w:tblPr>
      <w:tblGrid>
        <w:gridCol w:w="938"/>
        <w:gridCol w:w="1686"/>
        <w:gridCol w:w="1686"/>
        <w:gridCol w:w="1686"/>
        <w:gridCol w:w="1686"/>
        <w:gridCol w:w="1686"/>
      </w:tblGrid>
      <w:tr w:rsidR="00420717" w:rsidRPr="00702A15" w:rsidTr="00D92384">
        <w:trPr>
          <w:trHeight w:val="360"/>
        </w:trPr>
        <w:tc>
          <w:tcPr>
            <w:tcW w:w="938"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Anul</w:t>
            </w:r>
          </w:p>
        </w:tc>
        <w:tc>
          <w:tcPr>
            <w:tcW w:w="1686"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ev</w:t>
            </w:r>
            <w:r w:rsidRPr="00702A15">
              <w:rPr>
                <w:rFonts w:ascii="Arial" w:hAnsi="Arial" w:cs="Arial"/>
                <w:sz w:val="24"/>
                <w:szCs w:val="24"/>
              </w:rPr>
              <w:t>e</w:t>
            </w:r>
            <w:r w:rsidRPr="00702A15">
              <w:rPr>
                <w:rFonts w:ascii="Arial" w:hAnsi="Arial" w:cs="Arial"/>
                <w:sz w:val="24"/>
                <w:szCs w:val="24"/>
              </w:rPr>
              <w:t>nimente</w:t>
            </w:r>
          </w:p>
        </w:tc>
        <w:tc>
          <w:tcPr>
            <w:tcW w:w="6744" w:type="dxa"/>
            <w:gridSpan w:val="4"/>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Numărul persoanelor afectate</w:t>
            </w:r>
          </w:p>
        </w:tc>
      </w:tr>
      <w:tr w:rsidR="00420717" w:rsidRPr="00702A15" w:rsidTr="00D92384">
        <w:trPr>
          <w:trHeight w:val="1110"/>
        </w:trPr>
        <w:tc>
          <w:tcPr>
            <w:tcW w:w="938" w:type="dxa"/>
            <w:vMerge/>
          </w:tcPr>
          <w:p w:rsidR="00420717" w:rsidRPr="00702A15" w:rsidRDefault="00420717" w:rsidP="00D92384">
            <w:pPr>
              <w:jc w:val="center"/>
              <w:rPr>
                <w:rFonts w:ascii="Arial" w:hAnsi="Arial" w:cs="Arial"/>
                <w:sz w:val="24"/>
                <w:szCs w:val="24"/>
              </w:rPr>
            </w:pPr>
          </w:p>
        </w:tc>
        <w:tc>
          <w:tcPr>
            <w:tcW w:w="1686" w:type="dxa"/>
            <w:vMerge/>
          </w:tcPr>
          <w:p w:rsidR="00420717" w:rsidRPr="00702A15" w:rsidRDefault="00420717" w:rsidP="00D92384">
            <w:pPr>
              <w:jc w:val="center"/>
              <w:rPr>
                <w:rFonts w:ascii="Arial" w:hAnsi="Arial" w:cs="Arial"/>
                <w:sz w:val="24"/>
                <w:szCs w:val="24"/>
              </w:rPr>
            </w:pPr>
          </w:p>
        </w:tc>
        <w:tc>
          <w:tcPr>
            <w:tcW w:w="1686"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pe</w:t>
            </w:r>
            <w:r w:rsidRPr="00702A15">
              <w:rPr>
                <w:rFonts w:ascii="Arial" w:hAnsi="Arial" w:cs="Arial"/>
                <w:sz w:val="24"/>
                <w:szCs w:val="24"/>
              </w:rPr>
              <w:t>r</w:t>
            </w:r>
            <w:r w:rsidRPr="00702A15">
              <w:rPr>
                <w:rFonts w:ascii="Arial" w:hAnsi="Arial" w:cs="Arial"/>
                <w:sz w:val="24"/>
                <w:szCs w:val="24"/>
              </w:rPr>
              <w:t>soane dec</w:t>
            </w:r>
            <w:r w:rsidRPr="00702A15">
              <w:rPr>
                <w:rFonts w:ascii="Arial" w:hAnsi="Arial" w:cs="Arial"/>
                <w:sz w:val="24"/>
                <w:szCs w:val="24"/>
              </w:rPr>
              <w:t>e</w:t>
            </w:r>
            <w:r w:rsidRPr="00702A15">
              <w:rPr>
                <w:rFonts w:ascii="Arial" w:hAnsi="Arial" w:cs="Arial"/>
                <w:sz w:val="24"/>
                <w:szCs w:val="24"/>
              </w:rPr>
              <w:t>date</w:t>
            </w:r>
          </w:p>
        </w:tc>
        <w:tc>
          <w:tcPr>
            <w:tcW w:w="1686"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pe</w:t>
            </w:r>
            <w:r w:rsidRPr="00702A15">
              <w:rPr>
                <w:rFonts w:ascii="Arial" w:hAnsi="Arial" w:cs="Arial"/>
                <w:sz w:val="24"/>
                <w:szCs w:val="24"/>
              </w:rPr>
              <w:t>r</w:t>
            </w:r>
            <w:r w:rsidRPr="00702A15">
              <w:rPr>
                <w:rFonts w:ascii="Arial" w:hAnsi="Arial" w:cs="Arial"/>
                <w:sz w:val="24"/>
                <w:szCs w:val="24"/>
              </w:rPr>
              <w:t>soane rănite</w:t>
            </w:r>
          </w:p>
        </w:tc>
        <w:tc>
          <w:tcPr>
            <w:tcW w:w="1686"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pe</w:t>
            </w:r>
            <w:r w:rsidRPr="00702A15">
              <w:rPr>
                <w:rFonts w:ascii="Arial" w:hAnsi="Arial" w:cs="Arial"/>
                <w:sz w:val="24"/>
                <w:szCs w:val="24"/>
              </w:rPr>
              <w:t>r</w:t>
            </w:r>
            <w:r w:rsidRPr="00702A15">
              <w:rPr>
                <w:rFonts w:ascii="Arial" w:hAnsi="Arial" w:cs="Arial"/>
                <w:sz w:val="24"/>
                <w:szCs w:val="24"/>
              </w:rPr>
              <w:t>soane ev</w:t>
            </w:r>
            <w:r w:rsidRPr="00702A15">
              <w:rPr>
                <w:rFonts w:ascii="Arial" w:hAnsi="Arial" w:cs="Arial"/>
                <w:sz w:val="24"/>
                <w:szCs w:val="24"/>
              </w:rPr>
              <w:t>a</w:t>
            </w:r>
            <w:r w:rsidRPr="00702A15">
              <w:rPr>
                <w:rFonts w:ascii="Arial" w:hAnsi="Arial" w:cs="Arial"/>
                <w:sz w:val="24"/>
                <w:szCs w:val="24"/>
              </w:rPr>
              <w:t>cuate</w:t>
            </w:r>
          </w:p>
        </w:tc>
        <w:tc>
          <w:tcPr>
            <w:tcW w:w="1686"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pe</w:t>
            </w:r>
            <w:r w:rsidRPr="00702A15">
              <w:rPr>
                <w:rFonts w:ascii="Arial" w:hAnsi="Arial" w:cs="Arial"/>
                <w:sz w:val="24"/>
                <w:szCs w:val="24"/>
              </w:rPr>
              <w:t>r</w:t>
            </w:r>
            <w:r w:rsidRPr="00702A15">
              <w:rPr>
                <w:rFonts w:ascii="Arial" w:hAnsi="Arial" w:cs="Arial"/>
                <w:sz w:val="24"/>
                <w:szCs w:val="24"/>
              </w:rPr>
              <w:t>soane cu locuinţe di</w:t>
            </w:r>
            <w:r w:rsidRPr="00702A15">
              <w:rPr>
                <w:rFonts w:ascii="Arial" w:hAnsi="Arial" w:cs="Arial"/>
                <w:sz w:val="24"/>
                <w:szCs w:val="24"/>
              </w:rPr>
              <w:t>s</w:t>
            </w:r>
            <w:r w:rsidRPr="00702A15">
              <w:rPr>
                <w:rFonts w:ascii="Arial" w:hAnsi="Arial" w:cs="Arial"/>
                <w:sz w:val="24"/>
                <w:szCs w:val="24"/>
              </w:rPr>
              <w:t>truse</w:t>
            </w:r>
          </w:p>
        </w:tc>
      </w:tr>
      <w:tr w:rsidR="00420717" w:rsidRPr="00702A15" w:rsidTr="00D92384">
        <w:tc>
          <w:tcPr>
            <w:tcW w:w="93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2010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93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lastRenderedPageBreak/>
              <w:t>2011</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93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2012</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93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2013</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4</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93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2014</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7</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16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bl>
    <w:p w:rsidR="00420717" w:rsidRPr="005C4CFE" w:rsidRDefault="00420717" w:rsidP="00420717">
      <w:pPr>
        <w:pStyle w:val="Default"/>
        <w:jc w:val="both"/>
        <w:rPr>
          <w:b/>
          <w:bCs/>
          <w:color w:val="auto"/>
        </w:rPr>
      </w:pPr>
      <w:r w:rsidRPr="005C4CFE">
        <w:rPr>
          <w:b/>
          <w:color w:val="auto"/>
        </w:rPr>
        <w:t>Tabel II.1.1.3.2.</w:t>
      </w:r>
      <w:r w:rsidRPr="005C4CFE">
        <w:rPr>
          <w:b/>
          <w:bCs/>
          <w:color w:val="auto"/>
        </w:rPr>
        <w:t xml:space="preserve"> </w:t>
      </w:r>
      <w:r w:rsidRPr="005C4CFE">
        <w:rPr>
          <w:b/>
          <w:color w:val="auto"/>
        </w:rPr>
        <w:t>Număr de persoane afectate de cele mai semnificative inundaţii din judeţul Buzău</w:t>
      </w:r>
      <w:r w:rsidRPr="005C4CFE">
        <w:rPr>
          <w:b/>
          <w:bCs/>
          <w:color w:val="auto"/>
        </w:rPr>
        <w:t xml:space="preserve"> în perioada 2010-2014 </w:t>
      </w:r>
    </w:p>
    <w:p w:rsidR="00420717" w:rsidRPr="00702A15" w:rsidRDefault="00420717" w:rsidP="00420717">
      <w:pPr>
        <w:pStyle w:val="Default"/>
        <w:jc w:val="right"/>
        <w:rPr>
          <w:bCs/>
          <w:color w:val="auto"/>
        </w:rPr>
      </w:pPr>
      <w:r w:rsidRPr="00702A15">
        <w:rPr>
          <w:bCs/>
          <w:color w:val="auto"/>
        </w:rPr>
        <w:t>Sursa datelor: I.S.U. Buzău</w:t>
      </w:r>
    </w:p>
    <w:p w:rsidR="00420717" w:rsidRPr="00702A15" w:rsidRDefault="00420717" w:rsidP="00420717">
      <w:pPr>
        <w:spacing w:after="0" w:line="240" w:lineRule="auto"/>
        <w:jc w:val="both"/>
        <w:rPr>
          <w:rFonts w:ascii="Arial" w:hAnsi="Arial" w:cs="Arial"/>
          <w:sz w:val="24"/>
          <w:szCs w:val="24"/>
        </w:rPr>
      </w:pPr>
    </w:p>
    <w:p w:rsidR="00420717" w:rsidRPr="00702A15" w:rsidRDefault="00420717" w:rsidP="00420717">
      <w:pPr>
        <w:pStyle w:val="BodyText"/>
        <w:spacing w:after="0" w:line="240" w:lineRule="auto"/>
        <w:jc w:val="both"/>
        <w:rPr>
          <w:rFonts w:ascii="Arial" w:hAnsi="Arial" w:cs="Arial"/>
          <w:iCs/>
          <w:sz w:val="24"/>
          <w:szCs w:val="24"/>
          <w:lang w:val="ro-RO"/>
        </w:rPr>
      </w:pPr>
      <w:r w:rsidRPr="00702A15">
        <w:rPr>
          <w:rFonts w:ascii="Arial" w:hAnsi="Arial" w:cs="Arial"/>
          <w:iCs/>
          <w:sz w:val="24"/>
          <w:szCs w:val="24"/>
          <w:lang w:val="ro-RO"/>
        </w:rPr>
        <w:t>Caracterizarea regimului hidrologic, din punct de vedere al debitelor minime, al principalelor cursuri de apă (Buzău, Sărata, Călmă</w:t>
      </w:r>
      <w:r>
        <w:rPr>
          <w:rFonts w:ascii="Arial" w:hAnsi="Arial" w:cs="Arial"/>
          <w:iCs/>
          <w:sz w:val="24"/>
          <w:szCs w:val="24"/>
          <w:lang w:val="ro-RO"/>
        </w:rPr>
        <w:t>ţ</w:t>
      </w:r>
      <w:r w:rsidRPr="00702A15">
        <w:rPr>
          <w:rFonts w:ascii="Arial" w:hAnsi="Arial" w:cs="Arial"/>
          <w:iCs/>
          <w:sz w:val="24"/>
          <w:szCs w:val="24"/>
          <w:lang w:val="ro-RO"/>
        </w:rPr>
        <w:t xml:space="preserve">ui </w:t>
      </w:r>
      <w:r>
        <w:rPr>
          <w:rFonts w:ascii="Arial" w:hAnsi="Arial" w:cs="Arial"/>
          <w:iCs/>
          <w:sz w:val="24"/>
          <w:szCs w:val="24"/>
          <w:lang w:val="ro-RO"/>
        </w:rPr>
        <w:t>ş</w:t>
      </w:r>
      <w:r w:rsidRPr="00702A15">
        <w:rPr>
          <w:rFonts w:ascii="Arial" w:hAnsi="Arial" w:cs="Arial"/>
          <w:iCs/>
          <w:sz w:val="24"/>
          <w:szCs w:val="24"/>
          <w:lang w:val="ro-RO"/>
        </w:rPr>
        <w:t>i Rm. Sărat) din jude</w:t>
      </w:r>
      <w:r>
        <w:rPr>
          <w:rFonts w:ascii="Arial" w:hAnsi="Arial" w:cs="Arial"/>
          <w:iCs/>
          <w:sz w:val="24"/>
          <w:szCs w:val="24"/>
          <w:lang w:val="ro-RO"/>
        </w:rPr>
        <w:t>ţ</w:t>
      </w:r>
      <w:r w:rsidRPr="00702A15">
        <w:rPr>
          <w:rFonts w:ascii="Arial" w:hAnsi="Arial" w:cs="Arial"/>
          <w:iCs/>
          <w:sz w:val="24"/>
          <w:szCs w:val="24"/>
          <w:lang w:val="ro-RO"/>
        </w:rPr>
        <w:t>ul Buzău în perioada 2010-2014</w:t>
      </w:r>
    </w:p>
    <w:p w:rsidR="00420717" w:rsidRPr="00702A15" w:rsidRDefault="00420717" w:rsidP="00420717">
      <w:pPr>
        <w:pStyle w:val="BodyText"/>
        <w:spacing w:after="0" w:line="240" w:lineRule="auto"/>
        <w:jc w:val="both"/>
        <w:rPr>
          <w:rFonts w:ascii="Arial" w:hAnsi="Arial" w:cs="Arial"/>
          <w:iCs/>
          <w:sz w:val="24"/>
          <w:szCs w:val="24"/>
          <w:lang w:val="ro-RO"/>
        </w:rPr>
      </w:pPr>
      <w:r w:rsidRPr="00702A15">
        <w:rPr>
          <w:rFonts w:ascii="Arial" w:hAnsi="Arial" w:cs="Arial"/>
          <w:bCs/>
          <w:sz w:val="24"/>
          <w:szCs w:val="24"/>
          <w:lang w:val="ro-RO"/>
        </w:rPr>
        <w:t>ABA Buzău-Ialomi</w:t>
      </w:r>
      <w:r>
        <w:rPr>
          <w:rFonts w:ascii="Arial" w:hAnsi="Arial" w:cs="Arial"/>
          <w:bCs/>
          <w:sz w:val="24"/>
          <w:szCs w:val="24"/>
          <w:lang w:val="ro-RO"/>
        </w:rPr>
        <w:t>ţ</w:t>
      </w:r>
      <w:r w:rsidRPr="00702A15">
        <w:rPr>
          <w:rFonts w:ascii="Arial" w:hAnsi="Arial" w:cs="Arial"/>
          <w:bCs/>
          <w:sz w:val="24"/>
          <w:szCs w:val="24"/>
          <w:lang w:val="ro-RO"/>
        </w:rPr>
        <w:t xml:space="preserve">a </w:t>
      </w:r>
      <w:r>
        <w:rPr>
          <w:rFonts w:ascii="Arial" w:hAnsi="Arial" w:cs="Arial"/>
          <w:bCs/>
          <w:sz w:val="24"/>
          <w:szCs w:val="24"/>
          <w:lang w:val="ro-RO"/>
        </w:rPr>
        <w:t>ş</w:t>
      </w:r>
      <w:r w:rsidRPr="00702A15">
        <w:rPr>
          <w:rFonts w:ascii="Arial" w:hAnsi="Arial" w:cs="Arial"/>
          <w:bCs/>
          <w:sz w:val="24"/>
          <w:szCs w:val="24"/>
          <w:lang w:val="ro-RO"/>
        </w:rPr>
        <w:t>i SGA Vrancea, nu au furnizat date pentru caracterizarea debitelor minime ale principalelor cursuri de apă din jude</w:t>
      </w:r>
      <w:r>
        <w:rPr>
          <w:rFonts w:ascii="Arial" w:hAnsi="Arial" w:cs="Arial"/>
          <w:bCs/>
          <w:sz w:val="24"/>
          <w:szCs w:val="24"/>
          <w:lang w:val="ro-RO"/>
        </w:rPr>
        <w:t>ţ</w:t>
      </w:r>
      <w:r w:rsidRPr="00702A15">
        <w:rPr>
          <w:rFonts w:ascii="Arial" w:hAnsi="Arial" w:cs="Arial"/>
          <w:bCs/>
          <w:sz w:val="24"/>
          <w:szCs w:val="24"/>
          <w:lang w:val="ro-RO"/>
        </w:rPr>
        <w:t>ul Buzău.</w:t>
      </w:r>
    </w:p>
    <w:p w:rsidR="00420717" w:rsidRDefault="00420717" w:rsidP="00420717">
      <w:pPr>
        <w:tabs>
          <w:tab w:val="left" w:pos="1204"/>
          <w:tab w:val="left" w:leader="dot" w:pos="9356"/>
        </w:tabs>
        <w:spacing w:after="0" w:line="240" w:lineRule="auto"/>
        <w:jc w:val="both"/>
        <w:rPr>
          <w:rFonts w:ascii="Arial" w:hAnsi="Arial" w:cs="Arial"/>
          <w:sz w:val="24"/>
          <w:szCs w:val="24"/>
        </w:rPr>
      </w:pPr>
    </w:p>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sz w:val="24"/>
          <w:szCs w:val="24"/>
        </w:rPr>
        <w:t>II.1.1.4. Schimbări hidromorfologice ale cursurilor de apă</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pStyle w:val="Default"/>
        <w:jc w:val="both"/>
        <w:rPr>
          <w:color w:val="auto"/>
        </w:rPr>
      </w:pPr>
      <w:r w:rsidRPr="00702A15">
        <w:rPr>
          <w:color w:val="auto"/>
        </w:rPr>
        <w:t>Clasificarea corpurilor de apă la nivelul jude</w:t>
      </w:r>
      <w:r>
        <w:rPr>
          <w:color w:val="auto"/>
        </w:rPr>
        <w:t>ţ</w:t>
      </w:r>
      <w:r w:rsidRPr="00702A15">
        <w:rPr>
          <w:color w:val="auto"/>
        </w:rPr>
        <w:t>ului Buzău în perioada 2000-2014 este redată în tabelul următor</w:t>
      </w: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5"/>
        <w:gridCol w:w="2693"/>
        <w:gridCol w:w="1985"/>
        <w:gridCol w:w="1984"/>
      </w:tblGrid>
      <w:tr w:rsidR="00420717" w:rsidRPr="00702A15" w:rsidTr="00D92384">
        <w:tc>
          <w:tcPr>
            <w:tcW w:w="1525" w:type="dxa"/>
            <w:vMerge w:val="restart"/>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Anul</w:t>
            </w:r>
          </w:p>
        </w:tc>
        <w:tc>
          <w:tcPr>
            <w:tcW w:w="6662" w:type="dxa"/>
            <w:gridSpan w:val="3"/>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Categorii de corpuri de apă</w:t>
            </w:r>
          </w:p>
        </w:tc>
      </w:tr>
      <w:tr w:rsidR="00420717" w:rsidRPr="00702A15" w:rsidTr="00D92384">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2693"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Corpuri nat</w:t>
            </w:r>
            <w:r w:rsidRPr="00702A15">
              <w:rPr>
                <w:rFonts w:ascii="Arial" w:hAnsi="Arial" w:cs="Arial"/>
                <w:sz w:val="24"/>
                <w:szCs w:val="24"/>
              </w:rPr>
              <w:t>u</w:t>
            </w:r>
            <w:r w:rsidRPr="00702A15">
              <w:rPr>
                <w:rFonts w:ascii="Arial" w:hAnsi="Arial" w:cs="Arial"/>
                <w:sz w:val="24"/>
                <w:szCs w:val="24"/>
              </w:rPr>
              <w:t>rale/cvasinaturale</w:t>
            </w:r>
          </w:p>
        </w:tc>
        <w:tc>
          <w:tcPr>
            <w:tcW w:w="1985"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Corpuri artif</w:t>
            </w:r>
            <w:r w:rsidRPr="00702A15">
              <w:rPr>
                <w:rFonts w:ascii="Arial" w:hAnsi="Arial" w:cs="Arial"/>
                <w:sz w:val="24"/>
                <w:szCs w:val="24"/>
              </w:rPr>
              <w:t>i</w:t>
            </w:r>
            <w:r w:rsidRPr="00702A15">
              <w:rPr>
                <w:rFonts w:ascii="Arial" w:hAnsi="Arial" w:cs="Arial"/>
                <w:sz w:val="24"/>
                <w:szCs w:val="24"/>
              </w:rPr>
              <w:t>ciale</w:t>
            </w:r>
          </w:p>
        </w:tc>
        <w:tc>
          <w:tcPr>
            <w:tcW w:w="1984"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Corpuri puternic modificate</w:t>
            </w:r>
          </w:p>
        </w:tc>
      </w:tr>
      <w:tr w:rsidR="00420717" w:rsidRPr="00702A15" w:rsidTr="00D92384">
        <w:tc>
          <w:tcPr>
            <w:tcW w:w="1525"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2000</w:t>
            </w:r>
          </w:p>
        </w:tc>
        <w:tc>
          <w:tcPr>
            <w:tcW w:w="2693"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985"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984"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525"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2005</w:t>
            </w:r>
          </w:p>
        </w:tc>
        <w:tc>
          <w:tcPr>
            <w:tcW w:w="2693"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985"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984"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525"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2010</w:t>
            </w:r>
          </w:p>
        </w:tc>
        <w:tc>
          <w:tcPr>
            <w:tcW w:w="2693"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985"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984"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525"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2014</w:t>
            </w:r>
          </w:p>
        </w:tc>
        <w:tc>
          <w:tcPr>
            <w:tcW w:w="2693"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17</w:t>
            </w:r>
          </w:p>
        </w:tc>
        <w:tc>
          <w:tcPr>
            <w:tcW w:w="1985"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984" w:type="dxa"/>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3</w:t>
            </w:r>
          </w:p>
        </w:tc>
      </w:tr>
    </w:tbl>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bCs/>
          <w:sz w:val="24"/>
          <w:szCs w:val="24"/>
        </w:rPr>
        <w:t>Tabelul II.1.1.4.1.</w:t>
      </w:r>
      <w:r w:rsidRPr="005C4CFE">
        <w:rPr>
          <w:rFonts w:ascii="Arial" w:hAnsi="Arial" w:cs="Arial"/>
          <w:b/>
          <w:sz w:val="24"/>
          <w:szCs w:val="24"/>
        </w:rPr>
        <w:t xml:space="preserve"> Clasificarea corpurilor de apă la nivelul judeţului Buzău în perio</w:t>
      </w:r>
      <w:r w:rsidRPr="005C4CFE">
        <w:rPr>
          <w:rFonts w:ascii="Arial" w:hAnsi="Arial" w:cs="Arial"/>
          <w:b/>
          <w:sz w:val="24"/>
          <w:szCs w:val="24"/>
        </w:rPr>
        <w:t>a</w:t>
      </w:r>
      <w:r w:rsidRPr="005C4CFE">
        <w:rPr>
          <w:rFonts w:ascii="Arial" w:hAnsi="Arial" w:cs="Arial"/>
          <w:b/>
          <w:sz w:val="24"/>
          <w:szCs w:val="24"/>
        </w:rPr>
        <w:t>da 2000-2014</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 xml:space="preserve">i SGA Vrancea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Presiunile care au afectat în mod semnificativ caracteristicile hidromorfologice ale cursului de apă, în anul 2014, pe râul Buzău sunt prezentate în următorul tabel.</w:t>
      </w: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835"/>
        <w:gridCol w:w="1559"/>
        <w:gridCol w:w="992"/>
        <w:gridCol w:w="1276"/>
        <w:gridCol w:w="2268"/>
      </w:tblGrid>
      <w:tr w:rsidR="00420717" w:rsidRPr="00702A15" w:rsidTr="00D92384">
        <w:tc>
          <w:tcPr>
            <w:tcW w:w="567"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Nr. Crt.</w:t>
            </w:r>
          </w:p>
        </w:tc>
        <w:tc>
          <w:tcPr>
            <w:tcW w:w="4394" w:type="dxa"/>
            <w:gridSpan w:val="2"/>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Presiuni hidromorfologice</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Număr</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Lungime (km)</w:t>
            </w:r>
          </w:p>
        </w:tc>
        <w:tc>
          <w:tcPr>
            <w:tcW w:w="2268"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Exemple</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spacing w:after="0" w:line="240" w:lineRule="auto"/>
              <w:rPr>
                <w:rFonts w:ascii="Arial" w:hAnsi="Arial" w:cs="Arial"/>
                <w:sz w:val="24"/>
                <w:szCs w:val="24"/>
              </w:rPr>
            </w:pPr>
            <w:r w:rsidRPr="00702A15">
              <w:rPr>
                <w:rFonts w:ascii="Arial" w:hAnsi="Arial" w:cs="Arial"/>
                <w:sz w:val="24"/>
                <w:szCs w:val="24"/>
              </w:rPr>
              <w:t xml:space="preserve"> 1.</w:t>
            </w:r>
          </w:p>
        </w:tc>
        <w:tc>
          <w:tcPr>
            <w:tcW w:w="2835" w:type="dxa"/>
            <w:vMerge w:val="restart"/>
            <w:vAlign w:val="center"/>
          </w:tcPr>
          <w:p w:rsidR="00420717" w:rsidRPr="00702A15" w:rsidRDefault="00420717" w:rsidP="00D92384">
            <w:pPr>
              <w:pStyle w:val="Default"/>
              <w:rPr>
                <w:color w:val="auto"/>
              </w:rPr>
            </w:pPr>
            <w:r w:rsidRPr="00702A15">
              <w:rPr>
                <w:color w:val="auto"/>
              </w:rPr>
              <w:t xml:space="preserve">Lucrări de barare transversală a cursurilor de apă </w:t>
            </w:r>
          </w:p>
        </w:tc>
        <w:tc>
          <w:tcPr>
            <w:tcW w:w="1559" w:type="dxa"/>
            <w:vAlign w:val="center"/>
          </w:tcPr>
          <w:p w:rsidR="00420717" w:rsidRPr="00702A15" w:rsidRDefault="00420717" w:rsidP="00D92384">
            <w:pPr>
              <w:pStyle w:val="Default"/>
              <w:rPr>
                <w:color w:val="auto"/>
              </w:rPr>
            </w:pPr>
            <w:r w:rsidRPr="00702A15">
              <w:rPr>
                <w:color w:val="auto"/>
              </w:rPr>
              <w:t xml:space="preserve">Lacuri de acumulare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2268"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spacing w:after="0" w:line="240" w:lineRule="auto"/>
              <w:rPr>
                <w:rFonts w:ascii="Arial" w:hAnsi="Arial" w:cs="Arial"/>
                <w:sz w:val="24"/>
                <w:szCs w:val="24"/>
              </w:rPr>
            </w:pPr>
          </w:p>
        </w:tc>
        <w:tc>
          <w:tcPr>
            <w:tcW w:w="2835" w:type="dxa"/>
            <w:vMerge/>
            <w:vAlign w:val="center"/>
          </w:tcPr>
          <w:p w:rsidR="00420717" w:rsidRPr="00702A15" w:rsidRDefault="00420717" w:rsidP="00D92384">
            <w:pPr>
              <w:spacing w:after="0" w:line="240" w:lineRule="auto"/>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Stăvilare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2268"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spacing w:after="0" w:line="240" w:lineRule="auto"/>
              <w:rPr>
                <w:rFonts w:ascii="Arial" w:hAnsi="Arial" w:cs="Arial"/>
                <w:sz w:val="24"/>
                <w:szCs w:val="24"/>
              </w:rPr>
            </w:pPr>
          </w:p>
        </w:tc>
        <w:tc>
          <w:tcPr>
            <w:tcW w:w="2835" w:type="dxa"/>
            <w:vMerge/>
            <w:vAlign w:val="center"/>
          </w:tcPr>
          <w:p w:rsidR="00420717" w:rsidRPr="00702A15" w:rsidRDefault="00420717" w:rsidP="00D92384">
            <w:pPr>
              <w:spacing w:after="0" w:line="240" w:lineRule="auto"/>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Praguri de fund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2268"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spacing w:after="0" w:line="240" w:lineRule="auto"/>
              <w:rPr>
                <w:rFonts w:ascii="Arial" w:hAnsi="Arial" w:cs="Arial"/>
                <w:sz w:val="24"/>
                <w:szCs w:val="24"/>
              </w:rPr>
            </w:pPr>
            <w:r w:rsidRPr="00702A15">
              <w:rPr>
                <w:rFonts w:ascii="Arial" w:hAnsi="Arial" w:cs="Arial"/>
                <w:sz w:val="24"/>
                <w:szCs w:val="24"/>
              </w:rPr>
              <w:t xml:space="preserve"> 2.</w:t>
            </w:r>
          </w:p>
        </w:tc>
        <w:tc>
          <w:tcPr>
            <w:tcW w:w="2835" w:type="dxa"/>
            <w:vMerge w:val="restart"/>
            <w:vAlign w:val="center"/>
          </w:tcPr>
          <w:p w:rsidR="00420717" w:rsidRPr="00702A15" w:rsidRDefault="00420717" w:rsidP="00D92384">
            <w:pPr>
              <w:pStyle w:val="Default"/>
              <w:rPr>
                <w:color w:val="auto"/>
              </w:rPr>
            </w:pPr>
            <w:r w:rsidRPr="00702A15">
              <w:rPr>
                <w:color w:val="auto"/>
              </w:rPr>
              <w:t xml:space="preserve">Lucrări în lungul cursurilor de apă </w:t>
            </w:r>
          </w:p>
        </w:tc>
        <w:tc>
          <w:tcPr>
            <w:tcW w:w="1559" w:type="dxa"/>
            <w:vAlign w:val="center"/>
          </w:tcPr>
          <w:p w:rsidR="00420717" w:rsidRPr="00702A15" w:rsidRDefault="00420717" w:rsidP="00D92384">
            <w:pPr>
              <w:pStyle w:val="Default"/>
              <w:rPr>
                <w:color w:val="auto"/>
              </w:rPr>
            </w:pPr>
            <w:r w:rsidRPr="00702A15">
              <w:rPr>
                <w:color w:val="auto"/>
              </w:rPr>
              <w:t xml:space="preserve">Îndiguiri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6</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109</w:t>
            </w:r>
          </w:p>
        </w:tc>
        <w:tc>
          <w:tcPr>
            <w:tcW w:w="2268" w:type="dxa"/>
            <w:vAlign w:val="center"/>
          </w:tcPr>
          <w:p w:rsidR="00420717" w:rsidRPr="00702A15" w:rsidRDefault="00420717" w:rsidP="00D92384">
            <w:pPr>
              <w:pStyle w:val="Default"/>
              <w:rPr>
                <w:color w:val="auto"/>
              </w:rPr>
            </w:pPr>
            <w:r w:rsidRPr="00702A15">
              <w:rPr>
                <w:color w:val="auto"/>
              </w:rPr>
              <w:t>Râurile: Buzău, Câlnău,</w:t>
            </w:r>
            <w:r>
              <w:rPr>
                <w:color w:val="auto"/>
              </w:rPr>
              <w:t xml:space="preserve"> </w:t>
            </w:r>
            <w:r w:rsidRPr="00702A15">
              <w:rPr>
                <w:color w:val="auto"/>
              </w:rPr>
              <w:t>Bălăneasa</w:t>
            </w:r>
          </w:p>
        </w:tc>
      </w:tr>
      <w:tr w:rsidR="00420717" w:rsidRPr="00702A15" w:rsidTr="00D92384">
        <w:trPr>
          <w:trHeight w:val="562"/>
        </w:trPr>
        <w:tc>
          <w:tcPr>
            <w:tcW w:w="567" w:type="dxa"/>
            <w:vMerge/>
            <w:vAlign w:val="center"/>
          </w:tcPr>
          <w:p w:rsidR="00420717" w:rsidRPr="00702A15" w:rsidRDefault="00420717" w:rsidP="00D92384">
            <w:pPr>
              <w:spacing w:after="0" w:line="240" w:lineRule="auto"/>
              <w:rPr>
                <w:rFonts w:ascii="Arial" w:hAnsi="Arial" w:cs="Arial"/>
                <w:sz w:val="24"/>
                <w:szCs w:val="24"/>
              </w:rPr>
            </w:pPr>
          </w:p>
        </w:tc>
        <w:tc>
          <w:tcPr>
            <w:tcW w:w="2835" w:type="dxa"/>
            <w:vMerge/>
            <w:vAlign w:val="center"/>
          </w:tcPr>
          <w:p w:rsidR="00420717" w:rsidRPr="00702A15" w:rsidRDefault="00420717" w:rsidP="00D92384">
            <w:pPr>
              <w:spacing w:after="0" w:line="240" w:lineRule="auto"/>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Lucrări de regularizare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2268"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spacing w:after="0" w:line="240" w:lineRule="auto"/>
              <w:rPr>
                <w:rFonts w:ascii="Arial" w:hAnsi="Arial" w:cs="Arial"/>
                <w:sz w:val="24"/>
                <w:szCs w:val="24"/>
              </w:rPr>
            </w:pPr>
          </w:p>
        </w:tc>
        <w:tc>
          <w:tcPr>
            <w:tcW w:w="2835" w:type="dxa"/>
            <w:vMerge/>
            <w:vAlign w:val="center"/>
          </w:tcPr>
          <w:p w:rsidR="00420717" w:rsidRPr="00702A15" w:rsidRDefault="00420717" w:rsidP="00D92384">
            <w:pPr>
              <w:spacing w:after="0" w:line="240" w:lineRule="auto"/>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Lucrări de consolidare maluri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11</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29.272</w:t>
            </w:r>
          </w:p>
        </w:tc>
        <w:tc>
          <w:tcPr>
            <w:tcW w:w="2268" w:type="dxa"/>
            <w:vAlign w:val="center"/>
          </w:tcPr>
          <w:p w:rsidR="00420717" w:rsidRPr="00702A15" w:rsidRDefault="00420717" w:rsidP="00D92384">
            <w:pPr>
              <w:tabs>
                <w:tab w:val="left" w:pos="1204"/>
                <w:tab w:val="left" w:leader="dot" w:pos="9356"/>
              </w:tabs>
              <w:spacing w:after="0" w:line="240" w:lineRule="auto"/>
              <w:rPr>
                <w:rFonts w:ascii="Arial" w:hAnsi="Arial" w:cs="Arial"/>
                <w:sz w:val="24"/>
                <w:szCs w:val="24"/>
              </w:rPr>
            </w:pPr>
            <w:r w:rsidRPr="00702A15">
              <w:rPr>
                <w:rFonts w:ascii="Arial" w:hAnsi="Arial" w:cs="Arial"/>
                <w:sz w:val="24"/>
                <w:szCs w:val="24"/>
              </w:rPr>
              <w:t>Râurile: Buzău, Câlnău, Slănic, Bâsca Roziliei, Bâsca Chiojdu, Bălăneasa, Sără</w:t>
            </w:r>
            <w:r>
              <w:rPr>
                <w:rFonts w:ascii="Arial" w:hAnsi="Arial" w:cs="Arial"/>
                <w:sz w:val="24"/>
                <w:szCs w:val="24"/>
              </w:rPr>
              <w:t>ţ</w:t>
            </w:r>
            <w:r w:rsidRPr="00702A15">
              <w:rPr>
                <w:rFonts w:ascii="Arial" w:hAnsi="Arial" w:cs="Arial"/>
                <w:sz w:val="24"/>
                <w:szCs w:val="24"/>
              </w:rPr>
              <w:t>el, Ni</w:t>
            </w:r>
            <w:r>
              <w:rPr>
                <w:rFonts w:ascii="Arial" w:hAnsi="Arial" w:cs="Arial"/>
                <w:sz w:val="24"/>
                <w:szCs w:val="24"/>
              </w:rPr>
              <w:t>ş</w:t>
            </w:r>
            <w:r w:rsidRPr="00702A15">
              <w:rPr>
                <w:rFonts w:ascii="Arial" w:hAnsi="Arial" w:cs="Arial"/>
                <w:sz w:val="24"/>
                <w:szCs w:val="24"/>
              </w:rPr>
              <w:t>cov</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spacing w:after="0" w:line="240" w:lineRule="auto"/>
              <w:rPr>
                <w:rFonts w:ascii="Arial" w:hAnsi="Arial" w:cs="Arial"/>
                <w:sz w:val="24"/>
                <w:szCs w:val="24"/>
              </w:rPr>
            </w:pPr>
            <w:r w:rsidRPr="00702A15">
              <w:rPr>
                <w:rFonts w:ascii="Arial" w:hAnsi="Arial" w:cs="Arial"/>
                <w:sz w:val="24"/>
                <w:szCs w:val="24"/>
              </w:rPr>
              <w:t xml:space="preserve"> 3.</w:t>
            </w:r>
          </w:p>
        </w:tc>
        <w:tc>
          <w:tcPr>
            <w:tcW w:w="2835" w:type="dxa"/>
            <w:vMerge w:val="restart"/>
            <w:vAlign w:val="center"/>
          </w:tcPr>
          <w:p w:rsidR="00420717" w:rsidRPr="00702A15" w:rsidRDefault="00420717" w:rsidP="00D92384">
            <w:pPr>
              <w:pStyle w:val="Default"/>
              <w:rPr>
                <w:color w:val="auto"/>
              </w:rPr>
            </w:pPr>
            <w:r w:rsidRPr="00702A15">
              <w:rPr>
                <w:color w:val="auto"/>
              </w:rPr>
              <w:t xml:space="preserve">Lucrări de captare </w:t>
            </w:r>
            <w:r>
              <w:rPr>
                <w:rFonts w:ascii="Tahoma" w:hAnsi="Tahoma" w:cs="Tahoma"/>
                <w:color w:val="auto"/>
              </w:rPr>
              <w:t>ş</w:t>
            </w:r>
            <w:r w:rsidRPr="00702A15">
              <w:rPr>
                <w:color w:val="auto"/>
              </w:rPr>
              <w:t xml:space="preserve">i </w:t>
            </w:r>
            <w:r w:rsidRPr="00702A15">
              <w:rPr>
                <w:color w:val="auto"/>
              </w:rPr>
              <w:lastRenderedPageBreak/>
              <w:t xml:space="preserve">evacuare a apei </w:t>
            </w:r>
          </w:p>
        </w:tc>
        <w:tc>
          <w:tcPr>
            <w:tcW w:w="1559" w:type="dxa"/>
            <w:vAlign w:val="center"/>
          </w:tcPr>
          <w:p w:rsidR="00420717" w:rsidRPr="00702A15" w:rsidRDefault="00420717" w:rsidP="00D92384">
            <w:pPr>
              <w:pStyle w:val="Default"/>
              <w:rPr>
                <w:color w:val="auto"/>
              </w:rPr>
            </w:pPr>
            <w:r w:rsidRPr="00702A15">
              <w:rPr>
                <w:color w:val="auto"/>
              </w:rPr>
              <w:lastRenderedPageBreak/>
              <w:t xml:space="preserve">Prize de </w:t>
            </w:r>
            <w:r w:rsidRPr="00702A15">
              <w:rPr>
                <w:color w:val="auto"/>
              </w:rPr>
              <w:lastRenderedPageBreak/>
              <w:t xml:space="preserve">apă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lastRenderedPageBreak/>
              <w:t>-</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2268"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spacing w:after="0" w:line="240" w:lineRule="auto"/>
              <w:rPr>
                <w:rFonts w:ascii="Arial" w:hAnsi="Arial" w:cs="Arial"/>
                <w:sz w:val="24"/>
                <w:szCs w:val="24"/>
              </w:rPr>
            </w:pPr>
          </w:p>
        </w:tc>
        <w:tc>
          <w:tcPr>
            <w:tcW w:w="2835" w:type="dxa"/>
            <w:vMerge/>
            <w:vAlign w:val="center"/>
          </w:tcPr>
          <w:p w:rsidR="00420717" w:rsidRPr="00702A15" w:rsidRDefault="00420717" w:rsidP="00D92384">
            <w:pPr>
              <w:spacing w:after="0" w:line="240" w:lineRule="auto"/>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Restitu</w:t>
            </w:r>
            <w:r>
              <w:rPr>
                <w:rFonts w:ascii="Tahoma" w:hAnsi="Tahoma" w:cs="Tahoma"/>
                <w:color w:val="auto"/>
              </w:rPr>
              <w:t>ţ</w:t>
            </w:r>
            <w:r w:rsidRPr="00702A15">
              <w:rPr>
                <w:color w:val="auto"/>
              </w:rPr>
              <w:t xml:space="preserve">ii </w:t>
            </w:r>
          </w:p>
        </w:tc>
        <w:tc>
          <w:tcPr>
            <w:tcW w:w="992"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spacing w:after="0" w:line="240" w:lineRule="auto"/>
              <w:jc w:val="center"/>
              <w:rPr>
                <w:rFonts w:ascii="Arial" w:hAnsi="Arial" w:cs="Arial"/>
                <w:sz w:val="24"/>
                <w:szCs w:val="24"/>
              </w:rPr>
            </w:pPr>
            <w:r w:rsidRPr="00702A15">
              <w:rPr>
                <w:rFonts w:ascii="Arial" w:hAnsi="Arial" w:cs="Arial"/>
                <w:sz w:val="24"/>
                <w:szCs w:val="24"/>
              </w:rPr>
              <w:t>-</w:t>
            </w:r>
          </w:p>
        </w:tc>
        <w:tc>
          <w:tcPr>
            <w:tcW w:w="2268" w:type="dxa"/>
            <w:vAlign w:val="center"/>
          </w:tcPr>
          <w:p w:rsidR="00420717" w:rsidRPr="00702A15" w:rsidRDefault="00420717" w:rsidP="00D92384">
            <w:pPr>
              <w:pStyle w:val="Default"/>
              <w:jc w:val="center"/>
              <w:rPr>
                <w:color w:val="auto"/>
              </w:rPr>
            </w:pPr>
            <w:r w:rsidRPr="00702A15">
              <w:rPr>
                <w:color w:val="auto"/>
              </w:rPr>
              <w:t>-</w:t>
            </w:r>
          </w:p>
        </w:tc>
      </w:tr>
    </w:tbl>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bCs/>
          <w:sz w:val="24"/>
          <w:szCs w:val="24"/>
        </w:rPr>
        <w:t xml:space="preserve">Tabelul II.1.1.4.2. </w:t>
      </w:r>
      <w:r w:rsidRPr="005C4CFE">
        <w:rPr>
          <w:rFonts w:ascii="Arial" w:hAnsi="Arial" w:cs="Arial"/>
          <w:b/>
          <w:sz w:val="24"/>
          <w:szCs w:val="24"/>
        </w:rPr>
        <w:t xml:space="preserve"> Presiunile care au afectat în mod semnificativ caracteristicile h</w:t>
      </w:r>
      <w:r w:rsidRPr="005C4CFE">
        <w:rPr>
          <w:rFonts w:ascii="Arial" w:hAnsi="Arial" w:cs="Arial"/>
          <w:b/>
          <w:sz w:val="24"/>
          <w:szCs w:val="24"/>
        </w:rPr>
        <w:t>i</w:t>
      </w:r>
      <w:r w:rsidRPr="005C4CFE">
        <w:rPr>
          <w:rFonts w:ascii="Arial" w:hAnsi="Arial" w:cs="Arial"/>
          <w:b/>
          <w:sz w:val="24"/>
          <w:szCs w:val="24"/>
        </w:rPr>
        <w:t>dromorfologice ale cursului de apă, în anul 2014, pe râul Buzău</w:t>
      </w:r>
    </w:p>
    <w:p w:rsidR="00420717" w:rsidRPr="00702A15" w:rsidRDefault="00420717" w:rsidP="00420717">
      <w:pPr>
        <w:pStyle w:val="Default"/>
        <w:jc w:val="right"/>
        <w:rPr>
          <w:bCs/>
          <w:color w:val="auto"/>
        </w:rPr>
      </w:pPr>
      <w:r w:rsidRPr="00702A15">
        <w:rPr>
          <w:bCs/>
          <w:color w:val="auto"/>
        </w:rPr>
        <w:t>Sursa datelor: ABA Buzău-Ialomi</w:t>
      </w:r>
      <w:r>
        <w:rPr>
          <w:rFonts w:ascii="Tahoma" w:hAnsi="Tahoma" w:cs="Tahoma"/>
          <w:bCs/>
          <w:color w:val="auto"/>
        </w:rPr>
        <w:t>ţ</w:t>
      </w:r>
      <w:r w:rsidRPr="00702A15">
        <w:rPr>
          <w:bCs/>
          <w:color w:val="auto"/>
        </w:rPr>
        <w:t xml:space="preserve">a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Presiunile care au afectat în mod semnificativ caracteristicile hidromorfologice ale cursului de apă, în anul 2014, pe râul Sărata sunt prezentate în următorul tabel.</w:t>
      </w:r>
    </w:p>
    <w:tbl>
      <w:tblPr>
        <w:tblStyle w:val="TableGrid"/>
        <w:tblW w:w="0" w:type="auto"/>
        <w:tblInd w:w="392" w:type="dxa"/>
        <w:tblLayout w:type="fixed"/>
        <w:tblLook w:val="04A0"/>
      </w:tblPr>
      <w:tblGrid>
        <w:gridCol w:w="567"/>
        <w:gridCol w:w="2835"/>
        <w:gridCol w:w="1559"/>
        <w:gridCol w:w="992"/>
        <w:gridCol w:w="1276"/>
        <w:gridCol w:w="2233"/>
      </w:tblGrid>
      <w:tr w:rsidR="00420717" w:rsidRPr="00702A15" w:rsidTr="00D92384">
        <w:tc>
          <w:tcPr>
            <w:tcW w:w="56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Nr. Crt.</w:t>
            </w:r>
          </w:p>
        </w:tc>
        <w:tc>
          <w:tcPr>
            <w:tcW w:w="4394" w:type="dxa"/>
            <w:gridSpan w:val="2"/>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Presiuni hidromorfologice</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Număr</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Lungime (km)</w:t>
            </w:r>
          </w:p>
        </w:tc>
        <w:tc>
          <w:tcPr>
            <w:tcW w:w="2233"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Exemple</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 xml:space="preserve">  1.</w:t>
            </w:r>
          </w:p>
        </w:tc>
        <w:tc>
          <w:tcPr>
            <w:tcW w:w="2835" w:type="dxa"/>
            <w:vMerge w:val="restart"/>
            <w:vAlign w:val="center"/>
          </w:tcPr>
          <w:p w:rsidR="00420717" w:rsidRPr="00702A15" w:rsidRDefault="00420717" w:rsidP="00D92384">
            <w:pPr>
              <w:pStyle w:val="Default"/>
              <w:rPr>
                <w:color w:val="auto"/>
              </w:rPr>
            </w:pPr>
            <w:r w:rsidRPr="00702A15">
              <w:rPr>
                <w:color w:val="auto"/>
              </w:rPr>
              <w:t xml:space="preserve">Lucrări de barare transversală a cursurilor de apă </w:t>
            </w:r>
          </w:p>
        </w:tc>
        <w:tc>
          <w:tcPr>
            <w:tcW w:w="1559" w:type="dxa"/>
            <w:vAlign w:val="center"/>
          </w:tcPr>
          <w:p w:rsidR="00420717" w:rsidRPr="00702A15" w:rsidRDefault="00420717" w:rsidP="00D92384">
            <w:pPr>
              <w:pStyle w:val="Default"/>
              <w:rPr>
                <w:color w:val="auto"/>
              </w:rPr>
            </w:pPr>
            <w:r w:rsidRPr="00702A15">
              <w:rPr>
                <w:color w:val="auto"/>
              </w:rPr>
              <w:t xml:space="preserve">Lacuri de acumulare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233"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835"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Stăvilare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233"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835"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Praguri de fund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233"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 xml:space="preserve">  2.</w:t>
            </w:r>
          </w:p>
        </w:tc>
        <w:tc>
          <w:tcPr>
            <w:tcW w:w="2835" w:type="dxa"/>
            <w:vMerge w:val="restart"/>
            <w:vAlign w:val="center"/>
          </w:tcPr>
          <w:p w:rsidR="00420717" w:rsidRPr="00702A15" w:rsidRDefault="00420717" w:rsidP="00D92384">
            <w:pPr>
              <w:pStyle w:val="Default"/>
              <w:rPr>
                <w:color w:val="auto"/>
              </w:rPr>
            </w:pPr>
            <w:r w:rsidRPr="00702A15">
              <w:rPr>
                <w:color w:val="auto"/>
              </w:rPr>
              <w:t xml:space="preserve">Lucrări în lungul cursurilor de apă </w:t>
            </w:r>
          </w:p>
        </w:tc>
        <w:tc>
          <w:tcPr>
            <w:tcW w:w="1559" w:type="dxa"/>
            <w:vAlign w:val="center"/>
          </w:tcPr>
          <w:p w:rsidR="00420717" w:rsidRPr="00702A15" w:rsidRDefault="00420717" w:rsidP="00D92384">
            <w:pPr>
              <w:pStyle w:val="Default"/>
              <w:rPr>
                <w:color w:val="auto"/>
              </w:rPr>
            </w:pPr>
            <w:r w:rsidRPr="00702A15">
              <w:rPr>
                <w:color w:val="auto"/>
              </w:rPr>
              <w:t xml:space="preserve">Îndiguiri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233"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rPr>
          <w:trHeight w:val="562"/>
        </w:trPr>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835"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Lucrări de regularizare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233"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835"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 xml:space="preserve">Lucrări de consolidare maluri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1,47</w:t>
            </w:r>
          </w:p>
        </w:tc>
        <w:tc>
          <w:tcPr>
            <w:tcW w:w="2233" w:type="dxa"/>
            <w:vAlign w:val="center"/>
          </w:tcPr>
          <w:p w:rsidR="00420717" w:rsidRPr="00702A15" w:rsidRDefault="00420717" w:rsidP="00D92384">
            <w:pPr>
              <w:tabs>
                <w:tab w:val="left" w:pos="1204"/>
                <w:tab w:val="left" w:leader="dot" w:pos="9356"/>
              </w:tabs>
              <w:jc w:val="center"/>
              <w:rPr>
                <w:rFonts w:ascii="Arial" w:hAnsi="Arial" w:cs="Arial"/>
                <w:sz w:val="24"/>
                <w:szCs w:val="24"/>
              </w:rPr>
            </w:pP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 xml:space="preserve">  3.</w:t>
            </w:r>
          </w:p>
        </w:tc>
        <w:tc>
          <w:tcPr>
            <w:tcW w:w="2835" w:type="dxa"/>
            <w:vMerge w:val="restart"/>
            <w:vAlign w:val="center"/>
          </w:tcPr>
          <w:p w:rsidR="00420717" w:rsidRPr="00702A15" w:rsidRDefault="00420717" w:rsidP="00D92384">
            <w:pPr>
              <w:pStyle w:val="Default"/>
              <w:rPr>
                <w:color w:val="auto"/>
              </w:rPr>
            </w:pPr>
            <w:r w:rsidRPr="00702A15">
              <w:rPr>
                <w:color w:val="auto"/>
              </w:rPr>
              <w:t xml:space="preserve">Lucrări de captare </w:t>
            </w:r>
            <w:r>
              <w:rPr>
                <w:color w:val="auto"/>
              </w:rPr>
              <w:t>ş</w:t>
            </w:r>
            <w:r w:rsidRPr="00702A15">
              <w:rPr>
                <w:color w:val="auto"/>
              </w:rPr>
              <w:t xml:space="preserve">i evacuare a apei </w:t>
            </w:r>
          </w:p>
        </w:tc>
        <w:tc>
          <w:tcPr>
            <w:tcW w:w="1559" w:type="dxa"/>
            <w:vAlign w:val="center"/>
          </w:tcPr>
          <w:p w:rsidR="00420717" w:rsidRPr="00702A15" w:rsidRDefault="00420717" w:rsidP="00D92384">
            <w:pPr>
              <w:pStyle w:val="Default"/>
              <w:rPr>
                <w:color w:val="auto"/>
              </w:rPr>
            </w:pPr>
            <w:r w:rsidRPr="00702A15">
              <w:rPr>
                <w:color w:val="auto"/>
              </w:rPr>
              <w:t xml:space="preserve">Prize de apă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233"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835"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1559" w:type="dxa"/>
            <w:vAlign w:val="center"/>
          </w:tcPr>
          <w:p w:rsidR="00420717" w:rsidRPr="00702A15" w:rsidRDefault="00420717" w:rsidP="00D92384">
            <w:pPr>
              <w:pStyle w:val="Default"/>
              <w:rPr>
                <w:color w:val="auto"/>
              </w:rPr>
            </w:pPr>
            <w:r w:rsidRPr="00702A15">
              <w:rPr>
                <w:color w:val="auto"/>
              </w:rPr>
              <w:t>Restitu</w:t>
            </w:r>
            <w:r>
              <w:rPr>
                <w:color w:val="auto"/>
              </w:rPr>
              <w:t>ţ</w:t>
            </w:r>
            <w:r w:rsidRPr="00702A15">
              <w:rPr>
                <w:color w:val="auto"/>
              </w:rPr>
              <w:t xml:space="preserve">ii </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233"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bl>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bCs/>
          <w:sz w:val="24"/>
          <w:szCs w:val="24"/>
        </w:rPr>
        <w:t xml:space="preserve">Tabelul II.1.1.4.3. </w:t>
      </w:r>
      <w:r w:rsidRPr="005C4CFE">
        <w:rPr>
          <w:rFonts w:ascii="Arial" w:hAnsi="Arial" w:cs="Arial"/>
          <w:b/>
          <w:sz w:val="24"/>
          <w:szCs w:val="24"/>
        </w:rPr>
        <w:t>Presiunile care au afectat în mod semnificativ caracteristicile h</w:t>
      </w:r>
      <w:r w:rsidRPr="005C4CFE">
        <w:rPr>
          <w:rFonts w:ascii="Arial" w:hAnsi="Arial" w:cs="Arial"/>
          <w:b/>
          <w:sz w:val="24"/>
          <w:szCs w:val="24"/>
        </w:rPr>
        <w:t>i</w:t>
      </w:r>
      <w:r w:rsidRPr="005C4CFE">
        <w:rPr>
          <w:rFonts w:ascii="Arial" w:hAnsi="Arial" w:cs="Arial"/>
          <w:b/>
          <w:sz w:val="24"/>
          <w:szCs w:val="24"/>
        </w:rPr>
        <w:t>dromorfologice ale cursului de apă, în anul 2014, pe râul Sărata</w:t>
      </w:r>
    </w:p>
    <w:p w:rsidR="00420717" w:rsidRPr="00702A15" w:rsidRDefault="00420717" w:rsidP="00420717">
      <w:pPr>
        <w:pStyle w:val="Default"/>
        <w:jc w:val="right"/>
        <w:rPr>
          <w:color w:val="auto"/>
          <w:sz w:val="18"/>
          <w:szCs w:val="18"/>
        </w:rPr>
      </w:pPr>
      <w:r w:rsidRPr="00702A15">
        <w:rPr>
          <w:bCs/>
          <w:color w:val="auto"/>
        </w:rPr>
        <w:t>Sursa datelor: ABA Buzău-Ialomi</w:t>
      </w:r>
      <w:r>
        <w:rPr>
          <w:bCs/>
          <w:color w:val="auto"/>
        </w:rPr>
        <w:t>ţ</w:t>
      </w:r>
      <w:r w:rsidRPr="00702A15">
        <w:rPr>
          <w:bCs/>
          <w:color w:val="auto"/>
        </w:rPr>
        <w:t>a</w:t>
      </w:r>
    </w:p>
    <w:p w:rsidR="00420717" w:rsidRPr="00702A15" w:rsidRDefault="00420717" w:rsidP="00420717">
      <w:pPr>
        <w:pStyle w:val="Default"/>
        <w:jc w:val="both"/>
        <w:rPr>
          <w:bCs/>
          <w:color w:val="auto"/>
        </w:rPr>
      </w:pPr>
      <w:r w:rsidRPr="00702A15">
        <w:rPr>
          <w:color w:val="auto"/>
        </w:rPr>
        <w:t>Pe râul Călmă</w:t>
      </w:r>
      <w:r>
        <w:rPr>
          <w:color w:val="auto"/>
        </w:rPr>
        <w:t>ţ</w:t>
      </w:r>
      <w:r w:rsidRPr="00702A15">
        <w:rPr>
          <w:color w:val="auto"/>
        </w:rPr>
        <w:t>ui, în anul 2014, nu au fost realizate lucrări care să afecteze în mod semnificativ caracteristicile hidromorfologice ale cursului de apă (</w:t>
      </w:r>
      <w:r w:rsidRPr="00702A15">
        <w:rPr>
          <w:bCs/>
          <w:color w:val="auto"/>
        </w:rPr>
        <w:t>Sursa datelor: ABA Buzău-Ialomi</w:t>
      </w:r>
      <w:r>
        <w:rPr>
          <w:bCs/>
          <w:color w:val="auto"/>
        </w:rPr>
        <w:t>ţ</w:t>
      </w:r>
      <w:r w:rsidRPr="00702A15">
        <w:rPr>
          <w:bCs/>
          <w:color w:val="auto"/>
        </w:rPr>
        <w:t>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Presiunile care au afectat în mod semnificativ caracteristicile hidromorfologice ale cursului de apă, în anul 2014 pe râul Râmnicu Sărat sunt prezentate în următorul tabel</w:t>
      </w:r>
    </w:p>
    <w:tbl>
      <w:tblPr>
        <w:tblStyle w:val="TableGrid"/>
        <w:tblW w:w="0" w:type="auto"/>
        <w:tblInd w:w="392" w:type="dxa"/>
        <w:tblLayout w:type="fixed"/>
        <w:tblLook w:val="04A0"/>
      </w:tblPr>
      <w:tblGrid>
        <w:gridCol w:w="567"/>
        <w:gridCol w:w="3118"/>
        <w:gridCol w:w="2268"/>
        <w:gridCol w:w="1134"/>
        <w:gridCol w:w="1276"/>
        <w:gridCol w:w="1276"/>
      </w:tblGrid>
      <w:tr w:rsidR="00420717" w:rsidRPr="00702A15" w:rsidTr="00D92384">
        <w:tc>
          <w:tcPr>
            <w:tcW w:w="56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Nr. Crt.</w:t>
            </w:r>
          </w:p>
        </w:tc>
        <w:tc>
          <w:tcPr>
            <w:tcW w:w="5386" w:type="dxa"/>
            <w:gridSpan w:val="2"/>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Presiuni hidromorfologice</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Număr</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Lungime (km)</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Exemple</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 xml:space="preserve">  1.</w:t>
            </w:r>
          </w:p>
        </w:tc>
        <w:tc>
          <w:tcPr>
            <w:tcW w:w="3118" w:type="dxa"/>
            <w:vMerge w:val="restart"/>
            <w:vAlign w:val="center"/>
          </w:tcPr>
          <w:p w:rsidR="00420717" w:rsidRPr="00702A15" w:rsidRDefault="00420717" w:rsidP="00D92384">
            <w:pPr>
              <w:pStyle w:val="Default"/>
              <w:rPr>
                <w:color w:val="auto"/>
              </w:rPr>
            </w:pPr>
            <w:r w:rsidRPr="00702A15">
              <w:rPr>
                <w:color w:val="auto"/>
              </w:rPr>
              <w:t xml:space="preserve">Lucrări de barare transversală a cursurilor de apă </w:t>
            </w:r>
          </w:p>
        </w:tc>
        <w:tc>
          <w:tcPr>
            <w:tcW w:w="2268" w:type="dxa"/>
            <w:vAlign w:val="center"/>
          </w:tcPr>
          <w:p w:rsidR="00420717" w:rsidRPr="00702A15" w:rsidRDefault="00420717" w:rsidP="00D92384">
            <w:pPr>
              <w:pStyle w:val="Default"/>
              <w:rPr>
                <w:color w:val="auto"/>
              </w:rPr>
            </w:pPr>
            <w:r w:rsidRPr="00702A15">
              <w:rPr>
                <w:color w:val="auto"/>
              </w:rPr>
              <w:t xml:space="preserve">Lacuri de acumulare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3118"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268" w:type="dxa"/>
            <w:vAlign w:val="center"/>
          </w:tcPr>
          <w:p w:rsidR="00420717" w:rsidRPr="00702A15" w:rsidRDefault="00420717" w:rsidP="00D92384">
            <w:pPr>
              <w:pStyle w:val="Default"/>
              <w:rPr>
                <w:color w:val="auto"/>
              </w:rPr>
            </w:pPr>
            <w:r w:rsidRPr="00702A15">
              <w:rPr>
                <w:color w:val="auto"/>
              </w:rPr>
              <w:t xml:space="preserve">Stăvilare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3118"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268" w:type="dxa"/>
            <w:vAlign w:val="center"/>
          </w:tcPr>
          <w:p w:rsidR="00420717" w:rsidRPr="00702A15" w:rsidRDefault="00420717" w:rsidP="00D92384">
            <w:pPr>
              <w:pStyle w:val="Default"/>
              <w:rPr>
                <w:color w:val="auto"/>
              </w:rPr>
            </w:pPr>
            <w:r w:rsidRPr="00702A15">
              <w:rPr>
                <w:color w:val="auto"/>
              </w:rPr>
              <w:t xml:space="preserve">Praguri de fund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 xml:space="preserve">  2.</w:t>
            </w:r>
          </w:p>
        </w:tc>
        <w:tc>
          <w:tcPr>
            <w:tcW w:w="3118" w:type="dxa"/>
            <w:vMerge w:val="restart"/>
            <w:vAlign w:val="center"/>
          </w:tcPr>
          <w:p w:rsidR="00420717" w:rsidRPr="00702A15" w:rsidRDefault="00420717" w:rsidP="00D92384">
            <w:pPr>
              <w:pStyle w:val="Default"/>
              <w:rPr>
                <w:color w:val="auto"/>
              </w:rPr>
            </w:pPr>
            <w:r w:rsidRPr="00702A15">
              <w:rPr>
                <w:color w:val="auto"/>
              </w:rPr>
              <w:t xml:space="preserve">Lucrări în lungul cursurilor de apă </w:t>
            </w:r>
          </w:p>
        </w:tc>
        <w:tc>
          <w:tcPr>
            <w:tcW w:w="2268" w:type="dxa"/>
            <w:vAlign w:val="center"/>
          </w:tcPr>
          <w:p w:rsidR="00420717" w:rsidRPr="00702A15" w:rsidRDefault="00420717" w:rsidP="00D92384">
            <w:pPr>
              <w:pStyle w:val="Default"/>
              <w:rPr>
                <w:color w:val="auto"/>
              </w:rPr>
            </w:pPr>
            <w:r w:rsidRPr="00702A15">
              <w:rPr>
                <w:color w:val="auto"/>
              </w:rPr>
              <w:t xml:space="preserve">Îndiguiri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rPr>
          <w:trHeight w:val="562"/>
        </w:trPr>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3118"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268" w:type="dxa"/>
            <w:vAlign w:val="center"/>
          </w:tcPr>
          <w:p w:rsidR="00420717" w:rsidRPr="00702A15" w:rsidRDefault="00420717" w:rsidP="00D92384">
            <w:pPr>
              <w:pStyle w:val="Default"/>
              <w:rPr>
                <w:color w:val="auto"/>
              </w:rPr>
            </w:pPr>
            <w:r w:rsidRPr="00702A15">
              <w:rPr>
                <w:color w:val="auto"/>
              </w:rPr>
              <w:t xml:space="preserve">Lucrări de regularizare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3118"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268" w:type="dxa"/>
            <w:vAlign w:val="center"/>
          </w:tcPr>
          <w:p w:rsidR="00420717" w:rsidRPr="00702A15" w:rsidRDefault="00420717" w:rsidP="00D92384">
            <w:pPr>
              <w:pStyle w:val="Default"/>
              <w:rPr>
                <w:color w:val="auto"/>
              </w:rPr>
            </w:pPr>
            <w:r w:rsidRPr="00702A15">
              <w:rPr>
                <w:color w:val="auto"/>
              </w:rPr>
              <w:t xml:space="preserve">Lucrări de consolidare maluri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567"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 xml:space="preserve">  3.</w:t>
            </w:r>
          </w:p>
        </w:tc>
        <w:tc>
          <w:tcPr>
            <w:tcW w:w="3118" w:type="dxa"/>
            <w:vMerge w:val="restart"/>
            <w:vAlign w:val="center"/>
          </w:tcPr>
          <w:p w:rsidR="00420717" w:rsidRPr="00702A15" w:rsidRDefault="00420717" w:rsidP="00D92384">
            <w:pPr>
              <w:pStyle w:val="Default"/>
              <w:rPr>
                <w:color w:val="auto"/>
              </w:rPr>
            </w:pPr>
            <w:r w:rsidRPr="00702A15">
              <w:rPr>
                <w:color w:val="auto"/>
              </w:rPr>
              <w:t xml:space="preserve">Lucrări de captare </w:t>
            </w:r>
            <w:r>
              <w:rPr>
                <w:color w:val="auto"/>
              </w:rPr>
              <w:t>ş</w:t>
            </w:r>
            <w:r w:rsidRPr="00702A15">
              <w:rPr>
                <w:color w:val="auto"/>
              </w:rPr>
              <w:t xml:space="preserve">i </w:t>
            </w:r>
            <w:r w:rsidRPr="00702A15">
              <w:rPr>
                <w:color w:val="auto"/>
              </w:rPr>
              <w:lastRenderedPageBreak/>
              <w:t xml:space="preserve">evacuare a apei </w:t>
            </w:r>
          </w:p>
        </w:tc>
        <w:tc>
          <w:tcPr>
            <w:tcW w:w="2268" w:type="dxa"/>
            <w:vAlign w:val="center"/>
          </w:tcPr>
          <w:p w:rsidR="00420717" w:rsidRPr="00702A15" w:rsidRDefault="00420717" w:rsidP="00D92384">
            <w:pPr>
              <w:pStyle w:val="Default"/>
              <w:rPr>
                <w:color w:val="auto"/>
              </w:rPr>
            </w:pPr>
            <w:r w:rsidRPr="00702A15">
              <w:rPr>
                <w:color w:val="auto"/>
              </w:rPr>
              <w:lastRenderedPageBreak/>
              <w:t xml:space="preserve">Prize de apă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567"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3118"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2268" w:type="dxa"/>
            <w:vAlign w:val="center"/>
          </w:tcPr>
          <w:p w:rsidR="00420717" w:rsidRPr="00702A15" w:rsidRDefault="00420717" w:rsidP="00D92384">
            <w:pPr>
              <w:pStyle w:val="Default"/>
              <w:rPr>
                <w:color w:val="auto"/>
              </w:rPr>
            </w:pPr>
            <w:r w:rsidRPr="00702A15">
              <w:rPr>
                <w:color w:val="auto"/>
              </w:rPr>
              <w:t>Restitu</w:t>
            </w:r>
            <w:r>
              <w:rPr>
                <w:color w:val="auto"/>
              </w:rPr>
              <w:t>ţ</w:t>
            </w:r>
            <w:r w:rsidRPr="00702A15">
              <w:rPr>
                <w:color w:val="auto"/>
              </w:rPr>
              <w:t xml:space="preserve">ii </w:t>
            </w:r>
          </w:p>
        </w:tc>
        <w:tc>
          <w:tcPr>
            <w:tcW w:w="113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127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bl>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bCs/>
          <w:sz w:val="24"/>
          <w:szCs w:val="24"/>
        </w:rPr>
        <w:lastRenderedPageBreak/>
        <w:t xml:space="preserve">Tabelul II.1.1.4.4. </w:t>
      </w:r>
      <w:r w:rsidRPr="005C4CFE">
        <w:rPr>
          <w:rFonts w:ascii="Arial" w:hAnsi="Arial" w:cs="Arial"/>
          <w:b/>
          <w:sz w:val="24"/>
          <w:szCs w:val="24"/>
        </w:rPr>
        <w:t>Presiunile care au afectat în mod semnificativ caracteristicile h</w:t>
      </w:r>
      <w:r w:rsidRPr="005C4CFE">
        <w:rPr>
          <w:rFonts w:ascii="Arial" w:hAnsi="Arial" w:cs="Arial"/>
          <w:b/>
          <w:sz w:val="24"/>
          <w:szCs w:val="24"/>
        </w:rPr>
        <w:t>i</w:t>
      </w:r>
      <w:r w:rsidRPr="005C4CFE">
        <w:rPr>
          <w:rFonts w:ascii="Arial" w:hAnsi="Arial" w:cs="Arial"/>
          <w:b/>
          <w:sz w:val="24"/>
          <w:szCs w:val="24"/>
        </w:rPr>
        <w:t>dromorfologice ale cursului de apă, în anul 2014 pe râul Râmnicu Sărat</w:t>
      </w:r>
    </w:p>
    <w:p w:rsidR="00420717" w:rsidRPr="00702A15" w:rsidRDefault="00420717" w:rsidP="00420717">
      <w:pPr>
        <w:pStyle w:val="Default"/>
        <w:jc w:val="right"/>
        <w:rPr>
          <w:bCs/>
          <w:color w:val="auto"/>
        </w:rPr>
      </w:pPr>
      <w:r w:rsidRPr="00702A15">
        <w:rPr>
          <w:bCs/>
          <w:color w:val="auto"/>
        </w:rPr>
        <w:t>Sursa datelor: SGA Vrancea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Starea ecologică a corpurilor de apă puternic modificate stabilită pe baza parametrilor h</w:t>
      </w:r>
      <w:r w:rsidRPr="00702A15">
        <w:rPr>
          <w:rFonts w:ascii="Arial" w:hAnsi="Arial" w:cs="Arial"/>
          <w:sz w:val="24"/>
          <w:szCs w:val="24"/>
        </w:rPr>
        <w:t>i</w:t>
      </w:r>
      <w:r w:rsidRPr="00702A15">
        <w:rPr>
          <w:rFonts w:ascii="Arial" w:hAnsi="Arial" w:cs="Arial"/>
          <w:sz w:val="24"/>
          <w:szCs w:val="24"/>
        </w:rPr>
        <w:t>dromorfologici, în jude</w:t>
      </w:r>
      <w:r>
        <w:rPr>
          <w:rFonts w:ascii="Arial" w:hAnsi="Arial" w:cs="Arial"/>
          <w:sz w:val="24"/>
          <w:szCs w:val="24"/>
        </w:rPr>
        <w:t>ţ</w:t>
      </w:r>
      <w:r w:rsidRPr="00702A15">
        <w:rPr>
          <w:rFonts w:ascii="Arial" w:hAnsi="Arial" w:cs="Arial"/>
          <w:sz w:val="24"/>
          <w:szCs w:val="24"/>
        </w:rPr>
        <w:t>ul Buzău, în anul 2014 este prezentată în tabelul de mai jos</w:t>
      </w:r>
    </w:p>
    <w:tbl>
      <w:tblPr>
        <w:tblStyle w:val="TableGrid"/>
        <w:tblW w:w="0" w:type="auto"/>
        <w:tblInd w:w="392" w:type="dxa"/>
        <w:tblLook w:val="04A0"/>
      </w:tblPr>
      <w:tblGrid>
        <w:gridCol w:w="2977"/>
        <w:gridCol w:w="1417"/>
        <w:gridCol w:w="2126"/>
        <w:gridCol w:w="2410"/>
      </w:tblGrid>
      <w:tr w:rsidR="00420717" w:rsidRPr="00702A15" w:rsidTr="00D92384">
        <w:tc>
          <w:tcPr>
            <w:tcW w:w="297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Bazin hidrografic</w:t>
            </w:r>
          </w:p>
        </w:tc>
        <w:tc>
          <w:tcPr>
            <w:tcW w:w="141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Număr corpuri de apă</w:t>
            </w:r>
          </w:p>
        </w:tc>
        <w:tc>
          <w:tcPr>
            <w:tcW w:w="212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Stare ecologică*</w:t>
            </w:r>
          </w:p>
        </w:tc>
        <w:tc>
          <w:tcPr>
            <w:tcW w:w="241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Parametri hidromo</w:t>
            </w:r>
            <w:r w:rsidRPr="00702A15">
              <w:rPr>
                <w:rFonts w:ascii="Arial" w:hAnsi="Arial" w:cs="Arial"/>
                <w:sz w:val="24"/>
                <w:szCs w:val="24"/>
              </w:rPr>
              <w:t>r</w:t>
            </w:r>
            <w:r w:rsidRPr="00702A15">
              <w:rPr>
                <w:rFonts w:ascii="Arial" w:hAnsi="Arial" w:cs="Arial"/>
                <w:sz w:val="24"/>
                <w:szCs w:val="24"/>
              </w:rPr>
              <w:t>fologici responsabili de starea ecologică</w:t>
            </w:r>
          </w:p>
        </w:tc>
      </w:tr>
      <w:tr w:rsidR="00420717" w:rsidRPr="00702A15" w:rsidTr="00D92384">
        <w:tc>
          <w:tcPr>
            <w:tcW w:w="2977"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Râul Buzău</w:t>
            </w:r>
          </w:p>
        </w:tc>
        <w:tc>
          <w:tcPr>
            <w:tcW w:w="141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w:t>
            </w:r>
          </w:p>
        </w:tc>
        <w:tc>
          <w:tcPr>
            <w:tcW w:w="2126" w:type="dxa"/>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Nu se face ev</w:t>
            </w:r>
            <w:r w:rsidRPr="00702A15">
              <w:rPr>
                <w:rFonts w:ascii="Arial" w:hAnsi="Arial" w:cs="Arial"/>
                <w:sz w:val="24"/>
                <w:szCs w:val="24"/>
              </w:rPr>
              <w:t>a</w:t>
            </w:r>
            <w:r w:rsidRPr="00702A15">
              <w:rPr>
                <w:rFonts w:ascii="Arial" w:hAnsi="Arial" w:cs="Arial"/>
                <w:sz w:val="24"/>
                <w:szCs w:val="24"/>
              </w:rPr>
              <w:t>luare pe baza parametrilor h</w:t>
            </w:r>
            <w:r w:rsidRPr="00702A15">
              <w:rPr>
                <w:rFonts w:ascii="Arial" w:hAnsi="Arial" w:cs="Arial"/>
                <w:sz w:val="24"/>
                <w:szCs w:val="24"/>
              </w:rPr>
              <w:t>i</w:t>
            </w:r>
            <w:r w:rsidRPr="00702A15">
              <w:rPr>
                <w:rFonts w:ascii="Arial" w:hAnsi="Arial" w:cs="Arial"/>
                <w:sz w:val="24"/>
                <w:szCs w:val="24"/>
              </w:rPr>
              <w:t>dromorfologici</w:t>
            </w:r>
          </w:p>
        </w:tc>
        <w:tc>
          <w:tcPr>
            <w:tcW w:w="241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977"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Râul Sărata</w:t>
            </w:r>
          </w:p>
        </w:tc>
        <w:tc>
          <w:tcPr>
            <w:tcW w:w="141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2126" w:type="dxa"/>
          </w:tcPr>
          <w:p w:rsidR="00420717" w:rsidRPr="00702A15" w:rsidRDefault="00420717" w:rsidP="00D92384">
            <w:r w:rsidRPr="00702A15">
              <w:rPr>
                <w:rFonts w:ascii="Arial" w:hAnsi="Arial" w:cs="Arial"/>
                <w:sz w:val="24"/>
                <w:szCs w:val="24"/>
              </w:rPr>
              <w:t>Nu se face ev</w:t>
            </w:r>
            <w:r w:rsidRPr="00702A15">
              <w:rPr>
                <w:rFonts w:ascii="Arial" w:hAnsi="Arial" w:cs="Arial"/>
                <w:sz w:val="24"/>
                <w:szCs w:val="24"/>
              </w:rPr>
              <w:t>a</w:t>
            </w:r>
            <w:r w:rsidRPr="00702A15">
              <w:rPr>
                <w:rFonts w:ascii="Arial" w:hAnsi="Arial" w:cs="Arial"/>
                <w:sz w:val="24"/>
                <w:szCs w:val="24"/>
              </w:rPr>
              <w:t>luare pe baza parametrilor h</w:t>
            </w:r>
            <w:r w:rsidRPr="00702A15">
              <w:rPr>
                <w:rFonts w:ascii="Arial" w:hAnsi="Arial" w:cs="Arial"/>
                <w:sz w:val="24"/>
                <w:szCs w:val="24"/>
              </w:rPr>
              <w:t>i</w:t>
            </w:r>
            <w:r w:rsidRPr="00702A15">
              <w:rPr>
                <w:rFonts w:ascii="Arial" w:hAnsi="Arial" w:cs="Arial"/>
                <w:sz w:val="24"/>
                <w:szCs w:val="24"/>
              </w:rPr>
              <w:t xml:space="preserve">dromorfologici </w:t>
            </w:r>
          </w:p>
        </w:tc>
        <w:tc>
          <w:tcPr>
            <w:tcW w:w="241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977"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Râul Călmă</w:t>
            </w:r>
            <w:r>
              <w:rPr>
                <w:rFonts w:ascii="Arial" w:hAnsi="Arial" w:cs="Arial"/>
                <w:sz w:val="24"/>
                <w:szCs w:val="24"/>
              </w:rPr>
              <w:t>ţ</w:t>
            </w:r>
            <w:r w:rsidRPr="00702A15">
              <w:rPr>
                <w:rFonts w:ascii="Arial" w:hAnsi="Arial" w:cs="Arial"/>
                <w:sz w:val="24"/>
                <w:szCs w:val="24"/>
              </w:rPr>
              <w:t>ui</w:t>
            </w:r>
          </w:p>
        </w:tc>
        <w:tc>
          <w:tcPr>
            <w:tcW w:w="141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2126" w:type="dxa"/>
          </w:tcPr>
          <w:p w:rsidR="00420717" w:rsidRPr="00702A15" w:rsidRDefault="00420717" w:rsidP="00D92384">
            <w:r w:rsidRPr="00702A15">
              <w:rPr>
                <w:rFonts w:ascii="Arial" w:hAnsi="Arial" w:cs="Arial"/>
                <w:sz w:val="24"/>
                <w:szCs w:val="24"/>
              </w:rPr>
              <w:t>Nu se face ev</w:t>
            </w:r>
            <w:r w:rsidRPr="00702A15">
              <w:rPr>
                <w:rFonts w:ascii="Arial" w:hAnsi="Arial" w:cs="Arial"/>
                <w:sz w:val="24"/>
                <w:szCs w:val="24"/>
              </w:rPr>
              <w:t>a</w:t>
            </w:r>
            <w:r w:rsidRPr="00702A15">
              <w:rPr>
                <w:rFonts w:ascii="Arial" w:hAnsi="Arial" w:cs="Arial"/>
                <w:sz w:val="24"/>
                <w:szCs w:val="24"/>
              </w:rPr>
              <w:t>luare pe baza parametrilor h</w:t>
            </w:r>
            <w:r w:rsidRPr="00702A15">
              <w:rPr>
                <w:rFonts w:ascii="Arial" w:hAnsi="Arial" w:cs="Arial"/>
                <w:sz w:val="24"/>
                <w:szCs w:val="24"/>
              </w:rPr>
              <w:t>i</w:t>
            </w:r>
            <w:r w:rsidRPr="00702A15">
              <w:rPr>
                <w:rFonts w:ascii="Arial" w:hAnsi="Arial" w:cs="Arial"/>
                <w:sz w:val="24"/>
                <w:szCs w:val="24"/>
              </w:rPr>
              <w:t>dromorfologici</w:t>
            </w:r>
          </w:p>
        </w:tc>
        <w:tc>
          <w:tcPr>
            <w:tcW w:w="241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977"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Râul Râmnicu Sărat</w:t>
            </w:r>
          </w:p>
        </w:tc>
        <w:tc>
          <w:tcPr>
            <w:tcW w:w="141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2126" w:type="dxa"/>
          </w:tcPr>
          <w:p w:rsidR="00420717" w:rsidRPr="00702A15" w:rsidRDefault="00420717" w:rsidP="00D92384">
            <w:r w:rsidRPr="00702A15">
              <w:rPr>
                <w:rFonts w:ascii="Arial" w:hAnsi="Arial" w:cs="Arial"/>
                <w:sz w:val="24"/>
                <w:szCs w:val="24"/>
              </w:rPr>
              <w:t>Nu se face ev</w:t>
            </w:r>
            <w:r w:rsidRPr="00702A15">
              <w:rPr>
                <w:rFonts w:ascii="Arial" w:hAnsi="Arial" w:cs="Arial"/>
                <w:sz w:val="24"/>
                <w:szCs w:val="24"/>
              </w:rPr>
              <w:t>a</w:t>
            </w:r>
            <w:r w:rsidRPr="00702A15">
              <w:rPr>
                <w:rFonts w:ascii="Arial" w:hAnsi="Arial" w:cs="Arial"/>
                <w:sz w:val="24"/>
                <w:szCs w:val="24"/>
              </w:rPr>
              <w:t>luare pe baza parametrilor h</w:t>
            </w:r>
            <w:r w:rsidRPr="00702A15">
              <w:rPr>
                <w:rFonts w:ascii="Arial" w:hAnsi="Arial" w:cs="Arial"/>
                <w:sz w:val="24"/>
                <w:szCs w:val="24"/>
              </w:rPr>
              <w:t>i</w:t>
            </w:r>
            <w:r w:rsidRPr="00702A15">
              <w:rPr>
                <w:rFonts w:ascii="Arial" w:hAnsi="Arial" w:cs="Arial"/>
                <w:sz w:val="24"/>
                <w:szCs w:val="24"/>
              </w:rPr>
              <w:t>dromorfologici</w:t>
            </w:r>
          </w:p>
        </w:tc>
        <w:tc>
          <w:tcPr>
            <w:tcW w:w="241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bl>
    <w:p w:rsidR="00420717" w:rsidRPr="005C4CFE" w:rsidRDefault="00420717" w:rsidP="00420717">
      <w:pPr>
        <w:tabs>
          <w:tab w:val="left" w:pos="1204"/>
          <w:tab w:val="left" w:leader="dot" w:pos="9356"/>
        </w:tabs>
        <w:spacing w:after="0" w:line="240" w:lineRule="auto"/>
        <w:jc w:val="both"/>
        <w:rPr>
          <w:rFonts w:ascii="Arial" w:hAnsi="Arial" w:cs="Arial"/>
          <w:b/>
          <w:sz w:val="24"/>
          <w:szCs w:val="24"/>
        </w:rPr>
      </w:pPr>
      <w:r w:rsidRPr="005C4CFE">
        <w:rPr>
          <w:rFonts w:ascii="Arial" w:hAnsi="Arial" w:cs="Arial"/>
          <w:b/>
          <w:bCs/>
          <w:sz w:val="24"/>
          <w:szCs w:val="24"/>
        </w:rPr>
        <w:t xml:space="preserve">Tabelul II.1.1.4.5. </w:t>
      </w:r>
      <w:r w:rsidRPr="005C4CFE">
        <w:rPr>
          <w:rFonts w:ascii="Arial" w:hAnsi="Arial" w:cs="Arial"/>
          <w:b/>
          <w:sz w:val="24"/>
          <w:szCs w:val="24"/>
        </w:rPr>
        <w:t>Starea ecologică a corpurilor de apă puternic modificate stabilită pe baza parametrilor hidromorfologici, în judeţul Buzău, în anul 2014</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Stare ecologică stabilită pe baza parametrilor hidromorfologici</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5C4CFE" w:rsidRDefault="00420717" w:rsidP="00420717">
      <w:pPr>
        <w:tabs>
          <w:tab w:val="left" w:pos="1204"/>
          <w:tab w:val="left" w:leader="dot" w:pos="9356"/>
        </w:tabs>
        <w:spacing w:after="0" w:line="240" w:lineRule="auto"/>
        <w:rPr>
          <w:rFonts w:ascii="Arial" w:hAnsi="Arial" w:cs="Arial"/>
          <w:b/>
          <w:sz w:val="24"/>
          <w:szCs w:val="24"/>
        </w:rPr>
      </w:pPr>
      <w:r w:rsidRPr="005C4CFE">
        <w:rPr>
          <w:rFonts w:ascii="Arial" w:hAnsi="Arial" w:cs="Arial"/>
          <w:b/>
          <w:sz w:val="24"/>
          <w:szCs w:val="24"/>
        </w:rPr>
        <w:t xml:space="preserve">II.1.2. Prognoze  </w:t>
      </w:r>
    </w:p>
    <w:p w:rsidR="00420717" w:rsidRPr="005C4CFE" w:rsidRDefault="00420717" w:rsidP="00420717">
      <w:pPr>
        <w:tabs>
          <w:tab w:val="left" w:pos="1204"/>
          <w:tab w:val="left" w:leader="dot" w:pos="9356"/>
        </w:tabs>
        <w:spacing w:after="0" w:line="240" w:lineRule="auto"/>
        <w:rPr>
          <w:rFonts w:ascii="Arial" w:hAnsi="Arial" w:cs="Arial"/>
          <w:b/>
          <w:sz w:val="24"/>
          <w:szCs w:val="24"/>
        </w:rPr>
      </w:pPr>
      <w:r w:rsidRPr="005C4CFE">
        <w:rPr>
          <w:rFonts w:ascii="Arial" w:hAnsi="Arial" w:cs="Arial"/>
          <w:b/>
          <w:sz w:val="24"/>
          <w:szCs w:val="24"/>
        </w:rPr>
        <w:t>II.1.2.1. Disponibilitatea, cererea şi deficitul de apă</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Cerinţa de apă pentru populaţie, pe perioada de prognoză (2015-2020) pentru bazinul h</w:t>
      </w:r>
      <w:r w:rsidRPr="00702A15">
        <w:rPr>
          <w:rFonts w:ascii="Arial" w:hAnsi="Arial" w:cs="Arial"/>
          <w:sz w:val="24"/>
          <w:szCs w:val="24"/>
        </w:rPr>
        <w:t>i</w:t>
      </w:r>
      <w:r w:rsidRPr="00702A15">
        <w:rPr>
          <w:rFonts w:ascii="Arial" w:hAnsi="Arial" w:cs="Arial"/>
          <w:sz w:val="24"/>
          <w:szCs w:val="24"/>
        </w:rPr>
        <w:t>drografic Râmnicu Sărat, este prezentată în tabelul următor</w:t>
      </w:r>
    </w:p>
    <w:tbl>
      <w:tblPr>
        <w:tblStyle w:val="TableGrid"/>
        <w:tblW w:w="0" w:type="auto"/>
        <w:tblInd w:w="108" w:type="dxa"/>
        <w:tblLook w:val="04A0"/>
      </w:tblPr>
      <w:tblGrid>
        <w:gridCol w:w="2410"/>
        <w:gridCol w:w="5387"/>
        <w:gridCol w:w="850"/>
        <w:gridCol w:w="851"/>
      </w:tblGrid>
      <w:tr w:rsidR="00420717" w:rsidRPr="00702A15" w:rsidTr="00D92384">
        <w:tc>
          <w:tcPr>
            <w:tcW w:w="7797" w:type="dxa"/>
            <w:gridSpan w:val="2"/>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Anul</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2015</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2020</w:t>
            </w:r>
          </w:p>
        </w:tc>
      </w:tr>
      <w:tr w:rsidR="00420717" w:rsidRPr="00702A15" w:rsidTr="00D92384">
        <w:tc>
          <w:tcPr>
            <w:tcW w:w="2410"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Pentru mediul urban</w:t>
            </w:r>
          </w:p>
        </w:tc>
        <w:tc>
          <w:tcPr>
            <w:tcW w:w="5387" w:type="dxa"/>
            <w:vAlign w:val="center"/>
          </w:tcPr>
          <w:p w:rsidR="00420717" w:rsidRPr="00702A15" w:rsidRDefault="00420717" w:rsidP="00D92384">
            <w:pPr>
              <w:pStyle w:val="Default"/>
              <w:rPr>
                <w:color w:val="auto"/>
              </w:rPr>
            </w:pPr>
            <w:r w:rsidRPr="00702A15">
              <w:rPr>
                <w:color w:val="auto"/>
              </w:rPr>
              <w:t xml:space="preserve">Ponderea populaţiei la sistemele de alimentare cu apă (%) </w:t>
            </w:r>
          </w:p>
        </w:tc>
        <w:tc>
          <w:tcPr>
            <w:tcW w:w="850" w:type="dxa"/>
            <w:vAlign w:val="center"/>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410"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5387" w:type="dxa"/>
            <w:vAlign w:val="center"/>
          </w:tcPr>
          <w:p w:rsidR="00420717" w:rsidRPr="00702A15" w:rsidRDefault="00420717" w:rsidP="00D92384">
            <w:pPr>
              <w:pStyle w:val="Default"/>
              <w:rPr>
                <w:color w:val="auto"/>
              </w:rPr>
            </w:pPr>
            <w:r w:rsidRPr="00702A15">
              <w:rPr>
                <w:color w:val="auto"/>
              </w:rPr>
              <w:t xml:space="preserve">Volum maxim prelevat sau prognozat a fi prelevat (mil. m3/an) </w:t>
            </w:r>
          </w:p>
        </w:tc>
        <w:tc>
          <w:tcPr>
            <w:tcW w:w="850" w:type="dxa"/>
            <w:vAlign w:val="center"/>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2,112</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410"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Pentru mediul rural</w:t>
            </w:r>
          </w:p>
        </w:tc>
        <w:tc>
          <w:tcPr>
            <w:tcW w:w="5387" w:type="dxa"/>
            <w:vAlign w:val="center"/>
          </w:tcPr>
          <w:p w:rsidR="00420717" w:rsidRPr="00702A15" w:rsidRDefault="00420717" w:rsidP="00D92384">
            <w:pPr>
              <w:pStyle w:val="Default"/>
              <w:rPr>
                <w:color w:val="auto"/>
              </w:rPr>
            </w:pPr>
            <w:r w:rsidRPr="00702A15">
              <w:rPr>
                <w:color w:val="auto"/>
              </w:rPr>
              <w:t xml:space="preserve">Ponderea populaţiei la sistemele de alimentare cu apă (%) </w:t>
            </w:r>
          </w:p>
        </w:tc>
        <w:tc>
          <w:tcPr>
            <w:tcW w:w="850" w:type="dxa"/>
            <w:vAlign w:val="center"/>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410" w:type="dxa"/>
            <w:vMerge/>
            <w:vAlign w:val="center"/>
          </w:tcPr>
          <w:p w:rsidR="00420717" w:rsidRPr="00702A15" w:rsidRDefault="00420717" w:rsidP="00D92384">
            <w:pPr>
              <w:tabs>
                <w:tab w:val="left" w:pos="1204"/>
                <w:tab w:val="left" w:leader="dot" w:pos="9356"/>
              </w:tabs>
              <w:rPr>
                <w:rFonts w:ascii="Arial" w:hAnsi="Arial" w:cs="Arial"/>
                <w:sz w:val="24"/>
                <w:szCs w:val="24"/>
              </w:rPr>
            </w:pPr>
          </w:p>
        </w:tc>
        <w:tc>
          <w:tcPr>
            <w:tcW w:w="5387" w:type="dxa"/>
            <w:vAlign w:val="center"/>
          </w:tcPr>
          <w:p w:rsidR="00420717" w:rsidRPr="00702A15" w:rsidRDefault="00420717" w:rsidP="00D92384">
            <w:pPr>
              <w:pStyle w:val="Default"/>
              <w:rPr>
                <w:color w:val="auto"/>
              </w:rPr>
            </w:pPr>
            <w:r w:rsidRPr="00702A15">
              <w:rPr>
                <w:color w:val="auto"/>
              </w:rPr>
              <w:t xml:space="preserve">Volum maxim prelevat sau prognozat a fi prelevat (mil. m3/an) </w:t>
            </w:r>
          </w:p>
        </w:tc>
        <w:tc>
          <w:tcPr>
            <w:tcW w:w="850" w:type="dxa"/>
            <w:vAlign w:val="center"/>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0,561</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410" w:type="dxa"/>
            <w:vMerge w:val="restart"/>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Total bazin</w:t>
            </w:r>
          </w:p>
        </w:tc>
        <w:tc>
          <w:tcPr>
            <w:tcW w:w="5387" w:type="dxa"/>
            <w:vAlign w:val="center"/>
          </w:tcPr>
          <w:p w:rsidR="00420717" w:rsidRPr="00702A15" w:rsidRDefault="00420717" w:rsidP="00D92384">
            <w:pPr>
              <w:pStyle w:val="Default"/>
              <w:rPr>
                <w:color w:val="auto"/>
              </w:rPr>
            </w:pPr>
            <w:r w:rsidRPr="00702A15">
              <w:rPr>
                <w:color w:val="auto"/>
              </w:rPr>
              <w:t xml:space="preserve">Ponderea minimă a populaţiei României cu acces la sistemele de alimentare cu apă (%) </w:t>
            </w:r>
          </w:p>
        </w:tc>
        <w:tc>
          <w:tcPr>
            <w:tcW w:w="850" w:type="dxa"/>
            <w:vAlign w:val="center"/>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r w:rsidR="00420717" w:rsidRPr="00702A15" w:rsidTr="00D92384">
        <w:tc>
          <w:tcPr>
            <w:tcW w:w="2410" w:type="dxa"/>
            <w:vMerge/>
          </w:tcPr>
          <w:p w:rsidR="00420717" w:rsidRPr="00702A15" w:rsidRDefault="00420717" w:rsidP="00D92384">
            <w:pPr>
              <w:tabs>
                <w:tab w:val="left" w:pos="1204"/>
                <w:tab w:val="left" w:leader="dot" w:pos="9356"/>
              </w:tabs>
              <w:rPr>
                <w:rFonts w:ascii="Arial" w:hAnsi="Arial" w:cs="Arial"/>
                <w:sz w:val="24"/>
                <w:szCs w:val="24"/>
              </w:rPr>
            </w:pPr>
          </w:p>
        </w:tc>
        <w:tc>
          <w:tcPr>
            <w:tcW w:w="5387" w:type="dxa"/>
            <w:vAlign w:val="center"/>
          </w:tcPr>
          <w:p w:rsidR="00420717" w:rsidRPr="00702A15" w:rsidRDefault="00420717" w:rsidP="00D92384">
            <w:pPr>
              <w:pStyle w:val="Default"/>
              <w:rPr>
                <w:color w:val="auto"/>
              </w:rPr>
            </w:pPr>
            <w:r w:rsidRPr="00702A15">
              <w:rPr>
                <w:color w:val="auto"/>
              </w:rPr>
              <w:t xml:space="preserve">Volum total maxim de apă prognozat a fi prelevat (urban şi rural) </w:t>
            </w:r>
          </w:p>
          <w:p w:rsidR="00420717" w:rsidRPr="00702A15" w:rsidRDefault="00420717" w:rsidP="00D92384">
            <w:pPr>
              <w:pStyle w:val="Default"/>
              <w:rPr>
                <w:color w:val="auto"/>
              </w:rPr>
            </w:pPr>
            <w:r w:rsidRPr="00702A15">
              <w:rPr>
                <w:color w:val="auto"/>
              </w:rPr>
              <w:t xml:space="preserve">(mil. m3/an) </w:t>
            </w:r>
          </w:p>
        </w:tc>
        <w:tc>
          <w:tcPr>
            <w:tcW w:w="850" w:type="dxa"/>
            <w:vAlign w:val="center"/>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2,673</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bl>
    <w:p w:rsidR="00420717" w:rsidRPr="005C4CFE" w:rsidRDefault="00420717" w:rsidP="00420717">
      <w:pPr>
        <w:pStyle w:val="Default"/>
        <w:jc w:val="both"/>
        <w:rPr>
          <w:b/>
          <w:bCs/>
          <w:color w:val="auto"/>
        </w:rPr>
      </w:pPr>
      <w:r w:rsidRPr="005C4CFE">
        <w:rPr>
          <w:b/>
          <w:bCs/>
          <w:color w:val="auto"/>
        </w:rPr>
        <w:t>Tabelul II.1.2.1.1.</w:t>
      </w:r>
      <w:r w:rsidRPr="005C4CFE">
        <w:rPr>
          <w:b/>
          <w:color w:val="auto"/>
        </w:rPr>
        <w:t xml:space="preserve"> Cerinţa de apă pentru populaţie, pe perioada de prognoză (2015-2020) pentru bazinul hidrografic Râmnicu Sărat</w:t>
      </w:r>
    </w:p>
    <w:p w:rsidR="00420717" w:rsidRPr="00702A15" w:rsidRDefault="00420717" w:rsidP="00420717">
      <w:pPr>
        <w:pStyle w:val="Default"/>
        <w:jc w:val="right"/>
        <w:rPr>
          <w:bCs/>
          <w:color w:val="auto"/>
        </w:rPr>
      </w:pPr>
      <w:r w:rsidRPr="00702A15">
        <w:rPr>
          <w:bCs/>
          <w:color w:val="auto"/>
        </w:rPr>
        <w:t>Sursa datelor: SGA Vrancea</w:t>
      </w:r>
    </w:p>
    <w:p w:rsidR="00420717" w:rsidRPr="00702A15" w:rsidRDefault="00420717" w:rsidP="00420717">
      <w:pPr>
        <w:pStyle w:val="Default"/>
        <w:jc w:val="both"/>
        <w:rPr>
          <w:bCs/>
          <w:color w:val="auto"/>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ABA Buzău nu a furnizat date pentru acest capitol.</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5C4CFE" w:rsidRDefault="00420717" w:rsidP="00420717">
      <w:pPr>
        <w:tabs>
          <w:tab w:val="left" w:pos="1204"/>
          <w:tab w:val="left" w:leader="dot" w:pos="9356"/>
        </w:tabs>
        <w:spacing w:after="0" w:line="240" w:lineRule="auto"/>
        <w:rPr>
          <w:rFonts w:ascii="Arial" w:hAnsi="Arial" w:cs="Arial"/>
          <w:b/>
          <w:sz w:val="24"/>
          <w:szCs w:val="24"/>
        </w:rPr>
      </w:pPr>
      <w:r w:rsidRPr="005C4CFE">
        <w:rPr>
          <w:rFonts w:ascii="Arial" w:hAnsi="Arial" w:cs="Arial"/>
          <w:b/>
          <w:sz w:val="24"/>
          <w:szCs w:val="24"/>
        </w:rPr>
        <w:t xml:space="preserve">II.1.2.2. Riscurile şi presiunile inundaţiilor </w:t>
      </w:r>
    </w:p>
    <w:p w:rsidR="00420717" w:rsidRPr="00702A15" w:rsidRDefault="00420717" w:rsidP="00420717">
      <w:pPr>
        <w:tabs>
          <w:tab w:val="left" w:pos="1204"/>
          <w:tab w:val="left" w:leader="dot" w:pos="9356"/>
        </w:tabs>
        <w:spacing w:after="0" w:line="240" w:lineRule="auto"/>
        <w:ind w:left="993"/>
        <w:rPr>
          <w:rFonts w:ascii="Arial" w:hAnsi="Arial" w:cs="Arial"/>
          <w:sz w:val="24"/>
          <w:szCs w:val="24"/>
        </w:rPr>
      </w:pPr>
    </w:p>
    <w:p w:rsidR="00420717" w:rsidRPr="00702A15" w:rsidRDefault="00420717" w:rsidP="00420717">
      <w:pPr>
        <w:pStyle w:val="Default"/>
        <w:jc w:val="both"/>
        <w:rPr>
          <w:bCs/>
          <w:color w:val="auto"/>
        </w:rPr>
      </w:pPr>
      <w:r w:rsidRPr="00702A15">
        <w:rPr>
          <w:bCs/>
          <w:color w:val="auto"/>
        </w:rPr>
        <w:t>Numărul de viituri pe principalele cursuri de apă din jude</w:t>
      </w:r>
      <w:r>
        <w:rPr>
          <w:bCs/>
          <w:color w:val="auto"/>
        </w:rPr>
        <w:t>ţ</w:t>
      </w:r>
      <w:r w:rsidRPr="00702A15">
        <w:rPr>
          <w:bCs/>
          <w:color w:val="auto"/>
        </w:rPr>
        <w:t>ul Buzău, pe perioada 2010-2014, sunt prezentate în tabelul de mai jos.</w:t>
      </w:r>
    </w:p>
    <w:tbl>
      <w:tblPr>
        <w:tblStyle w:val="TableGrid"/>
        <w:tblW w:w="0" w:type="auto"/>
        <w:tblInd w:w="250" w:type="dxa"/>
        <w:tblLook w:val="04A0"/>
      </w:tblPr>
      <w:tblGrid>
        <w:gridCol w:w="654"/>
        <w:gridCol w:w="2176"/>
        <w:gridCol w:w="864"/>
        <w:gridCol w:w="864"/>
        <w:gridCol w:w="864"/>
        <w:gridCol w:w="864"/>
        <w:gridCol w:w="864"/>
        <w:gridCol w:w="1457"/>
      </w:tblGrid>
      <w:tr w:rsidR="00420717" w:rsidRPr="00702A15" w:rsidTr="00D92384">
        <w:tc>
          <w:tcPr>
            <w:tcW w:w="654" w:type="dxa"/>
            <w:vMerge w:val="restart"/>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Nr. Crt.</w:t>
            </w:r>
          </w:p>
        </w:tc>
        <w:tc>
          <w:tcPr>
            <w:tcW w:w="2176" w:type="dxa"/>
            <w:vMerge w:val="restart"/>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Bazin hidrografic</w:t>
            </w:r>
          </w:p>
        </w:tc>
        <w:tc>
          <w:tcPr>
            <w:tcW w:w="4320" w:type="dxa"/>
            <w:gridSpan w:val="5"/>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Număr de viituri</w:t>
            </w:r>
          </w:p>
        </w:tc>
        <w:tc>
          <w:tcPr>
            <w:tcW w:w="1457" w:type="dxa"/>
            <w:vMerge w:val="restart"/>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Număr mediu de evenimente pe an</w:t>
            </w:r>
          </w:p>
        </w:tc>
      </w:tr>
      <w:tr w:rsidR="00420717" w:rsidRPr="00702A15" w:rsidTr="00D92384">
        <w:tc>
          <w:tcPr>
            <w:tcW w:w="654" w:type="dxa"/>
            <w:vMerge/>
            <w:vAlign w:val="center"/>
          </w:tcPr>
          <w:p w:rsidR="00420717" w:rsidRPr="00702A15" w:rsidRDefault="00420717" w:rsidP="00D92384">
            <w:pPr>
              <w:tabs>
                <w:tab w:val="left" w:pos="1204"/>
                <w:tab w:val="left" w:leader="dot" w:pos="9356"/>
              </w:tabs>
              <w:jc w:val="center"/>
              <w:rPr>
                <w:rFonts w:ascii="Arial" w:hAnsi="Arial" w:cs="Arial"/>
                <w:sz w:val="24"/>
                <w:szCs w:val="24"/>
              </w:rPr>
            </w:pPr>
          </w:p>
        </w:tc>
        <w:tc>
          <w:tcPr>
            <w:tcW w:w="2176" w:type="dxa"/>
            <w:vMerge/>
            <w:vAlign w:val="center"/>
          </w:tcPr>
          <w:p w:rsidR="00420717" w:rsidRPr="00702A15" w:rsidRDefault="00420717" w:rsidP="00D92384">
            <w:pPr>
              <w:tabs>
                <w:tab w:val="left" w:pos="1204"/>
                <w:tab w:val="left" w:leader="dot" w:pos="9356"/>
              </w:tabs>
              <w:jc w:val="center"/>
              <w:rPr>
                <w:rFonts w:ascii="Arial" w:hAnsi="Arial" w:cs="Arial"/>
                <w:sz w:val="24"/>
                <w:szCs w:val="24"/>
              </w:rPr>
            </w:pPr>
          </w:p>
        </w:tc>
        <w:tc>
          <w:tcPr>
            <w:tcW w:w="86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2010</w:t>
            </w:r>
          </w:p>
        </w:tc>
        <w:tc>
          <w:tcPr>
            <w:tcW w:w="86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2011</w:t>
            </w:r>
          </w:p>
        </w:tc>
        <w:tc>
          <w:tcPr>
            <w:tcW w:w="86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2012</w:t>
            </w:r>
          </w:p>
        </w:tc>
        <w:tc>
          <w:tcPr>
            <w:tcW w:w="86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2013</w:t>
            </w:r>
          </w:p>
        </w:tc>
        <w:tc>
          <w:tcPr>
            <w:tcW w:w="86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2014</w:t>
            </w:r>
          </w:p>
        </w:tc>
        <w:tc>
          <w:tcPr>
            <w:tcW w:w="1457" w:type="dxa"/>
            <w:vMerge/>
          </w:tcPr>
          <w:p w:rsidR="00420717" w:rsidRPr="00702A15" w:rsidRDefault="00420717" w:rsidP="00D92384">
            <w:pPr>
              <w:tabs>
                <w:tab w:val="left" w:pos="1204"/>
                <w:tab w:val="left" w:leader="dot" w:pos="9356"/>
              </w:tabs>
              <w:jc w:val="center"/>
              <w:rPr>
                <w:rFonts w:ascii="Arial" w:hAnsi="Arial" w:cs="Arial"/>
                <w:sz w:val="24"/>
                <w:szCs w:val="24"/>
              </w:rPr>
            </w:pPr>
          </w:p>
        </w:tc>
      </w:tr>
      <w:tr w:rsidR="00420717" w:rsidRPr="00702A15" w:rsidTr="00D92384">
        <w:tc>
          <w:tcPr>
            <w:tcW w:w="65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2176" w:type="dxa"/>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Buzău</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3</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4</w:t>
            </w:r>
          </w:p>
        </w:tc>
        <w:tc>
          <w:tcPr>
            <w:tcW w:w="1457"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2,2</w:t>
            </w:r>
          </w:p>
        </w:tc>
      </w:tr>
      <w:tr w:rsidR="00420717" w:rsidRPr="00702A15" w:rsidTr="00D92384">
        <w:tc>
          <w:tcPr>
            <w:tcW w:w="65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w:t>
            </w:r>
          </w:p>
        </w:tc>
        <w:tc>
          <w:tcPr>
            <w:tcW w:w="2176" w:type="dxa"/>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Sărata</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1457"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65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3.</w:t>
            </w:r>
          </w:p>
        </w:tc>
        <w:tc>
          <w:tcPr>
            <w:tcW w:w="2176" w:type="dxa"/>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Călmă</w:t>
            </w:r>
            <w:r>
              <w:rPr>
                <w:rFonts w:ascii="Arial" w:hAnsi="Arial" w:cs="Arial"/>
                <w:sz w:val="24"/>
                <w:szCs w:val="24"/>
              </w:rPr>
              <w:t>ţ</w:t>
            </w:r>
            <w:r w:rsidRPr="00702A15">
              <w:rPr>
                <w:rFonts w:ascii="Arial" w:hAnsi="Arial" w:cs="Arial"/>
                <w:sz w:val="24"/>
                <w:szCs w:val="24"/>
              </w:rPr>
              <w:t>ui</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1457"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r>
      <w:tr w:rsidR="00420717" w:rsidRPr="00702A15" w:rsidTr="00D92384">
        <w:tc>
          <w:tcPr>
            <w:tcW w:w="65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4.</w:t>
            </w:r>
          </w:p>
        </w:tc>
        <w:tc>
          <w:tcPr>
            <w:tcW w:w="2176" w:type="dxa"/>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Râmnicu Sărat</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0</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3</w:t>
            </w:r>
          </w:p>
        </w:tc>
        <w:tc>
          <w:tcPr>
            <w:tcW w:w="1457"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r>
      <w:tr w:rsidR="00420717" w:rsidRPr="00702A15" w:rsidTr="00D92384">
        <w:tc>
          <w:tcPr>
            <w:tcW w:w="654"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5.</w:t>
            </w:r>
          </w:p>
        </w:tc>
        <w:tc>
          <w:tcPr>
            <w:tcW w:w="2176" w:type="dxa"/>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Total</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4</w:t>
            </w:r>
          </w:p>
        </w:tc>
        <w:tc>
          <w:tcPr>
            <w:tcW w:w="864"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7</w:t>
            </w:r>
          </w:p>
        </w:tc>
        <w:tc>
          <w:tcPr>
            <w:tcW w:w="1457"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3,2</w:t>
            </w:r>
          </w:p>
        </w:tc>
      </w:tr>
    </w:tbl>
    <w:p w:rsidR="00420717" w:rsidRPr="005C4CFE" w:rsidRDefault="00420717" w:rsidP="00420717">
      <w:pPr>
        <w:pStyle w:val="Default"/>
        <w:jc w:val="both"/>
        <w:rPr>
          <w:b/>
          <w:color w:val="auto"/>
        </w:rPr>
      </w:pPr>
      <w:r w:rsidRPr="005C4CFE">
        <w:rPr>
          <w:b/>
          <w:color w:val="auto"/>
        </w:rPr>
        <w:t xml:space="preserve">Tabelul II.1.2.2.1. </w:t>
      </w:r>
      <w:r w:rsidRPr="005C4CFE">
        <w:rPr>
          <w:b/>
          <w:bCs/>
          <w:color w:val="auto"/>
        </w:rPr>
        <w:t xml:space="preserve">Numărul de viituri şi numărul mediu de evenimente pe an </w:t>
      </w:r>
    </w:p>
    <w:p w:rsidR="00420717" w:rsidRPr="00702A15" w:rsidRDefault="00420717" w:rsidP="00420717">
      <w:pPr>
        <w:pStyle w:val="Default"/>
        <w:jc w:val="right"/>
        <w:rPr>
          <w:bCs/>
          <w:color w:val="auto"/>
        </w:rPr>
      </w:pPr>
      <w:r w:rsidRPr="00702A15">
        <w:rPr>
          <w:bCs/>
          <w:color w:val="auto"/>
        </w:rPr>
        <w:t>Sursa datelor: ISUJ Buzău</w:t>
      </w:r>
    </w:p>
    <w:p w:rsidR="00420717" w:rsidRPr="00702A15" w:rsidRDefault="00420717" w:rsidP="00420717">
      <w:pPr>
        <w:pStyle w:val="Default"/>
        <w:jc w:val="both"/>
        <w:rPr>
          <w:bCs/>
          <w:color w:val="auto"/>
        </w:rPr>
      </w:pPr>
    </w:p>
    <w:p w:rsidR="00420717" w:rsidRPr="00702A15" w:rsidRDefault="00420717" w:rsidP="00420717">
      <w:pPr>
        <w:pStyle w:val="Default"/>
        <w:jc w:val="both"/>
        <w:rPr>
          <w:color w:val="auto"/>
        </w:rPr>
      </w:pPr>
      <w:r w:rsidRPr="00702A15">
        <w:rPr>
          <w:color w:val="auto"/>
        </w:rPr>
        <w:t xml:space="preserve">Numărul de evenimente produse de inundaţii (pe cursurile principale de apă, pe cursurile secundare de apă </w:t>
      </w:r>
      <w:r>
        <w:rPr>
          <w:color w:val="auto"/>
        </w:rPr>
        <w:t>ş</w:t>
      </w:r>
      <w:r w:rsidRPr="00702A15">
        <w:rPr>
          <w:color w:val="auto"/>
        </w:rPr>
        <w:t>i pe versan</w:t>
      </w:r>
      <w:r>
        <w:rPr>
          <w:color w:val="auto"/>
        </w:rPr>
        <w:t>ţ</w:t>
      </w:r>
      <w:r w:rsidRPr="00702A15">
        <w:rPr>
          <w:color w:val="auto"/>
        </w:rPr>
        <w:t>i) la nivelul jude</w:t>
      </w:r>
      <w:r>
        <w:rPr>
          <w:color w:val="auto"/>
        </w:rPr>
        <w:t>ţ</w:t>
      </w:r>
      <w:r w:rsidRPr="00702A15">
        <w:rPr>
          <w:color w:val="auto"/>
        </w:rPr>
        <w:t>ului Buzău, pentru perioada 2010-2014 sunt prezentate în tabelul următor.</w:t>
      </w:r>
    </w:p>
    <w:tbl>
      <w:tblPr>
        <w:tblStyle w:val="TableGrid"/>
        <w:tblW w:w="0" w:type="auto"/>
        <w:tblInd w:w="1951" w:type="dxa"/>
        <w:tblLook w:val="04A0"/>
      </w:tblPr>
      <w:tblGrid>
        <w:gridCol w:w="1952"/>
        <w:gridCol w:w="2463"/>
      </w:tblGrid>
      <w:tr w:rsidR="00420717" w:rsidRPr="00702A15" w:rsidTr="00D92384">
        <w:tc>
          <w:tcPr>
            <w:tcW w:w="1952" w:type="dxa"/>
            <w:vAlign w:val="center"/>
          </w:tcPr>
          <w:p w:rsidR="00420717" w:rsidRPr="00702A15" w:rsidRDefault="00420717" w:rsidP="00D92384">
            <w:pPr>
              <w:pStyle w:val="Default"/>
              <w:jc w:val="center"/>
              <w:rPr>
                <w:color w:val="auto"/>
              </w:rPr>
            </w:pPr>
            <w:r w:rsidRPr="00702A15">
              <w:rPr>
                <w:color w:val="auto"/>
              </w:rPr>
              <w:t>Anul</w:t>
            </w:r>
          </w:p>
        </w:tc>
        <w:tc>
          <w:tcPr>
            <w:tcW w:w="2463" w:type="dxa"/>
            <w:vAlign w:val="center"/>
          </w:tcPr>
          <w:p w:rsidR="00420717" w:rsidRPr="00702A15" w:rsidRDefault="00420717" w:rsidP="00D92384">
            <w:pPr>
              <w:pStyle w:val="Default"/>
              <w:jc w:val="center"/>
              <w:rPr>
                <w:color w:val="auto"/>
              </w:rPr>
            </w:pPr>
            <w:r w:rsidRPr="00702A15">
              <w:rPr>
                <w:color w:val="auto"/>
              </w:rPr>
              <w:t>Număr evenimente înregistrate</w:t>
            </w:r>
          </w:p>
        </w:tc>
      </w:tr>
      <w:tr w:rsidR="00420717" w:rsidRPr="00702A15" w:rsidTr="00D92384">
        <w:tc>
          <w:tcPr>
            <w:tcW w:w="1952" w:type="dxa"/>
            <w:vAlign w:val="center"/>
          </w:tcPr>
          <w:p w:rsidR="00420717" w:rsidRPr="00702A15" w:rsidRDefault="00420717" w:rsidP="00D92384">
            <w:pPr>
              <w:pStyle w:val="Default"/>
              <w:jc w:val="center"/>
              <w:rPr>
                <w:color w:val="auto"/>
              </w:rPr>
            </w:pPr>
            <w:r w:rsidRPr="00702A15">
              <w:rPr>
                <w:color w:val="auto"/>
              </w:rPr>
              <w:t>2010</w:t>
            </w:r>
          </w:p>
        </w:tc>
        <w:tc>
          <w:tcPr>
            <w:tcW w:w="2463" w:type="dxa"/>
            <w:vAlign w:val="center"/>
          </w:tcPr>
          <w:p w:rsidR="00420717" w:rsidRPr="00702A15" w:rsidRDefault="00420717" w:rsidP="00D92384">
            <w:pPr>
              <w:pStyle w:val="Default"/>
              <w:jc w:val="center"/>
              <w:rPr>
                <w:color w:val="auto"/>
              </w:rPr>
            </w:pPr>
            <w:r w:rsidRPr="00702A15">
              <w:rPr>
                <w:color w:val="auto"/>
              </w:rPr>
              <w:t>2</w:t>
            </w:r>
          </w:p>
        </w:tc>
      </w:tr>
      <w:tr w:rsidR="00420717" w:rsidRPr="00702A15" w:rsidTr="00D92384">
        <w:tc>
          <w:tcPr>
            <w:tcW w:w="1952" w:type="dxa"/>
            <w:vAlign w:val="center"/>
          </w:tcPr>
          <w:p w:rsidR="00420717" w:rsidRPr="00702A15" w:rsidRDefault="00420717" w:rsidP="00D92384">
            <w:pPr>
              <w:pStyle w:val="Default"/>
              <w:jc w:val="center"/>
              <w:rPr>
                <w:color w:val="auto"/>
              </w:rPr>
            </w:pPr>
            <w:r w:rsidRPr="00702A15">
              <w:rPr>
                <w:color w:val="auto"/>
              </w:rPr>
              <w:t>2011</w:t>
            </w:r>
          </w:p>
        </w:tc>
        <w:tc>
          <w:tcPr>
            <w:tcW w:w="2463" w:type="dxa"/>
            <w:vAlign w:val="center"/>
          </w:tcPr>
          <w:p w:rsidR="00420717" w:rsidRPr="00702A15" w:rsidRDefault="00420717" w:rsidP="00D92384">
            <w:pPr>
              <w:pStyle w:val="Default"/>
              <w:jc w:val="center"/>
              <w:rPr>
                <w:color w:val="auto"/>
              </w:rPr>
            </w:pPr>
            <w:r w:rsidRPr="00702A15">
              <w:rPr>
                <w:color w:val="auto"/>
              </w:rPr>
              <w:t>14</w:t>
            </w:r>
          </w:p>
        </w:tc>
      </w:tr>
      <w:tr w:rsidR="00420717" w:rsidRPr="00702A15" w:rsidTr="00D92384">
        <w:tc>
          <w:tcPr>
            <w:tcW w:w="1952" w:type="dxa"/>
            <w:vAlign w:val="center"/>
          </w:tcPr>
          <w:p w:rsidR="00420717" w:rsidRPr="00702A15" w:rsidRDefault="00420717" w:rsidP="00D92384">
            <w:pPr>
              <w:pStyle w:val="Default"/>
              <w:jc w:val="center"/>
              <w:rPr>
                <w:color w:val="auto"/>
              </w:rPr>
            </w:pPr>
            <w:r w:rsidRPr="00702A15">
              <w:rPr>
                <w:color w:val="auto"/>
              </w:rPr>
              <w:t>2012</w:t>
            </w:r>
          </w:p>
        </w:tc>
        <w:tc>
          <w:tcPr>
            <w:tcW w:w="2463" w:type="dxa"/>
            <w:vAlign w:val="center"/>
          </w:tcPr>
          <w:p w:rsidR="00420717" w:rsidRPr="00702A15" w:rsidRDefault="00420717" w:rsidP="00D92384">
            <w:pPr>
              <w:pStyle w:val="Default"/>
              <w:jc w:val="center"/>
              <w:rPr>
                <w:color w:val="auto"/>
              </w:rPr>
            </w:pPr>
            <w:r w:rsidRPr="00702A15">
              <w:rPr>
                <w:color w:val="auto"/>
              </w:rPr>
              <w:t>7</w:t>
            </w:r>
          </w:p>
        </w:tc>
      </w:tr>
      <w:tr w:rsidR="00420717" w:rsidRPr="00702A15" w:rsidTr="00D92384">
        <w:tc>
          <w:tcPr>
            <w:tcW w:w="1952" w:type="dxa"/>
            <w:vAlign w:val="center"/>
          </w:tcPr>
          <w:p w:rsidR="00420717" w:rsidRPr="00702A15" w:rsidRDefault="00420717" w:rsidP="00D92384">
            <w:pPr>
              <w:pStyle w:val="Default"/>
              <w:jc w:val="center"/>
              <w:rPr>
                <w:color w:val="auto"/>
              </w:rPr>
            </w:pPr>
            <w:r w:rsidRPr="00702A15">
              <w:rPr>
                <w:color w:val="auto"/>
              </w:rPr>
              <w:t>2013</w:t>
            </w:r>
          </w:p>
        </w:tc>
        <w:tc>
          <w:tcPr>
            <w:tcW w:w="2463" w:type="dxa"/>
            <w:vAlign w:val="center"/>
          </w:tcPr>
          <w:p w:rsidR="00420717" w:rsidRPr="00702A15" w:rsidRDefault="00420717" w:rsidP="00D92384">
            <w:pPr>
              <w:pStyle w:val="Default"/>
              <w:jc w:val="center"/>
              <w:rPr>
                <w:color w:val="auto"/>
              </w:rPr>
            </w:pPr>
            <w:r w:rsidRPr="00702A15">
              <w:rPr>
                <w:color w:val="auto"/>
              </w:rPr>
              <w:t>14</w:t>
            </w:r>
          </w:p>
        </w:tc>
      </w:tr>
      <w:tr w:rsidR="00420717" w:rsidRPr="00702A15" w:rsidTr="00D92384">
        <w:tc>
          <w:tcPr>
            <w:tcW w:w="1952" w:type="dxa"/>
            <w:vAlign w:val="center"/>
          </w:tcPr>
          <w:p w:rsidR="00420717" w:rsidRPr="00702A15" w:rsidRDefault="00420717" w:rsidP="00D92384">
            <w:pPr>
              <w:pStyle w:val="Default"/>
              <w:jc w:val="center"/>
              <w:rPr>
                <w:color w:val="auto"/>
              </w:rPr>
            </w:pPr>
            <w:r w:rsidRPr="00702A15">
              <w:rPr>
                <w:color w:val="auto"/>
              </w:rPr>
              <w:t>2014</w:t>
            </w:r>
          </w:p>
        </w:tc>
        <w:tc>
          <w:tcPr>
            <w:tcW w:w="2463" w:type="dxa"/>
            <w:vAlign w:val="center"/>
          </w:tcPr>
          <w:p w:rsidR="00420717" w:rsidRPr="00702A15" w:rsidRDefault="00420717" w:rsidP="00D92384">
            <w:pPr>
              <w:pStyle w:val="Default"/>
              <w:jc w:val="center"/>
              <w:rPr>
                <w:color w:val="auto"/>
              </w:rPr>
            </w:pPr>
            <w:r w:rsidRPr="00702A15">
              <w:rPr>
                <w:color w:val="auto"/>
              </w:rPr>
              <w:t>38</w:t>
            </w:r>
          </w:p>
        </w:tc>
      </w:tr>
    </w:tbl>
    <w:p w:rsidR="00420717" w:rsidRPr="005C4CFE" w:rsidRDefault="00420717" w:rsidP="00420717">
      <w:pPr>
        <w:pStyle w:val="Default"/>
        <w:jc w:val="both"/>
        <w:rPr>
          <w:b/>
          <w:color w:val="auto"/>
        </w:rPr>
      </w:pPr>
      <w:r w:rsidRPr="005C4CFE">
        <w:rPr>
          <w:b/>
          <w:color w:val="auto"/>
        </w:rPr>
        <w:t xml:space="preserve">Tabelul II.1.2.2.2. Numărul de evenimente produse de inundaţii (pe cursurile principale de apă, pe cursurile secundare de apă şi pe versanţi) la nivelul judeţului Buzău, pentru perioada 2010-2014 </w:t>
      </w:r>
    </w:p>
    <w:p w:rsidR="00420717" w:rsidRPr="00702A15" w:rsidRDefault="00420717" w:rsidP="00420717">
      <w:pPr>
        <w:pStyle w:val="Default"/>
        <w:jc w:val="right"/>
        <w:rPr>
          <w:bCs/>
          <w:color w:val="auto"/>
        </w:rPr>
      </w:pPr>
      <w:r w:rsidRPr="00702A15">
        <w:rPr>
          <w:bCs/>
          <w:color w:val="auto"/>
        </w:rPr>
        <w:t>Sursa datelor: ISUJ Buzău</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5C4CFE" w:rsidRDefault="00420717" w:rsidP="00420717">
      <w:pPr>
        <w:tabs>
          <w:tab w:val="left" w:pos="1204"/>
          <w:tab w:val="left" w:leader="dot" w:pos="9356"/>
        </w:tabs>
        <w:spacing w:after="0" w:line="240" w:lineRule="auto"/>
        <w:rPr>
          <w:rFonts w:ascii="Arial" w:hAnsi="Arial" w:cs="Arial"/>
          <w:b/>
          <w:sz w:val="24"/>
          <w:szCs w:val="24"/>
        </w:rPr>
      </w:pPr>
      <w:r w:rsidRPr="005C4CFE">
        <w:rPr>
          <w:rFonts w:ascii="Arial" w:hAnsi="Arial" w:cs="Arial"/>
          <w:b/>
          <w:sz w:val="24"/>
          <w:szCs w:val="24"/>
        </w:rPr>
        <w:t>II.1.3.Utilizarea şi gestionarea eficientă a resurselor de apă</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Obiectivele privind consumul durabil de apă pentru jude</w:t>
      </w:r>
      <w:r>
        <w:rPr>
          <w:rFonts w:ascii="Arial" w:hAnsi="Arial" w:cs="Arial"/>
          <w:sz w:val="24"/>
          <w:szCs w:val="24"/>
        </w:rPr>
        <w:t>ţ</w:t>
      </w:r>
      <w:r w:rsidRPr="00702A15">
        <w:rPr>
          <w:rFonts w:ascii="Arial" w:hAnsi="Arial" w:cs="Arial"/>
          <w:sz w:val="24"/>
          <w:szCs w:val="24"/>
        </w:rPr>
        <w:t>ul Buzău sunt stabilite în planurile de management bazinal (întocmit de către ABA Buzău Ialomi</w:t>
      </w:r>
      <w:r>
        <w:rPr>
          <w:rFonts w:ascii="Arial" w:hAnsi="Arial" w:cs="Arial"/>
          <w:sz w:val="24"/>
          <w:szCs w:val="24"/>
        </w:rPr>
        <w:t>ţ</w:t>
      </w:r>
      <w:r w:rsidRPr="00702A15">
        <w:rPr>
          <w:rFonts w:ascii="Arial" w:hAnsi="Arial" w:cs="Arial"/>
          <w:sz w:val="24"/>
          <w:szCs w:val="24"/>
        </w:rPr>
        <w:t xml:space="preserve">a </w:t>
      </w:r>
      <w:r>
        <w:rPr>
          <w:rFonts w:ascii="Arial" w:hAnsi="Arial" w:cs="Arial"/>
          <w:sz w:val="24"/>
          <w:szCs w:val="24"/>
        </w:rPr>
        <w:t>ş</w:t>
      </w:r>
      <w:r w:rsidRPr="00702A15">
        <w:rPr>
          <w:rFonts w:ascii="Arial" w:hAnsi="Arial" w:cs="Arial"/>
          <w:sz w:val="24"/>
          <w:szCs w:val="24"/>
        </w:rPr>
        <w:t>i ABA Siret).</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Planurile de management bazinal sunt foarte importante deoarece:</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reprezintă instrumentul de planificare în domeniul apelor la nivel de bazin hidrografic;</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stabilesc obiectivele </w:t>
      </w:r>
      <w:r>
        <w:rPr>
          <w:rFonts w:ascii="Arial" w:hAnsi="Arial" w:cs="Arial"/>
          <w:sz w:val="24"/>
          <w:szCs w:val="24"/>
        </w:rPr>
        <w:t>ţ</w:t>
      </w:r>
      <w:r w:rsidRPr="00702A15">
        <w:rPr>
          <w:rFonts w:ascii="Arial" w:hAnsi="Arial" w:cs="Arial"/>
          <w:sz w:val="24"/>
          <w:szCs w:val="24"/>
        </w:rPr>
        <w:t>intă pe o durată de 6 ani pe baza cunoa</w:t>
      </w:r>
      <w:r>
        <w:rPr>
          <w:rFonts w:ascii="Arial" w:hAnsi="Arial" w:cs="Arial"/>
          <w:sz w:val="24"/>
          <w:szCs w:val="24"/>
        </w:rPr>
        <w:t>ş</w:t>
      </w:r>
      <w:r w:rsidRPr="00702A15">
        <w:rPr>
          <w:rFonts w:ascii="Arial" w:hAnsi="Arial" w:cs="Arial"/>
          <w:sz w:val="24"/>
          <w:szCs w:val="24"/>
        </w:rPr>
        <w:t>terii stării corpurilor de apă;</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lastRenderedPageBreak/>
        <w:t xml:space="preserve">- stabilesc măsuri pentru asigurarea surselor de apă </w:t>
      </w:r>
      <w:r>
        <w:rPr>
          <w:rFonts w:ascii="Arial" w:hAnsi="Arial" w:cs="Arial"/>
          <w:sz w:val="24"/>
          <w:szCs w:val="24"/>
        </w:rPr>
        <w:t>ş</w:t>
      </w:r>
      <w:r w:rsidRPr="00702A15">
        <w:rPr>
          <w:rFonts w:ascii="Arial" w:hAnsi="Arial" w:cs="Arial"/>
          <w:sz w:val="24"/>
          <w:szCs w:val="24"/>
        </w:rPr>
        <w:t>i pentru atingerea “stării bune”a ap</w:t>
      </w:r>
      <w:r w:rsidRPr="00702A15">
        <w:rPr>
          <w:rFonts w:ascii="Arial" w:hAnsi="Arial" w:cs="Arial"/>
          <w:sz w:val="24"/>
          <w:szCs w:val="24"/>
        </w:rPr>
        <w:t>e</w:t>
      </w:r>
      <w:r w:rsidRPr="00702A15">
        <w:rPr>
          <w:rFonts w:ascii="Arial" w:hAnsi="Arial" w:cs="Arial"/>
          <w:sz w:val="24"/>
          <w:szCs w:val="24"/>
        </w:rPr>
        <w:t>lor în vederea utilizării durabile a acestora.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Prin intermediul acestor planuri se implementează Directiva cadru 2000/60/CE.</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Primul Plan de management al spa</w:t>
      </w:r>
      <w:r>
        <w:rPr>
          <w:rFonts w:ascii="Arial" w:hAnsi="Arial" w:cs="Arial"/>
          <w:sz w:val="24"/>
          <w:szCs w:val="24"/>
        </w:rPr>
        <w:t>ţ</w:t>
      </w:r>
      <w:r w:rsidRPr="00702A15">
        <w:rPr>
          <w:rFonts w:ascii="Arial" w:hAnsi="Arial" w:cs="Arial"/>
          <w:sz w:val="24"/>
          <w:szCs w:val="24"/>
        </w:rPr>
        <w:t>iului hidrografic Buzău-Ialomi</w:t>
      </w:r>
      <w:r>
        <w:rPr>
          <w:rFonts w:ascii="Arial" w:hAnsi="Arial" w:cs="Arial"/>
          <w:sz w:val="24"/>
          <w:szCs w:val="24"/>
        </w:rPr>
        <w:t>ţ</w:t>
      </w:r>
      <w:r w:rsidRPr="00702A15">
        <w:rPr>
          <w:rFonts w:ascii="Arial" w:hAnsi="Arial" w:cs="Arial"/>
          <w:sz w:val="24"/>
          <w:szCs w:val="24"/>
        </w:rPr>
        <w:t xml:space="preserve">a a fost elaborat în anul 2009, iar în anul 2011 a primit aviz de mediu </w:t>
      </w:r>
      <w:r>
        <w:rPr>
          <w:rFonts w:ascii="Arial" w:hAnsi="Arial" w:cs="Arial"/>
          <w:sz w:val="24"/>
          <w:szCs w:val="24"/>
        </w:rPr>
        <w:t>ş</w:t>
      </w:r>
      <w:r w:rsidRPr="00702A15">
        <w:rPr>
          <w:rFonts w:ascii="Arial" w:hAnsi="Arial" w:cs="Arial"/>
          <w:sz w:val="24"/>
          <w:szCs w:val="24"/>
        </w:rPr>
        <w:t>i a fost aprobat prin HG 80/2011, publicat în Monitorul Oficial  nr.265 din 14 aplilie 2011. În anul 2012 s-a întocmit un raport privind st</w:t>
      </w:r>
      <w:r w:rsidRPr="00702A15">
        <w:rPr>
          <w:rFonts w:ascii="Arial" w:hAnsi="Arial" w:cs="Arial"/>
          <w:sz w:val="24"/>
          <w:szCs w:val="24"/>
        </w:rPr>
        <w:t>a</w:t>
      </w:r>
      <w:r w:rsidRPr="00702A15">
        <w:rPr>
          <w:rFonts w:ascii="Arial" w:hAnsi="Arial" w:cs="Arial"/>
          <w:sz w:val="24"/>
          <w:szCs w:val="24"/>
        </w:rPr>
        <w:t>diul implementării programelor de măsuri stabilite în cadrul primului Plan de Management al spa</w:t>
      </w:r>
      <w:r>
        <w:rPr>
          <w:rFonts w:ascii="Arial" w:hAnsi="Arial" w:cs="Arial"/>
          <w:sz w:val="24"/>
          <w:szCs w:val="24"/>
        </w:rPr>
        <w:t>ţ</w:t>
      </w:r>
      <w:r w:rsidRPr="00702A15">
        <w:rPr>
          <w:rFonts w:ascii="Arial" w:hAnsi="Arial" w:cs="Arial"/>
          <w:sz w:val="24"/>
          <w:szCs w:val="24"/>
        </w:rPr>
        <w:t>iului hidrografic Buzău-Ialomi</w:t>
      </w:r>
      <w:r>
        <w:rPr>
          <w:rFonts w:ascii="Arial" w:hAnsi="Arial" w:cs="Arial"/>
          <w:sz w:val="24"/>
          <w:szCs w:val="24"/>
        </w:rPr>
        <w:t>ţ</w:t>
      </w:r>
      <w:r w:rsidRPr="00702A15">
        <w:rPr>
          <w:rFonts w:ascii="Arial" w:hAnsi="Arial" w:cs="Arial"/>
          <w:sz w:val="24"/>
          <w:szCs w:val="24"/>
        </w:rPr>
        <w:t>a, raport care a fost transmis către CE la 22 dece</w:t>
      </w:r>
      <w:r w:rsidRPr="00702A15">
        <w:rPr>
          <w:rFonts w:ascii="Arial" w:hAnsi="Arial" w:cs="Arial"/>
          <w:sz w:val="24"/>
          <w:szCs w:val="24"/>
        </w:rPr>
        <w:t>m</w:t>
      </w:r>
      <w:r w:rsidRPr="00702A15">
        <w:rPr>
          <w:rFonts w:ascii="Arial" w:hAnsi="Arial" w:cs="Arial"/>
          <w:sz w:val="24"/>
          <w:szCs w:val="24"/>
        </w:rPr>
        <w:t>brie 2012. În anul 2013 s-a realizat o caracterizare a corpurilor de apă de suprafa</w:t>
      </w:r>
      <w:r>
        <w:rPr>
          <w:rFonts w:ascii="Arial" w:hAnsi="Arial" w:cs="Arial"/>
          <w:sz w:val="24"/>
          <w:szCs w:val="24"/>
        </w:rPr>
        <w:t>ţ</w:t>
      </w:r>
      <w:r w:rsidRPr="00702A15">
        <w:rPr>
          <w:rFonts w:ascii="Arial" w:hAnsi="Arial" w:cs="Arial"/>
          <w:sz w:val="24"/>
          <w:szCs w:val="24"/>
        </w:rPr>
        <w:t xml:space="preserve">ă </w:t>
      </w:r>
      <w:r>
        <w:rPr>
          <w:rFonts w:ascii="Arial" w:hAnsi="Arial" w:cs="Arial"/>
          <w:sz w:val="24"/>
          <w:szCs w:val="24"/>
        </w:rPr>
        <w:t>ş</w:t>
      </w:r>
      <w:r w:rsidRPr="00702A15">
        <w:rPr>
          <w:rFonts w:ascii="Arial" w:hAnsi="Arial" w:cs="Arial"/>
          <w:sz w:val="24"/>
          <w:szCs w:val="24"/>
        </w:rPr>
        <w:t>i su</w:t>
      </w:r>
      <w:r w:rsidRPr="00702A15">
        <w:rPr>
          <w:rFonts w:ascii="Arial" w:hAnsi="Arial" w:cs="Arial"/>
          <w:sz w:val="24"/>
          <w:szCs w:val="24"/>
        </w:rPr>
        <w:t>b</w:t>
      </w:r>
      <w:r w:rsidRPr="00702A15">
        <w:rPr>
          <w:rFonts w:ascii="Arial" w:hAnsi="Arial" w:cs="Arial"/>
          <w:sz w:val="24"/>
          <w:szCs w:val="24"/>
        </w:rPr>
        <w:t xml:space="preserve">terane </w:t>
      </w:r>
      <w:r>
        <w:rPr>
          <w:rFonts w:ascii="Arial" w:hAnsi="Arial" w:cs="Arial"/>
          <w:sz w:val="24"/>
          <w:szCs w:val="24"/>
        </w:rPr>
        <w:t>ş</w:t>
      </w:r>
      <w:r w:rsidRPr="00702A15">
        <w:rPr>
          <w:rFonts w:ascii="Arial" w:hAnsi="Arial" w:cs="Arial"/>
          <w:sz w:val="24"/>
          <w:szCs w:val="24"/>
        </w:rPr>
        <w:t>i o sinteză a celor mai importante probleme identificate în spa</w:t>
      </w:r>
      <w:r>
        <w:rPr>
          <w:rFonts w:ascii="Arial" w:hAnsi="Arial" w:cs="Arial"/>
          <w:sz w:val="24"/>
          <w:szCs w:val="24"/>
        </w:rPr>
        <w:t>ţ</w:t>
      </w:r>
      <w:r w:rsidRPr="00702A15">
        <w:rPr>
          <w:rFonts w:ascii="Arial" w:hAnsi="Arial" w:cs="Arial"/>
          <w:sz w:val="24"/>
          <w:szCs w:val="24"/>
        </w:rPr>
        <w:t>iul hidrografic Buzău-Ialomi</w:t>
      </w:r>
      <w:r>
        <w:rPr>
          <w:rFonts w:ascii="Arial" w:hAnsi="Arial" w:cs="Arial"/>
          <w:sz w:val="24"/>
          <w:szCs w:val="24"/>
        </w:rPr>
        <w:t>ţ</w:t>
      </w:r>
      <w:r w:rsidRPr="00702A15">
        <w:rPr>
          <w:rFonts w:ascii="Arial" w:hAnsi="Arial" w:cs="Arial"/>
          <w:sz w:val="24"/>
          <w:szCs w:val="24"/>
        </w:rPr>
        <w:t>a. În anul 2014 s-a realizat proiectul celui de-al doilea Plan de management Bazinal (care în decembrie 2014 a fost publicat pe website-ul ABA Buzău 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Oiectivele privind consumul durabil de apă şi stadiul atingerii acestora pe termen lung în jude</w:t>
      </w:r>
      <w:r>
        <w:rPr>
          <w:rFonts w:ascii="Arial" w:hAnsi="Arial" w:cs="Arial"/>
          <w:sz w:val="24"/>
          <w:szCs w:val="24"/>
        </w:rPr>
        <w:t>ţ</w:t>
      </w:r>
      <w:r w:rsidRPr="00702A15">
        <w:rPr>
          <w:rFonts w:ascii="Arial" w:hAnsi="Arial" w:cs="Arial"/>
          <w:sz w:val="24"/>
          <w:szCs w:val="24"/>
        </w:rPr>
        <w:t>ul Buzău sunt cuprinse în cele două planuri de managemet bazinal, amintite mai sus.</w:t>
      </w:r>
    </w:p>
    <w:p w:rsidR="00420717" w:rsidRPr="00702A15" w:rsidRDefault="00420717" w:rsidP="00420717">
      <w:pPr>
        <w:tabs>
          <w:tab w:val="left" w:pos="1204"/>
          <w:tab w:val="left" w:leader="dot" w:pos="9356"/>
        </w:tabs>
        <w:spacing w:after="0" w:line="240" w:lineRule="auto"/>
        <w:rPr>
          <w:rFonts w:ascii="Arial" w:hAnsi="Arial" w:cs="Arial"/>
          <w:sz w:val="24"/>
          <w:szCs w:val="24"/>
        </w:rPr>
      </w:pPr>
    </w:p>
    <w:p w:rsidR="00420717" w:rsidRPr="00702A15" w:rsidRDefault="00420717" w:rsidP="00420717">
      <w:pPr>
        <w:tabs>
          <w:tab w:val="left" w:leader="dot" w:pos="9356"/>
        </w:tabs>
        <w:spacing w:after="0" w:line="240" w:lineRule="auto"/>
        <w:rPr>
          <w:rFonts w:ascii="Arial" w:hAnsi="Arial" w:cs="Arial"/>
          <w:b/>
          <w:sz w:val="24"/>
          <w:szCs w:val="24"/>
        </w:rPr>
      </w:pPr>
      <w:r w:rsidRPr="00702A15">
        <w:rPr>
          <w:rFonts w:ascii="Arial" w:hAnsi="Arial" w:cs="Arial"/>
          <w:b/>
          <w:sz w:val="24"/>
          <w:szCs w:val="24"/>
        </w:rPr>
        <w:t xml:space="preserve">II.2. Calitatea apei </w:t>
      </w:r>
    </w:p>
    <w:p w:rsidR="00420717" w:rsidRPr="00C81A5C" w:rsidRDefault="00420717" w:rsidP="00420717">
      <w:pPr>
        <w:tabs>
          <w:tab w:val="left" w:pos="1204"/>
          <w:tab w:val="left" w:leader="dot" w:pos="9356"/>
        </w:tabs>
        <w:spacing w:after="0" w:line="240" w:lineRule="auto"/>
        <w:rPr>
          <w:rFonts w:ascii="Arial" w:hAnsi="Arial" w:cs="Arial"/>
          <w:b/>
          <w:sz w:val="24"/>
          <w:szCs w:val="24"/>
        </w:rPr>
      </w:pPr>
      <w:r w:rsidRPr="00C81A5C">
        <w:rPr>
          <w:rFonts w:ascii="Arial" w:hAnsi="Arial" w:cs="Arial"/>
          <w:b/>
          <w:sz w:val="24"/>
          <w:szCs w:val="24"/>
        </w:rPr>
        <w:t>II.2.1. Calitatea apei: stare şi consecinţe</w:t>
      </w:r>
    </w:p>
    <w:p w:rsidR="00420717" w:rsidRPr="00C81A5C" w:rsidRDefault="00420717" w:rsidP="00420717">
      <w:pPr>
        <w:tabs>
          <w:tab w:val="left" w:pos="1204"/>
          <w:tab w:val="left" w:leader="dot" w:pos="9356"/>
        </w:tabs>
        <w:spacing w:after="0" w:line="240" w:lineRule="auto"/>
        <w:rPr>
          <w:rFonts w:ascii="Arial" w:hAnsi="Arial" w:cs="Arial"/>
          <w:b/>
          <w:sz w:val="24"/>
          <w:szCs w:val="24"/>
        </w:rPr>
      </w:pPr>
      <w:r w:rsidRPr="00C81A5C">
        <w:rPr>
          <w:rFonts w:ascii="Arial" w:hAnsi="Arial" w:cs="Arial"/>
          <w:b/>
          <w:sz w:val="24"/>
          <w:szCs w:val="24"/>
        </w:rPr>
        <w:t xml:space="preserve">II.2.1.1. Calitatea apei cursurilor de apă </w:t>
      </w:r>
    </w:p>
    <w:p w:rsidR="00420717" w:rsidRPr="00702A15" w:rsidRDefault="00420717" w:rsidP="00420717">
      <w:pPr>
        <w:spacing w:after="0" w:line="240" w:lineRule="auto"/>
        <w:rPr>
          <w:rFonts w:ascii="Arial" w:hAnsi="Arial" w:cs="Arial"/>
          <w:b/>
          <w:sz w:val="24"/>
          <w:szCs w:val="24"/>
          <w:lang w:val="it-IT"/>
        </w:rPr>
      </w:pPr>
    </w:p>
    <w:p w:rsidR="00420717" w:rsidRPr="00702A15" w:rsidRDefault="00420717" w:rsidP="00420717">
      <w:pPr>
        <w:spacing w:after="0" w:line="240" w:lineRule="auto"/>
        <w:jc w:val="both"/>
        <w:rPr>
          <w:rFonts w:ascii="Arial" w:hAnsi="Arial" w:cs="Arial"/>
          <w:b/>
          <w:sz w:val="24"/>
          <w:szCs w:val="24"/>
        </w:rPr>
      </w:pPr>
      <w:r w:rsidRPr="00702A15">
        <w:rPr>
          <w:rFonts w:ascii="Arial" w:hAnsi="Arial" w:cs="Arial"/>
          <w:b/>
          <w:sz w:val="24"/>
          <w:szCs w:val="24"/>
          <w:lang w:val="it-IT"/>
        </w:rPr>
        <w:t>A. Calitatea apei de suprafa</w:t>
      </w:r>
      <w:r>
        <w:rPr>
          <w:rFonts w:ascii="Arial" w:hAnsi="Arial" w:cs="Arial"/>
          <w:b/>
          <w:sz w:val="24"/>
          <w:szCs w:val="24"/>
          <w:lang w:val="it-IT"/>
        </w:rPr>
        <w:t>ţ</w:t>
      </w:r>
      <w:r w:rsidRPr="00702A15">
        <w:rPr>
          <w:rFonts w:ascii="Arial" w:hAnsi="Arial" w:cs="Arial"/>
          <w:b/>
          <w:sz w:val="24"/>
          <w:szCs w:val="24"/>
          <w:lang w:val="it-IT"/>
        </w:rPr>
        <w:t xml:space="preserve">ă, din punctul de vedere al </w:t>
      </w:r>
      <w:r w:rsidRPr="00702A15">
        <w:rPr>
          <w:rFonts w:ascii="Arial" w:hAnsi="Arial" w:cs="Arial"/>
          <w:b/>
          <w:sz w:val="24"/>
          <w:szCs w:val="24"/>
        </w:rPr>
        <w:t>conţinutului în oxigen dizo</w:t>
      </w:r>
      <w:r w:rsidRPr="00702A15">
        <w:rPr>
          <w:rFonts w:ascii="Arial" w:hAnsi="Arial" w:cs="Arial"/>
          <w:b/>
          <w:sz w:val="24"/>
          <w:szCs w:val="24"/>
        </w:rPr>
        <w:t>l</w:t>
      </w:r>
      <w:r w:rsidRPr="00702A15">
        <w:rPr>
          <w:rFonts w:ascii="Arial" w:hAnsi="Arial" w:cs="Arial"/>
          <w:b/>
          <w:sz w:val="24"/>
          <w:szCs w:val="24"/>
        </w:rPr>
        <w:t>vat şi materii organice, în jude</w:t>
      </w:r>
      <w:r>
        <w:rPr>
          <w:rFonts w:ascii="Arial" w:hAnsi="Arial" w:cs="Arial"/>
          <w:b/>
          <w:sz w:val="24"/>
          <w:szCs w:val="24"/>
        </w:rPr>
        <w:t>ţ</w:t>
      </w:r>
      <w:r w:rsidRPr="00702A15">
        <w:rPr>
          <w:rFonts w:ascii="Arial" w:hAnsi="Arial" w:cs="Arial"/>
          <w:b/>
          <w:sz w:val="24"/>
          <w:szCs w:val="24"/>
        </w:rPr>
        <w:t>ul Buzău</w:t>
      </w:r>
    </w:p>
    <w:p w:rsidR="00420717" w:rsidRPr="00702A15" w:rsidRDefault="00420717" w:rsidP="00420717">
      <w:pPr>
        <w:spacing w:after="0" w:line="240" w:lineRule="auto"/>
        <w:jc w:val="both"/>
        <w:rPr>
          <w:rFonts w:ascii="Arial" w:hAnsi="Arial" w:cs="Arial"/>
          <w:b/>
          <w:sz w:val="24"/>
          <w:szCs w:val="24"/>
          <w:lang w:val="it-IT"/>
        </w:rPr>
      </w:pP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Calitatea principalelor cursuri de apă de din judeţul Buzău, în anul 2014, pe secţiuni de control, din punct de vedere al conţinutului în oxigen dizolvat şi materii organice este prezentată în tabelul următor.</w:t>
      </w:r>
    </w:p>
    <w:p w:rsidR="00420717" w:rsidRDefault="00420717" w:rsidP="00420717">
      <w:pPr>
        <w:spacing w:after="0" w:line="240" w:lineRule="auto"/>
        <w:jc w:val="both"/>
        <w:rPr>
          <w:rFonts w:ascii="Arial" w:hAnsi="Arial" w:cs="Arial"/>
          <w:sz w:val="24"/>
          <w:szCs w:val="24"/>
        </w:rPr>
      </w:pPr>
    </w:p>
    <w:tbl>
      <w:tblPr>
        <w:tblW w:w="501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60"/>
        <w:gridCol w:w="1434"/>
        <w:gridCol w:w="1788"/>
        <w:gridCol w:w="1177"/>
        <w:gridCol w:w="1215"/>
        <w:gridCol w:w="1215"/>
        <w:gridCol w:w="1487"/>
      </w:tblGrid>
      <w:tr w:rsidR="00420717" w:rsidRPr="00702A15" w:rsidTr="00D92384">
        <w:trPr>
          <w:cantSplit/>
          <w:trHeight w:val="698"/>
          <w:jc w:val="center"/>
        </w:trPr>
        <w:tc>
          <w:tcPr>
            <w:tcW w:w="790"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Bazin h</w:t>
            </w:r>
            <w:r w:rsidRPr="00702A15">
              <w:rPr>
                <w:rFonts w:ascii="Arial" w:hAnsi="Arial" w:cs="Arial"/>
                <w:b/>
                <w:sz w:val="24"/>
                <w:szCs w:val="24"/>
              </w:rPr>
              <w:t>i</w:t>
            </w:r>
            <w:r w:rsidRPr="00702A15">
              <w:rPr>
                <w:rFonts w:ascii="Arial" w:hAnsi="Arial" w:cs="Arial"/>
                <w:b/>
                <w:sz w:val="24"/>
                <w:szCs w:val="24"/>
              </w:rPr>
              <w:t>drografic</w:t>
            </w:r>
          </w:p>
        </w:tc>
        <w:tc>
          <w:tcPr>
            <w:tcW w:w="726"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Curs apă</w:t>
            </w:r>
          </w:p>
        </w:tc>
        <w:tc>
          <w:tcPr>
            <w:tcW w:w="905"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Secţiunea de control</w:t>
            </w:r>
          </w:p>
        </w:tc>
        <w:tc>
          <w:tcPr>
            <w:tcW w:w="596"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Oxigen dizolvat</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(mg O</w:t>
            </w:r>
            <w:r w:rsidRPr="00702A15">
              <w:rPr>
                <w:rFonts w:ascii="Arial" w:hAnsi="Arial" w:cs="Arial"/>
                <w:b/>
                <w:sz w:val="24"/>
                <w:szCs w:val="24"/>
                <w:vertAlign w:val="subscript"/>
              </w:rPr>
              <w:t>2</w:t>
            </w:r>
            <w:r w:rsidRPr="00702A15">
              <w:rPr>
                <w:rFonts w:ascii="Arial" w:hAnsi="Arial" w:cs="Arial"/>
                <w:b/>
                <w:sz w:val="24"/>
                <w:szCs w:val="24"/>
              </w:rPr>
              <w:t>/l)</w:t>
            </w:r>
          </w:p>
        </w:tc>
        <w:tc>
          <w:tcPr>
            <w:tcW w:w="1230" w:type="pct"/>
            <w:gridSpan w:val="2"/>
            <w:vAlign w:val="center"/>
          </w:tcPr>
          <w:p w:rsidR="00420717" w:rsidRPr="00702A15" w:rsidRDefault="00420717" w:rsidP="00D92384">
            <w:pPr>
              <w:spacing w:after="0" w:line="240" w:lineRule="auto"/>
              <w:jc w:val="center"/>
              <w:rPr>
                <w:rFonts w:ascii="Arial" w:hAnsi="Arial" w:cs="Arial"/>
                <w:b/>
                <w:i/>
                <w:iCs/>
                <w:sz w:val="24"/>
                <w:szCs w:val="24"/>
              </w:rPr>
            </w:pPr>
            <w:r w:rsidRPr="00702A15">
              <w:rPr>
                <w:rFonts w:ascii="Arial" w:hAnsi="Arial" w:cs="Arial"/>
                <w:b/>
                <w:sz w:val="24"/>
                <w:szCs w:val="24"/>
              </w:rPr>
              <w:t>Materii organice</w:t>
            </w:r>
          </w:p>
        </w:tc>
        <w:tc>
          <w:tcPr>
            <w:tcW w:w="753" w:type="pct"/>
            <w:vMerge w:val="restart"/>
            <w:vAlign w:val="center"/>
          </w:tcPr>
          <w:p w:rsidR="00420717" w:rsidRPr="00702A15" w:rsidRDefault="00420717" w:rsidP="00D92384">
            <w:pPr>
              <w:spacing w:after="0" w:line="240" w:lineRule="auto"/>
              <w:jc w:val="center"/>
              <w:rPr>
                <w:rFonts w:ascii="Arial" w:hAnsi="Arial" w:cs="Arial"/>
                <w:b/>
                <w:iCs/>
                <w:sz w:val="24"/>
                <w:szCs w:val="24"/>
              </w:rPr>
            </w:pPr>
            <w:r w:rsidRPr="00702A15">
              <w:rPr>
                <w:rFonts w:ascii="Arial" w:hAnsi="Arial" w:cs="Arial"/>
                <w:b/>
                <w:iCs/>
                <w:sz w:val="24"/>
                <w:szCs w:val="24"/>
              </w:rPr>
              <w:t>Calitatea apei</w:t>
            </w:r>
          </w:p>
          <w:p w:rsidR="00420717" w:rsidRPr="00702A15" w:rsidRDefault="00420717" w:rsidP="00D92384">
            <w:pPr>
              <w:spacing w:after="0" w:line="240" w:lineRule="auto"/>
              <w:jc w:val="center"/>
              <w:rPr>
                <w:rFonts w:ascii="Arial" w:hAnsi="Arial" w:cs="Arial"/>
                <w:b/>
                <w:iCs/>
                <w:sz w:val="24"/>
                <w:szCs w:val="24"/>
              </w:rPr>
            </w:pPr>
            <w:r w:rsidRPr="00702A15">
              <w:rPr>
                <w:rFonts w:ascii="Arial" w:hAnsi="Arial" w:cs="Arial"/>
                <w:b/>
                <w:iCs/>
                <w:sz w:val="24"/>
                <w:szCs w:val="24"/>
              </w:rPr>
              <w:t>(Starea ecologică)</w:t>
            </w:r>
          </w:p>
        </w:tc>
      </w:tr>
      <w:tr w:rsidR="00420717" w:rsidRPr="00702A15" w:rsidTr="00D92384">
        <w:trPr>
          <w:cantSplit/>
          <w:trHeight w:val="843"/>
          <w:jc w:val="center"/>
        </w:trPr>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0" w:type="auto"/>
            <w:vMerge/>
            <w:vAlign w:val="center"/>
          </w:tcPr>
          <w:p w:rsidR="00420717" w:rsidRPr="00702A15" w:rsidRDefault="00420717" w:rsidP="00D92384">
            <w:pPr>
              <w:spacing w:after="0" w:line="240" w:lineRule="auto"/>
              <w:jc w:val="center"/>
              <w:rPr>
                <w:rFonts w:ascii="Arial" w:hAnsi="Arial" w:cs="Arial"/>
                <w:b/>
                <w:sz w:val="24"/>
                <w:szCs w:val="24"/>
              </w:rPr>
            </w:pPr>
          </w:p>
        </w:tc>
        <w:tc>
          <w:tcPr>
            <w:tcW w:w="615" w:type="pc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CBO5</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(mgO</w:t>
            </w:r>
            <w:r w:rsidRPr="00702A15">
              <w:rPr>
                <w:rFonts w:ascii="Arial" w:hAnsi="Arial" w:cs="Arial"/>
                <w:b/>
                <w:sz w:val="24"/>
                <w:szCs w:val="24"/>
                <w:vertAlign w:val="subscript"/>
              </w:rPr>
              <w:t>2</w:t>
            </w:r>
            <w:r w:rsidRPr="00702A15">
              <w:rPr>
                <w:rFonts w:ascii="Arial" w:hAnsi="Arial" w:cs="Arial"/>
                <w:b/>
                <w:sz w:val="24"/>
                <w:szCs w:val="24"/>
              </w:rPr>
              <w:t>/l)</w:t>
            </w:r>
          </w:p>
        </w:tc>
        <w:tc>
          <w:tcPr>
            <w:tcW w:w="615" w:type="pc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CCO-Cr</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(mgO</w:t>
            </w:r>
            <w:r w:rsidRPr="00702A15">
              <w:rPr>
                <w:rFonts w:ascii="Arial" w:hAnsi="Arial" w:cs="Arial"/>
                <w:b/>
                <w:sz w:val="24"/>
                <w:szCs w:val="24"/>
                <w:vertAlign w:val="subscript"/>
              </w:rPr>
              <w:t>2</w:t>
            </w:r>
            <w:r w:rsidRPr="00702A15">
              <w:rPr>
                <w:rFonts w:ascii="Arial" w:hAnsi="Arial" w:cs="Arial"/>
                <w:b/>
                <w:sz w:val="24"/>
                <w:szCs w:val="24"/>
              </w:rPr>
              <w:t>/l)</w:t>
            </w:r>
          </w:p>
        </w:tc>
        <w:tc>
          <w:tcPr>
            <w:tcW w:w="0" w:type="auto"/>
            <w:vMerge/>
            <w:vAlign w:val="center"/>
          </w:tcPr>
          <w:p w:rsidR="00420717" w:rsidRPr="00702A15" w:rsidRDefault="00420717" w:rsidP="00D92384">
            <w:pPr>
              <w:spacing w:after="0" w:line="240" w:lineRule="auto"/>
              <w:rPr>
                <w:rFonts w:ascii="Arial" w:hAnsi="Arial" w:cs="Arial"/>
                <w:b/>
                <w:iCs/>
                <w:sz w:val="24"/>
                <w:szCs w:val="24"/>
              </w:rPr>
            </w:pP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Vama Buzăului (Am. Sita Buzăului)</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11,195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2,4</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8,06</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Av. Siriu</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10,47</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2,44</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8,44</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Măgura</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10,29</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1,85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4,93</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Buzău</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9,76</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4,98</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8,79</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Baniţa</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9,08</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3,035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6,72</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Racoviţa</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9,58</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4,23</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8,58</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905" w:type="pct"/>
            <w:vAlign w:val="center"/>
          </w:tcPr>
          <w:p w:rsidR="00420717" w:rsidRPr="00702A15" w:rsidRDefault="00420717" w:rsidP="00D92384">
            <w:pPr>
              <w:spacing w:after="0" w:line="240" w:lineRule="auto"/>
              <w:rPr>
                <w:rFonts w:ascii="Arial" w:hAnsi="Arial" w:cs="Arial"/>
                <w:iCs/>
                <w:sz w:val="24"/>
                <w:szCs w:val="24"/>
              </w:rPr>
            </w:pPr>
            <w:r w:rsidRPr="00702A15">
              <w:rPr>
                <w:rFonts w:ascii="Arial" w:hAnsi="Arial" w:cs="Arial"/>
                <w:sz w:val="24"/>
                <w:szCs w:val="24"/>
              </w:rPr>
              <w:t>Capt. Zag</w:t>
            </w:r>
            <w:r w:rsidRPr="00702A15">
              <w:rPr>
                <w:rFonts w:ascii="Arial" w:hAnsi="Arial" w:cs="Arial"/>
                <w:sz w:val="24"/>
                <w:szCs w:val="24"/>
              </w:rPr>
              <w:t>a</w:t>
            </w:r>
            <w:r w:rsidRPr="00702A15">
              <w:rPr>
                <w:rFonts w:ascii="Arial" w:hAnsi="Arial" w:cs="Arial"/>
                <w:sz w:val="24"/>
                <w:szCs w:val="24"/>
              </w:rPr>
              <w:t xml:space="preserve">stru </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9,55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1,68</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9,08</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Caşoca Mare</w:t>
            </w:r>
          </w:p>
        </w:tc>
        <w:tc>
          <w:tcPr>
            <w:tcW w:w="905" w:type="pct"/>
            <w:vAlign w:val="center"/>
          </w:tcPr>
          <w:p w:rsidR="00420717" w:rsidRPr="00702A15" w:rsidRDefault="00420717" w:rsidP="00D92384">
            <w:pPr>
              <w:spacing w:after="0" w:line="240" w:lineRule="auto"/>
              <w:rPr>
                <w:rFonts w:ascii="Arial" w:hAnsi="Arial" w:cs="Arial"/>
                <w:iCs/>
                <w:sz w:val="24"/>
                <w:szCs w:val="24"/>
              </w:rPr>
            </w:pPr>
            <w:r w:rsidRPr="00702A15">
              <w:rPr>
                <w:rFonts w:ascii="Arial" w:hAnsi="Arial" w:cs="Arial"/>
                <w:iCs/>
                <w:sz w:val="24"/>
                <w:szCs w:val="24"/>
              </w:rPr>
              <w:t>Am. cf. Buzău</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10,44</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2,03</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9,59</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trHeight w:val="303"/>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Bâsca Roziliei </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10,53</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1,737</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7,14</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 Chiojdului</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Chiojdu</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10,11</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2,40</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8,42</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 Chiojdului</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cf. Buzău</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9,27</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2,95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7,7</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 Chiojdului</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Priseaca</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10,11</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1,382</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6,035</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Bălăneasa</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Pârscov</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988</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20,80</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45,87</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Slănic</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Lopătari</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9,197</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31,95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63,425</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Slănic</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Cernăteşti</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9,46</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91,875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29,45</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lastRenderedPageBreak/>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Pecineaga </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Sarulesti</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9,145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54,8</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117,8</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Câlnău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Costomiru (Am. Potârnicheşti)</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8,602</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6,162</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13,977</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Buzoel</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Aval Gher</w:t>
            </w:r>
            <w:r w:rsidRPr="00702A15">
              <w:rPr>
                <w:rFonts w:ascii="Arial" w:hAnsi="Arial" w:cs="Arial"/>
                <w:sz w:val="24"/>
                <w:szCs w:val="24"/>
              </w:rPr>
              <w:t>g</w:t>
            </w:r>
            <w:r w:rsidRPr="00702A15">
              <w:rPr>
                <w:rFonts w:ascii="Arial" w:hAnsi="Arial" w:cs="Arial"/>
                <w:sz w:val="24"/>
                <w:szCs w:val="24"/>
              </w:rPr>
              <w:t>heasa</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8,54</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57,59</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90,375</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Boldu</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Balta Albă</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8,45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66,49</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106,73</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Dunăre</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Călmăţui</w:t>
            </w:r>
          </w:p>
        </w:tc>
        <w:tc>
          <w:tcPr>
            <w:tcW w:w="905" w:type="pct"/>
            <w:vAlign w:val="center"/>
          </w:tcPr>
          <w:p w:rsidR="00420717" w:rsidRPr="00702A15" w:rsidRDefault="00420717" w:rsidP="00D92384">
            <w:pPr>
              <w:spacing w:after="0" w:line="240" w:lineRule="auto"/>
              <w:rPr>
                <w:rFonts w:ascii="Arial" w:hAnsi="Arial" w:cs="Arial"/>
                <w:iCs/>
                <w:sz w:val="24"/>
                <w:szCs w:val="24"/>
              </w:rPr>
            </w:pPr>
            <w:r w:rsidRPr="00702A15">
              <w:rPr>
                <w:rFonts w:ascii="Arial" w:hAnsi="Arial" w:cs="Arial"/>
                <w:iCs/>
                <w:sz w:val="24"/>
                <w:szCs w:val="24"/>
              </w:rPr>
              <w:t>Grosani / Pi</w:t>
            </w:r>
            <w:r w:rsidRPr="00702A15">
              <w:rPr>
                <w:rFonts w:ascii="Arial" w:hAnsi="Arial" w:cs="Arial"/>
                <w:iCs/>
                <w:sz w:val="24"/>
                <w:szCs w:val="24"/>
              </w:rPr>
              <w:t>e</w:t>
            </w:r>
            <w:r w:rsidRPr="00702A15">
              <w:rPr>
                <w:rFonts w:ascii="Arial" w:hAnsi="Arial" w:cs="Arial"/>
                <w:iCs/>
                <w:sz w:val="24"/>
                <w:szCs w:val="24"/>
              </w:rPr>
              <w:t>trosu</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7,222</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1,562</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2,5</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Ialomiţa</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Sărata</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Am. Monteoru </w:t>
            </w:r>
          </w:p>
        </w:tc>
        <w:tc>
          <w:tcPr>
            <w:tcW w:w="596"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9,305</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1,84</w:t>
            </w:r>
          </w:p>
        </w:tc>
        <w:tc>
          <w:tcPr>
            <w:tcW w:w="615"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3,36</w:t>
            </w:r>
          </w:p>
        </w:tc>
        <w:tc>
          <w:tcPr>
            <w:tcW w:w="753"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Siret</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Râmnicu Sărat</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Tulburea</w:t>
            </w:r>
          </w:p>
        </w:tc>
        <w:tc>
          <w:tcPr>
            <w:tcW w:w="596"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10,75</w:t>
            </w:r>
          </w:p>
        </w:tc>
        <w:tc>
          <w:tcPr>
            <w:tcW w:w="615"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2,075</w:t>
            </w:r>
          </w:p>
        </w:tc>
        <w:tc>
          <w:tcPr>
            <w:tcW w:w="615"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9,632</w:t>
            </w:r>
          </w:p>
        </w:tc>
        <w:tc>
          <w:tcPr>
            <w:tcW w:w="753"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B</w:t>
            </w:r>
          </w:p>
        </w:tc>
      </w:tr>
      <w:tr w:rsidR="00420717" w:rsidRPr="00702A15" w:rsidTr="00D92384">
        <w:trPr>
          <w:jc w:val="center"/>
        </w:trPr>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Siret</w:t>
            </w:r>
          </w:p>
        </w:tc>
        <w:tc>
          <w:tcPr>
            <w:tcW w:w="72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Râmnicu Sărat</w:t>
            </w:r>
          </w:p>
        </w:tc>
        <w:tc>
          <w:tcPr>
            <w:tcW w:w="90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Nicoleşti</w:t>
            </w:r>
          </w:p>
        </w:tc>
        <w:tc>
          <w:tcPr>
            <w:tcW w:w="596"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9,56</w:t>
            </w:r>
          </w:p>
        </w:tc>
        <w:tc>
          <w:tcPr>
            <w:tcW w:w="615"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2,619</w:t>
            </w:r>
          </w:p>
        </w:tc>
        <w:tc>
          <w:tcPr>
            <w:tcW w:w="615"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12,358</w:t>
            </w:r>
          </w:p>
        </w:tc>
        <w:tc>
          <w:tcPr>
            <w:tcW w:w="753"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B</w:t>
            </w:r>
          </w:p>
        </w:tc>
      </w:tr>
    </w:tbl>
    <w:p w:rsidR="00420717" w:rsidRPr="00C81A5C" w:rsidRDefault="00420717" w:rsidP="00420717">
      <w:pPr>
        <w:pStyle w:val="Default"/>
        <w:jc w:val="both"/>
        <w:rPr>
          <w:b/>
          <w:bCs/>
          <w:color w:val="auto"/>
        </w:rPr>
      </w:pPr>
      <w:r w:rsidRPr="00C81A5C">
        <w:rPr>
          <w:b/>
          <w:color w:val="auto"/>
        </w:rPr>
        <w:t>Tabelul II.2.1.1.1. Calitatea principalelor cursuri de apă de din judeţul Buzău, în anul 2014, pe secţiuni de control, din punct de vedere al conţinutului în oxigen dizolvat şi materii organice</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 xml:space="preserve">i SGA Vrancea </w:t>
      </w:r>
    </w:p>
    <w:p w:rsidR="00420717" w:rsidRDefault="00420717" w:rsidP="00420717">
      <w:pPr>
        <w:spacing w:after="0" w:line="240" w:lineRule="auto"/>
        <w:jc w:val="both"/>
        <w:rPr>
          <w:rFonts w:ascii="Arial" w:hAnsi="Arial" w:cs="Arial"/>
          <w:bCs/>
          <w:sz w:val="24"/>
          <w:szCs w:val="24"/>
        </w:rPr>
      </w:pPr>
    </w:p>
    <w:p w:rsidR="00420717" w:rsidRDefault="00420717" w:rsidP="00420717">
      <w:pPr>
        <w:spacing w:after="0" w:line="240" w:lineRule="auto"/>
        <w:jc w:val="both"/>
        <w:rPr>
          <w:rFonts w:ascii="Arial" w:hAnsi="Arial" w:cs="Arial"/>
          <w:bCs/>
          <w:sz w:val="24"/>
          <w:szCs w:val="24"/>
        </w:rPr>
      </w:pPr>
      <w:r w:rsidRPr="00702A15">
        <w:rPr>
          <w:rFonts w:ascii="Arial" w:hAnsi="Arial" w:cs="Arial"/>
          <w:bCs/>
          <w:sz w:val="24"/>
          <w:szCs w:val="24"/>
        </w:rPr>
        <w:t>În tabelul II.</w:t>
      </w:r>
      <w:r w:rsidRPr="00702A15">
        <w:rPr>
          <w:rFonts w:ascii="Arial" w:hAnsi="Arial" w:cs="Arial"/>
          <w:sz w:val="24"/>
          <w:szCs w:val="24"/>
        </w:rPr>
        <w:t xml:space="preserve">2.1.1.2. </w:t>
      </w:r>
      <w:r w:rsidRPr="00702A15">
        <w:rPr>
          <w:rFonts w:ascii="Arial" w:hAnsi="Arial" w:cs="Arial"/>
          <w:bCs/>
          <w:sz w:val="24"/>
          <w:szCs w:val="24"/>
        </w:rPr>
        <w:t>sunt redate evolu</w:t>
      </w:r>
      <w:r>
        <w:rPr>
          <w:rFonts w:ascii="Arial" w:hAnsi="Arial" w:cs="Arial"/>
          <w:bCs/>
          <w:sz w:val="24"/>
          <w:szCs w:val="24"/>
        </w:rPr>
        <w:t>ţ</w:t>
      </w:r>
      <w:r w:rsidRPr="00702A15">
        <w:rPr>
          <w:rFonts w:ascii="Arial" w:hAnsi="Arial" w:cs="Arial"/>
          <w:bCs/>
          <w:sz w:val="24"/>
          <w:szCs w:val="24"/>
        </w:rPr>
        <w:t>ia concentra</w:t>
      </w:r>
      <w:r>
        <w:rPr>
          <w:rFonts w:ascii="Arial" w:hAnsi="Arial" w:cs="Arial"/>
          <w:bCs/>
          <w:sz w:val="24"/>
          <w:szCs w:val="24"/>
        </w:rPr>
        <w:t>ţ</w:t>
      </w:r>
      <w:r w:rsidRPr="00702A15">
        <w:rPr>
          <w:rFonts w:ascii="Arial" w:hAnsi="Arial" w:cs="Arial"/>
          <w:bCs/>
          <w:sz w:val="24"/>
          <w:szCs w:val="24"/>
        </w:rPr>
        <w:t>iilor medii anuale (ponderate func</w:t>
      </w:r>
      <w:r>
        <w:rPr>
          <w:rFonts w:ascii="Arial" w:hAnsi="Arial" w:cs="Arial"/>
          <w:bCs/>
          <w:sz w:val="24"/>
          <w:szCs w:val="24"/>
        </w:rPr>
        <w:t>ţ</w:t>
      </w:r>
      <w:r w:rsidRPr="00702A15">
        <w:rPr>
          <w:rFonts w:ascii="Arial" w:hAnsi="Arial" w:cs="Arial"/>
          <w:bCs/>
          <w:sz w:val="24"/>
          <w:szCs w:val="24"/>
        </w:rPr>
        <w:t>ie de debitul fiecărui râu, în fiecare sec</w:t>
      </w:r>
      <w:r>
        <w:rPr>
          <w:rFonts w:ascii="Arial" w:hAnsi="Arial" w:cs="Arial"/>
          <w:bCs/>
          <w:sz w:val="24"/>
          <w:szCs w:val="24"/>
        </w:rPr>
        <w:t>ţ</w:t>
      </w:r>
      <w:r w:rsidRPr="00702A15">
        <w:rPr>
          <w:rFonts w:ascii="Arial" w:hAnsi="Arial" w:cs="Arial"/>
          <w:bCs/>
          <w:sz w:val="24"/>
          <w:szCs w:val="24"/>
        </w:rPr>
        <w:t xml:space="preserve">iune de control la momentul prelevării probelor), pentru consumul biochimic de oxigen la 5 zile </w:t>
      </w:r>
      <w:r>
        <w:rPr>
          <w:rFonts w:ascii="Arial" w:hAnsi="Arial" w:cs="Arial"/>
          <w:bCs/>
          <w:sz w:val="24"/>
          <w:szCs w:val="24"/>
        </w:rPr>
        <w:t>ş</w:t>
      </w:r>
      <w:r w:rsidRPr="00702A15">
        <w:rPr>
          <w:rFonts w:ascii="Arial" w:hAnsi="Arial" w:cs="Arial"/>
          <w:bCs/>
          <w:sz w:val="24"/>
          <w:szCs w:val="24"/>
        </w:rPr>
        <w:t>i pentru amoniu, în jude</w:t>
      </w:r>
      <w:r>
        <w:rPr>
          <w:rFonts w:ascii="Arial" w:hAnsi="Arial" w:cs="Arial"/>
          <w:bCs/>
          <w:sz w:val="24"/>
          <w:szCs w:val="24"/>
        </w:rPr>
        <w:t>ţ</w:t>
      </w:r>
      <w:r w:rsidRPr="00702A15">
        <w:rPr>
          <w:rFonts w:ascii="Arial" w:hAnsi="Arial" w:cs="Arial"/>
          <w:bCs/>
          <w:sz w:val="24"/>
          <w:szCs w:val="24"/>
        </w:rPr>
        <w:t>ul Buzău în perioda 2010-2014.</w:t>
      </w:r>
    </w:p>
    <w:p w:rsidR="00420717" w:rsidRPr="00702A15" w:rsidRDefault="00420717" w:rsidP="00420717">
      <w:pPr>
        <w:spacing w:after="0" w:line="240" w:lineRule="auto"/>
        <w:jc w:val="both"/>
        <w:rPr>
          <w:rFonts w:ascii="Arial" w:hAnsi="Arial" w:cs="Arial"/>
          <w:bCs/>
          <w:sz w:val="24"/>
          <w:szCs w:val="24"/>
        </w:rPr>
      </w:pPr>
    </w:p>
    <w:tbl>
      <w:tblPr>
        <w:tblStyle w:val="TableGrid"/>
        <w:tblW w:w="0" w:type="auto"/>
        <w:tblInd w:w="250" w:type="dxa"/>
        <w:tblLook w:val="04A0"/>
      </w:tblPr>
      <w:tblGrid>
        <w:gridCol w:w="1507"/>
        <w:gridCol w:w="1902"/>
        <w:gridCol w:w="1772"/>
        <w:gridCol w:w="2086"/>
        <w:gridCol w:w="2337"/>
      </w:tblGrid>
      <w:tr w:rsidR="00420717" w:rsidRPr="00702A15" w:rsidTr="00D92384">
        <w:tc>
          <w:tcPr>
            <w:tcW w:w="150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Anul</w:t>
            </w:r>
          </w:p>
        </w:tc>
        <w:tc>
          <w:tcPr>
            <w:tcW w:w="1902"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Bazin hidr</w:t>
            </w:r>
            <w:r w:rsidRPr="00702A15">
              <w:rPr>
                <w:rFonts w:ascii="Arial" w:hAnsi="Arial" w:cs="Arial"/>
                <w:sz w:val="24"/>
                <w:szCs w:val="24"/>
              </w:rPr>
              <w:t>o</w:t>
            </w:r>
            <w:r w:rsidRPr="00702A15">
              <w:rPr>
                <w:rFonts w:ascii="Arial" w:hAnsi="Arial" w:cs="Arial"/>
                <w:sz w:val="24"/>
                <w:szCs w:val="24"/>
              </w:rPr>
              <w:t>grafic</w:t>
            </w:r>
          </w:p>
        </w:tc>
        <w:tc>
          <w:tcPr>
            <w:tcW w:w="1772"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Număr sec</w:t>
            </w:r>
            <w:r>
              <w:rPr>
                <w:rFonts w:ascii="Arial" w:hAnsi="Arial" w:cs="Arial"/>
                <w:sz w:val="24"/>
                <w:szCs w:val="24"/>
              </w:rPr>
              <w:t>ţ</w:t>
            </w:r>
            <w:r w:rsidRPr="00702A15">
              <w:rPr>
                <w:rFonts w:ascii="Arial" w:hAnsi="Arial" w:cs="Arial"/>
                <w:sz w:val="24"/>
                <w:szCs w:val="24"/>
              </w:rPr>
              <w:t>iuni de control</w:t>
            </w:r>
          </w:p>
        </w:tc>
        <w:tc>
          <w:tcPr>
            <w:tcW w:w="2086" w:type="dxa"/>
            <w:vAlign w:val="center"/>
          </w:tcPr>
          <w:p w:rsidR="00420717" w:rsidRPr="00702A15" w:rsidRDefault="00420717" w:rsidP="00D92384">
            <w:pPr>
              <w:jc w:val="center"/>
              <w:rPr>
                <w:rFonts w:ascii="Arial" w:hAnsi="Arial" w:cs="Arial"/>
                <w:bCs/>
                <w:sz w:val="24"/>
                <w:szCs w:val="24"/>
              </w:rPr>
            </w:pPr>
            <w:r w:rsidRPr="00702A15">
              <w:rPr>
                <w:rFonts w:ascii="Arial" w:hAnsi="Arial" w:cs="Arial"/>
                <w:sz w:val="24"/>
                <w:szCs w:val="24"/>
              </w:rPr>
              <w:t>Concentra</w:t>
            </w:r>
            <w:r>
              <w:rPr>
                <w:rFonts w:ascii="Arial" w:hAnsi="Arial" w:cs="Arial"/>
                <w:sz w:val="24"/>
                <w:szCs w:val="24"/>
              </w:rPr>
              <w:t>ţ</w:t>
            </w:r>
            <w:r w:rsidRPr="00702A15">
              <w:rPr>
                <w:rFonts w:ascii="Arial" w:hAnsi="Arial" w:cs="Arial"/>
                <w:sz w:val="24"/>
                <w:szCs w:val="24"/>
              </w:rPr>
              <w:t>ii m</w:t>
            </w:r>
            <w:r w:rsidRPr="00702A15">
              <w:rPr>
                <w:rFonts w:ascii="Arial" w:hAnsi="Arial" w:cs="Arial"/>
                <w:sz w:val="24"/>
                <w:szCs w:val="24"/>
              </w:rPr>
              <w:t>e</w:t>
            </w:r>
            <w:r w:rsidRPr="00702A15">
              <w:rPr>
                <w:rFonts w:ascii="Arial" w:hAnsi="Arial" w:cs="Arial"/>
                <w:sz w:val="24"/>
                <w:szCs w:val="24"/>
              </w:rPr>
              <w:t>dii anuale</w:t>
            </w:r>
            <w:r w:rsidRPr="00702A15">
              <w:rPr>
                <w:rFonts w:ascii="Arial" w:hAnsi="Arial" w:cs="Arial"/>
                <w:bCs/>
                <w:sz w:val="24"/>
                <w:szCs w:val="24"/>
              </w:rPr>
              <w:t>*</w:t>
            </w:r>
            <w:r w:rsidRPr="00702A15">
              <w:rPr>
                <w:rFonts w:ascii="Arial" w:hAnsi="Arial" w:cs="Arial"/>
                <w:sz w:val="24"/>
                <w:szCs w:val="24"/>
              </w:rPr>
              <w:t xml:space="preserve"> CBO5</w:t>
            </w:r>
          </w:p>
          <w:p w:rsidR="00420717" w:rsidRPr="00702A15" w:rsidRDefault="00420717" w:rsidP="00D92384">
            <w:pPr>
              <w:pStyle w:val="Default"/>
              <w:jc w:val="center"/>
              <w:rPr>
                <w:color w:val="auto"/>
              </w:rPr>
            </w:pPr>
            <w:r w:rsidRPr="00702A15">
              <w:rPr>
                <w:bCs/>
                <w:color w:val="auto"/>
              </w:rPr>
              <w:t>(mg O2/L)</w:t>
            </w:r>
          </w:p>
        </w:tc>
        <w:tc>
          <w:tcPr>
            <w:tcW w:w="2337" w:type="dxa"/>
            <w:vAlign w:val="center"/>
          </w:tcPr>
          <w:p w:rsidR="00420717" w:rsidRPr="00702A15" w:rsidRDefault="00420717" w:rsidP="00D92384">
            <w:pPr>
              <w:pStyle w:val="Default"/>
              <w:jc w:val="center"/>
              <w:rPr>
                <w:color w:val="auto"/>
              </w:rPr>
            </w:pPr>
            <w:r w:rsidRPr="00702A15">
              <w:rPr>
                <w:bCs/>
                <w:color w:val="auto"/>
              </w:rPr>
              <w:t>Concentraţii medii anuale* NH4+</w:t>
            </w:r>
          </w:p>
          <w:p w:rsidR="00420717" w:rsidRPr="00702A15" w:rsidRDefault="00420717" w:rsidP="00D92384">
            <w:pPr>
              <w:jc w:val="center"/>
              <w:rPr>
                <w:rFonts w:ascii="Arial" w:hAnsi="Arial" w:cs="Arial"/>
                <w:sz w:val="24"/>
                <w:szCs w:val="24"/>
              </w:rPr>
            </w:pPr>
            <w:r w:rsidRPr="00702A15">
              <w:rPr>
                <w:rFonts w:ascii="Arial" w:hAnsi="Arial" w:cs="Arial"/>
                <w:bCs/>
                <w:sz w:val="24"/>
                <w:szCs w:val="24"/>
              </w:rPr>
              <w:t>(μg N/L)</w:t>
            </w:r>
          </w:p>
        </w:tc>
      </w:tr>
      <w:tr w:rsidR="00420717" w:rsidRPr="00702A15" w:rsidTr="00D92384">
        <w:tc>
          <w:tcPr>
            <w:tcW w:w="1507"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2010</w:t>
            </w: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Buzău</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20</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720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Sărata</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170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Călmă</w:t>
            </w:r>
            <w:r>
              <w:rPr>
                <w:rFonts w:ascii="Arial" w:hAnsi="Arial" w:cs="Arial"/>
                <w:sz w:val="24"/>
                <w:szCs w:val="24"/>
              </w:rPr>
              <w:t>ţ</w:t>
            </w:r>
            <w:r w:rsidRPr="00702A15">
              <w:rPr>
                <w:rFonts w:ascii="Arial" w:hAnsi="Arial" w:cs="Arial"/>
                <w:sz w:val="24"/>
                <w:szCs w:val="24"/>
              </w:rPr>
              <w:t>ui</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360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Râmnicu Sărat</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2086"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2,845</w:t>
            </w:r>
          </w:p>
        </w:tc>
        <w:tc>
          <w:tcPr>
            <w:tcW w:w="2337"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464</w:t>
            </w:r>
          </w:p>
        </w:tc>
      </w:tr>
      <w:tr w:rsidR="00420717" w:rsidRPr="00702A15" w:rsidTr="00D92384">
        <w:tc>
          <w:tcPr>
            <w:tcW w:w="1507"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2011</w:t>
            </w: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Buzău</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17</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12,5</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280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Sărata</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10,8</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130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Călmă</w:t>
            </w:r>
            <w:r>
              <w:rPr>
                <w:rFonts w:ascii="Arial" w:hAnsi="Arial" w:cs="Arial"/>
                <w:sz w:val="24"/>
                <w:szCs w:val="24"/>
              </w:rPr>
              <w:t>ţ</w:t>
            </w:r>
            <w:r w:rsidRPr="00702A15">
              <w:rPr>
                <w:rFonts w:ascii="Arial" w:hAnsi="Arial" w:cs="Arial"/>
                <w:sz w:val="24"/>
                <w:szCs w:val="24"/>
              </w:rPr>
              <w:t>ui</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37,8</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180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Râmnicu Sărat</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2086"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3,293</w:t>
            </w:r>
          </w:p>
        </w:tc>
        <w:tc>
          <w:tcPr>
            <w:tcW w:w="2337"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864</w:t>
            </w:r>
          </w:p>
        </w:tc>
      </w:tr>
      <w:tr w:rsidR="00420717" w:rsidRPr="00702A15" w:rsidTr="00D92384">
        <w:tc>
          <w:tcPr>
            <w:tcW w:w="1507"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2012</w:t>
            </w: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Buzău</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18</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22,5</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170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Sărata</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15,2</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230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Călmă</w:t>
            </w:r>
            <w:r>
              <w:rPr>
                <w:rFonts w:ascii="Arial" w:hAnsi="Arial" w:cs="Arial"/>
                <w:sz w:val="24"/>
                <w:szCs w:val="24"/>
              </w:rPr>
              <w:t>ţ</w:t>
            </w:r>
            <w:r w:rsidRPr="00702A15">
              <w:rPr>
                <w:rFonts w:ascii="Arial" w:hAnsi="Arial" w:cs="Arial"/>
                <w:sz w:val="24"/>
                <w:szCs w:val="24"/>
              </w:rPr>
              <w:t>ui</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33,9</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360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Râmnicu Sărat</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2086"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2,961</w:t>
            </w:r>
          </w:p>
        </w:tc>
        <w:tc>
          <w:tcPr>
            <w:tcW w:w="2337"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998</w:t>
            </w:r>
          </w:p>
        </w:tc>
      </w:tr>
      <w:tr w:rsidR="00420717" w:rsidRPr="00702A15" w:rsidTr="00D92384">
        <w:tc>
          <w:tcPr>
            <w:tcW w:w="1507"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2013</w:t>
            </w: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Buzău</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18</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30,2</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110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Sărata</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12,4</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60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Călmă</w:t>
            </w:r>
            <w:r>
              <w:rPr>
                <w:rFonts w:ascii="Arial" w:hAnsi="Arial" w:cs="Arial"/>
                <w:sz w:val="24"/>
                <w:szCs w:val="24"/>
              </w:rPr>
              <w:t>ţ</w:t>
            </w:r>
            <w:r w:rsidRPr="00702A15">
              <w:rPr>
                <w:rFonts w:ascii="Arial" w:hAnsi="Arial" w:cs="Arial"/>
                <w:sz w:val="24"/>
                <w:szCs w:val="24"/>
              </w:rPr>
              <w:t>ui</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55,1</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330</w:t>
            </w:r>
          </w:p>
        </w:tc>
      </w:tr>
      <w:tr w:rsidR="00420717" w:rsidRPr="00702A15" w:rsidTr="00D92384">
        <w:tc>
          <w:tcPr>
            <w:tcW w:w="1507" w:type="dxa"/>
            <w:vMerge/>
            <w:vAlign w:val="center"/>
          </w:tcPr>
          <w:p w:rsidR="00420717" w:rsidRPr="00702A15" w:rsidRDefault="00420717" w:rsidP="00D92384">
            <w:pPr>
              <w:jc w:val="center"/>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Râmnicu Sărat</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2086"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3,44</w:t>
            </w:r>
          </w:p>
        </w:tc>
        <w:tc>
          <w:tcPr>
            <w:tcW w:w="2337"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578</w:t>
            </w:r>
          </w:p>
        </w:tc>
      </w:tr>
      <w:tr w:rsidR="00420717" w:rsidRPr="00702A15" w:rsidTr="00D92384">
        <w:tc>
          <w:tcPr>
            <w:tcW w:w="1507" w:type="dxa"/>
            <w:vMerge w:val="restart"/>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2014</w:t>
            </w: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Buzău</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18</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23,8</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160</w:t>
            </w:r>
          </w:p>
        </w:tc>
      </w:tr>
      <w:tr w:rsidR="00420717" w:rsidRPr="00702A15" w:rsidTr="00D92384">
        <w:tc>
          <w:tcPr>
            <w:tcW w:w="1507" w:type="dxa"/>
            <w:vMerge/>
          </w:tcPr>
          <w:p w:rsidR="00420717" w:rsidRPr="00702A15" w:rsidRDefault="00420717" w:rsidP="00D92384">
            <w:pPr>
              <w:jc w:val="both"/>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Sărata</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5,8</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60</w:t>
            </w:r>
          </w:p>
        </w:tc>
      </w:tr>
      <w:tr w:rsidR="00420717" w:rsidRPr="00702A15" w:rsidTr="00D92384">
        <w:tc>
          <w:tcPr>
            <w:tcW w:w="1507" w:type="dxa"/>
            <w:vMerge/>
          </w:tcPr>
          <w:p w:rsidR="00420717" w:rsidRPr="00702A15" w:rsidRDefault="00420717" w:rsidP="00D92384">
            <w:pPr>
              <w:jc w:val="both"/>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Călmă</w:t>
            </w:r>
            <w:r>
              <w:rPr>
                <w:rFonts w:ascii="Arial" w:hAnsi="Arial" w:cs="Arial"/>
                <w:sz w:val="24"/>
                <w:szCs w:val="24"/>
              </w:rPr>
              <w:t>ţ</w:t>
            </w:r>
            <w:r w:rsidRPr="00702A15">
              <w:rPr>
                <w:rFonts w:ascii="Arial" w:hAnsi="Arial" w:cs="Arial"/>
                <w:sz w:val="24"/>
                <w:szCs w:val="24"/>
              </w:rPr>
              <w:t>ui</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086"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45,7</w:t>
            </w:r>
          </w:p>
        </w:tc>
        <w:tc>
          <w:tcPr>
            <w:tcW w:w="2337"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310</w:t>
            </w:r>
          </w:p>
        </w:tc>
      </w:tr>
      <w:tr w:rsidR="00420717" w:rsidRPr="00702A15" w:rsidTr="00D92384">
        <w:tc>
          <w:tcPr>
            <w:tcW w:w="1507" w:type="dxa"/>
            <w:vMerge/>
          </w:tcPr>
          <w:p w:rsidR="00420717" w:rsidRPr="00702A15" w:rsidRDefault="00420717" w:rsidP="00D92384">
            <w:pPr>
              <w:jc w:val="both"/>
              <w:rPr>
                <w:rFonts w:ascii="Arial" w:hAnsi="Arial" w:cs="Arial"/>
                <w:sz w:val="24"/>
                <w:szCs w:val="24"/>
              </w:rPr>
            </w:pPr>
          </w:p>
        </w:tc>
        <w:tc>
          <w:tcPr>
            <w:tcW w:w="190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Râmnicu Sărat</w:t>
            </w:r>
          </w:p>
        </w:tc>
        <w:tc>
          <w:tcPr>
            <w:tcW w:w="1772"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c>
          <w:tcPr>
            <w:tcW w:w="2086"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2,639</w:t>
            </w:r>
          </w:p>
        </w:tc>
        <w:tc>
          <w:tcPr>
            <w:tcW w:w="2337" w:type="dxa"/>
          </w:tcPr>
          <w:p w:rsidR="00420717" w:rsidRPr="00702A15" w:rsidRDefault="00420717" w:rsidP="00D92384">
            <w:pPr>
              <w:jc w:val="center"/>
              <w:rPr>
                <w:rFonts w:ascii="Arial" w:hAnsi="Arial" w:cs="Arial"/>
                <w:sz w:val="24"/>
                <w:szCs w:val="24"/>
                <w:lang w:val="en-GB"/>
              </w:rPr>
            </w:pPr>
            <w:r w:rsidRPr="00702A15">
              <w:rPr>
                <w:rFonts w:ascii="Arial" w:hAnsi="Arial" w:cs="Arial"/>
                <w:sz w:val="24"/>
                <w:szCs w:val="24"/>
                <w:lang w:val="en-GB"/>
              </w:rPr>
              <w:t>561</w:t>
            </w:r>
          </w:p>
        </w:tc>
      </w:tr>
    </w:tbl>
    <w:p w:rsidR="00420717" w:rsidRPr="00C81A5C" w:rsidRDefault="00420717" w:rsidP="00420717">
      <w:pPr>
        <w:pStyle w:val="Default"/>
        <w:jc w:val="both"/>
        <w:rPr>
          <w:b/>
          <w:bCs/>
          <w:color w:val="auto"/>
        </w:rPr>
      </w:pPr>
      <w:r w:rsidRPr="00C81A5C">
        <w:rPr>
          <w:b/>
          <w:bCs/>
          <w:color w:val="auto"/>
        </w:rPr>
        <w:t>Tabel II.</w:t>
      </w:r>
      <w:r w:rsidRPr="00C81A5C">
        <w:rPr>
          <w:b/>
          <w:color w:val="auto"/>
        </w:rPr>
        <w:t xml:space="preserve">2.1.1.2. </w:t>
      </w:r>
      <w:r w:rsidRPr="00C81A5C">
        <w:rPr>
          <w:b/>
          <w:bCs/>
          <w:color w:val="auto"/>
        </w:rPr>
        <w:t>Evoluţia concentraţiilor medii anuale (ponderate funcţie de debitul fiecărui râu, în fiecare secţiune de control la momentul prelevării probelor), pentru consumul biochimic de oxigen la 5 zile şi pentru amoniu, în judeţul Buzău, în perioda 2010-2014</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b/>
          <w:bCs/>
          <w:sz w:val="24"/>
          <w:szCs w:val="24"/>
        </w:rPr>
        <w:t xml:space="preserve">* </w:t>
      </w:r>
      <w:r w:rsidRPr="00702A15">
        <w:rPr>
          <w:rFonts w:ascii="Arial" w:hAnsi="Arial" w:cs="Arial"/>
          <w:sz w:val="24"/>
          <w:szCs w:val="24"/>
        </w:rPr>
        <w:t xml:space="preserve">Concentraţii medii anuale ponderate cu debitele cursurilor de apă  </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Default="00420717" w:rsidP="00420717">
      <w:pPr>
        <w:pStyle w:val="Default"/>
        <w:jc w:val="both"/>
        <w:rPr>
          <w:bCs/>
          <w:color w:val="auto"/>
        </w:rPr>
      </w:pPr>
    </w:p>
    <w:p w:rsidR="005864AC" w:rsidRPr="00702A15" w:rsidRDefault="005864AC" w:rsidP="00420717">
      <w:pPr>
        <w:pStyle w:val="Default"/>
        <w:jc w:val="both"/>
        <w:rPr>
          <w:bCs/>
          <w:color w:val="auto"/>
        </w:rPr>
      </w:pPr>
    </w:p>
    <w:p w:rsidR="00420717" w:rsidRPr="00702A15" w:rsidRDefault="00420717" w:rsidP="00420717">
      <w:pPr>
        <w:pStyle w:val="Default"/>
        <w:jc w:val="center"/>
        <w:rPr>
          <w:bCs/>
          <w:color w:val="auto"/>
        </w:rPr>
      </w:pPr>
      <w:r w:rsidRPr="00702A15">
        <w:rPr>
          <w:bCs/>
          <w:noProof/>
          <w:color w:val="auto"/>
          <w:lang w:eastAsia="ro-RO"/>
        </w:rPr>
        <w:drawing>
          <wp:inline distT="0" distB="0" distL="0" distR="0">
            <wp:extent cx="5224678" cy="3028493"/>
            <wp:effectExtent l="19050" t="0" r="14072" b="457"/>
            <wp:docPr id="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20717" w:rsidRPr="00C81A5C" w:rsidRDefault="00420717" w:rsidP="00420717">
      <w:pPr>
        <w:pStyle w:val="Default"/>
        <w:spacing w:before="120" w:after="120"/>
        <w:jc w:val="both"/>
        <w:rPr>
          <w:b/>
          <w:bCs/>
          <w:color w:val="auto"/>
        </w:rPr>
      </w:pPr>
      <w:r w:rsidRPr="00C81A5C">
        <w:rPr>
          <w:b/>
          <w:bCs/>
          <w:color w:val="auto"/>
        </w:rPr>
        <w:t xml:space="preserve">Figura </w:t>
      </w:r>
      <w:r>
        <w:rPr>
          <w:b/>
          <w:bCs/>
          <w:color w:val="auto"/>
        </w:rPr>
        <w:t>II.</w:t>
      </w:r>
      <w:r w:rsidRPr="00C81A5C">
        <w:rPr>
          <w:b/>
          <w:bCs/>
          <w:color w:val="auto"/>
        </w:rPr>
        <w:t>2.1.1.1.</w:t>
      </w:r>
      <w:r w:rsidRPr="00C81A5C">
        <w:rPr>
          <w:b/>
          <w:color w:val="auto"/>
        </w:rPr>
        <w:t xml:space="preserve"> Variaţia concentraţiilor de CBO5 şi amoniu la nivelul bazinelor hidrografice din judeţul Buzău, în anul 2014</w:t>
      </w:r>
    </w:p>
    <w:p w:rsidR="00420717" w:rsidRPr="00C81A5C" w:rsidRDefault="00420717" w:rsidP="00420717">
      <w:pPr>
        <w:pStyle w:val="Default"/>
        <w:jc w:val="both"/>
        <w:rPr>
          <w:b/>
          <w:bCs/>
          <w:color w:val="auto"/>
        </w:rPr>
      </w:pPr>
    </w:p>
    <w:p w:rsidR="00420717" w:rsidRPr="00702A15" w:rsidRDefault="00420717" w:rsidP="00420717">
      <w:pPr>
        <w:pStyle w:val="Default"/>
        <w:jc w:val="both"/>
        <w:rPr>
          <w:bCs/>
          <w:color w:val="auto"/>
        </w:rPr>
      </w:pPr>
    </w:p>
    <w:p w:rsidR="00420717" w:rsidRPr="00702A15" w:rsidRDefault="00420717" w:rsidP="00420717">
      <w:pPr>
        <w:pStyle w:val="Default"/>
        <w:jc w:val="both"/>
        <w:rPr>
          <w:bCs/>
          <w:color w:val="auto"/>
        </w:rPr>
      </w:pPr>
    </w:p>
    <w:p w:rsidR="00420717" w:rsidRPr="00702A15" w:rsidRDefault="00420717" w:rsidP="00420717">
      <w:pPr>
        <w:pStyle w:val="Default"/>
        <w:jc w:val="both"/>
        <w:rPr>
          <w:bCs/>
          <w:color w:val="auto"/>
        </w:rPr>
      </w:pPr>
    </w:p>
    <w:p w:rsidR="00420717" w:rsidRPr="00702A15" w:rsidRDefault="00420717" w:rsidP="00420717">
      <w:pPr>
        <w:pStyle w:val="Default"/>
        <w:jc w:val="center"/>
        <w:rPr>
          <w:bCs/>
          <w:color w:val="auto"/>
        </w:rPr>
      </w:pPr>
      <w:r w:rsidRPr="00702A15">
        <w:rPr>
          <w:bCs/>
          <w:noProof/>
          <w:color w:val="auto"/>
          <w:lang w:eastAsia="ro-RO"/>
        </w:rPr>
        <w:lastRenderedPageBreak/>
        <w:drawing>
          <wp:inline distT="0" distB="0" distL="0" distR="0">
            <wp:extent cx="5503926" cy="2039671"/>
            <wp:effectExtent l="19050" t="0" r="20574"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20717" w:rsidRPr="00C81A5C" w:rsidRDefault="00420717" w:rsidP="00420717">
      <w:pPr>
        <w:pStyle w:val="Default"/>
        <w:spacing w:before="120" w:after="120"/>
        <w:jc w:val="both"/>
        <w:rPr>
          <w:b/>
          <w:bCs/>
          <w:color w:val="auto"/>
        </w:rPr>
      </w:pPr>
      <w:r w:rsidRPr="00C81A5C">
        <w:rPr>
          <w:b/>
          <w:bCs/>
          <w:color w:val="auto"/>
        </w:rPr>
        <w:t>Figura</w:t>
      </w:r>
      <w:r>
        <w:rPr>
          <w:b/>
          <w:bCs/>
          <w:color w:val="auto"/>
        </w:rPr>
        <w:t xml:space="preserve"> II.</w:t>
      </w:r>
      <w:r w:rsidRPr="00C81A5C">
        <w:rPr>
          <w:b/>
          <w:bCs/>
          <w:color w:val="auto"/>
        </w:rPr>
        <w:t>2.1.1.2.</w:t>
      </w:r>
      <w:r w:rsidRPr="00C81A5C">
        <w:rPr>
          <w:b/>
          <w:color w:val="auto"/>
        </w:rPr>
        <w:t xml:space="preserve"> Variaţia concentraţiilor de CBO5 şi amoniu la nivelul bazinului hidrografic Buzău, în perioada 2010-2014</w:t>
      </w:r>
    </w:p>
    <w:p w:rsidR="00420717" w:rsidRPr="00702A15" w:rsidRDefault="00420717" w:rsidP="00420717">
      <w:pPr>
        <w:spacing w:after="0" w:line="240" w:lineRule="auto"/>
        <w:jc w:val="both"/>
        <w:rPr>
          <w:rFonts w:ascii="Arial" w:hAnsi="Arial" w:cs="Arial"/>
          <w:bCs/>
          <w:sz w:val="24"/>
          <w:szCs w:val="24"/>
        </w:rPr>
      </w:pPr>
    </w:p>
    <w:p w:rsidR="00420717" w:rsidRPr="00702A15" w:rsidRDefault="00420717" w:rsidP="00420717">
      <w:pPr>
        <w:spacing w:after="0" w:line="240" w:lineRule="auto"/>
        <w:jc w:val="center"/>
        <w:rPr>
          <w:rFonts w:ascii="Arial" w:hAnsi="Arial" w:cs="Arial"/>
          <w:b/>
          <w:sz w:val="24"/>
          <w:szCs w:val="24"/>
          <w:lang w:val="it-IT"/>
        </w:rPr>
      </w:pPr>
      <w:r w:rsidRPr="00702A15">
        <w:rPr>
          <w:rFonts w:ascii="Arial" w:hAnsi="Arial" w:cs="Arial"/>
          <w:b/>
          <w:noProof/>
          <w:sz w:val="24"/>
          <w:szCs w:val="24"/>
          <w:lang w:val="ro-RO" w:eastAsia="ro-RO"/>
        </w:rPr>
        <w:drawing>
          <wp:inline distT="0" distB="0" distL="0" distR="0">
            <wp:extent cx="5582818" cy="2136038"/>
            <wp:effectExtent l="19050" t="0" r="17882"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20717" w:rsidRPr="00C81A5C" w:rsidRDefault="00420717" w:rsidP="00420717">
      <w:pPr>
        <w:pStyle w:val="Default"/>
        <w:spacing w:before="120" w:after="120"/>
        <w:jc w:val="both"/>
        <w:rPr>
          <w:b/>
          <w:bCs/>
          <w:color w:val="auto"/>
        </w:rPr>
      </w:pPr>
      <w:r w:rsidRPr="00C81A5C">
        <w:rPr>
          <w:b/>
          <w:bCs/>
          <w:color w:val="auto"/>
        </w:rPr>
        <w:t>Figura</w:t>
      </w:r>
      <w:r>
        <w:rPr>
          <w:b/>
          <w:bCs/>
          <w:color w:val="auto"/>
        </w:rPr>
        <w:t xml:space="preserve"> II.</w:t>
      </w:r>
      <w:r w:rsidRPr="00C81A5C">
        <w:rPr>
          <w:b/>
          <w:bCs/>
          <w:color w:val="auto"/>
        </w:rPr>
        <w:t>2.1.1.3.</w:t>
      </w:r>
      <w:r w:rsidRPr="00C81A5C">
        <w:rPr>
          <w:b/>
          <w:color w:val="auto"/>
        </w:rPr>
        <w:t xml:space="preserve"> Variaţia concentraţiilor de CBO5 şi amoniu la nivelul bazinului hidrografic Sărata, în perioada 2010-2014</w:t>
      </w:r>
    </w:p>
    <w:p w:rsidR="00420717" w:rsidRPr="00702A15" w:rsidRDefault="00420717" w:rsidP="00420717">
      <w:pPr>
        <w:pStyle w:val="Default"/>
        <w:jc w:val="both"/>
        <w:rPr>
          <w:bCs/>
          <w:color w:val="auto"/>
        </w:rPr>
      </w:pPr>
    </w:p>
    <w:p w:rsidR="00420717" w:rsidRPr="00702A15" w:rsidRDefault="00420717" w:rsidP="00420717">
      <w:pPr>
        <w:spacing w:after="0" w:line="240" w:lineRule="auto"/>
        <w:jc w:val="center"/>
        <w:rPr>
          <w:rFonts w:ascii="Arial" w:hAnsi="Arial" w:cs="Arial"/>
          <w:b/>
          <w:sz w:val="24"/>
          <w:szCs w:val="24"/>
          <w:lang w:val="it-IT"/>
        </w:rPr>
      </w:pPr>
      <w:r w:rsidRPr="00702A15">
        <w:rPr>
          <w:rFonts w:ascii="Arial" w:hAnsi="Arial" w:cs="Arial"/>
          <w:b/>
          <w:noProof/>
          <w:sz w:val="24"/>
          <w:szCs w:val="24"/>
          <w:lang w:val="ro-RO" w:eastAsia="ro-RO"/>
        </w:rPr>
        <w:drawing>
          <wp:inline distT="0" distB="0" distL="0" distR="0">
            <wp:extent cx="5634050" cy="3072384"/>
            <wp:effectExtent l="19050" t="0" r="23800" b="0"/>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20717" w:rsidRDefault="00420717" w:rsidP="00420717">
      <w:pPr>
        <w:pStyle w:val="Default"/>
        <w:jc w:val="both"/>
        <w:rPr>
          <w:bCs/>
          <w:color w:val="auto"/>
        </w:rPr>
      </w:pPr>
    </w:p>
    <w:p w:rsidR="00420717" w:rsidRPr="00C81A5C" w:rsidRDefault="00420717" w:rsidP="00420717">
      <w:pPr>
        <w:pStyle w:val="Default"/>
        <w:jc w:val="both"/>
        <w:rPr>
          <w:b/>
          <w:bCs/>
          <w:color w:val="auto"/>
        </w:rPr>
      </w:pPr>
      <w:r>
        <w:rPr>
          <w:b/>
          <w:bCs/>
          <w:color w:val="auto"/>
        </w:rPr>
        <w:t>Figura II.</w:t>
      </w:r>
      <w:r w:rsidRPr="00C81A5C">
        <w:rPr>
          <w:b/>
          <w:bCs/>
          <w:color w:val="auto"/>
        </w:rPr>
        <w:t>2.1.1.4.</w:t>
      </w:r>
      <w:r w:rsidRPr="00C81A5C">
        <w:rPr>
          <w:b/>
          <w:color w:val="auto"/>
        </w:rPr>
        <w:t xml:space="preserve"> Variaţia concentraţiilor de CBO5 şi amoniu la nivelul bazinului hidrografic Călmăţui, în perioada 2010-2014</w:t>
      </w:r>
    </w:p>
    <w:p w:rsidR="00420717" w:rsidRPr="00702A15" w:rsidRDefault="00420717" w:rsidP="00420717">
      <w:pPr>
        <w:pStyle w:val="Default"/>
        <w:jc w:val="both"/>
        <w:rPr>
          <w:bCs/>
          <w:color w:val="auto"/>
        </w:rPr>
      </w:pPr>
    </w:p>
    <w:p w:rsidR="00420717" w:rsidRPr="00702A15" w:rsidRDefault="00420717" w:rsidP="00420717">
      <w:pPr>
        <w:pStyle w:val="Default"/>
        <w:jc w:val="center"/>
        <w:rPr>
          <w:bCs/>
          <w:color w:val="auto"/>
        </w:rPr>
      </w:pPr>
      <w:r w:rsidRPr="00702A15">
        <w:rPr>
          <w:bCs/>
          <w:noProof/>
          <w:color w:val="auto"/>
          <w:lang w:eastAsia="ro-RO"/>
        </w:rPr>
        <w:lastRenderedPageBreak/>
        <w:drawing>
          <wp:inline distT="0" distB="0" distL="0" distR="0">
            <wp:extent cx="5650535" cy="2743200"/>
            <wp:effectExtent l="19050" t="0" r="26365" b="0"/>
            <wp:docPr id="4"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20717" w:rsidRPr="00C81A5C" w:rsidRDefault="00420717" w:rsidP="00420717">
      <w:pPr>
        <w:pStyle w:val="Default"/>
        <w:spacing w:before="120" w:after="120"/>
        <w:jc w:val="both"/>
        <w:rPr>
          <w:b/>
          <w:bCs/>
          <w:color w:val="auto"/>
        </w:rPr>
      </w:pPr>
      <w:r w:rsidRPr="00C81A5C">
        <w:rPr>
          <w:b/>
          <w:bCs/>
          <w:color w:val="auto"/>
        </w:rPr>
        <w:t>Figura</w:t>
      </w:r>
      <w:r>
        <w:rPr>
          <w:b/>
          <w:bCs/>
          <w:color w:val="auto"/>
        </w:rPr>
        <w:t xml:space="preserve"> II.</w:t>
      </w:r>
      <w:r w:rsidRPr="00C81A5C">
        <w:rPr>
          <w:b/>
          <w:bCs/>
          <w:color w:val="auto"/>
        </w:rPr>
        <w:t>2.1.1.5.</w:t>
      </w:r>
      <w:r w:rsidRPr="00C81A5C">
        <w:rPr>
          <w:b/>
          <w:color w:val="auto"/>
        </w:rPr>
        <w:t xml:space="preserve"> Variaţia concentraţiilor de CBO5 şi amoniu la nivelul bazinului hidrografic Râmnicu Sărat, în perioada 2010-2014</w:t>
      </w:r>
    </w:p>
    <w:p w:rsidR="00420717" w:rsidRPr="00702A15" w:rsidRDefault="00420717" w:rsidP="00420717">
      <w:pPr>
        <w:pStyle w:val="Default"/>
        <w:jc w:val="both"/>
        <w:rPr>
          <w:bCs/>
          <w:color w:val="auto"/>
        </w:rPr>
      </w:pPr>
    </w:p>
    <w:p w:rsidR="00420717" w:rsidRPr="00702A15" w:rsidRDefault="00420717" w:rsidP="00420717">
      <w:pPr>
        <w:spacing w:after="0" w:line="240" w:lineRule="auto"/>
        <w:jc w:val="both"/>
        <w:rPr>
          <w:rFonts w:ascii="Arial" w:hAnsi="Arial" w:cs="Arial"/>
          <w:b/>
          <w:sz w:val="24"/>
          <w:szCs w:val="24"/>
          <w:lang w:val="it-IT"/>
        </w:rPr>
      </w:pPr>
      <w:r w:rsidRPr="00702A15">
        <w:rPr>
          <w:rFonts w:ascii="Arial" w:hAnsi="Arial" w:cs="Arial"/>
          <w:b/>
          <w:sz w:val="24"/>
          <w:szCs w:val="24"/>
          <w:lang w:val="it-IT"/>
        </w:rPr>
        <w:t>B. Calitatea apei de suprafa</w:t>
      </w:r>
      <w:r>
        <w:rPr>
          <w:rFonts w:ascii="Arial" w:hAnsi="Arial" w:cs="Arial"/>
          <w:b/>
          <w:sz w:val="24"/>
          <w:szCs w:val="24"/>
          <w:lang w:val="it-IT"/>
        </w:rPr>
        <w:t>ţ</w:t>
      </w:r>
      <w:r w:rsidRPr="00702A15">
        <w:rPr>
          <w:rFonts w:ascii="Arial" w:hAnsi="Arial" w:cs="Arial"/>
          <w:b/>
          <w:sz w:val="24"/>
          <w:szCs w:val="24"/>
          <w:lang w:val="it-IT"/>
        </w:rPr>
        <w:t xml:space="preserve">ă, din punct de vedere al </w:t>
      </w:r>
      <w:r w:rsidRPr="00702A15">
        <w:rPr>
          <w:rFonts w:ascii="Arial" w:hAnsi="Arial" w:cs="Arial"/>
          <w:b/>
          <w:sz w:val="24"/>
          <w:szCs w:val="24"/>
        </w:rPr>
        <w:t>conţinutului în nutrien</w:t>
      </w:r>
      <w:r>
        <w:rPr>
          <w:rFonts w:ascii="Arial" w:hAnsi="Arial" w:cs="Arial"/>
          <w:b/>
          <w:sz w:val="24"/>
          <w:szCs w:val="24"/>
        </w:rPr>
        <w:t>ţ</w:t>
      </w:r>
      <w:r w:rsidRPr="00702A15">
        <w:rPr>
          <w:rFonts w:ascii="Arial" w:hAnsi="Arial" w:cs="Arial"/>
          <w:b/>
          <w:sz w:val="24"/>
          <w:szCs w:val="24"/>
        </w:rPr>
        <w:t>i, în jude</w:t>
      </w:r>
      <w:r>
        <w:rPr>
          <w:rFonts w:ascii="Arial" w:hAnsi="Arial" w:cs="Arial"/>
          <w:b/>
          <w:sz w:val="24"/>
          <w:szCs w:val="24"/>
        </w:rPr>
        <w:t>ţ</w:t>
      </w:r>
      <w:r w:rsidRPr="00702A15">
        <w:rPr>
          <w:rFonts w:ascii="Arial" w:hAnsi="Arial" w:cs="Arial"/>
          <w:b/>
          <w:sz w:val="24"/>
          <w:szCs w:val="24"/>
        </w:rPr>
        <w:t>ul Buzău</w:t>
      </w:r>
    </w:p>
    <w:p w:rsidR="00420717" w:rsidRPr="00702A15" w:rsidRDefault="00420717" w:rsidP="00420717">
      <w:pPr>
        <w:spacing w:after="0" w:line="240" w:lineRule="auto"/>
        <w:jc w:val="both"/>
        <w:rPr>
          <w:rFonts w:ascii="Arial" w:hAnsi="Arial" w:cs="Arial"/>
          <w:sz w:val="24"/>
          <w:szCs w:val="24"/>
        </w:rPr>
      </w:pP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Calitatea principalelor cursuri de apă de din judeţul Buzău, în anul 2014, pe secţiuni de control, din punct de vedere al conţinutului în nitraţi, amoniu şi fosfaţi este prezentată în următorul tabel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763"/>
        <w:gridCol w:w="1557"/>
        <w:gridCol w:w="2278"/>
        <w:gridCol w:w="907"/>
        <w:gridCol w:w="1165"/>
        <w:gridCol w:w="1165"/>
        <w:gridCol w:w="1019"/>
      </w:tblGrid>
      <w:tr w:rsidR="00420717" w:rsidRPr="00702A15" w:rsidTr="00D92384">
        <w:trPr>
          <w:cantSplit/>
          <w:trHeight w:val="1510"/>
          <w:jc w:val="center"/>
        </w:trPr>
        <w:tc>
          <w:tcPr>
            <w:tcW w:w="895"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Bazin hidr</w:t>
            </w:r>
            <w:r w:rsidRPr="00702A15">
              <w:rPr>
                <w:rFonts w:ascii="Arial" w:hAnsi="Arial" w:cs="Arial"/>
                <w:b/>
                <w:sz w:val="24"/>
                <w:szCs w:val="24"/>
              </w:rPr>
              <w:t>o</w:t>
            </w:r>
            <w:r w:rsidRPr="00702A15">
              <w:rPr>
                <w:rFonts w:ascii="Arial" w:hAnsi="Arial" w:cs="Arial"/>
                <w:b/>
                <w:sz w:val="24"/>
                <w:szCs w:val="24"/>
              </w:rPr>
              <w:t>grafic</w:t>
            </w:r>
          </w:p>
        </w:tc>
        <w:tc>
          <w:tcPr>
            <w:tcW w:w="790"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Curs apă</w:t>
            </w:r>
          </w:p>
        </w:tc>
        <w:tc>
          <w:tcPr>
            <w:tcW w:w="1156" w:type="pct"/>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Secţiunea de co</w:t>
            </w:r>
            <w:r w:rsidRPr="00702A15">
              <w:rPr>
                <w:rFonts w:ascii="Arial" w:hAnsi="Arial" w:cs="Arial"/>
                <w:b/>
                <w:sz w:val="24"/>
                <w:szCs w:val="24"/>
              </w:rPr>
              <w:t>n</w:t>
            </w:r>
            <w:r w:rsidRPr="00702A15">
              <w:rPr>
                <w:rFonts w:ascii="Arial" w:hAnsi="Arial" w:cs="Arial"/>
                <w:b/>
                <w:sz w:val="24"/>
                <w:szCs w:val="24"/>
              </w:rPr>
              <w:t>trol</w:t>
            </w:r>
          </w:p>
        </w:tc>
        <w:tc>
          <w:tcPr>
            <w:tcW w:w="460" w:type="pct"/>
            <w:textDirection w:val="btLr"/>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NitraţiN-NO</w:t>
            </w:r>
            <w:r w:rsidRPr="00702A15">
              <w:rPr>
                <w:rFonts w:ascii="Arial" w:hAnsi="Arial" w:cs="Arial"/>
                <w:b/>
                <w:sz w:val="24"/>
                <w:szCs w:val="24"/>
                <w:vertAlign w:val="subscript"/>
              </w:rPr>
              <w:t>3</w:t>
            </w:r>
            <w:r w:rsidRPr="00702A15">
              <w:rPr>
                <w:rFonts w:ascii="Arial" w:hAnsi="Arial" w:cs="Arial"/>
                <w:b/>
                <w:sz w:val="24"/>
                <w:szCs w:val="24"/>
                <w:vertAlign w:val="superscript"/>
              </w:rPr>
              <w:t>-</w:t>
            </w:r>
          </w:p>
        </w:tc>
        <w:tc>
          <w:tcPr>
            <w:tcW w:w="591" w:type="pct"/>
            <w:textDirection w:val="btLr"/>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Amoniu</w:t>
            </w:r>
          </w:p>
          <w:p w:rsidR="00420717" w:rsidRPr="00702A15" w:rsidRDefault="00420717" w:rsidP="00D92384">
            <w:pPr>
              <w:spacing w:after="0" w:line="240" w:lineRule="auto"/>
              <w:jc w:val="center"/>
              <w:rPr>
                <w:rFonts w:ascii="Arial" w:hAnsi="Arial" w:cs="Arial"/>
                <w:b/>
                <w:i/>
                <w:iCs/>
                <w:sz w:val="24"/>
                <w:szCs w:val="24"/>
              </w:rPr>
            </w:pPr>
            <w:r w:rsidRPr="00702A15">
              <w:rPr>
                <w:rFonts w:ascii="Arial" w:hAnsi="Arial" w:cs="Arial"/>
                <w:b/>
                <w:sz w:val="24"/>
                <w:szCs w:val="24"/>
              </w:rPr>
              <w:t>N-NH</w:t>
            </w:r>
            <w:r w:rsidRPr="00702A15">
              <w:rPr>
                <w:rFonts w:ascii="Arial" w:hAnsi="Arial" w:cs="Arial"/>
                <w:b/>
                <w:sz w:val="24"/>
                <w:szCs w:val="24"/>
                <w:vertAlign w:val="subscript"/>
              </w:rPr>
              <w:t>4</w:t>
            </w:r>
            <w:r w:rsidRPr="00702A15">
              <w:rPr>
                <w:rFonts w:ascii="Arial" w:hAnsi="Arial" w:cs="Arial"/>
                <w:b/>
                <w:sz w:val="24"/>
                <w:szCs w:val="24"/>
                <w:vertAlign w:val="superscript"/>
              </w:rPr>
              <w:t>+</w:t>
            </w:r>
          </w:p>
        </w:tc>
        <w:tc>
          <w:tcPr>
            <w:tcW w:w="591" w:type="pct"/>
            <w:textDirection w:val="btLr"/>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Ortofosfaţi</w:t>
            </w:r>
          </w:p>
          <w:p w:rsidR="00420717" w:rsidRPr="00702A15" w:rsidRDefault="00420717" w:rsidP="00D92384">
            <w:pPr>
              <w:spacing w:after="0" w:line="240" w:lineRule="auto"/>
              <w:jc w:val="center"/>
              <w:rPr>
                <w:rFonts w:ascii="Arial" w:hAnsi="Arial" w:cs="Arial"/>
                <w:b/>
                <w:sz w:val="24"/>
                <w:szCs w:val="24"/>
                <w:vertAlign w:val="superscript"/>
              </w:rPr>
            </w:pPr>
            <w:r w:rsidRPr="00702A15">
              <w:rPr>
                <w:rFonts w:ascii="Arial" w:hAnsi="Arial" w:cs="Arial"/>
                <w:b/>
                <w:sz w:val="24"/>
                <w:szCs w:val="24"/>
              </w:rPr>
              <w:t>P-PO</w:t>
            </w:r>
            <w:r w:rsidRPr="00702A15">
              <w:rPr>
                <w:rFonts w:ascii="Arial" w:hAnsi="Arial" w:cs="Arial"/>
                <w:b/>
                <w:sz w:val="24"/>
                <w:szCs w:val="24"/>
                <w:vertAlign w:val="subscript"/>
              </w:rPr>
              <w:t>4</w:t>
            </w:r>
            <w:r w:rsidRPr="00702A15">
              <w:rPr>
                <w:rFonts w:ascii="Arial" w:hAnsi="Arial" w:cs="Arial"/>
                <w:b/>
                <w:sz w:val="24"/>
                <w:szCs w:val="24"/>
                <w:vertAlign w:val="superscript"/>
              </w:rPr>
              <w:t>3-</w:t>
            </w:r>
          </w:p>
        </w:tc>
        <w:tc>
          <w:tcPr>
            <w:tcW w:w="517" w:type="pct"/>
            <w:vMerge w:val="restart"/>
            <w:textDirection w:val="btLr"/>
            <w:vAlign w:val="center"/>
          </w:tcPr>
          <w:p w:rsidR="00420717" w:rsidRPr="00702A15" w:rsidRDefault="00420717" w:rsidP="00D92384">
            <w:pPr>
              <w:spacing w:after="0" w:line="240" w:lineRule="auto"/>
              <w:jc w:val="center"/>
              <w:rPr>
                <w:rFonts w:ascii="Arial" w:hAnsi="Arial" w:cs="Arial"/>
                <w:b/>
                <w:i/>
                <w:iCs/>
                <w:sz w:val="24"/>
                <w:szCs w:val="24"/>
              </w:rPr>
            </w:pPr>
            <w:r w:rsidRPr="00702A15">
              <w:rPr>
                <w:rFonts w:ascii="Arial" w:hAnsi="Arial" w:cs="Arial"/>
                <w:b/>
                <w:i/>
                <w:iCs/>
                <w:sz w:val="24"/>
                <w:szCs w:val="24"/>
              </w:rPr>
              <w:t>Calitatea apei</w:t>
            </w:r>
          </w:p>
          <w:p w:rsidR="00420717" w:rsidRPr="00702A15" w:rsidRDefault="00420717" w:rsidP="00D92384">
            <w:pPr>
              <w:spacing w:after="0" w:line="240" w:lineRule="auto"/>
              <w:jc w:val="center"/>
              <w:rPr>
                <w:rFonts w:ascii="Arial" w:hAnsi="Arial" w:cs="Arial"/>
                <w:b/>
                <w:i/>
                <w:iCs/>
                <w:sz w:val="24"/>
                <w:szCs w:val="24"/>
              </w:rPr>
            </w:pPr>
            <w:r w:rsidRPr="00702A15">
              <w:rPr>
                <w:rFonts w:ascii="Arial" w:hAnsi="Arial" w:cs="Arial"/>
                <w:b/>
                <w:i/>
                <w:iCs/>
                <w:sz w:val="24"/>
                <w:szCs w:val="24"/>
              </w:rPr>
              <w:t>(Starea ecologică)</w:t>
            </w:r>
          </w:p>
        </w:tc>
      </w:tr>
      <w:tr w:rsidR="00420717" w:rsidRPr="00702A15" w:rsidTr="00D92384">
        <w:trPr>
          <w:trHeight w:val="435"/>
          <w:jc w:val="center"/>
        </w:trPr>
        <w:tc>
          <w:tcPr>
            <w:tcW w:w="0" w:type="auto"/>
            <w:vMerge/>
            <w:vAlign w:val="center"/>
          </w:tcPr>
          <w:p w:rsidR="00420717" w:rsidRPr="00702A15" w:rsidRDefault="00420717" w:rsidP="00D92384">
            <w:pPr>
              <w:spacing w:after="0" w:line="240" w:lineRule="auto"/>
              <w:rPr>
                <w:rFonts w:ascii="Arial" w:hAnsi="Arial" w:cs="Arial"/>
                <w:b/>
                <w:sz w:val="24"/>
                <w:szCs w:val="24"/>
              </w:rPr>
            </w:pPr>
          </w:p>
        </w:tc>
        <w:tc>
          <w:tcPr>
            <w:tcW w:w="790" w:type="pct"/>
            <w:vMerge/>
            <w:vAlign w:val="center"/>
          </w:tcPr>
          <w:p w:rsidR="00420717" w:rsidRPr="00702A15" w:rsidRDefault="00420717" w:rsidP="00D92384">
            <w:pPr>
              <w:spacing w:after="0" w:line="240" w:lineRule="auto"/>
              <w:rPr>
                <w:rFonts w:ascii="Arial" w:hAnsi="Arial" w:cs="Arial"/>
                <w:b/>
                <w:sz w:val="24"/>
                <w:szCs w:val="24"/>
              </w:rPr>
            </w:pPr>
          </w:p>
        </w:tc>
        <w:tc>
          <w:tcPr>
            <w:tcW w:w="1156" w:type="pct"/>
            <w:vMerge/>
            <w:vAlign w:val="center"/>
          </w:tcPr>
          <w:p w:rsidR="00420717" w:rsidRPr="00702A15" w:rsidRDefault="00420717" w:rsidP="00D92384">
            <w:pPr>
              <w:spacing w:after="0" w:line="240" w:lineRule="auto"/>
              <w:rPr>
                <w:rFonts w:ascii="Arial" w:hAnsi="Arial" w:cs="Arial"/>
                <w:b/>
                <w:sz w:val="24"/>
                <w:szCs w:val="24"/>
              </w:rPr>
            </w:pPr>
          </w:p>
        </w:tc>
        <w:tc>
          <w:tcPr>
            <w:tcW w:w="460" w:type="pct"/>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mgN/l</w:t>
            </w:r>
          </w:p>
        </w:tc>
        <w:tc>
          <w:tcPr>
            <w:tcW w:w="591" w:type="pct"/>
          </w:tcPr>
          <w:p w:rsidR="00420717" w:rsidRPr="00702A15" w:rsidRDefault="00420717" w:rsidP="00D92384">
            <w:pPr>
              <w:spacing w:after="0" w:line="240" w:lineRule="auto"/>
              <w:jc w:val="both"/>
              <w:rPr>
                <w:rFonts w:ascii="Arial" w:hAnsi="Arial" w:cs="Arial"/>
                <w:b/>
                <w:i/>
                <w:iCs/>
                <w:sz w:val="24"/>
                <w:szCs w:val="24"/>
              </w:rPr>
            </w:pPr>
            <w:r w:rsidRPr="00702A15">
              <w:rPr>
                <w:rFonts w:ascii="Arial" w:hAnsi="Arial" w:cs="Arial"/>
                <w:b/>
                <w:sz w:val="24"/>
                <w:szCs w:val="24"/>
              </w:rPr>
              <w:t>mgN/l</w:t>
            </w:r>
          </w:p>
        </w:tc>
        <w:tc>
          <w:tcPr>
            <w:tcW w:w="591" w:type="pct"/>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mgP/l</w:t>
            </w:r>
          </w:p>
        </w:tc>
        <w:tc>
          <w:tcPr>
            <w:tcW w:w="0" w:type="auto"/>
            <w:vMerge/>
            <w:vAlign w:val="center"/>
          </w:tcPr>
          <w:p w:rsidR="00420717" w:rsidRPr="00702A15" w:rsidRDefault="00420717" w:rsidP="00D92384">
            <w:pPr>
              <w:spacing w:after="0" w:line="240" w:lineRule="auto"/>
              <w:rPr>
                <w:rFonts w:ascii="Arial" w:hAnsi="Arial" w:cs="Arial"/>
                <w:b/>
                <w:i/>
                <w:iCs/>
                <w:sz w:val="24"/>
                <w:szCs w:val="24"/>
              </w:rPr>
            </w:pPr>
          </w:p>
        </w:tc>
      </w:tr>
      <w:tr w:rsidR="00420717" w:rsidRPr="00702A15" w:rsidTr="00D92384">
        <w:trPr>
          <w:trHeight w:val="516"/>
          <w:jc w:val="center"/>
        </w:trPr>
        <w:tc>
          <w:tcPr>
            <w:tcW w:w="895" w:type="pct"/>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Vama Buzăului (Am. Sita Buzăului)</w:t>
            </w:r>
          </w:p>
        </w:tc>
        <w:tc>
          <w:tcPr>
            <w:tcW w:w="460"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0,69</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0,005</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jc w:val="center"/>
        </w:trPr>
        <w:tc>
          <w:tcPr>
            <w:tcW w:w="895"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790"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Av. Siriu</w:t>
            </w:r>
          </w:p>
        </w:tc>
        <w:tc>
          <w:tcPr>
            <w:tcW w:w="460"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0,39</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0,005</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FB</w:t>
            </w:r>
          </w:p>
        </w:tc>
      </w:tr>
      <w:tr w:rsidR="00420717" w:rsidRPr="00702A15" w:rsidTr="00D92384">
        <w:trPr>
          <w:trHeight w:val="354"/>
          <w:jc w:val="center"/>
        </w:trPr>
        <w:tc>
          <w:tcPr>
            <w:tcW w:w="895"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790"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Măgura</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1,63</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0,005</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trHeight w:val="354"/>
          <w:jc w:val="center"/>
        </w:trPr>
        <w:tc>
          <w:tcPr>
            <w:tcW w:w="895"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790"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Buzău</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0,64</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0,09</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0,006</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FB</w:t>
            </w:r>
          </w:p>
        </w:tc>
      </w:tr>
      <w:tr w:rsidR="00420717" w:rsidRPr="00702A15" w:rsidTr="00D92384">
        <w:trPr>
          <w:trHeight w:val="354"/>
          <w:jc w:val="center"/>
        </w:trPr>
        <w:tc>
          <w:tcPr>
            <w:tcW w:w="895"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790"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Baniţa</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1,04</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0,32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0,013</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790" w:type="pct"/>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Racoviţa</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1,12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0,08</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0,013</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1156" w:type="pct"/>
            <w:vAlign w:val="center"/>
          </w:tcPr>
          <w:p w:rsidR="00420717" w:rsidRPr="00702A15" w:rsidRDefault="00420717" w:rsidP="00D92384">
            <w:pPr>
              <w:spacing w:after="0" w:line="240" w:lineRule="auto"/>
              <w:rPr>
                <w:rFonts w:ascii="Arial" w:hAnsi="Arial" w:cs="Arial"/>
                <w:iCs/>
                <w:sz w:val="24"/>
                <w:szCs w:val="24"/>
              </w:rPr>
            </w:pPr>
            <w:r w:rsidRPr="00702A15">
              <w:rPr>
                <w:rFonts w:ascii="Arial" w:hAnsi="Arial" w:cs="Arial"/>
                <w:sz w:val="24"/>
                <w:szCs w:val="24"/>
              </w:rPr>
              <w:t xml:space="preserve">Capt. Zăgastru </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0,53</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0,05</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0,009</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B</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Casoca Mare</w:t>
            </w:r>
          </w:p>
        </w:tc>
        <w:tc>
          <w:tcPr>
            <w:tcW w:w="1156" w:type="pct"/>
            <w:vAlign w:val="center"/>
          </w:tcPr>
          <w:p w:rsidR="00420717" w:rsidRPr="00702A15" w:rsidRDefault="00420717" w:rsidP="00D92384">
            <w:pPr>
              <w:spacing w:after="0" w:line="240" w:lineRule="auto"/>
              <w:rPr>
                <w:rFonts w:ascii="Arial" w:hAnsi="Arial" w:cs="Arial"/>
                <w:iCs/>
                <w:sz w:val="24"/>
                <w:szCs w:val="24"/>
              </w:rPr>
            </w:pPr>
            <w:r w:rsidRPr="00702A15">
              <w:rPr>
                <w:rFonts w:ascii="Arial" w:hAnsi="Arial" w:cs="Arial"/>
                <w:iCs/>
                <w:sz w:val="24"/>
                <w:szCs w:val="24"/>
              </w:rPr>
              <w:t>Am. cf. Buzău</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0,23</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0,004</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FB</w:t>
            </w:r>
          </w:p>
        </w:tc>
      </w:tr>
      <w:tr w:rsidR="00420717" w:rsidRPr="00702A15" w:rsidTr="00D92384">
        <w:trPr>
          <w:trHeight w:val="365"/>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 Roziliei</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0,28</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0,004</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FB</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 Chiojdului</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Chiojdu</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0,12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0,005</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FB</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 Chiojdului</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cf. Buzău</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1,21</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0,02</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0,010</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Bâsca Chiojdului</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Priseaca</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0,18</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0,03</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0,007</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FB</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Bălăneasa</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Pârscov</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0,56</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0,07</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0,004</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Slănic</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Lopătari</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1,01</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0,10</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0,005</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lastRenderedPageBreak/>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Slănic</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Cernăteşti</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0,06</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1,14</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0,005</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Pecineaga </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Sarulesti</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0,08</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0,34</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0,018</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Câlnău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Costomiru (Am. Potârnicheşti)</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0,37</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0,04</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0,008</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tabs>
                <w:tab w:val="center" w:pos="1297"/>
              </w:tabs>
              <w:spacing w:after="0" w:line="240" w:lineRule="auto"/>
              <w:rPr>
                <w:rFonts w:ascii="Arial" w:hAnsi="Arial" w:cs="Arial"/>
                <w:sz w:val="24"/>
                <w:szCs w:val="24"/>
              </w:rPr>
            </w:pPr>
            <w:r w:rsidRPr="00702A15">
              <w:rPr>
                <w:rFonts w:ascii="Arial" w:hAnsi="Arial" w:cs="Arial"/>
                <w:sz w:val="24"/>
                <w:szCs w:val="24"/>
              </w:rPr>
              <w:t>Buzău</w:t>
            </w:r>
            <w:r w:rsidRPr="00702A15">
              <w:rPr>
                <w:rFonts w:ascii="Arial" w:hAnsi="Arial" w:cs="Arial"/>
                <w:sz w:val="24"/>
                <w:szCs w:val="24"/>
              </w:rPr>
              <w:tab/>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Buzoel</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Aval Ghergheasa</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0,05</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0,08</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0,108</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Buzău</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Boldu</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Balta Albă</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0,09</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0,28</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0,237</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Dunăre</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Călmătui</w:t>
            </w:r>
          </w:p>
        </w:tc>
        <w:tc>
          <w:tcPr>
            <w:tcW w:w="1156" w:type="pct"/>
            <w:vAlign w:val="center"/>
          </w:tcPr>
          <w:p w:rsidR="00420717" w:rsidRPr="00702A15" w:rsidRDefault="00420717" w:rsidP="00D92384">
            <w:pPr>
              <w:spacing w:after="0" w:line="240" w:lineRule="auto"/>
              <w:rPr>
                <w:rFonts w:ascii="Arial" w:hAnsi="Arial" w:cs="Arial"/>
                <w:iCs/>
                <w:sz w:val="24"/>
                <w:szCs w:val="24"/>
              </w:rPr>
            </w:pPr>
            <w:r w:rsidRPr="00702A15">
              <w:rPr>
                <w:rFonts w:ascii="Arial" w:hAnsi="Arial" w:cs="Arial"/>
                <w:iCs/>
                <w:sz w:val="24"/>
                <w:szCs w:val="24"/>
              </w:rPr>
              <w:t>Grosani /Pietrosu</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2,97</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0,08</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0,034</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M</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Ialomiţa</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Sărata</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 Monteoru</w:t>
            </w:r>
          </w:p>
        </w:tc>
        <w:tc>
          <w:tcPr>
            <w:tcW w:w="46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0,37</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0,04</w:t>
            </w:r>
          </w:p>
        </w:tc>
        <w:tc>
          <w:tcPr>
            <w:tcW w:w="591"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0,008</w:t>
            </w:r>
          </w:p>
        </w:tc>
        <w:tc>
          <w:tcPr>
            <w:tcW w:w="517" w:type="pct"/>
            <w:vAlign w:val="center"/>
          </w:tcPr>
          <w:p w:rsidR="00420717" w:rsidRPr="00702A15" w:rsidRDefault="00420717" w:rsidP="00D92384">
            <w:pPr>
              <w:spacing w:after="0" w:line="240" w:lineRule="auto"/>
              <w:jc w:val="center"/>
              <w:rPr>
                <w:rFonts w:ascii="Arial" w:hAnsi="Arial" w:cs="Arial"/>
                <w:iCs/>
                <w:sz w:val="24"/>
                <w:szCs w:val="24"/>
              </w:rPr>
            </w:pPr>
            <w:r w:rsidRPr="00702A15">
              <w:rPr>
                <w:rFonts w:ascii="Arial" w:hAnsi="Arial" w:cs="Arial"/>
                <w:iCs/>
                <w:sz w:val="24"/>
                <w:szCs w:val="24"/>
              </w:rPr>
              <w:t>FB</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Siret</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Râmnicu Sărat</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Tulburea</w:t>
            </w:r>
          </w:p>
        </w:tc>
        <w:tc>
          <w:tcPr>
            <w:tcW w:w="460"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0,132</w:t>
            </w:r>
          </w:p>
        </w:tc>
        <w:tc>
          <w:tcPr>
            <w:tcW w:w="591"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0,475</w:t>
            </w:r>
          </w:p>
        </w:tc>
        <w:tc>
          <w:tcPr>
            <w:tcW w:w="591"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0,005</w:t>
            </w:r>
          </w:p>
        </w:tc>
        <w:tc>
          <w:tcPr>
            <w:tcW w:w="517"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B</w:t>
            </w:r>
          </w:p>
        </w:tc>
      </w:tr>
      <w:tr w:rsidR="00420717" w:rsidRPr="00702A15" w:rsidTr="00D92384">
        <w:trPr>
          <w:trHeight w:val="354"/>
          <w:jc w:val="center"/>
        </w:trPr>
        <w:tc>
          <w:tcPr>
            <w:tcW w:w="895"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Siret</w:t>
            </w:r>
          </w:p>
        </w:tc>
        <w:tc>
          <w:tcPr>
            <w:tcW w:w="790"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Râmnicu Sărat</w:t>
            </w:r>
          </w:p>
        </w:tc>
        <w:tc>
          <w:tcPr>
            <w:tcW w:w="1156"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Nicoleşti</w:t>
            </w:r>
          </w:p>
        </w:tc>
        <w:tc>
          <w:tcPr>
            <w:tcW w:w="460"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0,440</w:t>
            </w:r>
          </w:p>
        </w:tc>
        <w:tc>
          <w:tcPr>
            <w:tcW w:w="591"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0,604</w:t>
            </w:r>
          </w:p>
        </w:tc>
        <w:tc>
          <w:tcPr>
            <w:tcW w:w="591"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0,0164</w:t>
            </w:r>
          </w:p>
        </w:tc>
        <w:tc>
          <w:tcPr>
            <w:tcW w:w="517" w:type="pct"/>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B</w:t>
            </w:r>
          </w:p>
        </w:tc>
      </w:tr>
    </w:tbl>
    <w:p w:rsidR="00420717" w:rsidRPr="00C81A5C" w:rsidRDefault="00420717" w:rsidP="00420717">
      <w:pPr>
        <w:pStyle w:val="Default"/>
        <w:jc w:val="both"/>
        <w:rPr>
          <w:b/>
          <w:bCs/>
          <w:color w:val="auto"/>
        </w:rPr>
      </w:pPr>
      <w:r w:rsidRPr="00C81A5C">
        <w:rPr>
          <w:b/>
          <w:bCs/>
          <w:color w:val="auto"/>
        </w:rPr>
        <w:t>Tabel II.</w:t>
      </w:r>
      <w:r w:rsidRPr="00C81A5C">
        <w:rPr>
          <w:b/>
          <w:color w:val="auto"/>
        </w:rPr>
        <w:t>2.1.1.3. Calitatea principalelor cursuri de apă de din judeţul Buzău, în anul 2014, pe secţiuni de control, din punct de vedere al conţinutului în nitraţi, amoniu şi fosfaţi</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spacing w:after="0" w:line="240" w:lineRule="auto"/>
        <w:jc w:val="both"/>
        <w:rPr>
          <w:rFonts w:ascii="Arial" w:hAnsi="Arial" w:cs="Arial"/>
          <w:bCs/>
          <w:sz w:val="24"/>
          <w:szCs w:val="24"/>
        </w:rPr>
      </w:pPr>
      <w:r w:rsidRPr="00702A15">
        <w:rPr>
          <w:rFonts w:ascii="Arial" w:hAnsi="Arial" w:cs="Arial"/>
          <w:bCs/>
          <w:sz w:val="24"/>
          <w:szCs w:val="24"/>
        </w:rPr>
        <w:t>În tabelul II.</w:t>
      </w:r>
      <w:r w:rsidRPr="00702A15">
        <w:rPr>
          <w:rFonts w:ascii="Arial" w:hAnsi="Arial" w:cs="Arial"/>
          <w:sz w:val="24"/>
          <w:szCs w:val="24"/>
        </w:rPr>
        <w:t xml:space="preserve">2.1.1.4. </w:t>
      </w:r>
      <w:r w:rsidRPr="00702A15">
        <w:rPr>
          <w:rFonts w:ascii="Arial" w:hAnsi="Arial" w:cs="Arial"/>
          <w:bCs/>
          <w:sz w:val="24"/>
          <w:szCs w:val="24"/>
        </w:rPr>
        <w:t>este redată evolu</w:t>
      </w:r>
      <w:r>
        <w:rPr>
          <w:rFonts w:ascii="Arial" w:hAnsi="Arial" w:cs="Arial"/>
          <w:bCs/>
          <w:sz w:val="24"/>
          <w:szCs w:val="24"/>
        </w:rPr>
        <w:t>ţ</w:t>
      </w:r>
      <w:r w:rsidRPr="00702A15">
        <w:rPr>
          <w:rFonts w:ascii="Arial" w:hAnsi="Arial" w:cs="Arial"/>
          <w:bCs/>
          <w:sz w:val="24"/>
          <w:szCs w:val="24"/>
        </w:rPr>
        <w:t>ia concentra</w:t>
      </w:r>
      <w:r>
        <w:rPr>
          <w:rFonts w:ascii="Arial" w:hAnsi="Arial" w:cs="Arial"/>
          <w:bCs/>
          <w:sz w:val="24"/>
          <w:szCs w:val="24"/>
        </w:rPr>
        <w:t>ţ</w:t>
      </w:r>
      <w:r w:rsidRPr="00702A15">
        <w:rPr>
          <w:rFonts w:ascii="Arial" w:hAnsi="Arial" w:cs="Arial"/>
          <w:bCs/>
          <w:sz w:val="24"/>
          <w:szCs w:val="24"/>
        </w:rPr>
        <w:t>iilor medii anuale (ponderate func</w:t>
      </w:r>
      <w:r>
        <w:rPr>
          <w:rFonts w:ascii="Arial" w:hAnsi="Arial" w:cs="Arial"/>
          <w:bCs/>
          <w:sz w:val="24"/>
          <w:szCs w:val="24"/>
        </w:rPr>
        <w:t>ţ</w:t>
      </w:r>
      <w:r w:rsidRPr="00702A15">
        <w:rPr>
          <w:rFonts w:ascii="Arial" w:hAnsi="Arial" w:cs="Arial"/>
          <w:bCs/>
          <w:sz w:val="24"/>
          <w:szCs w:val="24"/>
        </w:rPr>
        <w:t>ie de debitul fiecărui râu, în fiecare sec</w:t>
      </w:r>
      <w:r>
        <w:rPr>
          <w:rFonts w:ascii="Arial" w:hAnsi="Arial" w:cs="Arial"/>
          <w:bCs/>
          <w:sz w:val="24"/>
          <w:szCs w:val="24"/>
        </w:rPr>
        <w:t>ţ</w:t>
      </w:r>
      <w:r w:rsidRPr="00702A15">
        <w:rPr>
          <w:rFonts w:ascii="Arial" w:hAnsi="Arial" w:cs="Arial"/>
          <w:bCs/>
          <w:sz w:val="24"/>
          <w:szCs w:val="24"/>
        </w:rPr>
        <w:t>iune de control, la momentul prelevării probelor), pentru azota</w:t>
      </w:r>
      <w:r>
        <w:rPr>
          <w:rFonts w:ascii="Arial" w:hAnsi="Arial" w:cs="Arial"/>
          <w:bCs/>
          <w:sz w:val="24"/>
          <w:szCs w:val="24"/>
        </w:rPr>
        <w:t>ţ</w:t>
      </w:r>
      <w:r w:rsidRPr="00702A15">
        <w:rPr>
          <w:rFonts w:ascii="Arial" w:hAnsi="Arial" w:cs="Arial"/>
          <w:bCs/>
          <w:sz w:val="24"/>
          <w:szCs w:val="24"/>
        </w:rPr>
        <w:t xml:space="preserve">i </w:t>
      </w:r>
      <w:r>
        <w:rPr>
          <w:rFonts w:ascii="Arial" w:hAnsi="Arial" w:cs="Arial"/>
          <w:bCs/>
          <w:sz w:val="24"/>
          <w:szCs w:val="24"/>
        </w:rPr>
        <w:t>ş</w:t>
      </w:r>
      <w:r w:rsidRPr="00702A15">
        <w:rPr>
          <w:rFonts w:ascii="Arial" w:hAnsi="Arial" w:cs="Arial"/>
          <w:bCs/>
          <w:sz w:val="24"/>
          <w:szCs w:val="24"/>
        </w:rPr>
        <w:t>i fosfa</w:t>
      </w:r>
      <w:r>
        <w:rPr>
          <w:rFonts w:ascii="Arial" w:hAnsi="Arial" w:cs="Arial"/>
          <w:bCs/>
          <w:sz w:val="24"/>
          <w:szCs w:val="24"/>
        </w:rPr>
        <w:t>ţ</w:t>
      </w:r>
      <w:r w:rsidRPr="00702A15">
        <w:rPr>
          <w:rFonts w:ascii="Arial" w:hAnsi="Arial" w:cs="Arial"/>
          <w:bCs/>
          <w:sz w:val="24"/>
          <w:szCs w:val="24"/>
        </w:rPr>
        <w:t>i, în jude</w:t>
      </w:r>
      <w:r>
        <w:rPr>
          <w:rFonts w:ascii="Arial" w:hAnsi="Arial" w:cs="Arial"/>
          <w:bCs/>
          <w:sz w:val="24"/>
          <w:szCs w:val="24"/>
        </w:rPr>
        <w:t>ţ</w:t>
      </w:r>
      <w:r w:rsidRPr="00702A15">
        <w:rPr>
          <w:rFonts w:ascii="Arial" w:hAnsi="Arial" w:cs="Arial"/>
          <w:bCs/>
          <w:sz w:val="24"/>
          <w:szCs w:val="24"/>
        </w:rPr>
        <w:t>ul Buzău în perioda 2010-2014.</w:t>
      </w:r>
    </w:p>
    <w:tbl>
      <w:tblPr>
        <w:tblW w:w="7572"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2"/>
        <w:gridCol w:w="1870"/>
        <w:gridCol w:w="1471"/>
        <w:gridCol w:w="1645"/>
        <w:gridCol w:w="1594"/>
      </w:tblGrid>
      <w:tr w:rsidR="00420717" w:rsidRPr="00702A15" w:rsidTr="00D92384">
        <w:trPr>
          <w:jc w:val="center"/>
        </w:trPr>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Anul</w:t>
            </w:r>
          </w:p>
        </w:tc>
        <w:tc>
          <w:tcPr>
            <w:tcW w:w="1870"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Bazin hidr</w:t>
            </w:r>
            <w:r w:rsidRPr="00702A15">
              <w:rPr>
                <w:rFonts w:ascii="Arial" w:hAnsi="Arial" w:cs="Arial"/>
                <w:sz w:val="24"/>
                <w:szCs w:val="24"/>
              </w:rPr>
              <w:t>o</w:t>
            </w:r>
            <w:r w:rsidRPr="00702A15">
              <w:rPr>
                <w:rFonts w:ascii="Arial" w:hAnsi="Arial" w:cs="Arial"/>
                <w:sz w:val="24"/>
                <w:szCs w:val="24"/>
              </w:rPr>
              <w:t>grafic</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Număr sec</w:t>
            </w:r>
            <w:r>
              <w:rPr>
                <w:rFonts w:ascii="Tahoma" w:hAnsi="Tahoma" w:cs="Tahoma"/>
                <w:sz w:val="24"/>
                <w:szCs w:val="24"/>
              </w:rPr>
              <w:t>ţ</w:t>
            </w:r>
            <w:r w:rsidRPr="00702A15">
              <w:rPr>
                <w:rFonts w:ascii="Arial" w:hAnsi="Arial" w:cs="Arial"/>
                <w:sz w:val="24"/>
                <w:szCs w:val="24"/>
              </w:rPr>
              <w:t>iuni de control</w:t>
            </w:r>
          </w:p>
        </w:tc>
        <w:tc>
          <w:tcPr>
            <w:tcW w:w="1645" w:type="dxa"/>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sz w:val="24"/>
                <w:szCs w:val="24"/>
              </w:rPr>
              <w:t>Concentra</w:t>
            </w:r>
            <w:r>
              <w:rPr>
                <w:rFonts w:ascii="Tahoma" w:hAnsi="Tahoma" w:cs="Tahoma"/>
                <w:sz w:val="24"/>
                <w:szCs w:val="24"/>
              </w:rPr>
              <w:t>ţ</w:t>
            </w:r>
            <w:r w:rsidRPr="00702A15">
              <w:rPr>
                <w:rFonts w:ascii="Arial" w:hAnsi="Arial" w:cs="Arial"/>
                <w:sz w:val="24"/>
                <w:szCs w:val="24"/>
              </w:rPr>
              <w:t>ii medii anuale</w:t>
            </w:r>
            <w:r w:rsidRPr="00702A15">
              <w:rPr>
                <w:rFonts w:ascii="Arial" w:hAnsi="Arial" w:cs="Arial"/>
                <w:bCs/>
                <w:sz w:val="24"/>
                <w:szCs w:val="24"/>
              </w:rPr>
              <w:t>*</w:t>
            </w:r>
            <w:r w:rsidRPr="00702A15">
              <w:rPr>
                <w:rFonts w:ascii="Arial" w:hAnsi="Arial" w:cs="Arial"/>
                <w:sz w:val="24"/>
                <w:szCs w:val="24"/>
              </w:rPr>
              <w:t xml:space="preserve"> (NOᴈ)ˉ</w:t>
            </w:r>
          </w:p>
          <w:p w:rsidR="00420717" w:rsidRPr="00702A15" w:rsidRDefault="00420717" w:rsidP="00D92384">
            <w:pPr>
              <w:pStyle w:val="Default"/>
              <w:jc w:val="center"/>
              <w:rPr>
                <w:color w:val="auto"/>
              </w:rPr>
            </w:pPr>
            <w:r w:rsidRPr="00702A15">
              <w:rPr>
                <w:bCs/>
                <w:color w:val="auto"/>
              </w:rPr>
              <w:t>(mg</w:t>
            </w:r>
            <w:r w:rsidRPr="00702A15">
              <w:rPr>
                <w:color w:val="auto"/>
              </w:rPr>
              <w:t xml:space="preserve"> NOᴈ</w:t>
            </w:r>
            <w:r w:rsidRPr="00702A15">
              <w:rPr>
                <w:rFonts w:ascii="Tahoma" w:hAnsi="Tahoma" w:cs="Tahoma"/>
                <w:color w:val="auto"/>
              </w:rPr>
              <w:t>̄</w:t>
            </w:r>
            <w:r w:rsidRPr="00702A15">
              <w:rPr>
                <w:bCs/>
                <w:color w:val="auto"/>
              </w:rPr>
              <w:t xml:space="preserve"> /L)</w:t>
            </w:r>
          </w:p>
        </w:tc>
        <w:tc>
          <w:tcPr>
            <w:tcW w:w="1594" w:type="dxa"/>
            <w:vAlign w:val="center"/>
          </w:tcPr>
          <w:p w:rsidR="00420717" w:rsidRPr="00702A15" w:rsidRDefault="00420717" w:rsidP="00D92384">
            <w:pPr>
              <w:pStyle w:val="Default"/>
              <w:jc w:val="center"/>
              <w:rPr>
                <w:color w:val="auto"/>
              </w:rPr>
            </w:pPr>
            <w:r w:rsidRPr="00702A15">
              <w:rPr>
                <w:bCs/>
                <w:color w:val="auto"/>
              </w:rPr>
              <w:t>Concentraţii medii anuale* (PO</w:t>
            </w:r>
            <w:r w:rsidRPr="00702A15">
              <w:rPr>
                <w:bCs/>
                <w:color w:val="auto"/>
                <w:vertAlign w:val="subscript"/>
              </w:rPr>
              <w:t>4</w:t>
            </w:r>
            <w:r w:rsidRPr="00702A15">
              <w:rPr>
                <w:bCs/>
                <w:color w:val="auto"/>
              </w:rPr>
              <w:t>)³ˉ</w:t>
            </w:r>
          </w:p>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bCs/>
                <w:sz w:val="24"/>
                <w:szCs w:val="24"/>
              </w:rPr>
              <w:t>(mg P/L)</w:t>
            </w:r>
          </w:p>
        </w:tc>
      </w:tr>
      <w:tr w:rsidR="00420717" w:rsidRPr="00702A15" w:rsidTr="00D92384">
        <w:trPr>
          <w:jc w:val="center"/>
        </w:trPr>
        <w:tc>
          <w:tcPr>
            <w:tcW w:w="992" w:type="dxa"/>
            <w:vMerge w:val="restar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2010</w:t>
            </w: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3,77</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0,07</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Sărata</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Călmă</w:t>
            </w:r>
            <w:r>
              <w:rPr>
                <w:rFonts w:ascii="Tahoma" w:hAnsi="Tahoma" w:cs="Tahoma"/>
                <w:sz w:val="24"/>
                <w:szCs w:val="24"/>
              </w:rPr>
              <w:t>ţ</w:t>
            </w:r>
            <w:r w:rsidRPr="00702A15">
              <w:rPr>
                <w:rFonts w:ascii="Arial" w:hAnsi="Arial" w:cs="Arial"/>
                <w:sz w:val="24"/>
                <w:szCs w:val="24"/>
              </w:rPr>
              <w:t>ui</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Râmnicu Sărat</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w:t>
            </w:r>
          </w:p>
        </w:tc>
        <w:tc>
          <w:tcPr>
            <w:tcW w:w="1645"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2,33</w:t>
            </w:r>
          </w:p>
        </w:tc>
        <w:tc>
          <w:tcPr>
            <w:tcW w:w="1594"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0,06</w:t>
            </w:r>
          </w:p>
        </w:tc>
      </w:tr>
      <w:tr w:rsidR="00420717" w:rsidRPr="00702A15" w:rsidTr="00D92384">
        <w:trPr>
          <w:jc w:val="center"/>
        </w:trPr>
        <w:tc>
          <w:tcPr>
            <w:tcW w:w="992" w:type="dxa"/>
            <w:vMerge w:val="restar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2011</w:t>
            </w: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4,10</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0,11</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Sărata</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Călmă</w:t>
            </w:r>
            <w:r>
              <w:rPr>
                <w:rFonts w:ascii="Tahoma" w:hAnsi="Tahoma" w:cs="Tahoma"/>
                <w:sz w:val="24"/>
                <w:szCs w:val="24"/>
              </w:rPr>
              <w:t>ţ</w:t>
            </w:r>
            <w:r w:rsidRPr="00702A15">
              <w:rPr>
                <w:rFonts w:ascii="Arial" w:hAnsi="Arial" w:cs="Arial"/>
                <w:sz w:val="24"/>
                <w:szCs w:val="24"/>
              </w:rPr>
              <w:t>ui</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12,92</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0,24</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Râmnicu Sărat</w:t>
            </w:r>
          </w:p>
        </w:tc>
        <w:tc>
          <w:tcPr>
            <w:tcW w:w="1471"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w:t>
            </w:r>
          </w:p>
        </w:tc>
        <w:tc>
          <w:tcPr>
            <w:tcW w:w="1645"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4,25</w:t>
            </w:r>
          </w:p>
        </w:tc>
        <w:tc>
          <w:tcPr>
            <w:tcW w:w="1594"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0,023</w:t>
            </w:r>
          </w:p>
        </w:tc>
      </w:tr>
      <w:tr w:rsidR="00420717" w:rsidRPr="00702A15" w:rsidTr="00D92384">
        <w:trPr>
          <w:jc w:val="center"/>
        </w:trPr>
        <w:tc>
          <w:tcPr>
            <w:tcW w:w="992" w:type="dxa"/>
            <w:vMerge w:val="restar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2012</w:t>
            </w: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17</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3,92</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0,02</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Sărata</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1,41</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0,06</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Călmă</w:t>
            </w:r>
            <w:r>
              <w:rPr>
                <w:rFonts w:ascii="Tahoma" w:hAnsi="Tahoma" w:cs="Tahoma"/>
                <w:sz w:val="24"/>
                <w:szCs w:val="24"/>
              </w:rPr>
              <w:t>ţ</w:t>
            </w:r>
            <w:r w:rsidRPr="00702A15">
              <w:rPr>
                <w:rFonts w:ascii="Arial" w:hAnsi="Arial" w:cs="Arial"/>
                <w:sz w:val="24"/>
                <w:szCs w:val="24"/>
              </w:rPr>
              <w:t>ui</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7,09</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0,26</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Râmnicu Sărat</w:t>
            </w:r>
          </w:p>
        </w:tc>
        <w:tc>
          <w:tcPr>
            <w:tcW w:w="1471"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w:t>
            </w:r>
          </w:p>
        </w:tc>
        <w:tc>
          <w:tcPr>
            <w:tcW w:w="1645"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3,39</w:t>
            </w:r>
          </w:p>
        </w:tc>
        <w:tc>
          <w:tcPr>
            <w:tcW w:w="1594"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0,02</w:t>
            </w:r>
          </w:p>
        </w:tc>
      </w:tr>
      <w:tr w:rsidR="00420717" w:rsidRPr="00702A15" w:rsidTr="00D92384">
        <w:trPr>
          <w:jc w:val="center"/>
        </w:trPr>
        <w:tc>
          <w:tcPr>
            <w:tcW w:w="992" w:type="dxa"/>
            <w:vMerge w:val="restar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2013</w:t>
            </w: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3,68</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0,04</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Sărata</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3,63</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0,02</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Călmă</w:t>
            </w:r>
            <w:r>
              <w:rPr>
                <w:rFonts w:ascii="Tahoma" w:hAnsi="Tahoma" w:cs="Tahoma"/>
                <w:sz w:val="24"/>
                <w:szCs w:val="24"/>
              </w:rPr>
              <w:t>ţ</w:t>
            </w:r>
            <w:r w:rsidRPr="00702A15">
              <w:rPr>
                <w:rFonts w:ascii="Arial" w:hAnsi="Arial" w:cs="Arial"/>
                <w:sz w:val="24"/>
                <w:szCs w:val="24"/>
              </w:rPr>
              <w:t>ui</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9,75</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0,21</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Râmnicu Sărat</w:t>
            </w:r>
          </w:p>
        </w:tc>
        <w:tc>
          <w:tcPr>
            <w:tcW w:w="1471"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w:t>
            </w:r>
          </w:p>
        </w:tc>
        <w:tc>
          <w:tcPr>
            <w:tcW w:w="1645"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2,66</w:t>
            </w:r>
          </w:p>
        </w:tc>
        <w:tc>
          <w:tcPr>
            <w:tcW w:w="1594"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0,013</w:t>
            </w:r>
          </w:p>
        </w:tc>
      </w:tr>
      <w:tr w:rsidR="00420717" w:rsidRPr="00702A15" w:rsidTr="00D92384">
        <w:trPr>
          <w:jc w:val="center"/>
        </w:trPr>
        <w:tc>
          <w:tcPr>
            <w:tcW w:w="992" w:type="dxa"/>
            <w:vMerge w:val="restar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2014</w:t>
            </w: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3,95</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0,04</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Sărata</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2,94</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0,03</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Călmă</w:t>
            </w:r>
            <w:r>
              <w:rPr>
                <w:rFonts w:ascii="Tahoma" w:hAnsi="Tahoma" w:cs="Tahoma"/>
                <w:sz w:val="24"/>
                <w:szCs w:val="24"/>
              </w:rPr>
              <w:t>ţ</w:t>
            </w:r>
            <w:r w:rsidRPr="00702A15">
              <w:rPr>
                <w:rFonts w:ascii="Arial" w:hAnsi="Arial" w:cs="Arial"/>
                <w:sz w:val="24"/>
                <w:szCs w:val="24"/>
              </w:rPr>
              <w:t>ui</w:t>
            </w:r>
          </w:p>
        </w:tc>
        <w:tc>
          <w:tcPr>
            <w:tcW w:w="147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645"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12,24</w:t>
            </w:r>
          </w:p>
        </w:tc>
        <w:tc>
          <w:tcPr>
            <w:tcW w:w="159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0,31</w:t>
            </w:r>
          </w:p>
        </w:tc>
      </w:tr>
      <w:tr w:rsidR="00420717" w:rsidRPr="00702A15" w:rsidTr="00D92384">
        <w:trPr>
          <w:jc w:val="center"/>
        </w:trPr>
        <w:tc>
          <w:tcPr>
            <w:tcW w:w="992" w:type="dxa"/>
            <w:vMerge/>
            <w:vAlign w:val="center"/>
          </w:tcPr>
          <w:p w:rsidR="00420717" w:rsidRPr="00702A15" w:rsidRDefault="00420717" w:rsidP="00D92384">
            <w:pPr>
              <w:spacing w:after="0" w:line="240" w:lineRule="auto"/>
              <w:rPr>
                <w:rFonts w:ascii="Arial" w:hAnsi="Arial" w:cs="Arial"/>
                <w:sz w:val="24"/>
                <w:szCs w:val="24"/>
              </w:rPr>
            </w:pPr>
          </w:p>
        </w:tc>
        <w:tc>
          <w:tcPr>
            <w:tcW w:w="1870" w:type="dxa"/>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Râmnicu Sărat</w:t>
            </w:r>
          </w:p>
        </w:tc>
        <w:tc>
          <w:tcPr>
            <w:tcW w:w="1471"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w:t>
            </w:r>
          </w:p>
        </w:tc>
        <w:tc>
          <w:tcPr>
            <w:tcW w:w="1645"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3,11</w:t>
            </w:r>
          </w:p>
        </w:tc>
        <w:tc>
          <w:tcPr>
            <w:tcW w:w="1594"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0,013</w:t>
            </w:r>
          </w:p>
        </w:tc>
      </w:tr>
    </w:tbl>
    <w:p w:rsidR="00420717" w:rsidRPr="00C81A5C" w:rsidRDefault="00420717" w:rsidP="00420717">
      <w:pPr>
        <w:spacing w:after="0" w:line="240" w:lineRule="auto"/>
        <w:jc w:val="both"/>
        <w:rPr>
          <w:rFonts w:ascii="Arial" w:hAnsi="Arial" w:cs="Arial"/>
          <w:b/>
          <w:bCs/>
          <w:sz w:val="24"/>
          <w:szCs w:val="24"/>
        </w:rPr>
      </w:pPr>
      <w:r w:rsidRPr="00C81A5C">
        <w:rPr>
          <w:rFonts w:ascii="Arial" w:hAnsi="Arial" w:cs="Arial"/>
          <w:b/>
          <w:bCs/>
          <w:sz w:val="24"/>
          <w:szCs w:val="24"/>
        </w:rPr>
        <w:t>Tabel II.</w:t>
      </w:r>
      <w:r w:rsidRPr="00C81A5C">
        <w:rPr>
          <w:rFonts w:ascii="Arial" w:hAnsi="Arial" w:cs="Arial"/>
          <w:b/>
          <w:sz w:val="24"/>
          <w:szCs w:val="24"/>
        </w:rPr>
        <w:t xml:space="preserve">2.1.1.4. </w:t>
      </w:r>
      <w:r w:rsidRPr="00C81A5C">
        <w:rPr>
          <w:rFonts w:ascii="Arial" w:hAnsi="Arial" w:cs="Arial"/>
          <w:b/>
          <w:bCs/>
          <w:sz w:val="24"/>
          <w:szCs w:val="24"/>
        </w:rPr>
        <w:t>Evoluţia concentraţiilor medii anuale (ponderate funcţie de debitul fiecărui râu, în fiecare secţiune de control, la momentul prelevării probelor), pentru azotaţi şi fosfaţi, în judeţul Buzău în perioda 2010-2014.</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 </w:t>
      </w:r>
      <w:r w:rsidRPr="00702A15">
        <w:rPr>
          <w:rFonts w:ascii="Arial" w:hAnsi="Arial" w:cs="Arial"/>
          <w:b/>
          <w:bCs/>
          <w:sz w:val="24"/>
          <w:szCs w:val="24"/>
        </w:rPr>
        <w:t xml:space="preserve">* </w:t>
      </w:r>
      <w:r w:rsidRPr="00702A15">
        <w:rPr>
          <w:rFonts w:ascii="Arial" w:hAnsi="Arial" w:cs="Arial"/>
          <w:sz w:val="24"/>
          <w:szCs w:val="24"/>
        </w:rPr>
        <w:t xml:space="preserve">Concentraţii medii anuale ponderate cu debitele cursurilor de apă </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pStyle w:val="Default"/>
        <w:jc w:val="both"/>
        <w:rPr>
          <w:bCs/>
          <w:color w:val="auto"/>
        </w:rPr>
      </w:pPr>
    </w:p>
    <w:p w:rsidR="00420717" w:rsidRPr="00702A15" w:rsidRDefault="00420717" w:rsidP="00420717">
      <w:pPr>
        <w:spacing w:after="0" w:line="240" w:lineRule="auto"/>
        <w:jc w:val="center"/>
        <w:rPr>
          <w:rFonts w:ascii="Arial" w:hAnsi="Arial" w:cs="Arial"/>
          <w:sz w:val="24"/>
          <w:szCs w:val="24"/>
        </w:rPr>
      </w:pPr>
      <w:r w:rsidRPr="00702A15">
        <w:rPr>
          <w:rFonts w:ascii="Arial" w:hAnsi="Arial" w:cs="Arial"/>
          <w:noProof/>
          <w:sz w:val="24"/>
          <w:szCs w:val="24"/>
          <w:lang w:val="ro-RO" w:eastAsia="ro-RO"/>
        </w:rPr>
        <w:lastRenderedPageBreak/>
        <w:drawing>
          <wp:inline distT="0" distB="0" distL="0" distR="0">
            <wp:extent cx="5448300" cy="2531059"/>
            <wp:effectExtent l="19050" t="0" r="19050" b="2591"/>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20717" w:rsidRPr="00C81A5C" w:rsidRDefault="00420717" w:rsidP="00420717">
      <w:pPr>
        <w:pStyle w:val="Default"/>
        <w:spacing w:before="120" w:after="120"/>
        <w:jc w:val="both"/>
        <w:rPr>
          <w:b/>
          <w:bCs/>
          <w:color w:val="auto"/>
        </w:rPr>
      </w:pPr>
      <w:r w:rsidRPr="00C81A5C">
        <w:rPr>
          <w:b/>
          <w:bCs/>
          <w:color w:val="auto"/>
        </w:rPr>
        <w:t xml:space="preserve">Figura </w:t>
      </w:r>
      <w:r>
        <w:rPr>
          <w:b/>
          <w:bCs/>
          <w:color w:val="auto"/>
        </w:rPr>
        <w:t>II.</w:t>
      </w:r>
      <w:r w:rsidRPr="00C81A5C">
        <w:rPr>
          <w:b/>
          <w:bCs/>
          <w:color w:val="auto"/>
        </w:rPr>
        <w:t>2.1.1.6.</w:t>
      </w:r>
      <w:r w:rsidRPr="00C81A5C">
        <w:rPr>
          <w:b/>
          <w:color w:val="auto"/>
        </w:rPr>
        <w:t xml:space="preserve"> Variaţia concentraţiilor de azotaţi şi fosfaţi la nivelul bazinelor hidrografice, din judeţul Buzău, în anul 2014</w:t>
      </w:r>
    </w:p>
    <w:p w:rsidR="00420717" w:rsidRPr="00702A15" w:rsidRDefault="00420717" w:rsidP="00420717">
      <w:pPr>
        <w:spacing w:after="0" w:line="240" w:lineRule="auto"/>
        <w:jc w:val="both"/>
        <w:rPr>
          <w:rFonts w:ascii="Arial" w:hAnsi="Arial" w:cs="Arial"/>
          <w:bCs/>
          <w:sz w:val="24"/>
          <w:szCs w:val="24"/>
        </w:rPr>
      </w:pPr>
    </w:p>
    <w:p w:rsidR="00420717" w:rsidRPr="00702A15" w:rsidRDefault="00420717" w:rsidP="00420717">
      <w:pPr>
        <w:spacing w:after="0" w:line="240" w:lineRule="auto"/>
        <w:jc w:val="center"/>
        <w:rPr>
          <w:rFonts w:ascii="Arial" w:hAnsi="Arial" w:cs="Arial"/>
          <w:bCs/>
          <w:sz w:val="24"/>
          <w:szCs w:val="24"/>
        </w:rPr>
      </w:pPr>
      <w:r w:rsidRPr="00702A15">
        <w:rPr>
          <w:rFonts w:ascii="Arial" w:hAnsi="Arial" w:cs="Arial"/>
          <w:bCs/>
          <w:noProof/>
          <w:sz w:val="24"/>
          <w:szCs w:val="24"/>
          <w:lang w:val="ro-RO" w:eastAsia="ro-RO"/>
        </w:rPr>
        <w:drawing>
          <wp:inline distT="0" distB="0" distL="0" distR="0">
            <wp:extent cx="5610809" cy="2428646"/>
            <wp:effectExtent l="19050" t="0" r="27991" b="0"/>
            <wp:docPr id="2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20717" w:rsidRPr="00B3152B" w:rsidRDefault="00420717" w:rsidP="00420717">
      <w:pPr>
        <w:pStyle w:val="Default"/>
        <w:spacing w:before="120" w:after="120"/>
        <w:jc w:val="both"/>
        <w:rPr>
          <w:b/>
          <w:bCs/>
          <w:color w:val="auto"/>
        </w:rPr>
      </w:pPr>
      <w:r w:rsidRPr="00B3152B">
        <w:rPr>
          <w:b/>
          <w:bCs/>
          <w:color w:val="auto"/>
        </w:rPr>
        <w:t>Figura II.2.1.1.7.</w:t>
      </w:r>
      <w:r w:rsidRPr="00B3152B">
        <w:rPr>
          <w:b/>
          <w:color w:val="auto"/>
        </w:rPr>
        <w:t xml:space="preserve"> Variaţia concentraţiilor de azotaţi şi fosfaţi la nivelul bazinului hidrografic Buzău, în perioada 2010-2014</w:t>
      </w:r>
    </w:p>
    <w:p w:rsidR="00420717" w:rsidRPr="00702A15" w:rsidRDefault="00420717" w:rsidP="00420717">
      <w:pPr>
        <w:spacing w:after="0" w:line="240" w:lineRule="auto"/>
        <w:jc w:val="both"/>
        <w:rPr>
          <w:rFonts w:ascii="Arial" w:hAnsi="Arial" w:cs="Arial"/>
          <w:bCs/>
          <w:sz w:val="24"/>
          <w:szCs w:val="24"/>
        </w:rPr>
      </w:pPr>
    </w:p>
    <w:p w:rsidR="00420717" w:rsidRPr="00702A15" w:rsidRDefault="00420717" w:rsidP="00420717">
      <w:pPr>
        <w:spacing w:after="0" w:line="240" w:lineRule="auto"/>
        <w:jc w:val="center"/>
        <w:rPr>
          <w:rFonts w:ascii="Arial" w:hAnsi="Arial" w:cs="Arial"/>
          <w:bCs/>
          <w:sz w:val="24"/>
          <w:szCs w:val="24"/>
        </w:rPr>
      </w:pPr>
      <w:r w:rsidRPr="00702A15">
        <w:rPr>
          <w:rFonts w:ascii="Arial" w:hAnsi="Arial" w:cs="Arial"/>
          <w:bCs/>
          <w:noProof/>
          <w:sz w:val="24"/>
          <w:szCs w:val="24"/>
          <w:lang w:val="ro-RO" w:eastAsia="ro-RO"/>
        </w:rPr>
        <w:drawing>
          <wp:inline distT="0" distB="0" distL="0" distR="0">
            <wp:extent cx="5635600" cy="2743200"/>
            <wp:effectExtent l="19050" t="0" r="22250" b="0"/>
            <wp:docPr id="2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20717" w:rsidRPr="00B3152B" w:rsidRDefault="00420717" w:rsidP="00420717">
      <w:pPr>
        <w:pStyle w:val="Default"/>
        <w:spacing w:before="120" w:after="120"/>
        <w:jc w:val="both"/>
        <w:rPr>
          <w:b/>
          <w:bCs/>
          <w:color w:val="auto"/>
        </w:rPr>
      </w:pPr>
      <w:r w:rsidRPr="00B3152B">
        <w:rPr>
          <w:b/>
          <w:bCs/>
          <w:color w:val="auto"/>
        </w:rPr>
        <w:t>Figura II.2.1.1.8.</w:t>
      </w:r>
      <w:r w:rsidRPr="00B3152B">
        <w:rPr>
          <w:b/>
          <w:color w:val="auto"/>
        </w:rPr>
        <w:t xml:space="preserve"> Variaţia concentraţiilor de azotaţi şi fosfaţi la nivelul bazinului hidrografic Sărata, în perioada 2012-2014</w:t>
      </w:r>
    </w:p>
    <w:p w:rsidR="00420717" w:rsidRPr="00702A15" w:rsidRDefault="00420717" w:rsidP="00420717">
      <w:pPr>
        <w:spacing w:after="0" w:line="240" w:lineRule="auto"/>
        <w:jc w:val="center"/>
        <w:rPr>
          <w:rFonts w:ascii="Arial" w:hAnsi="Arial" w:cs="Arial"/>
          <w:bCs/>
          <w:sz w:val="24"/>
          <w:szCs w:val="24"/>
        </w:rPr>
      </w:pPr>
      <w:r w:rsidRPr="00702A15">
        <w:rPr>
          <w:rFonts w:ascii="Arial" w:hAnsi="Arial" w:cs="Arial"/>
          <w:bCs/>
          <w:noProof/>
          <w:sz w:val="24"/>
          <w:szCs w:val="24"/>
          <w:lang w:val="ro-RO" w:eastAsia="ro-RO"/>
        </w:rPr>
        <w:lastRenderedPageBreak/>
        <w:drawing>
          <wp:inline distT="0" distB="0" distL="0" distR="0">
            <wp:extent cx="5518277" cy="3043123"/>
            <wp:effectExtent l="19050" t="0" r="25273" b="4877"/>
            <wp:docPr id="2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20717" w:rsidRPr="00B3152B" w:rsidRDefault="00420717" w:rsidP="00420717">
      <w:pPr>
        <w:pStyle w:val="Default"/>
        <w:spacing w:before="120" w:after="120"/>
        <w:jc w:val="both"/>
        <w:rPr>
          <w:b/>
          <w:bCs/>
          <w:color w:val="auto"/>
        </w:rPr>
      </w:pPr>
      <w:r w:rsidRPr="00B3152B">
        <w:rPr>
          <w:b/>
          <w:bCs/>
          <w:color w:val="auto"/>
        </w:rPr>
        <w:t>Figura II.2.1.1.9.</w:t>
      </w:r>
      <w:r w:rsidRPr="00B3152B">
        <w:rPr>
          <w:b/>
          <w:color w:val="auto"/>
        </w:rPr>
        <w:t xml:space="preserve"> Variaţia concentraţiilor de azotaţi şi fosfaţi la nivelul bazinului hidrografic Călmăţui, în perioada 2010-2014</w:t>
      </w:r>
    </w:p>
    <w:p w:rsidR="00420717" w:rsidRPr="00702A15" w:rsidRDefault="00420717" w:rsidP="00420717">
      <w:pPr>
        <w:spacing w:after="0" w:line="240" w:lineRule="auto"/>
        <w:jc w:val="both"/>
        <w:rPr>
          <w:rFonts w:ascii="Arial" w:hAnsi="Arial" w:cs="Arial"/>
          <w:bCs/>
          <w:sz w:val="24"/>
          <w:szCs w:val="24"/>
        </w:rPr>
      </w:pPr>
    </w:p>
    <w:p w:rsidR="00420717" w:rsidRPr="00702A15" w:rsidRDefault="00420717" w:rsidP="00420717">
      <w:pPr>
        <w:spacing w:after="0" w:line="240" w:lineRule="auto"/>
        <w:jc w:val="center"/>
        <w:rPr>
          <w:rFonts w:ascii="Arial" w:hAnsi="Arial" w:cs="Arial"/>
          <w:bCs/>
          <w:sz w:val="24"/>
          <w:szCs w:val="24"/>
        </w:rPr>
      </w:pPr>
      <w:r w:rsidRPr="00702A15">
        <w:rPr>
          <w:rFonts w:ascii="Arial" w:hAnsi="Arial" w:cs="Arial"/>
          <w:bCs/>
          <w:noProof/>
          <w:sz w:val="24"/>
          <w:szCs w:val="24"/>
          <w:lang w:val="ro-RO" w:eastAsia="ro-RO"/>
        </w:rPr>
        <w:drawing>
          <wp:inline distT="0" distB="0" distL="0" distR="0">
            <wp:extent cx="5540502" cy="2743200"/>
            <wp:effectExtent l="19050" t="0" r="22098" b="0"/>
            <wp:docPr id="2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20717" w:rsidRPr="00AA0E3F" w:rsidRDefault="00420717" w:rsidP="00420717">
      <w:pPr>
        <w:pStyle w:val="Default"/>
        <w:spacing w:before="120" w:after="120"/>
        <w:jc w:val="both"/>
        <w:rPr>
          <w:b/>
          <w:bCs/>
          <w:color w:val="auto"/>
        </w:rPr>
      </w:pPr>
      <w:r w:rsidRPr="00AA0E3F">
        <w:rPr>
          <w:b/>
          <w:bCs/>
          <w:color w:val="auto"/>
        </w:rPr>
        <w:t>Figura II.2.1.1.10.</w:t>
      </w:r>
      <w:r w:rsidRPr="00AA0E3F">
        <w:rPr>
          <w:b/>
          <w:color w:val="auto"/>
        </w:rPr>
        <w:t xml:space="preserve"> Variaţia concentraţiilor de azotaţi şi fosfaţi la nivelul bazinului hidrografic Râmnicu Sărat, în perioada 2010-2014</w:t>
      </w:r>
    </w:p>
    <w:p w:rsidR="00420717" w:rsidRPr="00702A15" w:rsidRDefault="00420717" w:rsidP="00420717">
      <w:pPr>
        <w:tabs>
          <w:tab w:val="left" w:pos="315"/>
        </w:tabs>
        <w:spacing w:after="0" w:line="240" w:lineRule="auto"/>
        <w:jc w:val="both"/>
        <w:rPr>
          <w:rFonts w:ascii="Arial" w:hAnsi="Arial" w:cs="Arial"/>
          <w:b/>
          <w:bCs/>
          <w:sz w:val="24"/>
          <w:szCs w:val="24"/>
          <w:lang w:val="it-IT"/>
        </w:rPr>
      </w:pPr>
    </w:p>
    <w:p w:rsidR="00420717" w:rsidRPr="00702A15" w:rsidRDefault="00420717" w:rsidP="00420717">
      <w:pPr>
        <w:tabs>
          <w:tab w:val="left" w:pos="315"/>
        </w:tabs>
        <w:spacing w:after="0" w:line="240" w:lineRule="auto"/>
        <w:jc w:val="both"/>
        <w:rPr>
          <w:rFonts w:ascii="Arial" w:hAnsi="Arial" w:cs="Arial"/>
          <w:b/>
          <w:bCs/>
          <w:sz w:val="24"/>
          <w:szCs w:val="24"/>
          <w:lang w:val="it-IT"/>
        </w:rPr>
      </w:pPr>
      <w:r w:rsidRPr="00702A15">
        <w:rPr>
          <w:rFonts w:ascii="Arial" w:hAnsi="Arial" w:cs="Arial"/>
          <w:b/>
          <w:bCs/>
          <w:sz w:val="24"/>
          <w:szCs w:val="24"/>
          <w:lang w:val="it-IT"/>
        </w:rPr>
        <w:t>C. Caracterizarea calită</w:t>
      </w:r>
      <w:r>
        <w:rPr>
          <w:rFonts w:ascii="Arial" w:hAnsi="Arial" w:cs="Arial"/>
          <w:b/>
          <w:bCs/>
          <w:sz w:val="24"/>
          <w:szCs w:val="24"/>
          <w:lang w:val="it-IT"/>
        </w:rPr>
        <w:t>ţ</w:t>
      </w:r>
      <w:r w:rsidRPr="00702A15">
        <w:rPr>
          <w:rFonts w:ascii="Arial" w:hAnsi="Arial" w:cs="Arial"/>
          <w:b/>
          <w:bCs/>
          <w:sz w:val="24"/>
          <w:szCs w:val="24"/>
          <w:lang w:val="it-IT"/>
        </w:rPr>
        <w:t>ii apelor de suprafa</w:t>
      </w:r>
      <w:r>
        <w:rPr>
          <w:rFonts w:ascii="Arial" w:hAnsi="Arial" w:cs="Arial"/>
          <w:b/>
          <w:bCs/>
          <w:sz w:val="24"/>
          <w:szCs w:val="24"/>
          <w:lang w:val="it-IT"/>
        </w:rPr>
        <w:t>ţ</w:t>
      </w:r>
      <w:r w:rsidRPr="00702A15">
        <w:rPr>
          <w:rFonts w:ascii="Arial" w:hAnsi="Arial" w:cs="Arial"/>
          <w:b/>
          <w:bCs/>
          <w:sz w:val="24"/>
          <w:szCs w:val="24"/>
          <w:lang w:val="it-IT"/>
        </w:rPr>
        <w:t>ă, din punct de vedere al substan</w:t>
      </w:r>
      <w:r>
        <w:rPr>
          <w:rFonts w:ascii="Arial" w:hAnsi="Arial" w:cs="Arial"/>
          <w:b/>
          <w:bCs/>
          <w:sz w:val="24"/>
          <w:szCs w:val="24"/>
          <w:lang w:val="it-IT"/>
        </w:rPr>
        <w:t>ţ</w:t>
      </w:r>
      <w:r w:rsidRPr="00702A15">
        <w:rPr>
          <w:rFonts w:ascii="Arial" w:hAnsi="Arial" w:cs="Arial"/>
          <w:b/>
          <w:bCs/>
          <w:sz w:val="24"/>
          <w:szCs w:val="24"/>
          <w:lang w:val="it-IT"/>
        </w:rPr>
        <w:t>elor periculoase, în jude</w:t>
      </w:r>
      <w:r>
        <w:rPr>
          <w:rFonts w:ascii="Arial" w:hAnsi="Arial" w:cs="Arial"/>
          <w:b/>
          <w:bCs/>
          <w:sz w:val="24"/>
          <w:szCs w:val="24"/>
          <w:lang w:val="it-IT"/>
        </w:rPr>
        <w:t>ţ</w:t>
      </w:r>
      <w:r w:rsidRPr="00702A15">
        <w:rPr>
          <w:rFonts w:ascii="Arial" w:hAnsi="Arial" w:cs="Arial"/>
          <w:b/>
          <w:bCs/>
          <w:sz w:val="24"/>
          <w:szCs w:val="24"/>
          <w:lang w:val="it-IT"/>
        </w:rPr>
        <w:t>ul Buzău</w:t>
      </w:r>
    </w:p>
    <w:p w:rsidR="00420717" w:rsidRPr="00702A15" w:rsidRDefault="00420717" w:rsidP="00420717">
      <w:pPr>
        <w:tabs>
          <w:tab w:val="left" w:pos="315"/>
        </w:tabs>
        <w:spacing w:after="0" w:line="240" w:lineRule="auto"/>
        <w:jc w:val="both"/>
        <w:rPr>
          <w:rFonts w:ascii="Arial" w:hAnsi="Arial" w:cs="Arial"/>
          <w:b/>
          <w:bCs/>
          <w:sz w:val="24"/>
          <w:szCs w:val="24"/>
          <w:lang w:val="it-IT"/>
        </w:rPr>
      </w:pP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Informaţiile generale privind monitorizarea substanţelor periculoase din cursurile de apă pe bazine hidrografice, în jude</w:t>
      </w:r>
      <w:r>
        <w:rPr>
          <w:rFonts w:ascii="Arial" w:hAnsi="Arial" w:cs="Arial"/>
          <w:sz w:val="24"/>
          <w:szCs w:val="24"/>
        </w:rPr>
        <w:t>ţ</w:t>
      </w:r>
      <w:r w:rsidRPr="00702A15">
        <w:rPr>
          <w:rFonts w:ascii="Arial" w:hAnsi="Arial" w:cs="Arial"/>
          <w:sz w:val="24"/>
          <w:szCs w:val="24"/>
        </w:rPr>
        <w:t>ul Buzău în anul 2014 sunt prezentate în tabelul de mai jos.</w:t>
      </w:r>
    </w:p>
    <w:tbl>
      <w:tblPr>
        <w:tblStyle w:val="TableGrid"/>
        <w:tblW w:w="0" w:type="auto"/>
        <w:tblInd w:w="343" w:type="dxa"/>
        <w:tblLook w:val="04A0"/>
      </w:tblPr>
      <w:tblGrid>
        <w:gridCol w:w="1310"/>
        <w:gridCol w:w="1701"/>
        <w:gridCol w:w="1417"/>
        <w:gridCol w:w="1418"/>
        <w:gridCol w:w="1559"/>
        <w:gridCol w:w="1559"/>
      </w:tblGrid>
      <w:tr w:rsidR="00420717" w:rsidRPr="00702A15" w:rsidTr="00D92384">
        <w:tc>
          <w:tcPr>
            <w:tcW w:w="1310" w:type="dxa"/>
            <w:vMerge w:val="restart"/>
            <w:vAlign w:val="center"/>
          </w:tcPr>
          <w:p w:rsidR="00420717" w:rsidRPr="00702A15" w:rsidRDefault="00420717" w:rsidP="00D92384">
            <w:pPr>
              <w:pStyle w:val="Default"/>
              <w:jc w:val="center"/>
              <w:rPr>
                <w:color w:val="auto"/>
              </w:rPr>
            </w:pPr>
            <w:r w:rsidRPr="00702A15">
              <w:rPr>
                <w:color w:val="auto"/>
              </w:rPr>
              <w:t>Categorie</w:t>
            </w:r>
          </w:p>
        </w:tc>
        <w:tc>
          <w:tcPr>
            <w:tcW w:w="1701" w:type="dxa"/>
            <w:vMerge w:val="restart"/>
            <w:vAlign w:val="center"/>
          </w:tcPr>
          <w:p w:rsidR="00420717" w:rsidRPr="00702A15" w:rsidRDefault="00420717" w:rsidP="00D92384">
            <w:pPr>
              <w:pStyle w:val="Default"/>
              <w:jc w:val="center"/>
              <w:rPr>
                <w:color w:val="auto"/>
              </w:rPr>
            </w:pPr>
            <w:r w:rsidRPr="00702A15">
              <w:rPr>
                <w:color w:val="auto"/>
              </w:rPr>
              <w:t>Reţea de râu monitorizată (km)</w:t>
            </w:r>
          </w:p>
        </w:tc>
        <w:tc>
          <w:tcPr>
            <w:tcW w:w="2835" w:type="dxa"/>
            <w:gridSpan w:val="2"/>
            <w:vAlign w:val="center"/>
          </w:tcPr>
          <w:p w:rsidR="00420717" w:rsidRPr="00702A15" w:rsidRDefault="00420717" w:rsidP="00D92384">
            <w:pPr>
              <w:pStyle w:val="Default"/>
              <w:jc w:val="center"/>
              <w:rPr>
                <w:color w:val="auto"/>
              </w:rPr>
            </w:pPr>
            <w:r w:rsidRPr="00702A15">
              <w:rPr>
                <w:color w:val="auto"/>
              </w:rPr>
              <w:t>Numărul substanţelor periculoase monitorizate</w:t>
            </w:r>
          </w:p>
        </w:tc>
        <w:tc>
          <w:tcPr>
            <w:tcW w:w="1559" w:type="dxa"/>
            <w:vMerge w:val="restart"/>
            <w:vAlign w:val="center"/>
          </w:tcPr>
          <w:p w:rsidR="00420717" w:rsidRPr="00702A15" w:rsidRDefault="00420717" w:rsidP="00D92384">
            <w:pPr>
              <w:pStyle w:val="Default"/>
              <w:jc w:val="center"/>
              <w:rPr>
                <w:color w:val="auto"/>
              </w:rPr>
            </w:pPr>
            <w:r w:rsidRPr="00702A15">
              <w:rPr>
                <w:color w:val="auto"/>
              </w:rPr>
              <w:t>Numărul substanţelor prioritare monitorizate</w:t>
            </w:r>
          </w:p>
        </w:tc>
        <w:tc>
          <w:tcPr>
            <w:tcW w:w="1559" w:type="dxa"/>
            <w:vMerge w:val="restart"/>
            <w:vAlign w:val="center"/>
          </w:tcPr>
          <w:p w:rsidR="00420717" w:rsidRPr="00702A15" w:rsidRDefault="00420717" w:rsidP="00D92384">
            <w:pPr>
              <w:pStyle w:val="Default"/>
              <w:jc w:val="center"/>
              <w:rPr>
                <w:color w:val="auto"/>
              </w:rPr>
            </w:pPr>
            <w:r w:rsidRPr="00702A15">
              <w:rPr>
                <w:color w:val="auto"/>
              </w:rPr>
              <w:t>Numărul punctelor de monitorizare</w:t>
            </w:r>
          </w:p>
        </w:tc>
      </w:tr>
      <w:tr w:rsidR="00420717" w:rsidRPr="00702A15" w:rsidTr="00D92384">
        <w:tc>
          <w:tcPr>
            <w:tcW w:w="1310" w:type="dxa"/>
            <w:vMerge/>
          </w:tcPr>
          <w:p w:rsidR="00420717" w:rsidRPr="00702A15" w:rsidRDefault="00420717" w:rsidP="00D92384">
            <w:pPr>
              <w:jc w:val="both"/>
              <w:rPr>
                <w:rFonts w:ascii="Arial" w:hAnsi="Arial" w:cs="Arial"/>
                <w:sz w:val="24"/>
                <w:szCs w:val="24"/>
              </w:rPr>
            </w:pPr>
          </w:p>
        </w:tc>
        <w:tc>
          <w:tcPr>
            <w:tcW w:w="1701" w:type="dxa"/>
            <w:vMerge/>
          </w:tcPr>
          <w:p w:rsidR="00420717" w:rsidRPr="00702A15" w:rsidRDefault="00420717" w:rsidP="00D92384">
            <w:pPr>
              <w:jc w:val="both"/>
              <w:rPr>
                <w:rFonts w:ascii="Arial" w:hAnsi="Arial" w:cs="Arial"/>
                <w:sz w:val="24"/>
                <w:szCs w:val="24"/>
              </w:rPr>
            </w:pPr>
          </w:p>
        </w:tc>
        <w:tc>
          <w:tcPr>
            <w:tcW w:w="1417" w:type="dxa"/>
          </w:tcPr>
          <w:p w:rsidR="00420717" w:rsidRPr="00702A15" w:rsidRDefault="00420717" w:rsidP="00D92384">
            <w:pPr>
              <w:pStyle w:val="Default"/>
              <w:jc w:val="center"/>
              <w:rPr>
                <w:color w:val="auto"/>
              </w:rPr>
            </w:pPr>
            <w:r w:rsidRPr="00702A15">
              <w:rPr>
                <w:color w:val="auto"/>
              </w:rPr>
              <w:t xml:space="preserve">Metale grele </w:t>
            </w:r>
          </w:p>
        </w:tc>
        <w:tc>
          <w:tcPr>
            <w:tcW w:w="1418" w:type="dxa"/>
          </w:tcPr>
          <w:p w:rsidR="00420717" w:rsidRPr="00702A15" w:rsidRDefault="00420717" w:rsidP="00D92384">
            <w:pPr>
              <w:pStyle w:val="Default"/>
              <w:jc w:val="center"/>
              <w:rPr>
                <w:color w:val="auto"/>
              </w:rPr>
            </w:pPr>
            <w:r w:rsidRPr="00702A15">
              <w:rPr>
                <w:color w:val="auto"/>
              </w:rPr>
              <w:t xml:space="preserve">Substanţe organice </w:t>
            </w:r>
          </w:p>
        </w:tc>
        <w:tc>
          <w:tcPr>
            <w:tcW w:w="1559" w:type="dxa"/>
            <w:vMerge/>
          </w:tcPr>
          <w:p w:rsidR="00420717" w:rsidRPr="00702A15" w:rsidRDefault="00420717" w:rsidP="00D92384">
            <w:pPr>
              <w:jc w:val="both"/>
              <w:rPr>
                <w:rFonts w:ascii="Arial" w:hAnsi="Arial" w:cs="Arial"/>
                <w:sz w:val="24"/>
                <w:szCs w:val="24"/>
              </w:rPr>
            </w:pPr>
          </w:p>
        </w:tc>
        <w:tc>
          <w:tcPr>
            <w:tcW w:w="1559" w:type="dxa"/>
            <w:vMerge/>
          </w:tcPr>
          <w:p w:rsidR="00420717" w:rsidRPr="00702A15" w:rsidRDefault="00420717" w:rsidP="00D92384">
            <w:pPr>
              <w:jc w:val="both"/>
              <w:rPr>
                <w:rFonts w:ascii="Arial" w:hAnsi="Arial" w:cs="Arial"/>
                <w:sz w:val="24"/>
                <w:szCs w:val="24"/>
              </w:rPr>
            </w:pPr>
          </w:p>
        </w:tc>
      </w:tr>
      <w:tr w:rsidR="00420717" w:rsidRPr="00702A15" w:rsidTr="00D92384">
        <w:tc>
          <w:tcPr>
            <w:tcW w:w="1310"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Buzău</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455,5</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12</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15</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r>
      <w:tr w:rsidR="00420717" w:rsidRPr="00702A15" w:rsidTr="00D92384">
        <w:tc>
          <w:tcPr>
            <w:tcW w:w="1310"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Sărata</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40</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310"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lastRenderedPageBreak/>
              <w:t>Călmă</w:t>
            </w:r>
            <w:r>
              <w:rPr>
                <w:rFonts w:ascii="Arial" w:hAnsi="Arial" w:cs="Arial"/>
                <w:sz w:val="24"/>
                <w:szCs w:val="24"/>
              </w:rPr>
              <w:t>ţ</w:t>
            </w:r>
            <w:r w:rsidRPr="00702A15">
              <w:rPr>
                <w:rFonts w:ascii="Arial" w:hAnsi="Arial" w:cs="Arial"/>
                <w:sz w:val="24"/>
                <w:szCs w:val="24"/>
              </w:rPr>
              <w:t>ui</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69</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310"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Râmnicu Sărat</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310" w:type="dxa"/>
            <w:vAlign w:val="center"/>
          </w:tcPr>
          <w:p w:rsidR="00420717" w:rsidRPr="00702A15" w:rsidRDefault="00420717" w:rsidP="00D92384">
            <w:pPr>
              <w:rPr>
                <w:rFonts w:ascii="Arial" w:hAnsi="Arial" w:cs="Arial"/>
                <w:b/>
                <w:sz w:val="24"/>
                <w:szCs w:val="24"/>
              </w:rPr>
            </w:pPr>
            <w:r w:rsidRPr="00702A15">
              <w:rPr>
                <w:rFonts w:ascii="Arial" w:hAnsi="Arial" w:cs="Arial"/>
                <w:b/>
                <w:sz w:val="24"/>
                <w:szCs w:val="24"/>
              </w:rPr>
              <w:t>Total jude</w:t>
            </w:r>
            <w:r>
              <w:rPr>
                <w:rFonts w:ascii="Arial" w:hAnsi="Arial" w:cs="Arial"/>
                <w:b/>
                <w:sz w:val="24"/>
                <w:szCs w:val="24"/>
              </w:rPr>
              <w:t>ţ</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bl>
    <w:p w:rsidR="00420717" w:rsidRPr="00AA0E3F" w:rsidRDefault="00420717" w:rsidP="00420717">
      <w:pPr>
        <w:pStyle w:val="Default"/>
        <w:jc w:val="both"/>
        <w:rPr>
          <w:b/>
          <w:bCs/>
          <w:color w:val="auto"/>
        </w:rPr>
      </w:pPr>
      <w:r w:rsidRPr="00AA0E3F">
        <w:rPr>
          <w:b/>
          <w:bCs/>
          <w:color w:val="auto"/>
        </w:rPr>
        <w:t>Tabel II.</w:t>
      </w:r>
      <w:r w:rsidRPr="00AA0E3F">
        <w:rPr>
          <w:b/>
          <w:color w:val="auto"/>
        </w:rPr>
        <w:t>2.1.1.5. Informaţii generale privind monitorizarea substanţelor periculoase din cursurile de apă naturale, puternic modificate şi artificiale, din judeţul Buzău, în anul 2014</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p>
    <w:p w:rsidR="00420717" w:rsidRPr="00702A15" w:rsidRDefault="00420717" w:rsidP="00420717">
      <w:pPr>
        <w:pStyle w:val="Default"/>
        <w:jc w:val="both"/>
        <w:rPr>
          <w:bCs/>
          <w:color w:val="auto"/>
        </w:rPr>
      </w:pPr>
      <w:r w:rsidRPr="00702A15">
        <w:rPr>
          <w:bCs/>
          <w:color w:val="auto"/>
        </w:rPr>
        <w:t>SGA Vrancea nu a furnizat date cu privire la acest tabel.</w:t>
      </w: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Informaţiile generale privind monitorizarea substanţelor periculoase din cursurile de apă, în func</w:t>
      </w:r>
      <w:r>
        <w:rPr>
          <w:rFonts w:ascii="Arial" w:hAnsi="Arial" w:cs="Arial"/>
          <w:sz w:val="24"/>
          <w:szCs w:val="24"/>
        </w:rPr>
        <w:t>ţ</w:t>
      </w:r>
      <w:r w:rsidRPr="00702A15">
        <w:rPr>
          <w:rFonts w:ascii="Arial" w:hAnsi="Arial" w:cs="Arial"/>
          <w:sz w:val="24"/>
          <w:szCs w:val="24"/>
        </w:rPr>
        <w:t>ie de tipul râului, în jude</w:t>
      </w:r>
      <w:r>
        <w:rPr>
          <w:rFonts w:ascii="Arial" w:hAnsi="Arial" w:cs="Arial"/>
          <w:sz w:val="24"/>
          <w:szCs w:val="24"/>
        </w:rPr>
        <w:t>ţ</w:t>
      </w:r>
      <w:r w:rsidRPr="00702A15">
        <w:rPr>
          <w:rFonts w:ascii="Arial" w:hAnsi="Arial" w:cs="Arial"/>
          <w:sz w:val="24"/>
          <w:szCs w:val="24"/>
        </w:rPr>
        <w:t>ul Buzău, în anul 2014, sunt prezentate în tabelul de mai jos.</w:t>
      </w:r>
    </w:p>
    <w:p w:rsidR="00420717" w:rsidRPr="00702A15" w:rsidRDefault="00420717" w:rsidP="00420717">
      <w:pPr>
        <w:spacing w:after="0" w:line="240" w:lineRule="auto"/>
        <w:jc w:val="both"/>
        <w:rPr>
          <w:rFonts w:ascii="Arial" w:hAnsi="Arial" w:cs="Arial"/>
          <w:sz w:val="24"/>
          <w:szCs w:val="24"/>
        </w:rPr>
      </w:pPr>
    </w:p>
    <w:tbl>
      <w:tblPr>
        <w:tblStyle w:val="TableGrid"/>
        <w:tblW w:w="0" w:type="auto"/>
        <w:tblInd w:w="343" w:type="dxa"/>
        <w:tblLook w:val="04A0"/>
      </w:tblPr>
      <w:tblGrid>
        <w:gridCol w:w="1310"/>
        <w:gridCol w:w="1701"/>
        <w:gridCol w:w="1417"/>
        <w:gridCol w:w="1418"/>
        <w:gridCol w:w="1559"/>
        <w:gridCol w:w="1559"/>
      </w:tblGrid>
      <w:tr w:rsidR="00420717" w:rsidRPr="00702A15" w:rsidTr="00D92384">
        <w:tc>
          <w:tcPr>
            <w:tcW w:w="1310" w:type="dxa"/>
            <w:vMerge w:val="restart"/>
            <w:vAlign w:val="center"/>
          </w:tcPr>
          <w:p w:rsidR="00420717" w:rsidRPr="00702A15" w:rsidRDefault="00420717" w:rsidP="00D92384">
            <w:pPr>
              <w:pStyle w:val="Default"/>
              <w:jc w:val="center"/>
              <w:rPr>
                <w:color w:val="auto"/>
              </w:rPr>
            </w:pPr>
            <w:r w:rsidRPr="00702A15">
              <w:rPr>
                <w:color w:val="auto"/>
              </w:rPr>
              <w:t>Categorie</w:t>
            </w:r>
          </w:p>
        </w:tc>
        <w:tc>
          <w:tcPr>
            <w:tcW w:w="1701" w:type="dxa"/>
            <w:vMerge w:val="restart"/>
            <w:vAlign w:val="center"/>
          </w:tcPr>
          <w:p w:rsidR="00420717" w:rsidRPr="00702A15" w:rsidRDefault="00420717" w:rsidP="00D92384">
            <w:pPr>
              <w:pStyle w:val="Default"/>
              <w:jc w:val="center"/>
              <w:rPr>
                <w:color w:val="auto"/>
              </w:rPr>
            </w:pPr>
            <w:r w:rsidRPr="00702A15">
              <w:rPr>
                <w:color w:val="auto"/>
              </w:rPr>
              <w:t>Reţea de râu monitorizată (km)</w:t>
            </w:r>
          </w:p>
        </w:tc>
        <w:tc>
          <w:tcPr>
            <w:tcW w:w="2835" w:type="dxa"/>
            <w:gridSpan w:val="2"/>
            <w:vAlign w:val="center"/>
          </w:tcPr>
          <w:p w:rsidR="00420717" w:rsidRPr="00702A15" w:rsidRDefault="00420717" w:rsidP="00D92384">
            <w:pPr>
              <w:pStyle w:val="Default"/>
              <w:jc w:val="center"/>
              <w:rPr>
                <w:color w:val="auto"/>
              </w:rPr>
            </w:pPr>
            <w:r w:rsidRPr="00702A15">
              <w:rPr>
                <w:color w:val="auto"/>
              </w:rPr>
              <w:t>Numărul substanţelor periculoase monitorizate</w:t>
            </w:r>
          </w:p>
        </w:tc>
        <w:tc>
          <w:tcPr>
            <w:tcW w:w="1559" w:type="dxa"/>
            <w:vMerge w:val="restart"/>
            <w:vAlign w:val="center"/>
          </w:tcPr>
          <w:p w:rsidR="00420717" w:rsidRPr="00702A15" w:rsidRDefault="00420717" w:rsidP="00D92384">
            <w:pPr>
              <w:pStyle w:val="Default"/>
              <w:jc w:val="center"/>
              <w:rPr>
                <w:color w:val="auto"/>
              </w:rPr>
            </w:pPr>
            <w:r w:rsidRPr="00702A15">
              <w:rPr>
                <w:color w:val="auto"/>
              </w:rPr>
              <w:t>Numărul substanţelor prioritare monitorizate</w:t>
            </w:r>
          </w:p>
        </w:tc>
        <w:tc>
          <w:tcPr>
            <w:tcW w:w="1559" w:type="dxa"/>
            <w:vMerge w:val="restart"/>
            <w:vAlign w:val="center"/>
          </w:tcPr>
          <w:p w:rsidR="00420717" w:rsidRPr="00702A15" w:rsidRDefault="00420717" w:rsidP="00D92384">
            <w:pPr>
              <w:pStyle w:val="Default"/>
              <w:jc w:val="center"/>
              <w:rPr>
                <w:color w:val="auto"/>
              </w:rPr>
            </w:pPr>
            <w:r w:rsidRPr="00702A15">
              <w:rPr>
                <w:color w:val="auto"/>
              </w:rPr>
              <w:t>Numărul punctelor de monitorizare</w:t>
            </w:r>
          </w:p>
        </w:tc>
      </w:tr>
      <w:tr w:rsidR="00420717" w:rsidRPr="00702A15" w:rsidTr="00D92384">
        <w:tc>
          <w:tcPr>
            <w:tcW w:w="1310" w:type="dxa"/>
            <w:vMerge/>
          </w:tcPr>
          <w:p w:rsidR="00420717" w:rsidRPr="00702A15" w:rsidRDefault="00420717" w:rsidP="00D92384">
            <w:pPr>
              <w:jc w:val="both"/>
              <w:rPr>
                <w:rFonts w:ascii="Arial" w:hAnsi="Arial" w:cs="Arial"/>
                <w:sz w:val="24"/>
                <w:szCs w:val="24"/>
              </w:rPr>
            </w:pPr>
          </w:p>
        </w:tc>
        <w:tc>
          <w:tcPr>
            <w:tcW w:w="1701" w:type="dxa"/>
            <w:vMerge/>
          </w:tcPr>
          <w:p w:rsidR="00420717" w:rsidRPr="00702A15" w:rsidRDefault="00420717" w:rsidP="00D92384">
            <w:pPr>
              <w:jc w:val="both"/>
              <w:rPr>
                <w:rFonts w:ascii="Arial" w:hAnsi="Arial" w:cs="Arial"/>
                <w:sz w:val="24"/>
                <w:szCs w:val="24"/>
              </w:rPr>
            </w:pPr>
          </w:p>
        </w:tc>
        <w:tc>
          <w:tcPr>
            <w:tcW w:w="1417" w:type="dxa"/>
          </w:tcPr>
          <w:p w:rsidR="00420717" w:rsidRPr="00702A15" w:rsidRDefault="00420717" w:rsidP="00D92384">
            <w:pPr>
              <w:pStyle w:val="Default"/>
              <w:jc w:val="center"/>
              <w:rPr>
                <w:color w:val="auto"/>
              </w:rPr>
            </w:pPr>
            <w:r w:rsidRPr="00702A15">
              <w:rPr>
                <w:color w:val="auto"/>
              </w:rPr>
              <w:t xml:space="preserve">Metale grele </w:t>
            </w:r>
          </w:p>
        </w:tc>
        <w:tc>
          <w:tcPr>
            <w:tcW w:w="1418" w:type="dxa"/>
          </w:tcPr>
          <w:p w:rsidR="00420717" w:rsidRPr="00702A15" w:rsidRDefault="00420717" w:rsidP="00D92384">
            <w:pPr>
              <w:pStyle w:val="Default"/>
              <w:jc w:val="center"/>
              <w:rPr>
                <w:color w:val="auto"/>
              </w:rPr>
            </w:pPr>
            <w:r w:rsidRPr="00702A15">
              <w:rPr>
                <w:color w:val="auto"/>
              </w:rPr>
              <w:t xml:space="preserve">Substanţe organice </w:t>
            </w:r>
          </w:p>
        </w:tc>
        <w:tc>
          <w:tcPr>
            <w:tcW w:w="1559" w:type="dxa"/>
            <w:vMerge/>
          </w:tcPr>
          <w:p w:rsidR="00420717" w:rsidRPr="00702A15" w:rsidRDefault="00420717" w:rsidP="00D92384">
            <w:pPr>
              <w:jc w:val="both"/>
              <w:rPr>
                <w:rFonts w:ascii="Arial" w:hAnsi="Arial" w:cs="Arial"/>
                <w:sz w:val="24"/>
                <w:szCs w:val="24"/>
              </w:rPr>
            </w:pPr>
          </w:p>
        </w:tc>
        <w:tc>
          <w:tcPr>
            <w:tcW w:w="1559" w:type="dxa"/>
            <w:vMerge/>
          </w:tcPr>
          <w:p w:rsidR="00420717" w:rsidRPr="00702A15" w:rsidRDefault="00420717" w:rsidP="00D92384">
            <w:pPr>
              <w:jc w:val="both"/>
              <w:rPr>
                <w:rFonts w:ascii="Arial" w:hAnsi="Arial" w:cs="Arial"/>
                <w:sz w:val="24"/>
                <w:szCs w:val="24"/>
              </w:rPr>
            </w:pPr>
          </w:p>
        </w:tc>
      </w:tr>
      <w:tr w:rsidR="00420717" w:rsidRPr="00702A15" w:rsidTr="00D92384">
        <w:tc>
          <w:tcPr>
            <w:tcW w:w="1310" w:type="dxa"/>
            <w:vAlign w:val="center"/>
          </w:tcPr>
          <w:p w:rsidR="00420717" w:rsidRPr="00702A15" w:rsidRDefault="00420717" w:rsidP="00D92384">
            <w:pPr>
              <w:pStyle w:val="Default"/>
              <w:rPr>
                <w:color w:val="auto"/>
              </w:rPr>
            </w:pPr>
            <w:r w:rsidRPr="00702A15">
              <w:rPr>
                <w:color w:val="auto"/>
              </w:rPr>
              <w:t>Râuri naturale - total jude</w:t>
            </w:r>
            <w:r>
              <w:rPr>
                <w:color w:val="auto"/>
              </w:rPr>
              <w:t>ţ</w:t>
            </w:r>
            <w:r w:rsidRPr="00702A15">
              <w:rPr>
                <w:color w:val="auto"/>
              </w:rPr>
              <w:t xml:space="preserve"> </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477,5</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12</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15</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r>
      <w:tr w:rsidR="00420717" w:rsidRPr="00702A15" w:rsidTr="00D92384">
        <w:tc>
          <w:tcPr>
            <w:tcW w:w="1310" w:type="dxa"/>
            <w:vAlign w:val="center"/>
          </w:tcPr>
          <w:p w:rsidR="00420717" w:rsidRPr="00702A15" w:rsidRDefault="00420717" w:rsidP="00D92384">
            <w:pPr>
              <w:pStyle w:val="Default"/>
              <w:rPr>
                <w:color w:val="auto"/>
              </w:rPr>
            </w:pPr>
            <w:r w:rsidRPr="00702A15">
              <w:rPr>
                <w:color w:val="auto"/>
              </w:rPr>
              <w:t xml:space="preserve">Râuri puternic modificate </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87</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310" w:type="dxa"/>
            <w:vAlign w:val="center"/>
          </w:tcPr>
          <w:p w:rsidR="00420717" w:rsidRPr="00702A15" w:rsidRDefault="00420717" w:rsidP="00D92384">
            <w:pPr>
              <w:pStyle w:val="Default"/>
              <w:rPr>
                <w:color w:val="auto"/>
              </w:rPr>
            </w:pPr>
            <w:r w:rsidRPr="00702A15">
              <w:rPr>
                <w:color w:val="auto"/>
              </w:rPr>
              <w:t xml:space="preserve">Râuri artificiale </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c>
          <w:tcPr>
            <w:tcW w:w="1310" w:type="dxa"/>
            <w:vAlign w:val="center"/>
          </w:tcPr>
          <w:p w:rsidR="00420717" w:rsidRPr="00702A15" w:rsidRDefault="00420717" w:rsidP="00D92384">
            <w:pPr>
              <w:rPr>
                <w:rFonts w:ascii="Arial" w:hAnsi="Arial" w:cs="Arial"/>
                <w:b/>
                <w:sz w:val="24"/>
                <w:szCs w:val="24"/>
              </w:rPr>
            </w:pPr>
            <w:r w:rsidRPr="00702A15">
              <w:rPr>
                <w:rFonts w:ascii="Arial" w:hAnsi="Arial" w:cs="Arial"/>
                <w:b/>
                <w:sz w:val="24"/>
                <w:szCs w:val="24"/>
              </w:rPr>
              <w:t>Total Jude</w:t>
            </w:r>
            <w:r>
              <w:rPr>
                <w:rFonts w:ascii="Arial" w:hAnsi="Arial" w:cs="Arial"/>
                <w:b/>
                <w:sz w:val="24"/>
                <w:szCs w:val="24"/>
              </w:rPr>
              <w:t>ţ</w:t>
            </w:r>
          </w:p>
        </w:tc>
        <w:tc>
          <w:tcPr>
            <w:tcW w:w="170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564,5</w:t>
            </w:r>
          </w:p>
        </w:tc>
        <w:tc>
          <w:tcPr>
            <w:tcW w:w="141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1418"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12</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15</w:t>
            </w:r>
          </w:p>
        </w:tc>
        <w:tc>
          <w:tcPr>
            <w:tcW w:w="155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w:t>
            </w:r>
          </w:p>
        </w:tc>
      </w:tr>
    </w:tbl>
    <w:p w:rsidR="00420717" w:rsidRPr="00AA0E3F" w:rsidRDefault="00420717" w:rsidP="00420717">
      <w:pPr>
        <w:pStyle w:val="Default"/>
        <w:jc w:val="both"/>
        <w:rPr>
          <w:b/>
          <w:bCs/>
          <w:color w:val="auto"/>
        </w:rPr>
      </w:pPr>
      <w:r w:rsidRPr="00AA0E3F">
        <w:rPr>
          <w:b/>
          <w:bCs/>
          <w:color w:val="auto"/>
        </w:rPr>
        <w:t>Tabel II.</w:t>
      </w:r>
      <w:r w:rsidRPr="00AA0E3F">
        <w:rPr>
          <w:b/>
          <w:color w:val="auto"/>
        </w:rPr>
        <w:t>2.1.1.6. Informaţiile generale privind monitorizarea substanţelor periculoase din cursurile de apă, în funcţie de tipul râului, în judeţul Buzău, în anul 2014</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p>
    <w:p w:rsidR="00420717" w:rsidRPr="00702A15" w:rsidRDefault="00420717" w:rsidP="00420717">
      <w:pPr>
        <w:pStyle w:val="Default"/>
        <w:jc w:val="both"/>
        <w:rPr>
          <w:bCs/>
          <w:color w:val="auto"/>
        </w:rPr>
      </w:pPr>
      <w:r w:rsidRPr="00702A15">
        <w:rPr>
          <w:bCs/>
          <w:color w:val="auto"/>
        </w:rPr>
        <w:t>SGA Vrancea nu a furnizat date la acest capitol.</w:t>
      </w:r>
    </w:p>
    <w:p w:rsidR="00420717" w:rsidRPr="00702A15" w:rsidRDefault="00420717" w:rsidP="00420717">
      <w:pPr>
        <w:pStyle w:val="Default"/>
        <w:jc w:val="both"/>
        <w:rPr>
          <w:bCs/>
          <w:color w:val="auto"/>
        </w:rPr>
      </w:pPr>
    </w:p>
    <w:p w:rsidR="00420717" w:rsidRPr="00702A15" w:rsidRDefault="00420717" w:rsidP="00420717">
      <w:pPr>
        <w:pStyle w:val="Default"/>
        <w:jc w:val="both"/>
        <w:rPr>
          <w:bCs/>
          <w:color w:val="auto"/>
        </w:rPr>
      </w:pPr>
      <w:r w:rsidRPr="00702A15">
        <w:rPr>
          <w:bCs/>
          <w:color w:val="auto"/>
        </w:rPr>
        <w:t>ABA Buzău-Ialomi</w:t>
      </w:r>
      <w:r>
        <w:rPr>
          <w:bCs/>
          <w:color w:val="auto"/>
        </w:rPr>
        <w:t>ţ</w:t>
      </w:r>
      <w:r w:rsidRPr="00702A15">
        <w:rPr>
          <w:bCs/>
          <w:color w:val="auto"/>
        </w:rPr>
        <w:t xml:space="preserve">a </w:t>
      </w:r>
      <w:r>
        <w:rPr>
          <w:bCs/>
          <w:color w:val="auto"/>
        </w:rPr>
        <w:t>ş</w:t>
      </w:r>
      <w:r w:rsidRPr="00702A15">
        <w:rPr>
          <w:bCs/>
          <w:color w:val="auto"/>
        </w:rPr>
        <w:t xml:space="preserve">i SGA Vrancea nu au furnizat date cu privire la calitatea </w:t>
      </w:r>
      <w:r w:rsidRPr="00702A15">
        <w:rPr>
          <w:color w:val="auto"/>
        </w:rPr>
        <w:t>cursurilor de apă din punct de vedere al</w:t>
      </w:r>
      <w:r w:rsidRPr="00702A15">
        <w:rPr>
          <w:bCs/>
          <w:color w:val="auto"/>
        </w:rPr>
        <w:t xml:space="preserve"> substanţelor periculoase </w:t>
      </w:r>
    </w:p>
    <w:p w:rsidR="00420717" w:rsidRPr="00702A15" w:rsidRDefault="00420717" w:rsidP="00420717">
      <w:pPr>
        <w:spacing w:after="0" w:line="240" w:lineRule="auto"/>
        <w:jc w:val="both"/>
        <w:rPr>
          <w:rFonts w:ascii="Arial" w:hAnsi="Arial" w:cs="Arial"/>
          <w:sz w:val="24"/>
          <w:szCs w:val="24"/>
        </w:rPr>
      </w:pP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Tendinţele de poluare cu substanţe periculoase a cursului de apă Râmnicu Sărat, la niv</w:t>
      </w:r>
      <w:r w:rsidRPr="00702A15">
        <w:rPr>
          <w:rFonts w:ascii="Arial" w:hAnsi="Arial" w:cs="Arial"/>
          <w:sz w:val="24"/>
          <w:szCs w:val="24"/>
        </w:rPr>
        <w:t>e</w:t>
      </w:r>
      <w:r w:rsidRPr="00702A15">
        <w:rPr>
          <w:rFonts w:ascii="Arial" w:hAnsi="Arial" w:cs="Arial"/>
          <w:sz w:val="24"/>
          <w:szCs w:val="24"/>
        </w:rPr>
        <w:t>lul jude</w:t>
      </w:r>
      <w:r>
        <w:rPr>
          <w:rFonts w:ascii="Arial" w:hAnsi="Arial" w:cs="Arial"/>
          <w:sz w:val="24"/>
          <w:szCs w:val="24"/>
        </w:rPr>
        <w:t>ţ</w:t>
      </w:r>
      <w:r w:rsidRPr="00702A15">
        <w:rPr>
          <w:rFonts w:ascii="Arial" w:hAnsi="Arial" w:cs="Arial"/>
          <w:sz w:val="24"/>
          <w:szCs w:val="24"/>
        </w:rPr>
        <w:t>ului Buzău, în perioada 2010-2014, este redată în tabelul următor.</w:t>
      </w:r>
    </w:p>
    <w:p w:rsidR="00420717" w:rsidRPr="00702A15" w:rsidRDefault="00420717" w:rsidP="00420717">
      <w:pPr>
        <w:spacing w:after="0" w:line="240" w:lineRule="auto"/>
        <w:jc w:val="both"/>
        <w:rPr>
          <w:rFonts w:ascii="Arial" w:hAnsi="Arial" w:cs="Arial"/>
          <w:b/>
          <w:sz w:val="24"/>
          <w:szCs w:val="24"/>
        </w:rPr>
      </w:pPr>
    </w:p>
    <w:tbl>
      <w:tblPr>
        <w:tblStyle w:val="TableGrid"/>
        <w:tblW w:w="0" w:type="auto"/>
        <w:tblInd w:w="392" w:type="dxa"/>
        <w:tblLook w:val="04A0"/>
      </w:tblPr>
      <w:tblGrid>
        <w:gridCol w:w="4961"/>
        <w:gridCol w:w="809"/>
        <w:gridCol w:w="750"/>
        <w:gridCol w:w="851"/>
        <w:gridCol w:w="850"/>
        <w:gridCol w:w="851"/>
      </w:tblGrid>
      <w:tr w:rsidR="00420717" w:rsidRPr="00702A15" w:rsidTr="00D92384">
        <w:tc>
          <w:tcPr>
            <w:tcW w:w="4961" w:type="dxa"/>
            <w:vAlign w:val="center"/>
          </w:tcPr>
          <w:p w:rsidR="00420717" w:rsidRPr="00702A15" w:rsidRDefault="00420717" w:rsidP="00D92384">
            <w:pPr>
              <w:jc w:val="center"/>
              <w:rPr>
                <w:rFonts w:ascii="Arial" w:hAnsi="Arial" w:cs="Arial"/>
                <w:b/>
                <w:sz w:val="24"/>
                <w:szCs w:val="24"/>
              </w:rPr>
            </w:pPr>
            <w:r w:rsidRPr="00702A15">
              <w:rPr>
                <w:rFonts w:ascii="Arial" w:hAnsi="Arial" w:cs="Arial"/>
                <w:b/>
                <w:sz w:val="24"/>
                <w:szCs w:val="24"/>
              </w:rPr>
              <w:t>Anul</w:t>
            </w:r>
          </w:p>
        </w:tc>
        <w:tc>
          <w:tcPr>
            <w:tcW w:w="809" w:type="dxa"/>
            <w:vAlign w:val="center"/>
          </w:tcPr>
          <w:p w:rsidR="00420717" w:rsidRPr="00702A15" w:rsidRDefault="00420717" w:rsidP="00D92384">
            <w:pPr>
              <w:jc w:val="center"/>
              <w:rPr>
                <w:rFonts w:ascii="Arial" w:hAnsi="Arial" w:cs="Arial"/>
                <w:b/>
                <w:sz w:val="24"/>
                <w:szCs w:val="24"/>
              </w:rPr>
            </w:pPr>
            <w:r w:rsidRPr="00702A15">
              <w:rPr>
                <w:rFonts w:ascii="Arial" w:hAnsi="Arial" w:cs="Arial"/>
                <w:b/>
                <w:sz w:val="24"/>
                <w:szCs w:val="24"/>
              </w:rPr>
              <w:t>2010</w:t>
            </w:r>
          </w:p>
        </w:tc>
        <w:tc>
          <w:tcPr>
            <w:tcW w:w="750" w:type="dxa"/>
            <w:vAlign w:val="center"/>
          </w:tcPr>
          <w:p w:rsidR="00420717" w:rsidRPr="00702A15" w:rsidRDefault="00420717" w:rsidP="00D92384">
            <w:pPr>
              <w:jc w:val="center"/>
              <w:rPr>
                <w:rFonts w:ascii="Arial" w:hAnsi="Arial" w:cs="Arial"/>
                <w:b/>
                <w:sz w:val="24"/>
                <w:szCs w:val="24"/>
              </w:rPr>
            </w:pPr>
            <w:r w:rsidRPr="00702A15">
              <w:rPr>
                <w:rFonts w:ascii="Arial" w:hAnsi="Arial" w:cs="Arial"/>
                <w:b/>
                <w:sz w:val="24"/>
                <w:szCs w:val="24"/>
              </w:rPr>
              <w:t>2011</w:t>
            </w:r>
          </w:p>
        </w:tc>
        <w:tc>
          <w:tcPr>
            <w:tcW w:w="851" w:type="dxa"/>
            <w:vAlign w:val="center"/>
          </w:tcPr>
          <w:p w:rsidR="00420717" w:rsidRPr="00702A15" w:rsidRDefault="00420717" w:rsidP="00D92384">
            <w:pPr>
              <w:jc w:val="center"/>
              <w:rPr>
                <w:rFonts w:ascii="Arial" w:hAnsi="Arial" w:cs="Arial"/>
                <w:b/>
                <w:sz w:val="24"/>
                <w:szCs w:val="24"/>
              </w:rPr>
            </w:pPr>
            <w:r w:rsidRPr="00702A15">
              <w:rPr>
                <w:rFonts w:ascii="Arial" w:hAnsi="Arial" w:cs="Arial"/>
                <w:b/>
                <w:sz w:val="24"/>
                <w:szCs w:val="24"/>
              </w:rPr>
              <w:t>2012</w:t>
            </w:r>
          </w:p>
        </w:tc>
        <w:tc>
          <w:tcPr>
            <w:tcW w:w="850" w:type="dxa"/>
            <w:vAlign w:val="center"/>
          </w:tcPr>
          <w:p w:rsidR="00420717" w:rsidRPr="00702A15" w:rsidRDefault="00420717" w:rsidP="00D92384">
            <w:pPr>
              <w:jc w:val="center"/>
              <w:rPr>
                <w:rFonts w:ascii="Arial" w:hAnsi="Arial" w:cs="Arial"/>
                <w:b/>
                <w:sz w:val="24"/>
                <w:szCs w:val="24"/>
              </w:rPr>
            </w:pPr>
            <w:r w:rsidRPr="00702A15">
              <w:rPr>
                <w:rFonts w:ascii="Arial" w:hAnsi="Arial" w:cs="Arial"/>
                <w:b/>
                <w:sz w:val="24"/>
                <w:szCs w:val="24"/>
              </w:rPr>
              <w:t>2013</w:t>
            </w:r>
          </w:p>
        </w:tc>
        <w:tc>
          <w:tcPr>
            <w:tcW w:w="851" w:type="dxa"/>
            <w:vAlign w:val="center"/>
          </w:tcPr>
          <w:p w:rsidR="00420717" w:rsidRPr="00702A15" w:rsidRDefault="00420717" w:rsidP="00D92384">
            <w:pPr>
              <w:jc w:val="center"/>
              <w:rPr>
                <w:rFonts w:ascii="Arial" w:hAnsi="Arial" w:cs="Arial"/>
                <w:b/>
                <w:sz w:val="24"/>
                <w:szCs w:val="24"/>
              </w:rPr>
            </w:pPr>
            <w:r w:rsidRPr="00702A15">
              <w:rPr>
                <w:rFonts w:ascii="Arial" w:hAnsi="Arial" w:cs="Arial"/>
                <w:b/>
                <w:sz w:val="24"/>
                <w:szCs w:val="24"/>
              </w:rPr>
              <w:t>2014</w:t>
            </w:r>
          </w:p>
        </w:tc>
      </w:tr>
      <w:tr w:rsidR="00420717" w:rsidRPr="00702A15" w:rsidTr="00D92384">
        <w:tc>
          <w:tcPr>
            <w:tcW w:w="4961" w:type="dxa"/>
            <w:vAlign w:val="center"/>
          </w:tcPr>
          <w:p w:rsidR="00420717" w:rsidRPr="00702A15" w:rsidRDefault="00420717" w:rsidP="00D92384">
            <w:pPr>
              <w:pStyle w:val="Default"/>
              <w:rPr>
                <w:color w:val="auto"/>
              </w:rPr>
            </w:pPr>
            <w:r w:rsidRPr="00702A15">
              <w:rPr>
                <w:bCs/>
                <w:color w:val="auto"/>
              </w:rPr>
              <w:t xml:space="preserve">Număr substanţe periculoase monitorizate </w:t>
            </w:r>
          </w:p>
        </w:tc>
        <w:tc>
          <w:tcPr>
            <w:tcW w:w="809" w:type="dxa"/>
            <w:vAlign w:val="center"/>
          </w:tcPr>
          <w:p w:rsidR="00420717" w:rsidRPr="00702A15" w:rsidRDefault="00420717" w:rsidP="00D92384">
            <w:pPr>
              <w:jc w:val="center"/>
              <w:rPr>
                <w:sz w:val="24"/>
                <w:szCs w:val="24"/>
                <w:lang w:val="en-GB"/>
              </w:rPr>
            </w:pPr>
            <w:r w:rsidRPr="00702A15">
              <w:rPr>
                <w:sz w:val="24"/>
                <w:szCs w:val="24"/>
                <w:lang w:val="en-GB"/>
              </w:rPr>
              <w:t>1</w:t>
            </w:r>
          </w:p>
        </w:tc>
        <w:tc>
          <w:tcPr>
            <w:tcW w:w="750"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1"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0"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1" w:type="dxa"/>
            <w:vAlign w:val="center"/>
          </w:tcPr>
          <w:p w:rsidR="00420717" w:rsidRPr="00702A15" w:rsidRDefault="00420717" w:rsidP="00D92384">
            <w:pPr>
              <w:jc w:val="center"/>
              <w:rPr>
                <w:sz w:val="24"/>
                <w:szCs w:val="24"/>
                <w:lang w:val="en-GB"/>
              </w:rPr>
            </w:pPr>
            <w:r w:rsidRPr="00702A15">
              <w:rPr>
                <w:sz w:val="24"/>
                <w:szCs w:val="24"/>
                <w:lang w:val="en-GB"/>
              </w:rPr>
              <w:t>-</w:t>
            </w:r>
          </w:p>
        </w:tc>
      </w:tr>
      <w:tr w:rsidR="00420717" w:rsidRPr="00702A15" w:rsidTr="00D92384">
        <w:tc>
          <w:tcPr>
            <w:tcW w:w="4961" w:type="dxa"/>
            <w:vAlign w:val="center"/>
          </w:tcPr>
          <w:p w:rsidR="00420717" w:rsidRPr="00702A15" w:rsidRDefault="00420717" w:rsidP="00D92384">
            <w:pPr>
              <w:pStyle w:val="Default"/>
              <w:rPr>
                <w:color w:val="auto"/>
              </w:rPr>
            </w:pPr>
            <w:r w:rsidRPr="00702A15">
              <w:rPr>
                <w:bCs/>
                <w:color w:val="auto"/>
              </w:rPr>
              <w:t xml:space="preserve">Număr puncte de monitorizare </w:t>
            </w:r>
          </w:p>
        </w:tc>
        <w:tc>
          <w:tcPr>
            <w:tcW w:w="809" w:type="dxa"/>
            <w:vAlign w:val="center"/>
          </w:tcPr>
          <w:p w:rsidR="00420717" w:rsidRPr="00702A15" w:rsidRDefault="00420717" w:rsidP="00D92384">
            <w:pPr>
              <w:jc w:val="center"/>
              <w:rPr>
                <w:sz w:val="24"/>
                <w:szCs w:val="24"/>
                <w:lang w:val="en-GB"/>
              </w:rPr>
            </w:pPr>
            <w:r w:rsidRPr="00702A15">
              <w:rPr>
                <w:sz w:val="24"/>
                <w:szCs w:val="24"/>
                <w:lang w:val="en-GB"/>
              </w:rPr>
              <w:t>1</w:t>
            </w:r>
          </w:p>
        </w:tc>
        <w:tc>
          <w:tcPr>
            <w:tcW w:w="750"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1"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0"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1" w:type="dxa"/>
            <w:vAlign w:val="center"/>
          </w:tcPr>
          <w:p w:rsidR="00420717" w:rsidRPr="00702A15" w:rsidRDefault="00420717" w:rsidP="00D92384">
            <w:pPr>
              <w:jc w:val="center"/>
              <w:rPr>
                <w:sz w:val="24"/>
                <w:szCs w:val="24"/>
                <w:lang w:val="en-GB"/>
              </w:rPr>
            </w:pPr>
            <w:r w:rsidRPr="00702A15">
              <w:rPr>
                <w:sz w:val="24"/>
                <w:szCs w:val="24"/>
                <w:lang w:val="en-GB"/>
              </w:rPr>
              <w:t>-</w:t>
            </w:r>
          </w:p>
        </w:tc>
      </w:tr>
      <w:tr w:rsidR="00420717" w:rsidRPr="00702A15" w:rsidTr="00D92384">
        <w:tc>
          <w:tcPr>
            <w:tcW w:w="4961" w:type="dxa"/>
            <w:vAlign w:val="center"/>
          </w:tcPr>
          <w:p w:rsidR="00420717" w:rsidRPr="00702A15" w:rsidRDefault="00420717" w:rsidP="00D92384">
            <w:pPr>
              <w:pStyle w:val="Default"/>
              <w:rPr>
                <w:color w:val="auto"/>
              </w:rPr>
            </w:pPr>
            <w:r w:rsidRPr="00702A15">
              <w:rPr>
                <w:bCs/>
                <w:color w:val="auto"/>
              </w:rPr>
              <w:t xml:space="preserve">Ponderea punctelor cu concentraţie mai mare decât SCM (%) </w:t>
            </w:r>
          </w:p>
        </w:tc>
        <w:tc>
          <w:tcPr>
            <w:tcW w:w="809" w:type="dxa"/>
            <w:vAlign w:val="center"/>
          </w:tcPr>
          <w:p w:rsidR="00420717" w:rsidRPr="00702A15" w:rsidRDefault="00420717" w:rsidP="00D92384">
            <w:pPr>
              <w:jc w:val="center"/>
              <w:rPr>
                <w:sz w:val="24"/>
                <w:szCs w:val="24"/>
                <w:lang w:val="en-GB"/>
              </w:rPr>
            </w:pPr>
            <w:r w:rsidRPr="00702A15">
              <w:rPr>
                <w:sz w:val="24"/>
                <w:szCs w:val="24"/>
                <w:lang w:val="en-GB"/>
              </w:rPr>
              <w:t>0</w:t>
            </w:r>
          </w:p>
        </w:tc>
        <w:tc>
          <w:tcPr>
            <w:tcW w:w="750"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1"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0" w:type="dxa"/>
            <w:vAlign w:val="center"/>
          </w:tcPr>
          <w:p w:rsidR="00420717" w:rsidRPr="00702A15" w:rsidRDefault="00420717" w:rsidP="00D92384">
            <w:pPr>
              <w:jc w:val="center"/>
              <w:rPr>
                <w:sz w:val="24"/>
                <w:szCs w:val="24"/>
                <w:lang w:val="en-GB"/>
              </w:rPr>
            </w:pPr>
            <w:r w:rsidRPr="00702A15">
              <w:rPr>
                <w:sz w:val="24"/>
                <w:szCs w:val="24"/>
                <w:lang w:val="en-GB"/>
              </w:rPr>
              <w:t>-</w:t>
            </w:r>
          </w:p>
        </w:tc>
        <w:tc>
          <w:tcPr>
            <w:tcW w:w="851" w:type="dxa"/>
            <w:vAlign w:val="center"/>
          </w:tcPr>
          <w:p w:rsidR="00420717" w:rsidRPr="00702A15" w:rsidRDefault="00420717" w:rsidP="00D92384">
            <w:pPr>
              <w:jc w:val="center"/>
              <w:rPr>
                <w:sz w:val="24"/>
                <w:szCs w:val="24"/>
                <w:lang w:val="en-GB"/>
              </w:rPr>
            </w:pPr>
            <w:r w:rsidRPr="00702A15">
              <w:rPr>
                <w:sz w:val="24"/>
                <w:szCs w:val="24"/>
                <w:lang w:val="en-GB"/>
              </w:rPr>
              <w:t>-</w:t>
            </w:r>
          </w:p>
        </w:tc>
      </w:tr>
    </w:tbl>
    <w:p w:rsidR="00420717" w:rsidRPr="00AA0E3F" w:rsidRDefault="00420717" w:rsidP="00420717">
      <w:pPr>
        <w:pStyle w:val="Default"/>
        <w:jc w:val="both"/>
        <w:rPr>
          <w:b/>
          <w:bCs/>
          <w:color w:val="auto"/>
        </w:rPr>
      </w:pPr>
      <w:r w:rsidRPr="00AA0E3F">
        <w:rPr>
          <w:b/>
          <w:bCs/>
          <w:color w:val="auto"/>
        </w:rPr>
        <w:t>Tabel II.</w:t>
      </w:r>
      <w:r w:rsidRPr="00AA0E3F">
        <w:rPr>
          <w:b/>
          <w:color w:val="auto"/>
        </w:rPr>
        <w:t>2.1.1.7. Tendinţele de poluare cu substanţe periculoase a cursurilor de apă, la nivelul judeţului Buzău, în perioada 2010-2014</w:t>
      </w:r>
    </w:p>
    <w:p w:rsidR="00420717" w:rsidRPr="00702A15" w:rsidRDefault="00420717" w:rsidP="00420717">
      <w:pPr>
        <w:pStyle w:val="Default"/>
        <w:jc w:val="right"/>
        <w:rPr>
          <w:bCs/>
          <w:color w:val="auto"/>
        </w:rPr>
      </w:pPr>
      <w:r w:rsidRPr="00702A15">
        <w:rPr>
          <w:bCs/>
          <w:color w:val="auto"/>
        </w:rPr>
        <w:t>Sursa datelor: SGA Vrancea</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bCs/>
          <w:sz w:val="24"/>
          <w:szCs w:val="24"/>
        </w:rPr>
        <w:lastRenderedPageBreak/>
        <w:t>ABA Buzău-Ialomi</w:t>
      </w:r>
      <w:r>
        <w:rPr>
          <w:rFonts w:ascii="Arial" w:hAnsi="Arial" w:cs="Arial"/>
          <w:bCs/>
          <w:sz w:val="24"/>
          <w:szCs w:val="24"/>
        </w:rPr>
        <w:t>ţ</w:t>
      </w:r>
      <w:r w:rsidRPr="00702A15">
        <w:rPr>
          <w:rFonts w:ascii="Arial" w:hAnsi="Arial" w:cs="Arial"/>
          <w:bCs/>
          <w:sz w:val="24"/>
          <w:szCs w:val="24"/>
        </w:rPr>
        <w:t>a nu a furnizat date cu privire la</w:t>
      </w:r>
      <w:r w:rsidRPr="00702A15">
        <w:rPr>
          <w:rFonts w:ascii="Arial" w:hAnsi="Arial" w:cs="Arial"/>
          <w:sz w:val="24"/>
          <w:szCs w:val="24"/>
        </w:rPr>
        <w:t xml:space="preserve"> tendinţele de poluare cu substanţe p</w:t>
      </w:r>
      <w:r w:rsidRPr="00702A15">
        <w:rPr>
          <w:rFonts w:ascii="Arial" w:hAnsi="Arial" w:cs="Arial"/>
          <w:sz w:val="24"/>
          <w:szCs w:val="24"/>
        </w:rPr>
        <w:t>e</w:t>
      </w:r>
      <w:r w:rsidRPr="00702A15">
        <w:rPr>
          <w:rFonts w:ascii="Arial" w:hAnsi="Arial" w:cs="Arial"/>
          <w:sz w:val="24"/>
          <w:szCs w:val="24"/>
        </w:rPr>
        <w:t>riculoase a cursurilor de apă</w:t>
      </w:r>
    </w:p>
    <w:p w:rsidR="00420717" w:rsidRPr="00702A15" w:rsidRDefault="00420717" w:rsidP="00420717">
      <w:pPr>
        <w:spacing w:after="0" w:line="240" w:lineRule="auto"/>
        <w:jc w:val="both"/>
        <w:rPr>
          <w:rFonts w:ascii="Arial" w:hAnsi="Arial" w:cs="Arial"/>
          <w:b/>
          <w:sz w:val="24"/>
          <w:szCs w:val="24"/>
        </w:rPr>
      </w:pPr>
    </w:p>
    <w:p w:rsidR="00420717" w:rsidRPr="00702A15" w:rsidRDefault="00420717" w:rsidP="00420717">
      <w:pPr>
        <w:tabs>
          <w:tab w:val="left" w:pos="315"/>
        </w:tabs>
        <w:spacing w:after="0" w:line="240" w:lineRule="auto"/>
        <w:jc w:val="both"/>
        <w:rPr>
          <w:rFonts w:ascii="Arial" w:hAnsi="Arial" w:cs="Arial"/>
          <w:b/>
          <w:bCs/>
          <w:sz w:val="24"/>
          <w:szCs w:val="24"/>
          <w:lang w:val="it-IT"/>
        </w:rPr>
      </w:pPr>
      <w:r w:rsidRPr="00702A15">
        <w:rPr>
          <w:rFonts w:ascii="Arial" w:hAnsi="Arial" w:cs="Arial"/>
          <w:b/>
          <w:bCs/>
          <w:sz w:val="24"/>
          <w:szCs w:val="24"/>
          <w:lang w:val="it-IT"/>
        </w:rPr>
        <w:t>D. Caracterizarea generală a calită</w:t>
      </w:r>
      <w:r>
        <w:rPr>
          <w:rFonts w:ascii="Arial" w:hAnsi="Arial" w:cs="Arial"/>
          <w:b/>
          <w:bCs/>
          <w:sz w:val="24"/>
          <w:szCs w:val="24"/>
          <w:lang w:val="it-IT"/>
        </w:rPr>
        <w:t>ţ</w:t>
      </w:r>
      <w:r w:rsidRPr="00702A15">
        <w:rPr>
          <w:rFonts w:ascii="Arial" w:hAnsi="Arial" w:cs="Arial"/>
          <w:b/>
          <w:bCs/>
          <w:sz w:val="24"/>
          <w:szCs w:val="24"/>
          <w:lang w:val="it-IT"/>
        </w:rPr>
        <w:t>ii apelor de suprafa</w:t>
      </w:r>
      <w:r>
        <w:rPr>
          <w:rFonts w:ascii="Arial" w:hAnsi="Arial" w:cs="Arial"/>
          <w:b/>
          <w:bCs/>
          <w:sz w:val="24"/>
          <w:szCs w:val="24"/>
          <w:lang w:val="it-IT"/>
        </w:rPr>
        <w:t>ţ</w:t>
      </w:r>
      <w:r w:rsidRPr="00702A15">
        <w:rPr>
          <w:rFonts w:ascii="Arial" w:hAnsi="Arial" w:cs="Arial"/>
          <w:b/>
          <w:bCs/>
          <w:sz w:val="24"/>
          <w:szCs w:val="24"/>
          <w:lang w:val="it-IT"/>
        </w:rPr>
        <w:t>ă din jude</w:t>
      </w:r>
      <w:r>
        <w:rPr>
          <w:rFonts w:ascii="Arial" w:hAnsi="Arial" w:cs="Arial"/>
          <w:b/>
          <w:bCs/>
          <w:sz w:val="24"/>
          <w:szCs w:val="24"/>
          <w:lang w:val="it-IT"/>
        </w:rPr>
        <w:t>ţ</w:t>
      </w:r>
      <w:r w:rsidRPr="00702A15">
        <w:rPr>
          <w:rFonts w:ascii="Arial" w:hAnsi="Arial" w:cs="Arial"/>
          <w:b/>
          <w:bCs/>
          <w:sz w:val="24"/>
          <w:szCs w:val="24"/>
          <w:lang w:val="it-IT"/>
        </w:rPr>
        <w:t>ul Buzău</w:t>
      </w:r>
    </w:p>
    <w:p w:rsidR="00420717" w:rsidRPr="00702A15" w:rsidRDefault="00420717" w:rsidP="00420717">
      <w:pPr>
        <w:tabs>
          <w:tab w:val="left" w:pos="1204"/>
          <w:tab w:val="left" w:leader="dot" w:pos="9356"/>
        </w:tabs>
        <w:spacing w:after="0" w:line="240" w:lineRule="auto"/>
        <w:ind w:left="993"/>
        <w:jc w:val="both"/>
        <w:rPr>
          <w:rFonts w:ascii="Arial" w:hAnsi="Arial" w:cs="Arial"/>
          <w:sz w:val="24"/>
          <w:szCs w:val="24"/>
        </w:rPr>
      </w:pP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În tabelul II.2.1.1.9. sunt redate lungimile principalelor cursuri de apă cantitativ </w:t>
      </w:r>
      <w:r>
        <w:rPr>
          <w:rFonts w:ascii="Arial" w:hAnsi="Arial" w:cs="Arial"/>
          <w:sz w:val="24"/>
          <w:szCs w:val="24"/>
        </w:rPr>
        <w:t>ş</w:t>
      </w:r>
      <w:r w:rsidRPr="00702A15">
        <w:rPr>
          <w:rFonts w:ascii="Arial" w:hAnsi="Arial" w:cs="Arial"/>
          <w:sz w:val="24"/>
          <w:szCs w:val="24"/>
        </w:rPr>
        <w:t>i calitativ, din judeţul Buzău, în anul 2014, func</w:t>
      </w:r>
      <w:r>
        <w:rPr>
          <w:rFonts w:ascii="Arial" w:hAnsi="Arial" w:cs="Arial"/>
          <w:sz w:val="24"/>
          <w:szCs w:val="24"/>
        </w:rPr>
        <w:t>ţ</w:t>
      </w:r>
      <w:r w:rsidRPr="00702A15">
        <w:rPr>
          <w:rFonts w:ascii="Arial" w:hAnsi="Arial" w:cs="Arial"/>
          <w:sz w:val="24"/>
          <w:szCs w:val="24"/>
        </w:rPr>
        <w:t>ie de programele de monitorizare ale administra</w:t>
      </w:r>
      <w:r>
        <w:rPr>
          <w:rFonts w:ascii="Arial" w:hAnsi="Arial" w:cs="Arial"/>
          <w:sz w:val="24"/>
          <w:szCs w:val="24"/>
        </w:rPr>
        <w:t>ţ</w:t>
      </w:r>
      <w:r w:rsidRPr="00702A15">
        <w:rPr>
          <w:rFonts w:ascii="Arial" w:hAnsi="Arial" w:cs="Arial"/>
          <w:sz w:val="24"/>
          <w:szCs w:val="24"/>
        </w:rPr>
        <w:t>iilor bazinale de apă.</w:t>
      </w:r>
    </w:p>
    <w:p w:rsidR="005864AC" w:rsidRPr="00702A15" w:rsidRDefault="005864AC" w:rsidP="00420717">
      <w:pPr>
        <w:spacing w:after="0" w:line="240" w:lineRule="auto"/>
        <w:jc w:val="both"/>
        <w:rPr>
          <w:rFonts w:ascii="Arial" w:hAnsi="Arial" w:cs="Arial"/>
          <w:sz w:val="24"/>
          <w:szCs w:val="24"/>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9"/>
        <w:gridCol w:w="1000"/>
        <w:gridCol w:w="958"/>
        <w:gridCol w:w="1041"/>
        <w:gridCol w:w="1036"/>
        <w:gridCol w:w="654"/>
        <w:gridCol w:w="630"/>
        <w:gridCol w:w="890"/>
        <w:gridCol w:w="613"/>
        <w:gridCol w:w="672"/>
        <w:gridCol w:w="668"/>
        <w:gridCol w:w="804"/>
      </w:tblGrid>
      <w:tr w:rsidR="00420717" w:rsidRPr="00702A15" w:rsidTr="00D92384">
        <w:trPr>
          <w:trHeight w:val="660"/>
          <w:jc w:val="center"/>
        </w:trPr>
        <w:tc>
          <w:tcPr>
            <w:tcW w:w="274" w:type="pct"/>
            <w:vMerge w:val="restar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Nr. crt</w:t>
            </w:r>
          </w:p>
        </w:tc>
        <w:tc>
          <w:tcPr>
            <w:tcW w:w="527" w:type="pct"/>
            <w:vMerge w:val="restar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B.H.</w:t>
            </w:r>
          </w:p>
        </w:tc>
        <w:tc>
          <w:tcPr>
            <w:tcW w:w="505" w:type="pct"/>
            <w:vMerge w:val="restar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Denu-mire râu</w:t>
            </w:r>
          </w:p>
        </w:tc>
        <w:tc>
          <w:tcPr>
            <w:tcW w:w="549" w:type="pct"/>
            <w:vMerge w:val="restar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Lu</w:t>
            </w:r>
            <w:r w:rsidRPr="00702A15">
              <w:rPr>
                <w:rFonts w:ascii="Arial" w:hAnsi="Arial" w:cs="Arial"/>
                <w:b/>
                <w:sz w:val="24"/>
                <w:szCs w:val="24"/>
              </w:rPr>
              <w:t>n</w:t>
            </w:r>
            <w:r>
              <w:rPr>
                <w:rFonts w:ascii="Arial" w:hAnsi="Arial" w:cs="Arial"/>
                <w:b/>
                <w:sz w:val="24"/>
                <w:szCs w:val="24"/>
              </w:rPr>
              <w:t>gi</w:t>
            </w:r>
            <w:r w:rsidRPr="00702A15">
              <w:rPr>
                <w:rFonts w:ascii="Arial" w:hAnsi="Arial" w:cs="Arial"/>
                <w:b/>
                <w:sz w:val="24"/>
                <w:szCs w:val="24"/>
              </w:rPr>
              <w:t>mea totală bazin judeţ Buzău  (km)</w:t>
            </w:r>
          </w:p>
        </w:tc>
        <w:tc>
          <w:tcPr>
            <w:tcW w:w="546" w:type="pct"/>
            <w:vMerge w:val="restar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Lungi-</w:t>
            </w:r>
          </w:p>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me mon</w:t>
            </w:r>
            <w:r w:rsidRPr="00702A15">
              <w:rPr>
                <w:rFonts w:ascii="Arial" w:hAnsi="Arial" w:cs="Arial"/>
                <w:b/>
                <w:sz w:val="24"/>
                <w:szCs w:val="24"/>
              </w:rPr>
              <w:t>i</w:t>
            </w:r>
            <w:r w:rsidRPr="00702A15">
              <w:rPr>
                <w:rFonts w:ascii="Arial" w:hAnsi="Arial" w:cs="Arial"/>
                <w:b/>
                <w:sz w:val="24"/>
                <w:szCs w:val="24"/>
              </w:rPr>
              <w:t>to-</w:t>
            </w:r>
          </w:p>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rizată     (km)</w:t>
            </w:r>
          </w:p>
          <w:p w:rsidR="00420717" w:rsidRPr="00702A15" w:rsidRDefault="00420717" w:rsidP="00D92384">
            <w:pPr>
              <w:spacing w:after="0" w:line="240" w:lineRule="auto"/>
              <w:jc w:val="both"/>
              <w:rPr>
                <w:rFonts w:ascii="Arial" w:hAnsi="Arial" w:cs="Arial"/>
                <w:b/>
                <w:sz w:val="24"/>
                <w:szCs w:val="24"/>
              </w:rPr>
            </w:pPr>
          </w:p>
        </w:tc>
        <w:tc>
          <w:tcPr>
            <w:tcW w:w="1823" w:type="pct"/>
            <w:gridSpan w:val="5"/>
            <w:shd w:val="clear" w:color="auto" w:fill="auto"/>
            <w:vAlign w:val="center"/>
          </w:tcPr>
          <w:p w:rsidR="00420717" w:rsidRPr="00702A15" w:rsidRDefault="00420717" w:rsidP="00D92384">
            <w:pPr>
              <w:spacing w:after="0" w:line="240" w:lineRule="auto"/>
              <w:rPr>
                <w:rFonts w:ascii="Arial" w:hAnsi="Arial" w:cs="Arial"/>
                <w:b/>
                <w:sz w:val="24"/>
                <w:szCs w:val="24"/>
              </w:rPr>
            </w:pPr>
            <w:r w:rsidRPr="00702A15">
              <w:rPr>
                <w:rFonts w:ascii="Arial" w:hAnsi="Arial" w:cs="Arial"/>
                <w:b/>
                <w:sz w:val="24"/>
                <w:szCs w:val="24"/>
              </w:rPr>
              <w:t>Repartiţia lungimilor co</w:t>
            </w:r>
            <w:r w:rsidRPr="00702A15">
              <w:rPr>
                <w:rFonts w:ascii="Arial" w:hAnsi="Arial" w:cs="Arial"/>
                <w:b/>
                <w:sz w:val="24"/>
                <w:szCs w:val="24"/>
              </w:rPr>
              <w:t>n</w:t>
            </w:r>
            <w:r w:rsidRPr="00702A15">
              <w:rPr>
                <w:rFonts w:ascii="Arial" w:hAnsi="Arial" w:cs="Arial"/>
                <w:b/>
                <w:sz w:val="24"/>
                <w:szCs w:val="24"/>
              </w:rPr>
              <w:t>form evaluării stării ecol</w:t>
            </w:r>
            <w:r w:rsidRPr="00702A15">
              <w:rPr>
                <w:rFonts w:ascii="Arial" w:hAnsi="Arial" w:cs="Arial"/>
                <w:b/>
                <w:sz w:val="24"/>
                <w:szCs w:val="24"/>
              </w:rPr>
              <w:t>o</w:t>
            </w:r>
            <w:r w:rsidRPr="00702A15">
              <w:rPr>
                <w:rFonts w:ascii="Arial" w:hAnsi="Arial" w:cs="Arial"/>
                <w:b/>
                <w:sz w:val="24"/>
                <w:szCs w:val="24"/>
              </w:rPr>
              <w:t>gice</w:t>
            </w:r>
          </w:p>
        </w:tc>
        <w:tc>
          <w:tcPr>
            <w:tcW w:w="777" w:type="pct"/>
            <w:gridSpan w:val="2"/>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Repartiţia lungimilor conform evaluării stării ch</w:t>
            </w:r>
            <w:r w:rsidRPr="00702A15">
              <w:rPr>
                <w:rFonts w:ascii="Arial" w:hAnsi="Arial" w:cs="Arial"/>
                <w:b/>
                <w:sz w:val="24"/>
                <w:szCs w:val="24"/>
              </w:rPr>
              <w:t>i</w:t>
            </w:r>
            <w:r w:rsidRPr="00702A15">
              <w:rPr>
                <w:rFonts w:ascii="Arial" w:hAnsi="Arial" w:cs="Arial"/>
                <w:b/>
                <w:sz w:val="24"/>
                <w:szCs w:val="24"/>
              </w:rPr>
              <w:t>mice</w:t>
            </w:r>
          </w:p>
        </w:tc>
      </w:tr>
      <w:tr w:rsidR="00420717" w:rsidRPr="00702A15" w:rsidTr="00D92384">
        <w:trPr>
          <w:trHeight w:val="330"/>
          <w:jc w:val="center"/>
        </w:trPr>
        <w:tc>
          <w:tcPr>
            <w:tcW w:w="274"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27"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05"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49"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46"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345" w:type="pct"/>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FB</w:t>
            </w:r>
          </w:p>
        </w:tc>
        <w:tc>
          <w:tcPr>
            <w:tcW w:w="332" w:type="pct"/>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B</w:t>
            </w:r>
          </w:p>
        </w:tc>
        <w:tc>
          <w:tcPr>
            <w:tcW w:w="469" w:type="pct"/>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w:t>
            </w:r>
          </w:p>
        </w:tc>
        <w:tc>
          <w:tcPr>
            <w:tcW w:w="323" w:type="pct"/>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S</w:t>
            </w:r>
          </w:p>
        </w:tc>
        <w:tc>
          <w:tcPr>
            <w:tcW w:w="353" w:type="pct"/>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P</w:t>
            </w:r>
          </w:p>
        </w:tc>
        <w:tc>
          <w:tcPr>
            <w:tcW w:w="352" w:type="pct"/>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B</w:t>
            </w:r>
          </w:p>
        </w:tc>
        <w:tc>
          <w:tcPr>
            <w:tcW w:w="425" w:type="pct"/>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P</w:t>
            </w:r>
          </w:p>
        </w:tc>
      </w:tr>
      <w:tr w:rsidR="00420717" w:rsidRPr="00702A15" w:rsidTr="00D92384">
        <w:trPr>
          <w:trHeight w:val="543"/>
          <w:jc w:val="center"/>
        </w:trPr>
        <w:tc>
          <w:tcPr>
            <w:tcW w:w="274"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27"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05"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49"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546" w:type="pct"/>
            <w:vMerge/>
            <w:shd w:val="clear" w:color="auto" w:fill="auto"/>
            <w:vAlign w:val="center"/>
          </w:tcPr>
          <w:p w:rsidR="00420717" w:rsidRPr="00702A15" w:rsidRDefault="00420717" w:rsidP="00D92384">
            <w:pPr>
              <w:spacing w:after="0" w:line="240" w:lineRule="auto"/>
              <w:jc w:val="both"/>
              <w:rPr>
                <w:rFonts w:ascii="Arial" w:hAnsi="Arial" w:cs="Arial"/>
                <w:b/>
                <w:sz w:val="24"/>
                <w:szCs w:val="24"/>
              </w:rPr>
            </w:pPr>
          </w:p>
        </w:tc>
        <w:tc>
          <w:tcPr>
            <w:tcW w:w="345" w:type="pc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Km</w:t>
            </w:r>
          </w:p>
        </w:tc>
        <w:tc>
          <w:tcPr>
            <w:tcW w:w="332" w:type="pc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Km</w:t>
            </w:r>
          </w:p>
        </w:tc>
        <w:tc>
          <w:tcPr>
            <w:tcW w:w="469" w:type="pc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Km</w:t>
            </w:r>
          </w:p>
        </w:tc>
        <w:tc>
          <w:tcPr>
            <w:tcW w:w="323" w:type="pc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Km</w:t>
            </w:r>
          </w:p>
        </w:tc>
        <w:tc>
          <w:tcPr>
            <w:tcW w:w="353" w:type="pc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Km</w:t>
            </w:r>
          </w:p>
        </w:tc>
        <w:tc>
          <w:tcPr>
            <w:tcW w:w="352" w:type="pc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Km</w:t>
            </w:r>
          </w:p>
        </w:tc>
        <w:tc>
          <w:tcPr>
            <w:tcW w:w="425" w:type="pct"/>
            <w:shd w:val="clear" w:color="auto" w:fill="auto"/>
            <w:vAlign w:val="center"/>
          </w:tcPr>
          <w:p w:rsidR="00420717" w:rsidRPr="00702A15" w:rsidRDefault="00420717" w:rsidP="00D92384">
            <w:pPr>
              <w:spacing w:after="0" w:line="240" w:lineRule="auto"/>
              <w:jc w:val="both"/>
              <w:rPr>
                <w:rFonts w:ascii="Arial" w:hAnsi="Arial" w:cs="Arial"/>
                <w:b/>
                <w:sz w:val="24"/>
                <w:szCs w:val="24"/>
              </w:rPr>
            </w:pPr>
            <w:r w:rsidRPr="00702A15">
              <w:rPr>
                <w:rFonts w:ascii="Arial" w:hAnsi="Arial" w:cs="Arial"/>
                <w:b/>
                <w:sz w:val="24"/>
                <w:szCs w:val="24"/>
              </w:rPr>
              <w:t>Km</w:t>
            </w:r>
          </w:p>
        </w:tc>
      </w:tr>
      <w:tr w:rsidR="00420717" w:rsidRPr="00702A15" w:rsidTr="00D92384">
        <w:trPr>
          <w:trHeight w:val="640"/>
          <w:jc w:val="center"/>
        </w:trPr>
        <w:tc>
          <w:tcPr>
            <w:tcW w:w="274"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1.</w:t>
            </w:r>
          </w:p>
        </w:tc>
        <w:tc>
          <w:tcPr>
            <w:tcW w:w="527"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505"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549"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673,5</w:t>
            </w:r>
          </w:p>
        </w:tc>
        <w:tc>
          <w:tcPr>
            <w:tcW w:w="546"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455,5</w:t>
            </w:r>
          </w:p>
        </w:tc>
        <w:tc>
          <w:tcPr>
            <w:tcW w:w="345"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32"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211</w:t>
            </w:r>
          </w:p>
        </w:tc>
        <w:tc>
          <w:tcPr>
            <w:tcW w:w="469"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244,5</w:t>
            </w:r>
          </w:p>
        </w:tc>
        <w:tc>
          <w:tcPr>
            <w:tcW w:w="323"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53"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52"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425"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640"/>
          <w:jc w:val="center"/>
        </w:trPr>
        <w:tc>
          <w:tcPr>
            <w:tcW w:w="274"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2.</w:t>
            </w:r>
          </w:p>
        </w:tc>
        <w:tc>
          <w:tcPr>
            <w:tcW w:w="527"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Ialomi</w:t>
            </w:r>
            <w:r>
              <w:rPr>
                <w:rFonts w:ascii="Arial" w:hAnsi="Arial" w:cs="Arial"/>
                <w:sz w:val="24"/>
                <w:szCs w:val="24"/>
              </w:rPr>
              <w:t xml:space="preserve"> </w:t>
            </w:r>
            <w:r w:rsidRPr="00702A15">
              <w:rPr>
                <w:rFonts w:ascii="Arial" w:hAnsi="Arial" w:cs="Arial"/>
                <w:sz w:val="24"/>
                <w:szCs w:val="24"/>
              </w:rPr>
              <w:t xml:space="preserve">ţa </w:t>
            </w:r>
          </w:p>
        </w:tc>
        <w:tc>
          <w:tcPr>
            <w:tcW w:w="505"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Sărata</w:t>
            </w:r>
          </w:p>
        </w:tc>
        <w:tc>
          <w:tcPr>
            <w:tcW w:w="549"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40</w:t>
            </w:r>
          </w:p>
        </w:tc>
        <w:tc>
          <w:tcPr>
            <w:tcW w:w="546"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40</w:t>
            </w:r>
          </w:p>
        </w:tc>
        <w:tc>
          <w:tcPr>
            <w:tcW w:w="345"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32"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469"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40</w:t>
            </w:r>
          </w:p>
        </w:tc>
        <w:tc>
          <w:tcPr>
            <w:tcW w:w="323"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53"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52"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425"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595"/>
          <w:jc w:val="center"/>
        </w:trPr>
        <w:tc>
          <w:tcPr>
            <w:tcW w:w="274"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3.</w:t>
            </w:r>
          </w:p>
        </w:tc>
        <w:tc>
          <w:tcPr>
            <w:tcW w:w="527"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Dună</w:t>
            </w:r>
            <w:r>
              <w:rPr>
                <w:rFonts w:ascii="Arial" w:hAnsi="Arial" w:cs="Arial"/>
                <w:sz w:val="24"/>
                <w:szCs w:val="24"/>
              </w:rPr>
              <w:t xml:space="preserve"> </w:t>
            </w:r>
            <w:r w:rsidRPr="00702A15">
              <w:rPr>
                <w:rFonts w:ascii="Arial" w:hAnsi="Arial" w:cs="Arial"/>
                <w:sz w:val="24"/>
                <w:szCs w:val="24"/>
              </w:rPr>
              <w:t xml:space="preserve">re </w:t>
            </w:r>
          </w:p>
        </w:tc>
        <w:tc>
          <w:tcPr>
            <w:tcW w:w="505"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Călmăţui</w:t>
            </w:r>
          </w:p>
        </w:tc>
        <w:tc>
          <w:tcPr>
            <w:tcW w:w="549"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180</w:t>
            </w:r>
          </w:p>
        </w:tc>
        <w:tc>
          <w:tcPr>
            <w:tcW w:w="546"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69</w:t>
            </w:r>
          </w:p>
        </w:tc>
        <w:tc>
          <w:tcPr>
            <w:tcW w:w="345"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32"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469"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69</w:t>
            </w:r>
          </w:p>
        </w:tc>
        <w:tc>
          <w:tcPr>
            <w:tcW w:w="323"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53"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352"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425"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595"/>
          <w:jc w:val="center"/>
        </w:trPr>
        <w:tc>
          <w:tcPr>
            <w:tcW w:w="274" w:type="pc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4</w:t>
            </w:r>
          </w:p>
        </w:tc>
        <w:tc>
          <w:tcPr>
            <w:tcW w:w="527" w:type="pct"/>
            <w:shd w:val="clear" w:color="auto" w:fill="auto"/>
            <w:vAlign w:val="center"/>
          </w:tcPr>
          <w:p w:rsidR="00420717" w:rsidRPr="00702A15" w:rsidRDefault="00420717" w:rsidP="00D92384">
            <w:pPr>
              <w:tabs>
                <w:tab w:val="left" w:pos="709"/>
              </w:tabs>
              <w:spacing w:after="0" w:line="240" w:lineRule="auto"/>
              <w:jc w:val="both"/>
              <w:rPr>
                <w:rFonts w:ascii="Arial" w:hAnsi="Arial" w:cs="Arial"/>
                <w:sz w:val="24"/>
                <w:szCs w:val="24"/>
              </w:rPr>
            </w:pPr>
            <w:r w:rsidRPr="00702A15">
              <w:rPr>
                <w:rFonts w:ascii="Arial" w:hAnsi="Arial" w:cs="Arial"/>
                <w:sz w:val="24"/>
                <w:szCs w:val="24"/>
              </w:rPr>
              <w:t>Siret</w:t>
            </w:r>
          </w:p>
        </w:tc>
        <w:tc>
          <w:tcPr>
            <w:tcW w:w="505" w:type="pct"/>
            <w:shd w:val="clear" w:color="auto" w:fill="auto"/>
            <w:vAlign w:val="center"/>
          </w:tcPr>
          <w:p w:rsidR="00420717" w:rsidRPr="00702A15" w:rsidRDefault="00420717" w:rsidP="00D92384">
            <w:pPr>
              <w:tabs>
                <w:tab w:val="left" w:pos="709"/>
              </w:tabs>
              <w:spacing w:after="0" w:line="240" w:lineRule="auto"/>
              <w:jc w:val="both"/>
              <w:rPr>
                <w:rFonts w:ascii="Arial" w:hAnsi="Arial" w:cs="Arial"/>
                <w:sz w:val="24"/>
                <w:szCs w:val="24"/>
              </w:rPr>
            </w:pPr>
            <w:r w:rsidRPr="00702A15">
              <w:rPr>
                <w:rFonts w:ascii="Arial" w:hAnsi="Arial" w:cs="Arial"/>
                <w:sz w:val="24"/>
                <w:szCs w:val="24"/>
              </w:rPr>
              <w:t>Râmnicu Sărat</w:t>
            </w:r>
          </w:p>
        </w:tc>
        <w:tc>
          <w:tcPr>
            <w:tcW w:w="549" w:type="pct"/>
            <w:shd w:val="clear" w:color="auto" w:fill="auto"/>
            <w:vAlign w:val="center"/>
          </w:tcPr>
          <w:p w:rsidR="00420717" w:rsidRPr="00702A15" w:rsidRDefault="00420717" w:rsidP="00D92384">
            <w:pPr>
              <w:tabs>
                <w:tab w:val="left" w:pos="709"/>
              </w:tabs>
              <w:spacing w:after="0" w:line="240" w:lineRule="auto"/>
              <w:jc w:val="center"/>
              <w:rPr>
                <w:rFonts w:ascii="Arial" w:hAnsi="Arial" w:cs="Arial"/>
                <w:sz w:val="24"/>
                <w:szCs w:val="24"/>
              </w:rPr>
            </w:pPr>
            <w:r w:rsidRPr="00702A15">
              <w:rPr>
                <w:rFonts w:ascii="Arial" w:hAnsi="Arial" w:cs="Arial"/>
                <w:sz w:val="24"/>
                <w:szCs w:val="24"/>
                <w:lang w:val="en-GB"/>
              </w:rPr>
              <w:t>51</w:t>
            </w:r>
          </w:p>
        </w:tc>
        <w:tc>
          <w:tcPr>
            <w:tcW w:w="546"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51</w:t>
            </w:r>
          </w:p>
        </w:tc>
        <w:tc>
          <w:tcPr>
            <w:tcW w:w="345"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w:t>
            </w:r>
          </w:p>
        </w:tc>
        <w:tc>
          <w:tcPr>
            <w:tcW w:w="332"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w:t>
            </w:r>
          </w:p>
        </w:tc>
        <w:tc>
          <w:tcPr>
            <w:tcW w:w="469"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51</w:t>
            </w:r>
          </w:p>
        </w:tc>
        <w:tc>
          <w:tcPr>
            <w:tcW w:w="323"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w:t>
            </w:r>
          </w:p>
        </w:tc>
        <w:tc>
          <w:tcPr>
            <w:tcW w:w="353"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w:t>
            </w:r>
          </w:p>
        </w:tc>
        <w:tc>
          <w:tcPr>
            <w:tcW w:w="352"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51</w:t>
            </w:r>
          </w:p>
        </w:tc>
        <w:tc>
          <w:tcPr>
            <w:tcW w:w="425" w:type="pct"/>
            <w:shd w:val="clear" w:color="auto" w:fill="auto"/>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bCs/>
          <w:sz w:val="24"/>
          <w:szCs w:val="24"/>
        </w:rPr>
        <w:t>Tabel II.</w:t>
      </w:r>
      <w:r w:rsidRPr="00AA0E3F">
        <w:rPr>
          <w:rFonts w:ascii="Arial" w:hAnsi="Arial" w:cs="Arial"/>
          <w:b/>
          <w:sz w:val="24"/>
          <w:szCs w:val="24"/>
        </w:rPr>
        <w:t>2.1.1.8. Lungimea cursurilor de apă din punct de vedere calitativ, în judeţul Buzău, în anul 2014</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Legendă: FB - foarte bună, B - bună, M - moderată, S - slabă, P - proastă</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spacing w:after="0" w:line="240" w:lineRule="auto"/>
        <w:jc w:val="both"/>
        <w:rPr>
          <w:rFonts w:ascii="Arial" w:hAnsi="Arial" w:cs="Arial"/>
          <w:sz w:val="24"/>
          <w:szCs w:val="24"/>
          <w:lang w:val="fr-BE"/>
        </w:rPr>
      </w:pPr>
      <w:r w:rsidRPr="00702A15">
        <w:rPr>
          <w:rFonts w:ascii="Arial" w:hAnsi="Arial" w:cs="Arial"/>
          <w:sz w:val="24"/>
          <w:szCs w:val="24"/>
          <w:lang w:val="fr-BE"/>
        </w:rPr>
        <w:t>Încadrarea râului Rm. Sărat s-a făcut pentru cele două corpuri de apă:</w:t>
      </w:r>
    </w:p>
    <w:p w:rsidR="00420717" w:rsidRPr="00702A15" w:rsidRDefault="00420717" w:rsidP="00420717">
      <w:pPr>
        <w:spacing w:after="0" w:line="240" w:lineRule="auto"/>
        <w:jc w:val="both"/>
        <w:rPr>
          <w:rFonts w:ascii="Arial" w:hAnsi="Arial" w:cs="Arial"/>
          <w:sz w:val="24"/>
          <w:szCs w:val="24"/>
          <w:lang w:val="fr-BE"/>
        </w:rPr>
      </w:pPr>
      <w:r w:rsidRPr="00702A15">
        <w:rPr>
          <w:rFonts w:ascii="Arial" w:hAnsi="Arial" w:cs="Arial"/>
          <w:sz w:val="24"/>
          <w:szCs w:val="24"/>
          <w:lang w:val="fr-BE"/>
        </w:rPr>
        <w:t>Rm. Sărat (Izvoare-Tulburea)</w:t>
      </w:r>
    </w:p>
    <w:p w:rsidR="00420717" w:rsidRPr="00702A15" w:rsidRDefault="00420717" w:rsidP="00420717">
      <w:pPr>
        <w:spacing w:after="0" w:line="240" w:lineRule="auto"/>
        <w:jc w:val="both"/>
        <w:rPr>
          <w:rFonts w:ascii="Arial" w:hAnsi="Arial" w:cs="Arial"/>
          <w:sz w:val="24"/>
          <w:szCs w:val="24"/>
          <w:lang w:val="fr-BE"/>
        </w:rPr>
      </w:pPr>
      <w:r w:rsidRPr="00702A15">
        <w:rPr>
          <w:rFonts w:ascii="Arial" w:hAnsi="Arial" w:cs="Arial"/>
          <w:sz w:val="24"/>
          <w:szCs w:val="24"/>
          <w:lang w:val="fr-BE"/>
        </w:rPr>
        <w:t>Rm. Sărat (Tulburea-Nicoleşti-Măicăneşti)</w:t>
      </w:r>
    </w:p>
    <w:p w:rsidR="00420717" w:rsidRPr="00702A15" w:rsidRDefault="00420717" w:rsidP="00420717">
      <w:pPr>
        <w:spacing w:after="0" w:line="240" w:lineRule="auto"/>
        <w:jc w:val="both"/>
        <w:rPr>
          <w:rFonts w:ascii="Arial" w:hAnsi="Arial" w:cs="Arial"/>
          <w:sz w:val="24"/>
          <w:szCs w:val="24"/>
          <w:lang w:val="fr-BE"/>
        </w:rPr>
      </w:pPr>
      <w:r w:rsidRPr="00702A15">
        <w:rPr>
          <w:rFonts w:ascii="Arial" w:hAnsi="Arial" w:cs="Arial"/>
          <w:sz w:val="24"/>
          <w:szCs w:val="24"/>
          <w:lang w:val="fr-BE"/>
        </w:rPr>
        <w:t>Corpul de apă Rm. Sărat (Izvoare-Tulburea) a înregistrat pe parcursul anului 2014 o stare ecologică moderată datorită grupelor de indicatori fizico-chimici: condiţii de salinitate (conductivitate) şi nutrienţi (N-NH</w:t>
      </w:r>
      <w:r w:rsidRPr="00702A15">
        <w:rPr>
          <w:rFonts w:ascii="Arial" w:hAnsi="Arial" w:cs="Arial"/>
          <w:sz w:val="24"/>
          <w:szCs w:val="24"/>
          <w:vertAlign w:val="subscript"/>
          <w:lang w:val="fr-BE"/>
        </w:rPr>
        <w:t>4</w:t>
      </w:r>
      <w:r w:rsidRPr="00702A15">
        <w:rPr>
          <w:rFonts w:ascii="Arial" w:hAnsi="Arial" w:cs="Arial"/>
          <w:sz w:val="24"/>
          <w:szCs w:val="24"/>
          <w:vertAlign w:val="superscript"/>
          <w:lang w:val="fr-BE"/>
        </w:rPr>
        <w:t>+</w:t>
      </w:r>
      <w:r w:rsidRPr="00702A15">
        <w:rPr>
          <w:rFonts w:ascii="Arial" w:hAnsi="Arial" w:cs="Arial"/>
          <w:sz w:val="24"/>
          <w:szCs w:val="24"/>
          <w:lang w:val="fr-BE"/>
        </w:rPr>
        <w:t>).</w:t>
      </w:r>
    </w:p>
    <w:p w:rsidR="00420717" w:rsidRPr="00702A15" w:rsidRDefault="00420717" w:rsidP="00420717">
      <w:pPr>
        <w:spacing w:after="0" w:line="240" w:lineRule="auto"/>
        <w:jc w:val="both"/>
        <w:rPr>
          <w:rFonts w:ascii="Arial" w:hAnsi="Arial" w:cs="Arial"/>
          <w:sz w:val="24"/>
          <w:szCs w:val="24"/>
          <w:lang w:val="fr-BE"/>
        </w:rPr>
      </w:pPr>
      <w:r w:rsidRPr="00702A15">
        <w:rPr>
          <w:rFonts w:ascii="Arial" w:hAnsi="Arial" w:cs="Arial"/>
          <w:sz w:val="24"/>
          <w:szCs w:val="24"/>
          <w:lang w:val="fr-BE"/>
        </w:rPr>
        <w:t>Corpul de apă Rm. Sărat (Tulburea-Nicoleşti-Măicăneşti) a înregistrat pe parcursul anului 2014 o stare ecologică moderată după grupa de indicatori nutrienţi (N-NH</w:t>
      </w:r>
      <w:r w:rsidRPr="00702A15">
        <w:rPr>
          <w:rFonts w:ascii="Arial" w:hAnsi="Arial" w:cs="Arial"/>
          <w:sz w:val="24"/>
          <w:szCs w:val="24"/>
          <w:vertAlign w:val="subscript"/>
          <w:lang w:val="fr-BE"/>
        </w:rPr>
        <w:t>4</w:t>
      </w:r>
      <w:r w:rsidRPr="00702A15">
        <w:rPr>
          <w:rFonts w:ascii="Arial" w:hAnsi="Arial" w:cs="Arial"/>
          <w:sz w:val="24"/>
          <w:szCs w:val="24"/>
          <w:vertAlign w:val="superscript"/>
          <w:lang w:val="fr-BE"/>
        </w:rPr>
        <w:t>+</w:t>
      </w:r>
      <w:r w:rsidRPr="00702A15">
        <w:rPr>
          <w:rFonts w:ascii="Arial" w:hAnsi="Arial" w:cs="Arial"/>
          <w:sz w:val="24"/>
          <w:szCs w:val="24"/>
          <w:lang w:val="fr-BE"/>
        </w:rPr>
        <w:t>) şi salinitate (conductivitate).</w:t>
      </w:r>
    </w:p>
    <w:p w:rsidR="00420717" w:rsidRPr="00702A15" w:rsidRDefault="00420717" w:rsidP="00420717">
      <w:pPr>
        <w:pStyle w:val="Default"/>
        <w:jc w:val="both"/>
        <w:rPr>
          <w:color w:val="auto"/>
        </w:rPr>
      </w:pPr>
    </w:p>
    <w:p w:rsidR="00420717" w:rsidRDefault="00420717" w:rsidP="00420717">
      <w:pPr>
        <w:pStyle w:val="Default"/>
        <w:jc w:val="both"/>
        <w:rPr>
          <w:bCs/>
          <w:color w:val="auto"/>
        </w:rPr>
      </w:pPr>
      <w:r w:rsidRPr="00702A15">
        <w:rPr>
          <w:bCs/>
          <w:color w:val="auto"/>
        </w:rPr>
        <w:t>Evolu</w:t>
      </w:r>
      <w:r>
        <w:rPr>
          <w:bCs/>
          <w:color w:val="auto"/>
        </w:rPr>
        <w:t>ţ</w:t>
      </w:r>
      <w:r w:rsidRPr="00702A15">
        <w:rPr>
          <w:bCs/>
          <w:color w:val="auto"/>
        </w:rPr>
        <w:t>ia stării ecologice a principalelor cursurilor de apă monitorizate la nivelul jude</w:t>
      </w:r>
      <w:r>
        <w:rPr>
          <w:bCs/>
          <w:color w:val="auto"/>
        </w:rPr>
        <w:t>ţ</w:t>
      </w:r>
      <w:r w:rsidRPr="00702A15">
        <w:rPr>
          <w:bCs/>
          <w:color w:val="auto"/>
        </w:rPr>
        <w:t xml:space="preserve">ului Buzău (RO 67), pe perioda 2010-2014, este redată în tabelul următor. </w:t>
      </w:r>
    </w:p>
    <w:p w:rsidR="005864AC" w:rsidRPr="00702A15" w:rsidRDefault="005864AC" w:rsidP="00420717">
      <w:pPr>
        <w:pStyle w:val="Default"/>
        <w:jc w:val="both"/>
        <w:rPr>
          <w:color w:val="auto"/>
        </w:rPr>
      </w:pPr>
    </w:p>
    <w:tbl>
      <w:tblPr>
        <w:tblW w:w="0" w:type="auto"/>
        <w:jc w:val="center"/>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536"/>
        <w:gridCol w:w="992"/>
        <w:gridCol w:w="851"/>
        <w:gridCol w:w="992"/>
        <w:gridCol w:w="992"/>
        <w:gridCol w:w="992"/>
      </w:tblGrid>
      <w:tr w:rsidR="00420717" w:rsidRPr="00702A15" w:rsidTr="00D92384">
        <w:trPr>
          <w:trHeight w:val="93"/>
          <w:jc w:val="center"/>
        </w:trPr>
        <w:tc>
          <w:tcPr>
            <w:tcW w:w="4536" w:type="dxa"/>
            <w:vMerge w:val="restart"/>
            <w:vAlign w:val="center"/>
          </w:tcPr>
          <w:p w:rsidR="00420717" w:rsidRPr="00702A15" w:rsidRDefault="00420717" w:rsidP="00D92384">
            <w:pPr>
              <w:pStyle w:val="Default"/>
              <w:jc w:val="center"/>
              <w:rPr>
                <w:b/>
                <w:color w:val="auto"/>
              </w:rPr>
            </w:pPr>
            <w:r w:rsidRPr="00702A15">
              <w:rPr>
                <w:b/>
                <w:color w:val="auto"/>
              </w:rPr>
              <w:t>Starea ecologică (SE)</w:t>
            </w:r>
          </w:p>
        </w:tc>
        <w:tc>
          <w:tcPr>
            <w:tcW w:w="4819" w:type="dxa"/>
            <w:gridSpan w:val="5"/>
            <w:vAlign w:val="center"/>
          </w:tcPr>
          <w:p w:rsidR="00420717" w:rsidRPr="00702A15" w:rsidRDefault="00420717" w:rsidP="00D92384">
            <w:pPr>
              <w:pStyle w:val="Default"/>
              <w:jc w:val="center"/>
              <w:rPr>
                <w:b/>
                <w:color w:val="auto"/>
              </w:rPr>
            </w:pPr>
            <w:r w:rsidRPr="00702A15">
              <w:rPr>
                <w:b/>
                <w:color w:val="auto"/>
              </w:rPr>
              <w:t>Rezultate (% din re</w:t>
            </w:r>
            <w:r>
              <w:rPr>
                <w:b/>
                <w:color w:val="auto"/>
              </w:rPr>
              <w:t>ţ</w:t>
            </w:r>
            <w:r w:rsidRPr="00702A15">
              <w:rPr>
                <w:b/>
                <w:color w:val="auto"/>
              </w:rPr>
              <w:t>ea de râu monitorizată)</w:t>
            </w:r>
          </w:p>
        </w:tc>
      </w:tr>
      <w:tr w:rsidR="00420717" w:rsidRPr="00702A15" w:rsidTr="00D92384">
        <w:trPr>
          <w:trHeight w:val="93"/>
          <w:jc w:val="center"/>
        </w:trPr>
        <w:tc>
          <w:tcPr>
            <w:tcW w:w="4536" w:type="dxa"/>
            <w:vMerge/>
            <w:vAlign w:val="center"/>
          </w:tcPr>
          <w:p w:rsidR="00420717" w:rsidRPr="00702A15" w:rsidRDefault="00420717" w:rsidP="00D92384">
            <w:pPr>
              <w:pStyle w:val="Default"/>
              <w:jc w:val="center"/>
              <w:rPr>
                <w:color w:val="auto"/>
              </w:rPr>
            </w:pPr>
          </w:p>
        </w:tc>
        <w:tc>
          <w:tcPr>
            <w:tcW w:w="992" w:type="dxa"/>
            <w:vAlign w:val="center"/>
          </w:tcPr>
          <w:p w:rsidR="00420717" w:rsidRPr="00702A15" w:rsidRDefault="00420717" w:rsidP="00D92384">
            <w:pPr>
              <w:pStyle w:val="Default"/>
              <w:jc w:val="center"/>
              <w:rPr>
                <w:b/>
                <w:color w:val="auto"/>
              </w:rPr>
            </w:pPr>
            <w:r w:rsidRPr="00702A15">
              <w:rPr>
                <w:b/>
                <w:color w:val="auto"/>
              </w:rPr>
              <w:t>2010</w:t>
            </w:r>
          </w:p>
        </w:tc>
        <w:tc>
          <w:tcPr>
            <w:tcW w:w="851" w:type="dxa"/>
            <w:vAlign w:val="center"/>
          </w:tcPr>
          <w:p w:rsidR="00420717" w:rsidRPr="00702A15" w:rsidRDefault="00420717" w:rsidP="00D92384">
            <w:pPr>
              <w:pStyle w:val="Default"/>
              <w:jc w:val="center"/>
              <w:rPr>
                <w:b/>
                <w:color w:val="auto"/>
              </w:rPr>
            </w:pPr>
            <w:r w:rsidRPr="00702A15">
              <w:rPr>
                <w:b/>
                <w:color w:val="auto"/>
              </w:rPr>
              <w:t>2011</w:t>
            </w:r>
          </w:p>
        </w:tc>
        <w:tc>
          <w:tcPr>
            <w:tcW w:w="992" w:type="dxa"/>
            <w:vAlign w:val="center"/>
          </w:tcPr>
          <w:p w:rsidR="00420717" w:rsidRPr="00702A15" w:rsidRDefault="00420717" w:rsidP="00D92384">
            <w:pPr>
              <w:pStyle w:val="Default"/>
              <w:jc w:val="center"/>
              <w:rPr>
                <w:b/>
                <w:color w:val="auto"/>
              </w:rPr>
            </w:pPr>
            <w:r w:rsidRPr="00702A15">
              <w:rPr>
                <w:b/>
                <w:color w:val="auto"/>
              </w:rPr>
              <w:t>2012</w:t>
            </w:r>
          </w:p>
        </w:tc>
        <w:tc>
          <w:tcPr>
            <w:tcW w:w="992" w:type="dxa"/>
            <w:vAlign w:val="center"/>
          </w:tcPr>
          <w:p w:rsidR="00420717" w:rsidRPr="00702A15" w:rsidRDefault="00420717" w:rsidP="00D92384">
            <w:pPr>
              <w:pStyle w:val="Default"/>
              <w:jc w:val="center"/>
              <w:rPr>
                <w:b/>
                <w:color w:val="auto"/>
              </w:rPr>
            </w:pPr>
            <w:r w:rsidRPr="00702A15">
              <w:rPr>
                <w:b/>
                <w:color w:val="auto"/>
              </w:rPr>
              <w:t>2013</w:t>
            </w:r>
          </w:p>
        </w:tc>
        <w:tc>
          <w:tcPr>
            <w:tcW w:w="992" w:type="dxa"/>
            <w:vAlign w:val="center"/>
          </w:tcPr>
          <w:p w:rsidR="00420717" w:rsidRPr="00702A15" w:rsidRDefault="00420717" w:rsidP="00D92384">
            <w:pPr>
              <w:pStyle w:val="Default"/>
              <w:jc w:val="center"/>
              <w:rPr>
                <w:b/>
                <w:color w:val="auto"/>
              </w:rPr>
            </w:pPr>
            <w:r w:rsidRPr="00702A15">
              <w:rPr>
                <w:b/>
                <w:color w:val="auto"/>
              </w:rPr>
              <w:t>2014</w:t>
            </w:r>
          </w:p>
        </w:tc>
      </w:tr>
      <w:tr w:rsidR="00420717" w:rsidRPr="00702A15" w:rsidTr="00D92384">
        <w:trPr>
          <w:trHeight w:val="93"/>
          <w:jc w:val="center"/>
        </w:trPr>
        <w:tc>
          <w:tcPr>
            <w:tcW w:w="4536" w:type="dxa"/>
            <w:vAlign w:val="center"/>
          </w:tcPr>
          <w:p w:rsidR="00420717" w:rsidRPr="00702A15" w:rsidRDefault="00420717" w:rsidP="00D92384">
            <w:pPr>
              <w:pStyle w:val="Default"/>
              <w:jc w:val="center"/>
              <w:rPr>
                <w:color w:val="auto"/>
              </w:rPr>
            </w:pPr>
            <w:r w:rsidRPr="00702A15">
              <w:rPr>
                <w:color w:val="auto"/>
              </w:rPr>
              <w:t>Clasa I</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851"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rPr>
          <w:trHeight w:val="93"/>
          <w:jc w:val="center"/>
        </w:trPr>
        <w:tc>
          <w:tcPr>
            <w:tcW w:w="4536" w:type="dxa"/>
            <w:vAlign w:val="center"/>
          </w:tcPr>
          <w:p w:rsidR="00420717" w:rsidRPr="00702A15" w:rsidRDefault="00420717" w:rsidP="00D92384">
            <w:pPr>
              <w:pStyle w:val="Default"/>
              <w:jc w:val="center"/>
              <w:rPr>
                <w:color w:val="auto"/>
              </w:rPr>
            </w:pPr>
            <w:r w:rsidRPr="00702A15">
              <w:rPr>
                <w:color w:val="auto"/>
              </w:rPr>
              <w:t>Clasa II</w:t>
            </w:r>
          </w:p>
        </w:tc>
        <w:tc>
          <w:tcPr>
            <w:tcW w:w="992" w:type="dxa"/>
            <w:vAlign w:val="center"/>
          </w:tcPr>
          <w:p w:rsidR="00420717" w:rsidRPr="00702A15" w:rsidRDefault="00420717" w:rsidP="00D92384">
            <w:pPr>
              <w:pStyle w:val="Default"/>
              <w:jc w:val="center"/>
              <w:rPr>
                <w:color w:val="auto"/>
              </w:rPr>
            </w:pPr>
            <w:r w:rsidRPr="00702A15">
              <w:rPr>
                <w:color w:val="auto"/>
              </w:rPr>
              <w:t>68,6</w:t>
            </w:r>
          </w:p>
        </w:tc>
        <w:tc>
          <w:tcPr>
            <w:tcW w:w="851" w:type="dxa"/>
            <w:vAlign w:val="center"/>
          </w:tcPr>
          <w:p w:rsidR="00420717" w:rsidRPr="00702A15" w:rsidRDefault="00420717" w:rsidP="00D92384">
            <w:pPr>
              <w:pStyle w:val="Default"/>
              <w:jc w:val="center"/>
              <w:rPr>
                <w:color w:val="auto"/>
              </w:rPr>
            </w:pPr>
            <w:r w:rsidRPr="00702A15">
              <w:rPr>
                <w:color w:val="auto"/>
              </w:rPr>
              <w:t>34,2</w:t>
            </w:r>
          </w:p>
        </w:tc>
        <w:tc>
          <w:tcPr>
            <w:tcW w:w="992" w:type="dxa"/>
            <w:vAlign w:val="center"/>
          </w:tcPr>
          <w:p w:rsidR="00420717" w:rsidRPr="00702A15" w:rsidRDefault="00420717" w:rsidP="00D92384">
            <w:pPr>
              <w:pStyle w:val="Default"/>
              <w:jc w:val="center"/>
              <w:rPr>
                <w:color w:val="auto"/>
              </w:rPr>
            </w:pPr>
            <w:r w:rsidRPr="00702A15">
              <w:rPr>
                <w:color w:val="auto"/>
              </w:rPr>
              <w:t>23,3</w:t>
            </w:r>
          </w:p>
        </w:tc>
        <w:tc>
          <w:tcPr>
            <w:tcW w:w="992" w:type="dxa"/>
            <w:vAlign w:val="center"/>
          </w:tcPr>
          <w:p w:rsidR="00420717" w:rsidRPr="00702A15" w:rsidRDefault="00420717" w:rsidP="00D92384">
            <w:pPr>
              <w:pStyle w:val="Default"/>
              <w:jc w:val="center"/>
              <w:rPr>
                <w:color w:val="auto"/>
              </w:rPr>
            </w:pPr>
            <w:r w:rsidRPr="00702A15">
              <w:rPr>
                <w:color w:val="auto"/>
              </w:rPr>
              <w:t>28,3</w:t>
            </w:r>
          </w:p>
        </w:tc>
        <w:tc>
          <w:tcPr>
            <w:tcW w:w="992"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34,3</w:t>
            </w:r>
          </w:p>
        </w:tc>
      </w:tr>
      <w:tr w:rsidR="00420717" w:rsidRPr="00702A15" w:rsidTr="00D92384">
        <w:trPr>
          <w:trHeight w:val="93"/>
          <w:jc w:val="center"/>
        </w:trPr>
        <w:tc>
          <w:tcPr>
            <w:tcW w:w="4536" w:type="dxa"/>
            <w:vAlign w:val="center"/>
          </w:tcPr>
          <w:p w:rsidR="00420717" w:rsidRPr="00702A15" w:rsidRDefault="00420717" w:rsidP="00D92384">
            <w:pPr>
              <w:pStyle w:val="Default"/>
              <w:jc w:val="center"/>
              <w:rPr>
                <w:color w:val="auto"/>
              </w:rPr>
            </w:pPr>
            <w:r w:rsidRPr="00702A15">
              <w:rPr>
                <w:color w:val="auto"/>
              </w:rPr>
              <w:t>Clasa III</w:t>
            </w:r>
          </w:p>
        </w:tc>
        <w:tc>
          <w:tcPr>
            <w:tcW w:w="992"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31,4</w:t>
            </w:r>
          </w:p>
        </w:tc>
        <w:tc>
          <w:tcPr>
            <w:tcW w:w="851"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65,8</w:t>
            </w:r>
          </w:p>
        </w:tc>
        <w:tc>
          <w:tcPr>
            <w:tcW w:w="992"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76,7</w:t>
            </w:r>
          </w:p>
        </w:tc>
        <w:tc>
          <w:tcPr>
            <w:tcW w:w="992"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71,7</w:t>
            </w:r>
          </w:p>
        </w:tc>
        <w:tc>
          <w:tcPr>
            <w:tcW w:w="992" w:type="dxa"/>
            <w:vAlign w:val="center"/>
          </w:tcPr>
          <w:p w:rsidR="00420717" w:rsidRPr="00702A15" w:rsidRDefault="00420717" w:rsidP="00D92384">
            <w:pPr>
              <w:spacing w:after="0" w:line="240" w:lineRule="auto"/>
              <w:jc w:val="center"/>
              <w:rPr>
                <w:rFonts w:ascii="Arial" w:hAnsi="Arial" w:cs="Arial"/>
                <w:sz w:val="24"/>
                <w:szCs w:val="24"/>
                <w:lang w:val="en-GB"/>
              </w:rPr>
            </w:pPr>
            <w:r w:rsidRPr="00702A15">
              <w:rPr>
                <w:rFonts w:ascii="Arial" w:hAnsi="Arial" w:cs="Arial"/>
                <w:sz w:val="24"/>
                <w:szCs w:val="24"/>
                <w:lang w:val="en-GB"/>
              </w:rPr>
              <w:t>65,7</w:t>
            </w:r>
          </w:p>
        </w:tc>
      </w:tr>
      <w:tr w:rsidR="00420717" w:rsidRPr="00702A15" w:rsidTr="00D92384">
        <w:trPr>
          <w:trHeight w:val="93"/>
          <w:jc w:val="center"/>
        </w:trPr>
        <w:tc>
          <w:tcPr>
            <w:tcW w:w="4536" w:type="dxa"/>
            <w:vAlign w:val="center"/>
          </w:tcPr>
          <w:p w:rsidR="00420717" w:rsidRPr="00702A15" w:rsidRDefault="00420717" w:rsidP="00D92384">
            <w:pPr>
              <w:pStyle w:val="Default"/>
              <w:jc w:val="center"/>
              <w:rPr>
                <w:color w:val="auto"/>
              </w:rPr>
            </w:pPr>
            <w:r w:rsidRPr="00702A15">
              <w:rPr>
                <w:color w:val="auto"/>
              </w:rPr>
              <w:t>Clasa IV</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851"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rPr>
          <w:trHeight w:val="93"/>
          <w:jc w:val="center"/>
        </w:trPr>
        <w:tc>
          <w:tcPr>
            <w:tcW w:w="4536" w:type="dxa"/>
            <w:vAlign w:val="center"/>
          </w:tcPr>
          <w:p w:rsidR="00420717" w:rsidRPr="00702A15" w:rsidRDefault="00420717" w:rsidP="00D92384">
            <w:pPr>
              <w:pStyle w:val="Default"/>
              <w:jc w:val="center"/>
              <w:rPr>
                <w:color w:val="auto"/>
              </w:rPr>
            </w:pPr>
            <w:r w:rsidRPr="00702A15">
              <w:rPr>
                <w:color w:val="auto"/>
              </w:rPr>
              <w:t>Clasa V</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851"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c>
          <w:tcPr>
            <w:tcW w:w="992" w:type="dxa"/>
            <w:vAlign w:val="center"/>
          </w:tcPr>
          <w:p w:rsidR="00420717" w:rsidRPr="00702A15" w:rsidRDefault="00420717" w:rsidP="00D92384">
            <w:pPr>
              <w:pStyle w:val="Default"/>
              <w:jc w:val="center"/>
              <w:rPr>
                <w:color w:val="auto"/>
              </w:rPr>
            </w:pPr>
            <w:r w:rsidRPr="00702A15">
              <w:rPr>
                <w:color w:val="auto"/>
              </w:rPr>
              <w:t>-</w:t>
            </w:r>
          </w:p>
        </w:tc>
      </w:tr>
      <w:tr w:rsidR="00420717" w:rsidRPr="00702A15" w:rsidTr="00D92384">
        <w:trPr>
          <w:trHeight w:val="208"/>
          <w:jc w:val="center"/>
        </w:trPr>
        <w:tc>
          <w:tcPr>
            <w:tcW w:w="4536" w:type="dxa"/>
            <w:vAlign w:val="center"/>
          </w:tcPr>
          <w:p w:rsidR="00420717" w:rsidRPr="00702A15" w:rsidRDefault="00420717" w:rsidP="00D92384">
            <w:pPr>
              <w:pStyle w:val="Default"/>
              <w:rPr>
                <w:color w:val="auto"/>
              </w:rPr>
            </w:pPr>
            <w:r w:rsidRPr="00702A15">
              <w:rPr>
                <w:bCs/>
                <w:color w:val="auto"/>
              </w:rPr>
              <w:t xml:space="preserve">SE inferioară stării bune din reţea de râu </w:t>
            </w:r>
            <w:r w:rsidRPr="00702A15">
              <w:rPr>
                <w:bCs/>
                <w:color w:val="auto"/>
              </w:rPr>
              <w:lastRenderedPageBreak/>
              <w:t>monitorizată (%)</w:t>
            </w:r>
          </w:p>
        </w:tc>
        <w:tc>
          <w:tcPr>
            <w:tcW w:w="992" w:type="dxa"/>
            <w:vAlign w:val="center"/>
          </w:tcPr>
          <w:p w:rsidR="00420717" w:rsidRPr="00702A15" w:rsidRDefault="00420717" w:rsidP="00D92384">
            <w:pPr>
              <w:pStyle w:val="Default"/>
              <w:jc w:val="center"/>
              <w:rPr>
                <w:color w:val="auto"/>
              </w:rPr>
            </w:pPr>
            <w:r w:rsidRPr="00702A15">
              <w:rPr>
                <w:color w:val="auto"/>
                <w:lang w:val="en-GB"/>
              </w:rPr>
              <w:lastRenderedPageBreak/>
              <w:t>31,4</w:t>
            </w:r>
          </w:p>
        </w:tc>
        <w:tc>
          <w:tcPr>
            <w:tcW w:w="851" w:type="dxa"/>
            <w:vAlign w:val="center"/>
          </w:tcPr>
          <w:p w:rsidR="00420717" w:rsidRPr="00702A15" w:rsidRDefault="00420717" w:rsidP="00D92384">
            <w:pPr>
              <w:pStyle w:val="Default"/>
              <w:jc w:val="center"/>
              <w:rPr>
                <w:color w:val="auto"/>
              </w:rPr>
            </w:pPr>
            <w:r w:rsidRPr="00702A15">
              <w:rPr>
                <w:color w:val="auto"/>
                <w:lang w:val="en-GB"/>
              </w:rPr>
              <w:t>65,8</w:t>
            </w:r>
          </w:p>
        </w:tc>
        <w:tc>
          <w:tcPr>
            <w:tcW w:w="992" w:type="dxa"/>
            <w:vAlign w:val="center"/>
          </w:tcPr>
          <w:p w:rsidR="00420717" w:rsidRPr="00702A15" w:rsidRDefault="00420717" w:rsidP="00D92384">
            <w:pPr>
              <w:pStyle w:val="Default"/>
              <w:jc w:val="center"/>
              <w:rPr>
                <w:color w:val="auto"/>
              </w:rPr>
            </w:pPr>
            <w:r w:rsidRPr="00702A15">
              <w:rPr>
                <w:color w:val="auto"/>
                <w:lang w:val="en-GB"/>
              </w:rPr>
              <w:t>76,7</w:t>
            </w:r>
          </w:p>
        </w:tc>
        <w:tc>
          <w:tcPr>
            <w:tcW w:w="992" w:type="dxa"/>
            <w:vAlign w:val="center"/>
          </w:tcPr>
          <w:p w:rsidR="00420717" w:rsidRPr="00702A15" w:rsidRDefault="00420717" w:rsidP="00D92384">
            <w:pPr>
              <w:pStyle w:val="Default"/>
              <w:jc w:val="center"/>
              <w:rPr>
                <w:color w:val="auto"/>
              </w:rPr>
            </w:pPr>
            <w:r w:rsidRPr="00702A15">
              <w:rPr>
                <w:color w:val="auto"/>
              </w:rPr>
              <w:t>71,7</w:t>
            </w:r>
          </w:p>
        </w:tc>
        <w:tc>
          <w:tcPr>
            <w:tcW w:w="992" w:type="dxa"/>
            <w:vAlign w:val="center"/>
          </w:tcPr>
          <w:p w:rsidR="00420717" w:rsidRPr="00702A15" w:rsidRDefault="00420717" w:rsidP="00D92384">
            <w:pPr>
              <w:pStyle w:val="Default"/>
              <w:jc w:val="center"/>
              <w:rPr>
                <w:color w:val="auto"/>
              </w:rPr>
            </w:pPr>
            <w:r w:rsidRPr="00702A15">
              <w:rPr>
                <w:color w:val="auto"/>
                <w:lang w:val="en-GB"/>
              </w:rPr>
              <w:t>65,7</w:t>
            </w:r>
          </w:p>
        </w:tc>
      </w:tr>
      <w:tr w:rsidR="00420717" w:rsidRPr="00702A15" w:rsidTr="00D92384">
        <w:trPr>
          <w:trHeight w:val="207"/>
          <w:jc w:val="center"/>
        </w:trPr>
        <w:tc>
          <w:tcPr>
            <w:tcW w:w="4536" w:type="dxa"/>
            <w:vAlign w:val="center"/>
          </w:tcPr>
          <w:p w:rsidR="00420717" w:rsidRPr="00702A15" w:rsidRDefault="00420717" w:rsidP="00D92384">
            <w:pPr>
              <w:pStyle w:val="Default"/>
              <w:rPr>
                <w:color w:val="auto"/>
              </w:rPr>
            </w:pPr>
            <w:r w:rsidRPr="00702A15">
              <w:rPr>
                <w:bCs/>
                <w:color w:val="auto"/>
              </w:rPr>
              <w:lastRenderedPageBreak/>
              <w:t>Lungime reţea de râu monitorizată (km)</w:t>
            </w:r>
          </w:p>
        </w:tc>
        <w:tc>
          <w:tcPr>
            <w:tcW w:w="992" w:type="dxa"/>
            <w:vAlign w:val="center"/>
          </w:tcPr>
          <w:p w:rsidR="00420717" w:rsidRPr="00702A15" w:rsidRDefault="00420717" w:rsidP="00D92384">
            <w:pPr>
              <w:pStyle w:val="Default"/>
              <w:jc w:val="center"/>
              <w:rPr>
                <w:color w:val="auto"/>
              </w:rPr>
            </w:pPr>
            <w:r w:rsidRPr="00702A15">
              <w:rPr>
                <w:color w:val="auto"/>
              </w:rPr>
              <w:t>769,5</w:t>
            </w:r>
          </w:p>
        </w:tc>
        <w:tc>
          <w:tcPr>
            <w:tcW w:w="851" w:type="dxa"/>
            <w:vAlign w:val="center"/>
          </w:tcPr>
          <w:p w:rsidR="00420717" w:rsidRPr="00702A15" w:rsidRDefault="00420717" w:rsidP="00D92384">
            <w:pPr>
              <w:pStyle w:val="Default"/>
              <w:jc w:val="center"/>
              <w:rPr>
                <w:color w:val="auto"/>
              </w:rPr>
            </w:pPr>
            <w:r w:rsidRPr="00702A15">
              <w:rPr>
                <w:color w:val="auto"/>
              </w:rPr>
              <w:t>569,5</w:t>
            </w:r>
          </w:p>
        </w:tc>
        <w:tc>
          <w:tcPr>
            <w:tcW w:w="992" w:type="dxa"/>
            <w:vAlign w:val="center"/>
          </w:tcPr>
          <w:p w:rsidR="00420717" w:rsidRPr="00702A15" w:rsidRDefault="00420717" w:rsidP="00D92384">
            <w:pPr>
              <w:pStyle w:val="Default"/>
              <w:jc w:val="center"/>
              <w:rPr>
                <w:color w:val="auto"/>
              </w:rPr>
            </w:pPr>
            <w:r w:rsidRPr="00702A15">
              <w:rPr>
                <w:color w:val="auto"/>
              </w:rPr>
              <w:t>573,5</w:t>
            </w:r>
          </w:p>
        </w:tc>
        <w:tc>
          <w:tcPr>
            <w:tcW w:w="992" w:type="dxa"/>
            <w:vAlign w:val="center"/>
          </w:tcPr>
          <w:p w:rsidR="00420717" w:rsidRPr="00702A15" w:rsidRDefault="00420717" w:rsidP="00D92384">
            <w:pPr>
              <w:pStyle w:val="Default"/>
              <w:jc w:val="center"/>
              <w:rPr>
                <w:color w:val="auto"/>
              </w:rPr>
            </w:pPr>
            <w:r w:rsidRPr="00702A15">
              <w:rPr>
                <w:color w:val="auto"/>
              </w:rPr>
              <w:t>605,5</w:t>
            </w:r>
          </w:p>
        </w:tc>
        <w:tc>
          <w:tcPr>
            <w:tcW w:w="992" w:type="dxa"/>
            <w:vAlign w:val="center"/>
          </w:tcPr>
          <w:p w:rsidR="00420717" w:rsidRPr="00702A15" w:rsidRDefault="00420717" w:rsidP="00D92384">
            <w:pPr>
              <w:pStyle w:val="Default"/>
              <w:jc w:val="center"/>
              <w:rPr>
                <w:color w:val="auto"/>
              </w:rPr>
            </w:pPr>
            <w:r w:rsidRPr="00702A15">
              <w:rPr>
                <w:color w:val="auto"/>
              </w:rPr>
              <w:t>615,5</w:t>
            </w:r>
          </w:p>
        </w:tc>
      </w:tr>
      <w:tr w:rsidR="00420717" w:rsidRPr="00702A15" w:rsidTr="00D92384">
        <w:trPr>
          <w:trHeight w:val="94"/>
          <w:jc w:val="center"/>
        </w:trPr>
        <w:tc>
          <w:tcPr>
            <w:tcW w:w="4536" w:type="dxa"/>
            <w:vAlign w:val="center"/>
          </w:tcPr>
          <w:p w:rsidR="00420717" w:rsidRPr="00702A15" w:rsidRDefault="00420717" w:rsidP="00D92384">
            <w:pPr>
              <w:pStyle w:val="Default"/>
              <w:rPr>
                <w:color w:val="auto"/>
              </w:rPr>
            </w:pPr>
            <w:r w:rsidRPr="00702A15">
              <w:rPr>
                <w:bCs/>
                <w:color w:val="auto"/>
              </w:rPr>
              <w:t>Numărul punctelor de prelevare</w:t>
            </w:r>
          </w:p>
        </w:tc>
        <w:tc>
          <w:tcPr>
            <w:tcW w:w="992" w:type="dxa"/>
            <w:vAlign w:val="center"/>
          </w:tcPr>
          <w:p w:rsidR="00420717" w:rsidRPr="00702A15" w:rsidRDefault="00420717" w:rsidP="00D92384">
            <w:pPr>
              <w:pStyle w:val="Default"/>
              <w:jc w:val="center"/>
              <w:rPr>
                <w:color w:val="auto"/>
              </w:rPr>
            </w:pPr>
            <w:r w:rsidRPr="00702A15">
              <w:rPr>
                <w:color w:val="auto"/>
              </w:rPr>
              <w:t>23</w:t>
            </w:r>
          </w:p>
        </w:tc>
        <w:tc>
          <w:tcPr>
            <w:tcW w:w="851" w:type="dxa"/>
            <w:vAlign w:val="center"/>
          </w:tcPr>
          <w:p w:rsidR="00420717" w:rsidRPr="00702A15" w:rsidRDefault="00420717" w:rsidP="00D92384">
            <w:pPr>
              <w:pStyle w:val="Default"/>
              <w:jc w:val="center"/>
              <w:rPr>
                <w:color w:val="auto"/>
              </w:rPr>
            </w:pPr>
            <w:r w:rsidRPr="00702A15">
              <w:rPr>
                <w:color w:val="auto"/>
              </w:rPr>
              <w:t>21</w:t>
            </w:r>
          </w:p>
        </w:tc>
        <w:tc>
          <w:tcPr>
            <w:tcW w:w="992" w:type="dxa"/>
            <w:vAlign w:val="center"/>
          </w:tcPr>
          <w:p w:rsidR="00420717" w:rsidRPr="00702A15" w:rsidRDefault="00420717" w:rsidP="00D92384">
            <w:pPr>
              <w:pStyle w:val="Default"/>
              <w:jc w:val="center"/>
              <w:rPr>
                <w:color w:val="auto"/>
              </w:rPr>
            </w:pPr>
            <w:r w:rsidRPr="00702A15">
              <w:rPr>
                <w:color w:val="auto"/>
              </w:rPr>
              <w:t>22</w:t>
            </w:r>
          </w:p>
        </w:tc>
        <w:tc>
          <w:tcPr>
            <w:tcW w:w="992" w:type="dxa"/>
            <w:vAlign w:val="center"/>
          </w:tcPr>
          <w:p w:rsidR="00420717" w:rsidRPr="00702A15" w:rsidRDefault="00420717" w:rsidP="00D92384">
            <w:pPr>
              <w:pStyle w:val="Default"/>
              <w:jc w:val="center"/>
              <w:rPr>
                <w:color w:val="auto"/>
              </w:rPr>
            </w:pPr>
            <w:r w:rsidRPr="00702A15">
              <w:rPr>
                <w:color w:val="auto"/>
              </w:rPr>
              <w:t>23</w:t>
            </w:r>
          </w:p>
        </w:tc>
        <w:tc>
          <w:tcPr>
            <w:tcW w:w="992" w:type="dxa"/>
            <w:vAlign w:val="center"/>
          </w:tcPr>
          <w:p w:rsidR="00420717" w:rsidRPr="00702A15" w:rsidRDefault="00420717" w:rsidP="00D92384">
            <w:pPr>
              <w:pStyle w:val="Default"/>
              <w:jc w:val="center"/>
              <w:rPr>
                <w:color w:val="auto"/>
              </w:rPr>
            </w:pPr>
            <w:r w:rsidRPr="00702A15">
              <w:rPr>
                <w:color w:val="auto"/>
              </w:rPr>
              <w:t>23</w:t>
            </w:r>
          </w:p>
        </w:tc>
      </w:tr>
    </w:tbl>
    <w:p w:rsidR="00420717" w:rsidRPr="00AA0E3F" w:rsidRDefault="00420717" w:rsidP="00420717">
      <w:pPr>
        <w:pStyle w:val="Default"/>
        <w:jc w:val="both"/>
        <w:rPr>
          <w:b/>
          <w:bCs/>
          <w:color w:val="auto"/>
        </w:rPr>
      </w:pPr>
      <w:r w:rsidRPr="00AA0E3F">
        <w:rPr>
          <w:b/>
          <w:bCs/>
          <w:color w:val="auto"/>
        </w:rPr>
        <w:t>Tabel II.</w:t>
      </w:r>
      <w:r w:rsidRPr="00AA0E3F">
        <w:rPr>
          <w:b/>
          <w:color w:val="auto"/>
        </w:rPr>
        <w:t xml:space="preserve">2.1.1.9. </w:t>
      </w:r>
      <w:r w:rsidRPr="00AA0E3F">
        <w:rPr>
          <w:b/>
          <w:bCs/>
          <w:color w:val="auto"/>
        </w:rPr>
        <w:t xml:space="preserve">Evoluţia stării ecologice a principalelor cursuri de apă monitorizate la nivelul judeţului Buzău în perioda 2010-2014 </w:t>
      </w:r>
    </w:p>
    <w:p w:rsidR="00420717" w:rsidRPr="00702A15" w:rsidRDefault="00420717" w:rsidP="00420717">
      <w:pPr>
        <w:pStyle w:val="Default"/>
        <w:jc w:val="both"/>
        <w:rPr>
          <w:color w:val="auto"/>
        </w:rPr>
      </w:pPr>
      <w:r w:rsidRPr="00702A15">
        <w:rPr>
          <w:color w:val="auto"/>
        </w:rPr>
        <w:t>Legendă: SE - stare ecologică, Clasa I - SE foarte bună,  Clasa II - SE bună, Clasa III - SE moderată, Clasa IV - SE slabă, Clasa V - SE proastă.</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pStyle w:val="Default"/>
        <w:jc w:val="both"/>
        <w:rPr>
          <w:b/>
          <w:bCs/>
          <w:color w:val="auto"/>
        </w:rPr>
      </w:pPr>
    </w:p>
    <w:p w:rsidR="00420717" w:rsidRPr="00702A15" w:rsidRDefault="00420717" w:rsidP="00420717">
      <w:pPr>
        <w:pStyle w:val="Default"/>
        <w:jc w:val="center"/>
        <w:rPr>
          <w:color w:val="auto"/>
        </w:rPr>
      </w:pPr>
      <w:r w:rsidRPr="00702A15">
        <w:rPr>
          <w:noProof/>
          <w:color w:val="auto"/>
          <w:lang w:eastAsia="ro-RO"/>
        </w:rPr>
        <w:drawing>
          <wp:inline distT="0" distB="0" distL="0" distR="0">
            <wp:extent cx="4572000" cy="2743200"/>
            <wp:effectExtent l="19050" t="0" r="1905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20717" w:rsidRPr="00AA0E3F" w:rsidRDefault="00420717" w:rsidP="00420717">
      <w:pPr>
        <w:pStyle w:val="Default"/>
        <w:jc w:val="both"/>
        <w:rPr>
          <w:b/>
          <w:bCs/>
          <w:color w:val="auto"/>
        </w:rPr>
      </w:pPr>
      <w:r w:rsidRPr="00AA0E3F">
        <w:rPr>
          <w:b/>
          <w:bCs/>
          <w:color w:val="auto"/>
        </w:rPr>
        <w:t xml:space="preserve">Figura II.2.1.1.11. Evaluarea cursurilor de apă monitorizate privind starea ecologică inferioară stării bune </w:t>
      </w:r>
    </w:p>
    <w:p w:rsidR="00420717" w:rsidRPr="00702A15" w:rsidRDefault="00420717" w:rsidP="00420717">
      <w:pPr>
        <w:pStyle w:val="Default"/>
        <w:rPr>
          <w:color w:val="auto"/>
        </w:rPr>
      </w:pPr>
    </w:p>
    <w:p w:rsidR="00420717" w:rsidRPr="00702A15" w:rsidRDefault="00420717" w:rsidP="00420717">
      <w:pPr>
        <w:pStyle w:val="Default"/>
        <w:jc w:val="center"/>
        <w:rPr>
          <w:color w:val="auto"/>
        </w:rPr>
      </w:pPr>
      <w:r w:rsidRPr="00702A15">
        <w:rPr>
          <w:noProof/>
          <w:color w:val="auto"/>
          <w:lang w:eastAsia="ro-RO"/>
        </w:rPr>
        <w:drawing>
          <wp:inline distT="0" distB="0" distL="0" distR="0">
            <wp:extent cx="4572000" cy="2743200"/>
            <wp:effectExtent l="19050" t="0" r="19050" b="0"/>
            <wp:docPr id="1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20717" w:rsidRPr="00702A15" w:rsidRDefault="00420717" w:rsidP="00420717">
      <w:pPr>
        <w:pStyle w:val="Default"/>
        <w:jc w:val="both"/>
        <w:rPr>
          <w:color w:val="auto"/>
        </w:rPr>
      </w:pPr>
    </w:p>
    <w:p w:rsidR="00420717" w:rsidRPr="00AA0E3F" w:rsidRDefault="00420717" w:rsidP="00420717">
      <w:pPr>
        <w:pStyle w:val="Default"/>
        <w:spacing w:before="120" w:after="120"/>
        <w:jc w:val="both"/>
        <w:rPr>
          <w:b/>
          <w:color w:val="auto"/>
        </w:rPr>
      </w:pPr>
      <w:r w:rsidRPr="00AA0E3F">
        <w:rPr>
          <w:b/>
          <w:bCs/>
          <w:color w:val="auto"/>
        </w:rPr>
        <w:t xml:space="preserve">Figura II.2.1.1.12. Starea ecologică a cursurilor de apă monitorizate  </w:t>
      </w:r>
    </w:p>
    <w:p w:rsidR="00420717" w:rsidRPr="00702A15" w:rsidRDefault="00420717" w:rsidP="00420717">
      <w:pPr>
        <w:spacing w:after="0" w:line="240" w:lineRule="auto"/>
        <w:jc w:val="both"/>
        <w:rPr>
          <w:rFonts w:ascii="Arial" w:hAnsi="Arial" w:cs="Arial"/>
          <w:sz w:val="24"/>
          <w:szCs w:val="24"/>
        </w:rPr>
      </w:pP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Distribuţia punctelor de monitorizare a calită</w:t>
      </w:r>
      <w:r>
        <w:rPr>
          <w:rFonts w:ascii="Arial" w:hAnsi="Arial" w:cs="Arial"/>
          <w:sz w:val="24"/>
          <w:szCs w:val="24"/>
        </w:rPr>
        <w:t>ţ</w:t>
      </w:r>
      <w:r w:rsidRPr="00702A15">
        <w:rPr>
          <w:rFonts w:ascii="Arial" w:hAnsi="Arial" w:cs="Arial"/>
          <w:sz w:val="24"/>
          <w:szCs w:val="24"/>
        </w:rPr>
        <w:t>ii apelor de suprafa</w:t>
      </w:r>
      <w:r>
        <w:rPr>
          <w:rFonts w:ascii="Arial" w:hAnsi="Arial" w:cs="Arial"/>
          <w:sz w:val="24"/>
          <w:szCs w:val="24"/>
        </w:rPr>
        <w:t>ţ</w:t>
      </w:r>
      <w:r w:rsidRPr="00702A15">
        <w:rPr>
          <w:rFonts w:ascii="Arial" w:hAnsi="Arial" w:cs="Arial"/>
          <w:sz w:val="24"/>
          <w:szCs w:val="24"/>
        </w:rPr>
        <w:t>ă, cu concentraţie mai mare decât standardul de calitate a mediului (SCM), pe bazine hidrografice în anul 2014, în jude</w:t>
      </w:r>
      <w:r>
        <w:rPr>
          <w:rFonts w:ascii="Arial" w:hAnsi="Arial" w:cs="Arial"/>
          <w:sz w:val="24"/>
          <w:szCs w:val="24"/>
        </w:rPr>
        <w:t>ţ</w:t>
      </w:r>
      <w:r w:rsidRPr="00702A15">
        <w:rPr>
          <w:rFonts w:ascii="Arial" w:hAnsi="Arial" w:cs="Arial"/>
          <w:sz w:val="24"/>
          <w:szCs w:val="24"/>
        </w:rPr>
        <w:t xml:space="preserve">ul Buzău, este prezentată în tabelul următor. </w:t>
      </w:r>
    </w:p>
    <w:p w:rsidR="005864AC" w:rsidRDefault="005864AC" w:rsidP="00420717">
      <w:pPr>
        <w:spacing w:after="0" w:line="240" w:lineRule="auto"/>
        <w:jc w:val="both"/>
        <w:rPr>
          <w:rFonts w:ascii="Arial" w:hAnsi="Arial" w:cs="Arial"/>
          <w:sz w:val="24"/>
          <w:szCs w:val="24"/>
        </w:rPr>
      </w:pPr>
    </w:p>
    <w:p w:rsidR="005864AC" w:rsidRDefault="005864AC" w:rsidP="00420717">
      <w:pPr>
        <w:spacing w:after="0" w:line="240" w:lineRule="auto"/>
        <w:jc w:val="both"/>
        <w:rPr>
          <w:rFonts w:ascii="Arial" w:hAnsi="Arial" w:cs="Arial"/>
          <w:sz w:val="24"/>
          <w:szCs w:val="24"/>
        </w:rPr>
      </w:pPr>
    </w:p>
    <w:p w:rsidR="005864AC" w:rsidRPr="00702A15" w:rsidRDefault="005864AC" w:rsidP="00420717">
      <w:pPr>
        <w:spacing w:after="0" w:line="240" w:lineRule="auto"/>
        <w:jc w:val="both"/>
        <w:rPr>
          <w:rFonts w:ascii="Arial" w:hAnsi="Arial" w:cs="Arial"/>
          <w:sz w:val="24"/>
          <w:szCs w:val="24"/>
        </w:rPr>
      </w:pPr>
    </w:p>
    <w:tbl>
      <w:tblPr>
        <w:tblStyle w:val="TableGrid"/>
        <w:tblW w:w="0" w:type="auto"/>
        <w:jc w:val="center"/>
        <w:tblInd w:w="250" w:type="dxa"/>
        <w:tblLook w:val="04A0"/>
      </w:tblPr>
      <w:tblGrid>
        <w:gridCol w:w="2552"/>
        <w:gridCol w:w="2268"/>
        <w:gridCol w:w="2320"/>
        <w:gridCol w:w="2464"/>
      </w:tblGrid>
      <w:tr w:rsidR="00420717" w:rsidRPr="00702A15" w:rsidTr="00D92384">
        <w:trPr>
          <w:jc w:val="center"/>
        </w:trPr>
        <w:tc>
          <w:tcPr>
            <w:tcW w:w="2552"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lastRenderedPageBreak/>
              <w:t>Bazin hidrografic</w:t>
            </w:r>
          </w:p>
        </w:tc>
        <w:tc>
          <w:tcPr>
            <w:tcW w:w="2268" w:type="dxa"/>
            <w:vAlign w:val="center"/>
          </w:tcPr>
          <w:p w:rsidR="00420717" w:rsidRPr="00702A15" w:rsidRDefault="00420717" w:rsidP="00D92384">
            <w:pPr>
              <w:pStyle w:val="Default"/>
              <w:jc w:val="center"/>
              <w:rPr>
                <w:color w:val="auto"/>
              </w:rPr>
            </w:pPr>
            <w:r w:rsidRPr="00702A15">
              <w:rPr>
                <w:bCs/>
                <w:color w:val="auto"/>
              </w:rPr>
              <w:t>Număr puncte de monitorizare</w:t>
            </w:r>
          </w:p>
        </w:tc>
        <w:tc>
          <w:tcPr>
            <w:tcW w:w="2320" w:type="dxa"/>
            <w:vAlign w:val="center"/>
          </w:tcPr>
          <w:p w:rsidR="00420717" w:rsidRPr="00702A15" w:rsidRDefault="00420717" w:rsidP="00D92384">
            <w:pPr>
              <w:pStyle w:val="Default"/>
              <w:jc w:val="center"/>
              <w:rPr>
                <w:color w:val="auto"/>
              </w:rPr>
            </w:pPr>
            <w:r w:rsidRPr="00702A15">
              <w:rPr>
                <w:bCs/>
                <w:color w:val="auto"/>
              </w:rPr>
              <w:t>Număr puncte cu concentraţie mai mare decât SCM</w:t>
            </w:r>
          </w:p>
        </w:tc>
        <w:tc>
          <w:tcPr>
            <w:tcW w:w="2464" w:type="dxa"/>
            <w:vAlign w:val="center"/>
          </w:tcPr>
          <w:p w:rsidR="00420717" w:rsidRPr="00702A15" w:rsidRDefault="00420717" w:rsidP="00D92384">
            <w:pPr>
              <w:pStyle w:val="Default"/>
              <w:jc w:val="center"/>
              <w:rPr>
                <w:color w:val="auto"/>
              </w:rPr>
            </w:pPr>
            <w:r w:rsidRPr="00702A15">
              <w:rPr>
                <w:bCs/>
                <w:color w:val="auto"/>
              </w:rPr>
              <w:t>Ponderea punctelor cu concentraţie mai mare decât SCM (%)</w:t>
            </w:r>
          </w:p>
        </w:tc>
      </w:tr>
      <w:tr w:rsidR="00420717" w:rsidRPr="00702A15" w:rsidTr="00D92384">
        <w:trPr>
          <w:jc w:val="center"/>
        </w:trPr>
        <w:tc>
          <w:tcPr>
            <w:tcW w:w="255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Buzău</w:t>
            </w:r>
          </w:p>
        </w:tc>
        <w:tc>
          <w:tcPr>
            <w:tcW w:w="226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18</w:t>
            </w:r>
          </w:p>
        </w:tc>
        <w:tc>
          <w:tcPr>
            <w:tcW w:w="232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2464"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rPr>
          <w:jc w:val="center"/>
        </w:trPr>
        <w:tc>
          <w:tcPr>
            <w:tcW w:w="255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Sărata</w:t>
            </w:r>
          </w:p>
        </w:tc>
        <w:tc>
          <w:tcPr>
            <w:tcW w:w="226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32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2464"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rPr>
          <w:jc w:val="center"/>
        </w:trPr>
        <w:tc>
          <w:tcPr>
            <w:tcW w:w="255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Călmă</w:t>
            </w:r>
            <w:r>
              <w:rPr>
                <w:rFonts w:ascii="Arial" w:hAnsi="Arial" w:cs="Arial"/>
                <w:sz w:val="24"/>
                <w:szCs w:val="24"/>
              </w:rPr>
              <w:t>ţ</w:t>
            </w:r>
            <w:r w:rsidRPr="00702A15">
              <w:rPr>
                <w:rFonts w:ascii="Arial" w:hAnsi="Arial" w:cs="Arial"/>
                <w:sz w:val="24"/>
                <w:szCs w:val="24"/>
              </w:rPr>
              <w:t>ui</w:t>
            </w:r>
          </w:p>
        </w:tc>
        <w:tc>
          <w:tcPr>
            <w:tcW w:w="226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1</w:t>
            </w:r>
          </w:p>
        </w:tc>
        <w:tc>
          <w:tcPr>
            <w:tcW w:w="232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2464"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rPr>
          <w:jc w:val="center"/>
        </w:trPr>
        <w:tc>
          <w:tcPr>
            <w:tcW w:w="255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Râmnicu Sărat</w:t>
            </w:r>
          </w:p>
        </w:tc>
        <w:tc>
          <w:tcPr>
            <w:tcW w:w="226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232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2464"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rPr>
          <w:jc w:val="center"/>
        </w:trPr>
        <w:tc>
          <w:tcPr>
            <w:tcW w:w="2552" w:type="dxa"/>
          </w:tcPr>
          <w:p w:rsidR="00420717" w:rsidRPr="00702A15" w:rsidRDefault="00420717" w:rsidP="00D92384">
            <w:pPr>
              <w:jc w:val="both"/>
              <w:rPr>
                <w:rFonts w:ascii="Arial" w:hAnsi="Arial" w:cs="Arial"/>
                <w:sz w:val="24"/>
                <w:szCs w:val="24"/>
              </w:rPr>
            </w:pPr>
            <w:r w:rsidRPr="00702A15">
              <w:rPr>
                <w:rFonts w:ascii="Arial" w:hAnsi="Arial" w:cs="Arial"/>
                <w:sz w:val="24"/>
                <w:szCs w:val="24"/>
              </w:rPr>
              <w:t>Total</w:t>
            </w:r>
          </w:p>
        </w:tc>
        <w:tc>
          <w:tcPr>
            <w:tcW w:w="2268"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23</w:t>
            </w:r>
          </w:p>
        </w:tc>
        <w:tc>
          <w:tcPr>
            <w:tcW w:w="2320"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2464" w:type="dxa"/>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bCs/>
          <w:sz w:val="24"/>
          <w:szCs w:val="24"/>
        </w:rPr>
        <w:t>Tabel II.</w:t>
      </w:r>
      <w:r w:rsidRPr="00AA0E3F">
        <w:rPr>
          <w:rFonts w:ascii="Arial" w:hAnsi="Arial" w:cs="Arial"/>
          <w:b/>
          <w:sz w:val="24"/>
          <w:szCs w:val="24"/>
        </w:rPr>
        <w:t xml:space="preserve">2.1.1.10. Distribuţia punctelor de monitorizare a calităţii apelor de suprafaţă, cu concentraţie mai mare decât standardul de calitate a mediului (SCM), pe bazine hidrografice în anul 2014, în judeţul Buzău </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spacing w:after="0" w:line="240" w:lineRule="auto"/>
        <w:jc w:val="both"/>
        <w:rPr>
          <w:rFonts w:ascii="Arial" w:hAnsi="Arial" w:cs="Arial"/>
          <w:sz w:val="24"/>
          <w:szCs w:val="24"/>
        </w:rPr>
      </w:pPr>
    </w:p>
    <w:p w:rsidR="00420717" w:rsidRPr="00702A15" w:rsidRDefault="00420717" w:rsidP="00420717">
      <w:pPr>
        <w:spacing w:after="0" w:line="240" w:lineRule="auto"/>
        <w:jc w:val="both"/>
        <w:rPr>
          <w:rFonts w:ascii="Arial" w:hAnsi="Arial" w:cs="Arial"/>
          <w:bCs/>
          <w:sz w:val="24"/>
          <w:szCs w:val="24"/>
        </w:rPr>
      </w:pPr>
      <w:r w:rsidRPr="00702A15">
        <w:rPr>
          <w:rFonts w:ascii="Arial" w:hAnsi="Arial" w:cs="Arial"/>
          <w:sz w:val="24"/>
          <w:szCs w:val="24"/>
        </w:rPr>
        <w:t>Pentru distribuţia punctelor de monitorizare cu concentraţie mai mare decât standardul de calitate a mediului (SCM), pe râurile naturale din jude</w:t>
      </w:r>
      <w:r>
        <w:rPr>
          <w:rFonts w:ascii="Arial" w:hAnsi="Arial" w:cs="Arial"/>
          <w:sz w:val="24"/>
          <w:szCs w:val="24"/>
        </w:rPr>
        <w:t>ţ</w:t>
      </w:r>
      <w:r w:rsidRPr="00702A15">
        <w:rPr>
          <w:rFonts w:ascii="Arial" w:hAnsi="Arial" w:cs="Arial"/>
          <w:sz w:val="24"/>
          <w:szCs w:val="24"/>
        </w:rPr>
        <w:t xml:space="preserve">ul Buzău </w:t>
      </w:r>
      <w:r w:rsidRPr="00702A15">
        <w:rPr>
          <w:rFonts w:ascii="Arial" w:hAnsi="Arial" w:cs="Arial"/>
          <w:bCs/>
          <w:sz w:val="24"/>
          <w:szCs w:val="24"/>
        </w:rPr>
        <w:t>ABA Buzău-Ialomi</w:t>
      </w:r>
      <w:r>
        <w:rPr>
          <w:rFonts w:ascii="Arial" w:hAnsi="Arial" w:cs="Arial"/>
          <w:bCs/>
          <w:sz w:val="24"/>
          <w:szCs w:val="24"/>
        </w:rPr>
        <w:t>ţ</w:t>
      </w:r>
      <w:r w:rsidRPr="00702A15">
        <w:rPr>
          <w:rFonts w:ascii="Arial" w:hAnsi="Arial" w:cs="Arial"/>
          <w:bCs/>
          <w:sz w:val="24"/>
          <w:szCs w:val="24"/>
        </w:rPr>
        <w:t xml:space="preserve">a nu a furnizat date corecte </w:t>
      </w:r>
      <w:r>
        <w:rPr>
          <w:rFonts w:ascii="Arial" w:hAnsi="Arial" w:cs="Arial"/>
          <w:bCs/>
          <w:sz w:val="24"/>
          <w:szCs w:val="24"/>
        </w:rPr>
        <w:t>ş</w:t>
      </w:r>
      <w:r w:rsidRPr="00702A15">
        <w:rPr>
          <w:rFonts w:ascii="Arial" w:hAnsi="Arial" w:cs="Arial"/>
          <w:bCs/>
          <w:sz w:val="24"/>
          <w:szCs w:val="24"/>
        </w:rPr>
        <w:t>i din această cauză nu s-a putut întocmi tabelul pentru întreg jude</w:t>
      </w:r>
      <w:r>
        <w:rPr>
          <w:rFonts w:ascii="Arial" w:hAnsi="Arial" w:cs="Arial"/>
          <w:bCs/>
          <w:sz w:val="24"/>
          <w:szCs w:val="24"/>
        </w:rPr>
        <w:t>ţ</w:t>
      </w:r>
      <w:r w:rsidRPr="00702A15">
        <w:rPr>
          <w:rFonts w:ascii="Arial" w:hAnsi="Arial" w:cs="Arial"/>
          <w:bCs/>
          <w:sz w:val="24"/>
          <w:szCs w:val="24"/>
        </w:rPr>
        <w:t>ul Buzău.</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bCs/>
          <w:sz w:val="24"/>
          <w:szCs w:val="24"/>
        </w:rPr>
        <w:t xml:space="preserve">Pentru bazinul hidrografic Râmnicu Sărat </w:t>
      </w:r>
      <w:r w:rsidRPr="00702A15">
        <w:rPr>
          <w:rFonts w:ascii="Arial" w:hAnsi="Arial" w:cs="Arial"/>
          <w:sz w:val="24"/>
          <w:szCs w:val="24"/>
        </w:rPr>
        <w:t>distribuţia punctelor de monitorizare cu concentraţie mai mare decât standardul de calitate a mediului (SCM) este prezentată în tabelul următor:</w:t>
      </w:r>
    </w:p>
    <w:tbl>
      <w:tblPr>
        <w:tblStyle w:val="TableGrid"/>
        <w:tblW w:w="0" w:type="auto"/>
        <w:jc w:val="center"/>
        <w:tblInd w:w="250" w:type="dxa"/>
        <w:tblLook w:val="04A0"/>
      </w:tblPr>
      <w:tblGrid>
        <w:gridCol w:w="2977"/>
        <w:gridCol w:w="1984"/>
        <w:gridCol w:w="2179"/>
        <w:gridCol w:w="2464"/>
      </w:tblGrid>
      <w:tr w:rsidR="00420717" w:rsidRPr="00702A15" w:rsidTr="00D92384">
        <w:trPr>
          <w:jc w:val="center"/>
        </w:trPr>
        <w:tc>
          <w:tcPr>
            <w:tcW w:w="2977"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Categorie</w:t>
            </w:r>
          </w:p>
        </w:tc>
        <w:tc>
          <w:tcPr>
            <w:tcW w:w="1984" w:type="dxa"/>
            <w:vAlign w:val="center"/>
          </w:tcPr>
          <w:p w:rsidR="00420717" w:rsidRPr="00702A15" w:rsidRDefault="00420717" w:rsidP="00D92384">
            <w:pPr>
              <w:pStyle w:val="Default"/>
              <w:jc w:val="center"/>
              <w:rPr>
                <w:color w:val="auto"/>
              </w:rPr>
            </w:pPr>
            <w:r w:rsidRPr="00702A15">
              <w:rPr>
                <w:bCs/>
                <w:color w:val="auto"/>
              </w:rPr>
              <w:t>Număr puncte de monitorizare</w:t>
            </w:r>
          </w:p>
        </w:tc>
        <w:tc>
          <w:tcPr>
            <w:tcW w:w="2179" w:type="dxa"/>
            <w:vAlign w:val="center"/>
          </w:tcPr>
          <w:p w:rsidR="00420717" w:rsidRPr="00702A15" w:rsidRDefault="00420717" w:rsidP="00D92384">
            <w:pPr>
              <w:pStyle w:val="Default"/>
              <w:jc w:val="center"/>
              <w:rPr>
                <w:color w:val="auto"/>
              </w:rPr>
            </w:pPr>
            <w:r w:rsidRPr="00702A15">
              <w:rPr>
                <w:bCs/>
                <w:color w:val="auto"/>
              </w:rPr>
              <w:t>Număr puncte cu concentraţie mai mare decât SCM</w:t>
            </w:r>
          </w:p>
        </w:tc>
        <w:tc>
          <w:tcPr>
            <w:tcW w:w="2464" w:type="dxa"/>
            <w:vAlign w:val="center"/>
          </w:tcPr>
          <w:p w:rsidR="00420717" w:rsidRPr="00702A15" w:rsidRDefault="00420717" w:rsidP="00D92384">
            <w:pPr>
              <w:pStyle w:val="Default"/>
              <w:jc w:val="center"/>
              <w:rPr>
                <w:color w:val="auto"/>
              </w:rPr>
            </w:pPr>
            <w:r w:rsidRPr="00702A15">
              <w:rPr>
                <w:bCs/>
                <w:color w:val="auto"/>
              </w:rPr>
              <w:t>Ponderea punctelor cu concentraţie mai mare decât SCM (%)</w:t>
            </w:r>
          </w:p>
        </w:tc>
      </w:tr>
      <w:tr w:rsidR="00420717" w:rsidRPr="00702A15" w:rsidTr="00D92384">
        <w:trPr>
          <w:jc w:val="center"/>
        </w:trPr>
        <w:tc>
          <w:tcPr>
            <w:tcW w:w="2977" w:type="dxa"/>
            <w:vAlign w:val="center"/>
          </w:tcPr>
          <w:p w:rsidR="00420717" w:rsidRPr="00702A15" w:rsidRDefault="00420717" w:rsidP="00D92384">
            <w:pPr>
              <w:pStyle w:val="Default"/>
              <w:rPr>
                <w:color w:val="auto"/>
              </w:rPr>
            </w:pPr>
            <w:r w:rsidRPr="00702A15">
              <w:rPr>
                <w:color w:val="auto"/>
              </w:rPr>
              <w:t xml:space="preserve">Râuri naturale - total </w:t>
            </w:r>
          </w:p>
        </w:tc>
        <w:tc>
          <w:tcPr>
            <w:tcW w:w="198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217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246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r w:rsidR="00420717" w:rsidRPr="00702A15" w:rsidTr="00D92384">
        <w:trPr>
          <w:jc w:val="center"/>
        </w:trPr>
        <w:tc>
          <w:tcPr>
            <w:tcW w:w="2977" w:type="dxa"/>
            <w:vAlign w:val="center"/>
          </w:tcPr>
          <w:p w:rsidR="00420717" w:rsidRPr="00702A15" w:rsidRDefault="00420717" w:rsidP="00D92384">
            <w:pPr>
              <w:pStyle w:val="Default"/>
              <w:rPr>
                <w:color w:val="auto"/>
              </w:rPr>
            </w:pPr>
            <w:r w:rsidRPr="00702A15">
              <w:rPr>
                <w:color w:val="auto"/>
              </w:rPr>
              <w:t xml:space="preserve">Râuri puternic modificate </w:t>
            </w:r>
          </w:p>
        </w:tc>
        <w:tc>
          <w:tcPr>
            <w:tcW w:w="198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217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246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rPr>
          <w:jc w:val="center"/>
        </w:trPr>
        <w:tc>
          <w:tcPr>
            <w:tcW w:w="2977" w:type="dxa"/>
            <w:vAlign w:val="center"/>
          </w:tcPr>
          <w:p w:rsidR="00420717" w:rsidRPr="00702A15" w:rsidRDefault="00420717" w:rsidP="00D92384">
            <w:pPr>
              <w:pStyle w:val="Default"/>
              <w:rPr>
                <w:color w:val="auto"/>
              </w:rPr>
            </w:pPr>
            <w:r w:rsidRPr="00702A15">
              <w:rPr>
                <w:color w:val="auto"/>
              </w:rPr>
              <w:t xml:space="preserve">Râuri artificiale </w:t>
            </w:r>
          </w:p>
        </w:tc>
        <w:tc>
          <w:tcPr>
            <w:tcW w:w="198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217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246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rPr>
          <w:jc w:val="center"/>
        </w:trPr>
        <w:tc>
          <w:tcPr>
            <w:tcW w:w="2977" w:type="dxa"/>
            <w:vAlign w:val="center"/>
          </w:tcPr>
          <w:p w:rsidR="00420717" w:rsidRPr="00702A15" w:rsidRDefault="00420717" w:rsidP="00D92384">
            <w:pPr>
              <w:pStyle w:val="Default"/>
              <w:rPr>
                <w:color w:val="auto"/>
              </w:rPr>
            </w:pPr>
            <w:r w:rsidRPr="00702A15">
              <w:rPr>
                <w:color w:val="auto"/>
              </w:rPr>
              <w:t>Total</w:t>
            </w:r>
          </w:p>
        </w:tc>
        <w:tc>
          <w:tcPr>
            <w:tcW w:w="198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3</w:t>
            </w:r>
          </w:p>
        </w:tc>
        <w:tc>
          <w:tcPr>
            <w:tcW w:w="2179"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c>
          <w:tcPr>
            <w:tcW w:w="2464"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bCs/>
          <w:sz w:val="24"/>
          <w:szCs w:val="24"/>
        </w:rPr>
        <w:t>Tabel II.</w:t>
      </w:r>
      <w:r w:rsidRPr="00AA0E3F">
        <w:rPr>
          <w:rFonts w:ascii="Arial" w:hAnsi="Arial" w:cs="Arial"/>
          <w:b/>
          <w:sz w:val="24"/>
          <w:szCs w:val="24"/>
        </w:rPr>
        <w:t>2.1.1.11. Distribuţia punctelor de monitorizare cu concentraţie mai mare decât standardul de calitate a mediului (SCM), pe râuri naturale, râuri puternic mo</w:t>
      </w:r>
      <w:r w:rsidRPr="00AA0E3F">
        <w:rPr>
          <w:rFonts w:ascii="Arial" w:hAnsi="Arial" w:cs="Arial"/>
          <w:b/>
          <w:sz w:val="24"/>
          <w:szCs w:val="24"/>
        </w:rPr>
        <w:t>d</w:t>
      </w:r>
      <w:r w:rsidRPr="00AA0E3F">
        <w:rPr>
          <w:rFonts w:ascii="Arial" w:hAnsi="Arial" w:cs="Arial"/>
          <w:b/>
          <w:sz w:val="24"/>
          <w:szCs w:val="24"/>
        </w:rPr>
        <w:t>ificate şi râuri artificiale</w:t>
      </w:r>
      <w:r w:rsidRPr="00AA0E3F">
        <w:rPr>
          <w:rFonts w:ascii="Arial" w:hAnsi="Arial" w:cs="Arial"/>
          <w:b/>
          <w:bCs/>
          <w:sz w:val="24"/>
          <w:szCs w:val="24"/>
        </w:rPr>
        <w:t xml:space="preserve"> pentru bazinul hidrografic Râmnicu Sărat</w:t>
      </w:r>
      <w:r w:rsidRPr="00AA0E3F">
        <w:rPr>
          <w:rFonts w:ascii="Arial" w:hAnsi="Arial" w:cs="Arial"/>
          <w:b/>
          <w:sz w:val="24"/>
          <w:szCs w:val="24"/>
        </w:rPr>
        <w:t xml:space="preserve"> </w:t>
      </w:r>
    </w:p>
    <w:p w:rsidR="00420717" w:rsidRPr="00702A15" w:rsidRDefault="00420717" w:rsidP="00420717">
      <w:pPr>
        <w:pStyle w:val="Default"/>
        <w:jc w:val="right"/>
        <w:rPr>
          <w:bCs/>
          <w:color w:val="auto"/>
        </w:rPr>
      </w:pPr>
      <w:r w:rsidRPr="00702A15">
        <w:rPr>
          <w:bCs/>
          <w:color w:val="auto"/>
        </w:rPr>
        <w:t>Sursa datelor: SGA Vrancea</w:t>
      </w:r>
    </w:p>
    <w:p w:rsidR="00420717" w:rsidRPr="00702A15" w:rsidRDefault="00420717" w:rsidP="00420717">
      <w:pPr>
        <w:spacing w:after="0" w:line="240" w:lineRule="auto"/>
        <w:jc w:val="both"/>
        <w:rPr>
          <w:rFonts w:ascii="Arial" w:hAnsi="Arial" w:cs="Arial"/>
          <w:sz w:val="24"/>
          <w:szCs w:val="24"/>
        </w:rPr>
      </w:pP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t xml:space="preserve">II.2.1.2. Calitatea apei lacurilor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spacing w:after="0" w:line="240" w:lineRule="auto"/>
        <w:jc w:val="both"/>
        <w:rPr>
          <w:rFonts w:ascii="Arial" w:hAnsi="Arial" w:cs="Arial"/>
          <w:b/>
          <w:sz w:val="24"/>
          <w:szCs w:val="24"/>
          <w:lang w:val="pt-BR"/>
        </w:rPr>
      </w:pPr>
      <w:r w:rsidRPr="00702A15">
        <w:rPr>
          <w:rFonts w:ascii="Arial" w:hAnsi="Arial" w:cs="Arial"/>
          <w:b/>
          <w:sz w:val="24"/>
          <w:szCs w:val="24"/>
          <w:lang w:val="pt-BR"/>
        </w:rPr>
        <w:t>A. Principalele lacuri din jude</w:t>
      </w:r>
      <w:r>
        <w:rPr>
          <w:rFonts w:ascii="Arial" w:hAnsi="Arial" w:cs="Arial"/>
          <w:b/>
          <w:sz w:val="24"/>
          <w:szCs w:val="24"/>
          <w:lang w:val="pt-BR"/>
        </w:rPr>
        <w:t>ţ</w:t>
      </w:r>
      <w:r w:rsidRPr="00702A15">
        <w:rPr>
          <w:rFonts w:ascii="Arial" w:hAnsi="Arial" w:cs="Arial"/>
          <w:b/>
          <w:sz w:val="24"/>
          <w:szCs w:val="24"/>
          <w:lang w:val="pt-BR"/>
        </w:rPr>
        <w:t>ul Buzău</w:t>
      </w:r>
    </w:p>
    <w:p w:rsidR="00420717" w:rsidRPr="00702A15" w:rsidRDefault="00420717" w:rsidP="00420717">
      <w:pPr>
        <w:spacing w:after="0" w:line="240" w:lineRule="auto"/>
        <w:jc w:val="both"/>
        <w:rPr>
          <w:rFonts w:ascii="Arial" w:hAnsi="Arial" w:cs="Arial"/>
          <w:b/>
          <w:sz w:val="24"/>
          <w:szCs w:val="24"/>
          <w:lang w:val="pt-BR"/>
        </w:rPr>
      </w:pPr>
    </w:p>
    <w:p w:rsidR="00420717" w:rsidRDefault="00420717" w:rsidP="00420717">
      <w:pPr>
        <w:spacing w:after="0" w:line="240" w:lineRule="auto"/>
        <w:jc w:val="both"/>
        <w:rPr>
          <w:rFonts w:ascii="Arial" w:hAnsi="Arial" w:cs="Arial"/>
          <w:bCs/>
          <w:sz w:val="24"/>
          <w:szCs w:val="24"/>
          <w:lang w:val="it-IT"/>
        </w:rPr>
      </w:pPr>
      <w:r w:rsidRPr="00702A15">
        <w:rPr>
          <w:rFonts w:ascii="Arial" w:hAnsi="Arial" w:cs="Arial"/>
          <w:bCs/>
          <w:sz w:val="24"/>
          <w:szCs w:val="24"/>
          <w:lang w:val="it-IT"/>
        </w:rPr>
        <w:t>Principalele lacuri din judeţul Buzău şi suprafeţele lor sunt prezentate în tabelul II.2.1.2.1.</w:t>
      </w:r>
    </w:p>
    <w:p w:rsidR="005864AC" w:rsidRPr="00702A15" w:rsidRDefault="005864AC" w:rsidP="00420717">
      <w:pPr>
        <w:spacing w:after="0" w:line="240" w:lineRule="auto"/>
        <w:jc w:val="both"/>
        <w:rPr>
          <w:rFonts w:ascii="Arial" w:hAnsi="Arial" w:cs="Arial"/>
          <w:bCs/>
          <w:sz w:val="24"/>
          <w:szCs w:val="24"/>
          <w:lang w:val="it-IT"/>
        </w:rPr>
      </w:pPr>
    </w:p>
    <w:tbl>
      <w:tblPr>
        <w:tblW w:w="4264" w:type="pct"/>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
        <w:gridCol w:w="1834"/>
        <w:gridCol w:w="1476"/>
        <w:gridCol w:w="1476"/>
        <w:gridCol w:w="1476"/>
        <w:gridCol w:w="1603"/>
      </w:tblGrid>
      <w:tr w:rsidR="00420717" w:rsidRPr="00702A15" w:rsidTr="00D92384">
        <w:trPr>
          <w:trHeight w:val="415"/>
          <w:jc w:val="center"/>
        </w:trPr>
        <w:tc>
          <w:tcPr>
            <w:tcW w:w="320" w:type="pct"/>
            <w:vAlign w:val="center"/>
          </w:tcPr>
          <w:p w:rsidR="00420717" w:rsidRPr="00702A15" w:rsidRDefault="00420717" w:rsidP="00D92384">
            <w:pPr>
              <w:pStyle w:val="BodyTextIndent"/>
              <w:spacing w:after="0"/>
              <w:ind w:left="0"/>
              <w:jc w:val="center"/>
              <w:rPr>
                <w:rFonts w:ascii="Arial" w:eastAsiaTheme="minorEastAsia" w:hAnsi="Arial" w:cs="Arial"/>
              </w:rPr>
            </w:pPr>
            <w:r w:rsidRPr="00702A15">
              <w:rPr>
                <w:rFonts w:ascii="Arial" w:eastAsiaTheme="minorEastAsia" w:hAnsi="Arial" w:cs="Arial"/>
              </w:rPr>
              <w:t>Nr.</w:t>
            </w:r>
          </w:p>
          <w:p w:rsidR="00420717" w:rsidRPr="00702A15" w:rsidRDefault="00420717" w:rsidP="00D92384">
            <w:pPr>
              <w:pStyle w:val="BodyTextIndent"/>
              <w:spacing w:after="0"/>
              <w:ind w:left="0"/>
              <w:jc w:val="center"/>
              <w:rPr>
                <w:rFonts w:ascii="Arial" w:eastAsiaTheme="minorEastAsia" w:hAnsi="Arial" w:cs="Arial"/>
              </w:rPr>
            </w:pPr>
            <w:r w:rsidRPr="00702A15">
              <w:rPr>
                <w:rFonts w:ascii="Arial" w:eastAsiaTheme="minorEastAsia" w:hAnsi="Arial" w:cs="Arial"/>
              </w:rPr>
              <w:t>crt</w:t>
            </w:r>
          </w:p>
        </w:tc>
        <w:tc>
          <w:tcPr>
            <w:tcW w:w="1091" w:type="pct"/>
            <w:shd w:val="clear" w:color="auto" w:fill="auto"/>
            <w:vAlign w:val="center"/>
          </w:tcPr>
          <w:p w:rsidR="00420717" w:rsidRPr="00702A15" w:rsidRDefault="00420717" w:rsidP="00D92384">
            <w:pPr>
              <w:pStyle w:val="BodyTextIndent"/>
              <w:spacing w:after="0"/>
              <w:ind w:left="0"/>
              <w:jc w:val="center"/>
              <w:rPr>
                <w:rFonts w:ascii="Arial" w:eastAsiaTheme="minorEastAsia" w:hAnsi="Arial" w:cs="Arial"/>
                <w:b/>
              </w:rPr>
            </w:pPr>
            <w:r w:rsidRPr="00702A15">
              <w:rPr>
                <w:rFonts w:ascii="Arial" w:eastAsiaTheme="minorEastAsia" w:hAnsi="Arial" w:cs="Arial"/>
                <w:b/>
              </w:rPr>
              <w:t>Tipul lacului</w:t>
            </w:r>
          </w:p>
        </w:tc>
        <w:tc>
          <w:tcPr>
            <w:tcW w:w="878" w:type="pct"/>
            <w:vAlign w:val="center"/>
          </w:tcPr>
          <w:p w:rsidR="00420717" w:rsidRPr="00702A15" w:rsidRDefault="00420717" w:rsidP="00D92384">
            <w:pPr>
              <w:pStyle w:val="BodyTextIndent"/>
              <w:spacing w:after="0"/>
              <w:ind w:left="0"/>
              <w:jc w:val="center"/>
              <w:rPr>
                <w:rFonts w:ascii="Arial" w:eastAsiaTheme="minorEastAsia" w:hAnsi="Arial" w:cs="Arial"/>
                <w:b/>
              </w:rPr>
            </w:pPr>
            <w:r w:rsidRPr="00702A15">
              <w:rPr>
                <w:rFonts w:ascii="Arial" w:eastAsiaTheme="minorEastAsia" w:hAnsi="Arial" w:cs="Arial"/>
                <w:b/>
              </w:rPr>
              <w:t>Numele lacului</w:t>
            </w:r>
          </w:p>
        </w:tc>
        <w:tc>
          <w:tcPr>
            <w:tcW w:w="878" w:type="pct"/>
            <w:vAlign w:val="center"/>
          </w:tcPr>
          <w:p w:rsidR="00420717" w:rsidRPr="00702A15" w:rsidRDefault="00420717" w:rsidP="00D92384">
            <w:pPr>
              <w:pStyle w:val="BodyTextIndent"/>
              <w:spacing w:after="0"/>
              <w:ind w:left="0"/>
              <w:jc w:val="center"/>
              <w:rPr>
                <w:rFonts w:ascii="Arial" w:eastAsiaTheme="minorEastAsia" w:hAnsi="Arial" w:cs="Arial"/>
                <w:b/>
              </w:rPr>
            </w:pPr>
            <w:r w:rsidRPr="00702A15">
              <w:rPr>
                <w:rFonts w:ascii="Arial" w:eastAsiaTheme="minorEastAsia" w:hAnsi="Arial" w:cs="Arial"/>
                <w:b/>
              </w:rPr>
              <w:t>Jude</w:t>
            </w:r>
            <w:r>
              <w:rPr>
                <w:rFonts w:ascii="Arial" w:eastAsiaTheme="minorEastAsia" w:hAnsi="Arial" w:cs="Arial"/>
                <w:b/>
              </w:rPr>
              <w:t>ţ</w:t>
            </w:r>
            <w:r w:rsidRPr="00702A15">
              <w:rPr>
                <w:rFonts w:ascii="Arial" w:eastAsiaTheme="minorEastAsia" w:hAnsi="Arial" w:cs="Arial"/>
                <w:b/>
              </w:rPr>
              <w:t>ul</w:t>
            </w:r>
          </w:p>
        </w:tc>
        <w:tc>
          <w:tcPr>
            <w:tcW w:w="878" w:type="pct"/>
            <w:vAlign w:val="center"/>
          </w:tcPr>
          <w:p w:rsidR="00420717" w:rsidRPr="00702A15" w:rsidRDefault="00420717" w:rsidP="00D92384">
            <w:pPr>
              <w:pStyle w:val="BodyTextIndent"/>
              <w:spacing w:after="0"/>
              <w:ind w:left="0"/>
              <w:jc w:val="center"/>
              <w:rPr>
                <w:rFonts w:ascii="Arial" w:eastAsiaTheme="minorEastAsia" w:hAnsi="Arial" w:cs="Arial"/>
                <w:b/>
              </w:rPr>
            </w:pPr>
            <w:r w:rsidRPr="00702A15">
              <w:rPr>
                <w:rFonts w:ascii="Arial" w:eastAsiaTheme="minorEastAsia" w:hAnsi="Arial" w:cs="Arial"/>
                <w:b/>
              </w:rPr>
              <w:t>Bazinul hidrografic</w:t>
            </w:r>
          </w:p>
        </w:tc>
        <w:tc>
          <w:tcPr>
            <w:tcW w:w="954" w:type="pct"/>
            <w:shd w:val="clear" w:color="auto" w:fill="auto"/>
            <w:vAlign w:val="center"/>
          </w:tcPr>
          <w:p w:rsidR="00420717" w:rsidRPr="00702A15" w:rsidRDefault="00420717" w:rsidP="00D92384">
            <w:pPr>
              <w:pStyle w:val="BodyTextIndent"/>
              <w:spacing w:after="0"/>
              <w:ind w:left="0"/>
              <w:jc w:val="center"/>
              <w:rPr>
                <w:rFonts w:ascii="Arial" w:eastAsiaTheme="minorEastAsia" w:hAnsi="Arial" w:cs="Arial"/>
                <w:b/>
              </w:rPr>
            </w:pPr>
            <w:r w:rsidRPr="00702A15">
              <w:rPr>
                <w:rFonts w:ascii="Arial" w:eastAsiaTheme="minorEastAsia" w:hAnsi="Arial" w:cs="Arial"/>
                <w:b/>
              </w:rPr>
              <w:t>Suprafaţa (ha)</w:t>
            </w:r>
          </w:p>
        </w:tc>
      </w:tr>
      <w:tr w:rsidR="00420717" w:rsidRPr="00702A15" w:rsidTr="00D92384">
        <w:trPr>
          <w:trHeight w:val="416"/>
          <w:jc w:val="center"/>
        </w:trPr>
        <w:tc>
          <w:tcPr>
            <w:tcW w:w="3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091"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Acumulare</w:t>
            </w:r>
          </w:p>
        </w:tc>
        <w:tc>
          <w:tcPr>
            <w:tcW w:w="878" w:type="pct"/>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702A15">
              <w:rPr>
                <w:rFonts w:ascii="Arial" w:hAnsi="Arial" w:cs="Arial"/>
                <w:sz w:val="24"/>
                <w:szCs w:val="24"/>
              </w:rPr>
              <w:t>Siriu</w:t>
            </w:r>
          </w:p>
        </w:tc>
        <w:tc>
          <w:tcPr>
            <w:tcW w:w="878" w:type="pct"/>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702A15">
              <w:rPr>
                <w:rFonts w:ascii="Arial" w:hAnsi="Arial" w:cs="Arial"/>
                <w:sz w:val="24"/>
                <w:szCs w:val="24"/>
              </w:rPr>
              <w:t>Buzău</w:t>
            </w:r>
          </w:p>
        </w:tc>
        <w:tc>
          <w:tcPr>
            <w:tcW w:w="878" w:type="pct"/>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702A15">
              <w:rPr>
                <w:rFonts w:ascii="Arial" w:hAnsi="Arial" w:cs="Arial"/>
                <w:sz w:val="24"/>
                <w:szCs w:val="24"/>
              </w:rPr>
              <w:t>Buzău</w:t>
            </w:r>
          </w:p>
        </w:tc>
        <w:tc>
          <w:tcPr>
            <w:tcW w:w="954"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1.630</w:t>
            </w:r>
          </w:p>
        </w:tc>
      </w:tr>
      <w:tr w:rsidR="00420717" w:rsidRPr="00702A15" w:rsidTr="00D92384">
        <w:trPr>
          <w:trHeight w:val="421"/>
          <w:jc w:val="center"/>
        </w:trPr>
        <w:tc>
          <w:tcPr>
            <w:tcW w:w="3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w:t>
            </w:r>
          </w:p>
        </w:tc>
        <w:tc>
          <w:tcPr>
            <w:tcW w:w="1091"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Acumulare</w:t>
            </w:r>
          </w:p>
        </w:tc>
        <w:tc>
          <w:tcPr>
            <w:tcW w:w="878" w:type="pct"/>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702A15">
              <w:rPr>
                <w:rFonts w:ascii="Arial" w:hAnsi="Arial" w:cs="Arial"/>
                <w:sz w:val="24"/>
                <w:szCs w:val="24"/>
              </w:rPr>
              <w:t>Cândeşti</w:t>
            </w:r>
          </w:p>
        </w:tc>
        <w:tc>
          <w:tcPr>
            <w:tcW w:w="878" w:type="pct"/>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702A15">
              <w:rPr>
                <w:rFonts w:ascii="Arial" w:hAnsi="Arial" w:cs="Arial"/>
                <w:sz w:val="24"/>
                <w:szCs w:val="24"/>
              </w:rPr>
              <w:t>Buzău</w:t>
            </w:r>
          </w:p>
        </w:tc>
        <w:tc>
          <w:tcPr>
            <w:tcW w:w="878" w:type="pct"/>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4"/>
                <w:szCs w:val="24"/>
              </w:rPr>
            </w:pPr>
            <w:r w:rsidRPr="00702A15">
              <w:rPr>
                <w:rFonts w:ascii="Arial" w:hAnsi="Arial" w:cs="Arial"/>
                <w:sz w:val="24"/>
                <w:szCs w:val="24"/>
              </w:rPr>
              <w:t>Buzău</w:t>
            </w:r>
          </w:p>
        </w:tc>
        <w:tc>
          <w:tcPr>
            <w:tcW w:w="954"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74</w:t>
            </w:r>
          </w:p>
        </w:tc>
      </w:tr>
      <w:tr w:rsidR="00420717" w:rsidRPr="00702A15" w:rsidTr="00D92384">
        <w:trPr>
          <w:trHeight w:val="416"/>
          <w:jc w:val="center"/>
        </w:trPr>
        <w:tc>
          <w:tcPr>
            <w:tcW w:w="3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w:t>
            </w:r>
          </w:p>
        </w:tc>
        <w:tc>
          <w:tcPr>
            <w:tcW w:w="1091"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Natural</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Balta Am</w:t>
            </w:r>
            <w:r w:rsidRPr="00702A15">
              <w:rPr>
                <w:rFonts w:ascii="Arial" w:hAnsi="Arial" w:cs="Arial"/>
                <w:bCs/>
                <w:sz w:val="24"/>
                <w:szCs w:val="24"/>
              </w:rPr>
              <w:t>a</w:t>
            </w:r>
            <w:r w:rsidRPr="00702A15">
              <w:rPr>
                <w:rFonts w:ascii="Arial" w:hAnsi="Arial" w:cs="Arial"/>
                <w:bCs/>
                <w:sz w:val="24"/>
                <w:szCs w:val="24"/>
              </w:rPr>
              <w:t>ra</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sz w:val="24"/>
                <w:szCs w:val="24"/>
              </w:rPr>
              <w:t>Buzău</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Buzău</w:t>
            </w:r>
          </w:p>
        </w:tc>
        <w:tc>
          <w:tcPr>
            <w:tcW w:w="954"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502</w:t>
            </w:r>
          </w:p>
        </w:tc>
      </w:tr>
      <w:tr w:rsidR="00420717" w:rsidRPr="00702A15" w:rsidTr="00D92384">
        <w:trPr>
          <w:trHeight w:val="416"/>
          <w:jc w:val="center"/>
        </w:trPr>
        <w:tc>
          <w:tcPr>
            <w:tcW w:w="3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lastRenderedPageBreak/>
              <w:t>4</w:t>
            </w:r>
          </w:p>
        </w:tc>
        <w:tc>
          <w:tcPr>
            <w:tcW w:w="1091"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Natural</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Balta Albă</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sz w:val="24"/>
                <w:szCs w:val="24"/>
              </w:rPr>
              <w:t>Buzău</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Buzău</w:t>
            </w:r>
          </w:p>
        </w:tc>
        <w:tc>
          <w:tcPr>
            <w:tcW w:w="954"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710</w:t>
            </w:r>
          </w:p>
        </w:tc>
      </w:tr>
      <w:tr w:rsidR="00420717" w:rsidRPr="00702A15" w:rsidTr="00D92384">
        <w:trPr>
          <w:trHeight w:val="416"/>
          <w:jc w:val="center"/>
        </w:trPr>
        <w:tc>
          <w:tcPr>
            <w:tcW w:w="3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w:t>
            </w:r>
          </w:p>
        </w:tc>
        <w:tc>
          <w:tcPr>
            <w:tcW w:w="1091"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Natural</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Ciulniţa</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sz w:val="24"/>
                <w:szCs w:val="24"/>
              </w:rPr>
              <w:t>Buzău</w:t>
            </w:r>
          </w:p>
        </w:tc>
        <w:tc>
          <w:tcPr>
            <w:tcW w:w="878" w:type="pct"/>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Buzău</w:t>
            </w:r>
          </w:p>
        </w:tc>
        <w:tc>
          <w:tcPr>
            <w:tcW w:w="954" w:type="pct"/>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83</w:t>
            </w:r>
          </w:p>
        </w:tc>
      </w:tr>
    </w:tbl>
    <w:p w:rsidR="00420717" w:rsidRPr="00AA0E3F" w:rsidRDefault="00420717" w:rsidP="00420717">
      <w:pPr>
        <w:tabs>
          <w:tab w:val="left" w:pos="315"/>
        </w:tabs>
        <w:spacing w:after="0" w:line="240" w:lineRule="auto"/>
        <w:jc w:val="both"/>
        <w:rPr>
          <w:rFonts w:ascii="Arial" w:hAnsi="Arial" w:cs="Arial"/>
          <w:b/>
          <w:bCs/>
          <w:sz w:val="24"/>
          <w:szCs w:val="24"/>
          <w:lang w:val="it-IT"/>
        </w:rPr>
      </w:pPr>
      <w:r w:rsidRPr="00AA0E3F">
        <w:rPr>
          <w:rFonts w:ascii="Arial" w:hAnsi="Arial" w:cs="Arial"/>
          <w:b/>
          <w:sz w:val="24"/>
          <w:szCs w:val="24"/>
        </w:rPr>
        <w:t>Tabel II.2.1.2.1.</w:t>
      </w:r>
      <w:r w:rsidRPr="00AA0E3F">
        <w:rPr>
          <w:rFonts w:ascii="Arial" w:hAnsi="Arial" w:cs="Arial"/>
          <w:b/>
          <w:bCs/>
          <w:sz w:val="24"/>
          <w:szCs w:val="24"/>
          <w:lang w:val="it-IT"/>
        </w:rPr>
        <w:t xml:space="preserve"> Suprafaţa principalelor lacuri din judeţul Buzău</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a</w:t>
      </w:r>
    </w:p>
    <w:p w:rsidR="00420717" w:rsidRPr="00702A15" w:rsidRDefault="00420717" w:rsidP="00420717">
      <w:pPr>
        <w:tabs>
          <w:tab w:val="left" w:pos="315"/>
        </w:tabs>
        <w:spacing w:after="0" w:line="240" w:lineRule="auto"/>
        <w:jc w:val="both"/>
        <w:rPr>
          <w:rFonts w:ascii="Arial" w:hAnsi="Arial" w:cs="Arial"/>
          <w:b/>
          <w:bCs/>
          <w:sz w:val="24"/>
          <w:szCs w:val="24"/>
          <w:lang w:val="it-IT"/>
        </w:rPr>
      </w:pPr>
    </w:p>
    <w:p w:rsidR="00420717" w:rsidRPr="00702A15" w:rsidRDefault="00420717" w:rsidP="00420717">
      <w:pPr>
        <w:tabs>
          <w:tab w:val="left" w:pos="315"/>
        </w:tabs>
        <w:spacing w:after="0" w:line="240" w:lineRule="auto"/>
        <w:jc w:val="both"/>
        <w:rPr>
          <w:rFonts w:ascii="Arial" w:hAnsi="Arial" w:cs="Arial"/>
          <w:b/>
          <w:bCs/>
          <w:sz w:val="24"/>
          <w:szCs w:val="24"/>
          <w:lang w:val="it-IT"/>
        </w:rPr>
      </w:pPr>
      <w:r w:rsidRPr="00702A15">
        <w:rPr>
          <w:rFonts w:ascii="Arial" w:hAnsi="Arial" w:cs="Arial"/>
          <w:b/>
          <w:bCs/>
          <w:sz w:val="24"/>
          <w:szCs w:val="24"/>
          <w:lang w:val="it-IT"/>
        </w:rPr>
        <w:t>B. Calitate lacurilor din jude</w:t>
      </w:r>
      <w:r>
        <w:rPr>
          <w:rFonts w:ascii="Arial" w:hAnsi="Arial" w:cs="Arial"/>
          <w:b/>
          <w:bCs/>
          <w:sz w:val="24"/>
          <w:szCs w:val="24"/>
          <w:lang w:val="it-IT"/>
        </w:rPr>
        <w:t>ţ</w:t>
      </w:r>
      <w:r w:rsidRPr="00702A15">
        <w:rPr>
          <w:rFonts w:ascii="Arial" w:hAnsi="Arial" w:cs="Arial"/>
          <w:b/>
          <w:bCs/>
          <w:sz w:val="24"/>
          <w:szCs w:val="24"/>
          <w:lang w:val="it-IT"/>
        </w:rPr>
        <w:t xml:space="preserve">ul Buzău din punct de vedere al fosforului total </w:t>
      </w:r>
      <w:r>
        <w:rPr>
          <w:rFonts w:ascii="Arial" w:hAnsi="Arial" w:cs="Arial"/>
          <w:b/>
          <w:bCs/>
          <w:sz w:val="24"/>
          <w:szCs w:val="24"/>
          <w:lang w:val="it-IT"/>
        </w:rPr>
        <w:t>ş</w:t>
      </w:r>
      <w:r w:rsidRPr="00702A15">
        <w:rPr>
          <w:rFonts w:ascii="Arial" w:hAnsi="Arial" w:cs="Arial"/>
          <w:b/>
          <w:bCs/>
          <w:sz w:val="24"/>
          <w:szCs w:val="24"/>
          <w:lang w:val="it-IT"/>
        </w:rPr>
        <w:t>i azota</w:t>
      </w:r>
      <w:r>
        <w:rPr>
          <w:rFonts w:ascii="Arial" w:hAnsi="Arial" w:cs="Arial"/>
          <w:b/>
          <w:bCs/>
          <w:sz w:val="24"/>
          <w:szCs w:val="24"/>
          <w:lang w:val="it-IT"/>
        </w:rPr>
        <w:t>ţ</w:t>
      </w:r>
      <w:r w:rsidRPr="00702A15">
        <w:rPr>
          <w:rFonts w:ascii="Arial" w:hAnsi="Arial" w:cs="Arial"/>
          <w:b/>
          <w:bCs/>
          <w:sz w:val="24"/>
          <w:szCs w:val="24"/>
          <w:lang w:val="it-IT"/>
        </w:rPr>
        <w:t>ilor</w:t>
      </w:r>
    </w:p>
    <w:p w:rsidR="00420717" w:rsidRDefault="00420717" w:rsidP="00420717">
      <w:pPr>
        <w:tabs>
          <w:tab w:val="left" w:pos="315"/>
        </w:tabs>
        <w:spacing w:after="0" w:line="240" w:lineRule="auto"/>
        <w:jc w:val="both"/>
        <w:rPr>
          <w:rFonts w:ascii="Arial" w:hAnsi="Arial" w:cs="Arial"/>
          <w:sz w:val="24"/>
          <w:szCs w:val="24"/>
        </w:rPr>
      </w:pPr>
      <w:r w:rsidRPr="00702A15">
        <w:rPr>
          <w:rFonts w:ascii="Arial" w:hAnsi="Arial" w:cs="Arial"/>
          <w:sz w:val="24"/>
          <w:szCs w:val="24"/>
        </w:rPr>
        <w:t>Concentraţiile medii ale fosforului total (P</w:t>
      </w:r>
      <w:r w:rsidRPr="00702A15">
        <w:rPr>
          <w:rFonts w:ascii="Arial" w:hAnsi="Arial" w:cs="Arial"/>
          <w:sz w:val="24"/>
          <w:szCs w:val="24"/>
          <w:vertAlign w:val="subscript"/>
        </w:rPr>
        <w:t>T</w:t>
      </w:r>
      <w:r w:rsidRPr="00702A15">
        <w:rPr>
          <w:rFonts w:ascii="Arial" w:hAnsi="Arial" w:cs="Arial"/>
          <w:sz w:val="24"/>
          <w:szCs w:val="24"/>
        </w:rPr>
        <w:t xml:space="preserve">) </w:t>
      </w:r>
      <w:r>
        <w:rPr>
          <w:rFonts w:ascii="Arial" w:hAnsi="Arial" w:cs="Arial"/>
          <w:sz w:val="24"/>
          <w:szCs w:val="24"/>
        </w:rPr>
        <w:t>ş</w:t>
      </w:r>
      <w:r w:rsidRPr="00702A15">
        <w:rPr>
          <w:rFonts w:ascii="Arial" w:hAnsi="Arial" w:cs="Arial"/>
          <w:sz w:val="24"/>
          <w:szCs w:val="24"/>
        </w:rPr>
        <w:t>i azota</w:t>
      </w:r>
      <w:r>
        <w:rPr>
          <w:rFonts w:ascii="Arial" w:hAnsi="Arial" w:cs="Arial"/>
          <w:sz w:val="24"/>
          <w:szCs w:val="24"/>
        </w:rPr>
        <w:t>ţ</w:t>
      </w:r>
      <w:r w:rsidRPr="00702A15">
        <w:rPr>
          <w:rFonts w:ascii="Arial" w:hAnsi="Arial" w:cs="Arial"/>
          <w:sz w:val="24"/>
          <w:szCs w:val="24"/>
        </w:rPr>
        <w:t>ilor (NO</w:t>
      </w:r>
      <w:r w:rsidRPr="00702A15">
        <w:rPr>
          <w:rFonts w:ascii="Arial" w:hAnsi="Arial" w:cs="Arial"/>
          <w:sz w:val="24"/>
          <w:szCs w:val="24"/>
          <w:vertAlign w:val="subscript"/>
        </w:rPr>
        <w:t>3</w:t>
      </w:r>
      <w:r w:rsidRPr="00702A15">
        <w:rPr>
          <w:rFonts w:ascii="Arial" w:hAnsi="Arial" w:cs="Arial"/>
          <w:sz w:val="24"/>
          <w:szCs w:val="24"/>
          <w:vertAlign w:val="superscript"/>
        </w:rPr>
        <w:t>-</w:t>
      </w:r>
      <w:r w:rsidRPr="00702A15">
        <w:rPr>
          <w:rFonts w:ascii="Arial" w:hAnsi="Arial" w:cs="Arial"/>
          <w:sz w:val="24"/>
          <w:szCs w:val="24"/>
        </w:rPr>
        <w:t>) determinate în principalele lacuri din jude</w:t>
      </w:r>
      <w:r>
        <w:rPr>
          <w:rFonts w:ascii="Arial" w:hAnsi="Arial" w:cs="Arial"/>
          <w:sz w:val="24"/>
          <w:szCs w:val="24"/>
        </w:rPr>
        <w:t>ţ</w:t>
      </w:r>
      <w:r w:rsidRPr="00702A15">
        <w:rPr>
          <w:rFonts w:ascii="Arial" w:hAnsi="Arial" w:cs="Arial"/>
          <w:sz w:val="24"/>
          <w:szCs w:val="24"/>
        </w:rPr>
        <w:t>ul Buzău, în anul 2014, este redată în tabelul următor.</w:t>
      </w:r>
    </w:p>
    <w:p w:rsidR="005864AC" w:rsidRPr="00702A15" w:rsidRDefault="005864AC" w:rsidP="00420717">
      <w:pPr>
        <w:tabs>
          <w:tab w:val="left" w:pos="315"/>
        </w:tabs>
        <w:spacing w:after="0" w:line="240" w:lineRule="auto"/>
        <w:jc w:val="both"/>
        <w:rPr>
          <w:rFonts w:ascii="Arial" w:hAnsi="Arial" w:cs="Arial"/>
          <w:bCs/>
          <w:sz w:val="24"/>
          <w:szCs w:val="24"/>
          <w:lang w:val="it-IT"/>
        </w:rPr>
      </w:pPr>
    </w:p>
    <w:tbl>
      <w:tblPr>
        <w:tblStyle w:val="TableGrid"/>
        <w:tblW w:w="8788" w:type="dxa"/>
        <w:jc w:val="center"/>
        <w:tblInd w:w="959" w:type="dxa"/>
        <w:tblLook w:val="04A0"/>
      </w:tblPr>
      <w:tblGrid>
        <w:gridCol w:w="1904"/>
        <w:gridCol w:w="1618"/>
        <w:gridCol w:w="1599"/>
        <w:gridCol w:w="1825"/>
        <w:gridCol w:w="1842"/>
      </w:tblGrid>
      <w:tr w:rsidR="00420717" w:rsidRPr="00702A15" w:rsidTr="00D92384">
        <w:trPr>
          <w:jc w:val="center"/>
        </w:trPr>
        <w:tc>
          <w:tcPr>
            <w:tcW w:w="1904" w:type="dxa"/>
            <w:vAlign w:val="center"/>
          </w:tcPr>
          <w:p w:rsidR="00420717" w:rsidRPr="00702A15" w:rsidRDefault="00420717" w:rsidP="00D92384">
            <w:pPr>
              <w:pStyle w:val="Default"/>
              <w:jc w:val="center"/>
              <w:rPr>
                <w:bCs/>
                <w:color w:val="auto"/>
              </w:rPr>
            </w:pPr>
            <w:r w:rsidRPr="00702A15">
              <w:rPr>
                <w:bCs/>
                <w:color w:val="auto"/>
              </w:rPr>
              <w:t>Tip</w:t>
            </w:r>
          </w:p>
          <w:p w:rsidR="00420717" w:rsidRPr="00702A15" w:rsidRDefault="00420717" w:rsidP="00D92384">
            <w:pPr>
              <w:pStyle w:val="Default"/>
              <w:jc w:val="center"/>
              <w:rPr>
                <w:bCs/>
                <w:color w:val="auto"/>
              </w:rPr>
            </w:pPr>
            <w:r w:rsidRPr="00702A15">
              <w:rPr>
                <w:bCs/>
                <w:color w:val="auto"/>
              </w:rPr>
              <w:t>lac</w:t>
            </w:r>
          </w:p>
        </w:tc>
        <w:tc>
          <w:tcPr>
            <w:tcW w:w="1618" w:type="dxa"/>
            <w:vAlign w:val="center"/>
          </w:tcPr>
          <w:p w:rsidR="00420717" w:rsidRPr="00702A15" w:rsidRDefault="00420717" w:rsidP="00D92384">
            <w:pPr>
              <w:pStyle w:val="Default"/>
              <w:jc w:val="center"/>
              <w:rPr>
                <w:color w:val="auto"/>
              </w:rPr>
            </w:pPr>
            <w:r w:rsidRPr="00702A15">
              <w:rPr>
                <w:bCs/>
                <w:color w:val="auto"/>
              </w:rPr>
              <w:t>Lacul</w:t>
            </w:r>
          </w:p>
        </w:tc>
        <w:tc>
          <w:tcPr>
            <w:tcW w:w="1599" w:type="dxa"/>
            <w:vAlign w:val="center"/>
          </w:tcPr>
          <w:p w:rsidR="00420717" w:rsidRPr="00702A15" w:rsidRDefault="00420717" w:rsidP="00D92384">
            <w:pPr>
              <w:pStyle w:val="Default"/>
              <w:jc w:val="center"/>
              <w:rPr>
                <w:color w:val="auto"/>
              </w:rPr>
            </w:pPr>
            <w:r w:rsidRPr="00702A15">
              <w:rPr>
                <w:bCs/>
                <w:color w:val="auto"/>
              </w:rPr>
              <w:t>Număr secţiuni de control</w:t>
            </w:r>
          </w:p>
        </w:tc>
        <w:tc>
          <w:tcPr>
            <w:tcW w:w="1825" w:type="dxa"/>
            <w:vAlign w:val="center"/>
          </w:tcPr>
          <w:p w:rsidR="00420717" w:rsidRPr="00702A15" w:rsidRDefault="00420717" w:rsidP="00D92384">
            <w:pPr>
              <w:pStyle w:val="Default"/>
              <w:jc w:val="center"/>
              <w:rPr>
                <w:color w:val="auto"/>
              </w:rPr>
            </w:pPr>
            <w:r w:rsidRPr="00702A15">
              <w:rPr>
                <w:bCs/>
                <w:color w:val="auto"/>
              </w:rPr>
              <w:t>Concentraţii medii anuale PT</w:t>
            </w:r>
          </w:p>
          <w:p w:rsidR="00420717" w:rsidRPr="00702A15" w:rsidRDefault="00420717" w:rsidP="00D92384">
            <w:pPr>
              <w:tabs>
                <w:tab w:val="left" w:pos="315"/>
              </w:tabs>
              <w:jc w:val="center"/>
              <w:rPr>
                <w:rFonts w:ascii="Arial" w:hAnsi="Arial" w:cs="Arial"/>
                <w:sz w:val="24"/>
                <w:szCs w:val="24"/>
              </w:rPr>
            </w:pPr>
            <w:r w:rsidRPr="00702A15">
              <w:rPr>
                <w:rFonts w:ascii="Arial" w:hAnsi="Arial" w:cs="Arial"/>
                <w:bCs/>
                <w:sz w:val="24"/>
                <w:szCs w:val="24"/>
              </w:rPr>
              <w:t>(mg P/L)</w:t>
            </w:r>
          </w:p>
        </w:tc>
        <w:tc>
          <w:tcPr>
            <w:tcW w:w="1842" w:type="dxa"/>
            <w:vAlign w:val="center"/>
          </w:tcPr>
          <w:p w:rsidR="00420717" w:rsidRPr="00702A15" w:rsidRDefault="00420717" w:rsidP="00D92384">
            <w:pPr>
              <w:pStyle w:val="Default"/>
              <w:jc w:val="center"/>
              <w:rPr>
                <w:color w:val="auto"/>
              </w:rPr>
            </w:pPr>
            <w:r w:rsidRPr="00702A15">
              <w:rPr>
                <w:bCs/>
                <w:color w:val="auto"/>
              </w:rPr>
              <w:t>Concentraţii medii anuale NO</w:t>
            </w:r>
            <w:r w:rsidRPr="00702A15">
              <w:rPr>
                <w:bCs/>
                <w:color w:val="auto"/>
                <w:vertAlign w:val="subscript"/>
              </w:rPr>
              <w:t>3</w:t>
            </w:r>
            <w:r w:rsidRPr="00702A15">
              <w:rPr>
                <w:bCs/>
                <w:color w:val="auto"/>
                <w:vertAlign w:val="superscript"/>
              </w:rPr>
              <w:t>-</w:t>
            </w:r>
          </w:p>
          <w:p w:rsidR="00420717" w:rsidRPr="00702A15" w:rsidRDefault="00420717" w:rsidP="00D92384">
            <w:pPr>
              <w:tabs>
                <w:tab w:val="left" w:pos="315"/>
              </w:tabs>
              <w:jc w:val="center"/>
              <w:rPr>
                <w:rFonts w:ascii="Arial" w:hAnsi="Arial" w:cs="Arial"/>
                <w:sz w:val="24"/>
                <w:szCs w:val="24"/>
              </w:rPr>
            </w:pPr>
            <w:r w:rsidRPr="00702A15">
              <w:rPr>
                <w:rFonts w:ascii="Arial" w:hAnsi="Arial" w:cs="Arial"/>
                <w:bCs/>
                <w:sz w:val="24"/>
                <w:szCs w:val="24"/>
              </w:rPr>
              <w:t>(mg NO</w:t>
            </w:r>
            <w:r w:rsidRPr="00702A15">
              <w:rPr>
                <w:rFonts w:ascii="Arial" w:hAnsi="Arial" w:cs="Arial"/>
                <w:bCs/>
                <w:sz w:val="24"/>
                <w:szCs w:val="24"/>
                <w:vertAlign w:val="subscript"/>
              </w:rPr>
              <w:t>3</w:t>
            </w:r>
            <w:r w:rsidRPr="00702A15">
              <w:rPr>
                <w:rFonts w:ascii="Arial" w:hAnsi="Arial" w:cs="Arial"/>
                <w:bCs/>
                <w:sz w:val="24"/>
                <w:szCs w:val="24"/>
                <w:vertAlign w:val="superscript"/>
              </w:rPr>
              <w:t>-</w:t>
            </w:r>
            <w:r w:rsidRPr="00702A15">
              <w:rPr>
                <w:rFonts w:ascii="Arial" w:hAnsi="Arial" w:cs="Arial"/>
                <w:bCs/>
                <w:sz w:val="24"/>
                <w:szCs w:val="24"/>
              </w:rPr>
              <w:t>/L)</w:t>
            </w:r>
          </w:p>
        </w:tc>
      </w:tr>
      <w:tr w:rsidR="00420717" w:rsidRPr="00702A15" w:rsidTr="00D92384">
        <w:trPr>
          <w:trHeight w:val="329"/>
          <w:jc w:val="center"/>
        </w:trPr>
        <w:tc>
          <w:tcPr>
            <w:tcW w:w="1904" w:type="dxa"/>
            <w:vMerge w:val="restart"/>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702A15">
              <w:rPr>
                <w:rFonts w:ascii="Arial" w:hAnsi="Arial" w:cs="Arial"/>
                <w:sz w:val="24"/>
                <w:szCs w:val="24"/>
              </w:rPr>
              <w:t>Artificial de acumulare</w:t>
            </w:r>
          </w:p>
        </w:tc>
        <w:tc>
          <w:tcPr>
            <w:tcW w:w="1618" w:type="dxa"/>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702A15">
              <w:rPr>
                <w:rFonts w:ascii="Arial" w:hAnsi="Arial" w:cs="Arial"/>
                <w:sz w:val="24"/>
                <w:szCs w:val="24"/>
              </w:rPr>
              <w:t>Siriu</w:t>
            </w:r>
          </w:p>
        </w:tc>
        <w:tc>
          <w:tcPr>
            <w:tcW w:w="159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2</w:t>
            </w:r>
          </w:p>
        </w:tc>
        <w:tc>
          <w:tcPr>
            <w:tcW w:w="1825"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0,018</w:t>
            </w:r>
          </w:p>
        </w:tc>
        <w:tc>
          <w:tcPr>
            <w:tcW w:w="184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0,564</w:t>
            </w:r>
          </w:p>
        </w:tc>
      </w:tr>
      <w:tr w:rsidR="00420717" w:rsidRPr="00702A15" w:rsidTr="00D92384">
        <w:trPr>
          <w:trHeight w:val="266"/>
          <w:jc w:val="center"/>
        </w:trPr>
        <w:tc>
          <w:tcPr>
            <w:tcW w:w="1904" w:type="dxa"/>
            <w:vMerge/>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p>
        </w:tc>
        <w:tc>
          <w:tcPr>
            <w:tcW w:w="1618" w:type="dxa"/>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702A15">
              <w:rPr>
                <w:rFonts w:ascii="Arial" w:hAnsi="Arial" w:cs="Arial"/>
                <w:sz w:val="24"/>
                <w:szCs w:val="24"/>
              </w:rPr>
              <w:t>Cândeşti</w:t>
            </w:r>
          </w:p>
        </w:tc>
        <w:tc>
          <w:tcPr>
            <w:tcW w:w="159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1825"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0,0147</w:t>
            </w:r>
          </w:p>
        </w:tc>
        <w:tc>
          <w:tcPr>
            <w:tcW w:w="184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0,610</w:t>
            </w:r>
          </w:p>
        </w:tc>
      </w:tr>
      <w:tr w:rsidR="00420717" w:rsidRPr="00702A15" w:rsidTr="00D92384">
        <w:trPr>
          <w:jc w:val="center"/>
        </w:trPr>
        <w:tc>
          <w:tcPr>
            <w:tcW w:w="1904" w:type="dxa"/>
            <w:vMerge w:val="restart"/>
            <w:vAlign w:val="center"/>
          </w:tcPr>
          <w:p w:rsidR="00420717" w:rsidRPr="00702A15" w:rsidRDefault="00420717" w:rsidP="00D92384">
            <w:pPr>
              <w:rPr>
                <w:rFonts w:ascii="Arial" w:hAnsi="Arial" w:cs="Arial"/>
                <w:bCs/>
                <w:sz w:val="24"/>
                <w:szCs w:val="24"/>
              </w:rPr>
            </w:pPr>
            <w:r w:rsidRPr="00702A15">
              <w:rPr>
                <w:rFonts w:ascii="Arial" w:hAnsi="Arial" w:cs="Arial"/>
                <w:bCs/>
                <w:sz w:val="24"/>
                <w:szCs w:val="24"/>
              </w:rPr>
              <w:t>Natural</w:t>
            </w:r>
          </w:p>
        </w:tc>
        <w:tc>
          <w:tcPr>
            <w:tcW w:w="1618" w:type="dxa"/>
            <w:vAlign w:val="bottom"/>
          </w:tcPr>
          <w:p w:rsidR="00420717" w:rsidRPr="00702A15" w:rsidRDefault="00420717" w:rsidP="00D92384">
            <w:pPr>
              <w:jc w:val="both"/>
              <w:rPr>
                <w:rFonts w:ascii="Arial" w:hAnsi="Arial" w:cs="Arial"/>
                <w:bCs/>
                <w:sz w:val="24"/>
                <w:szCs w:val="24"/>
              </w:rPr>
            </w:pPr>
            <w:r w:rsidRPr="00702A15">
              <w:rPr>
                <w:rFonts w:ascii="Arial" w:hAnsi="Arial" w:cs="Arial"/>
                <w:bCs/>
                <w:sz w:val="24"/>
                <w:szCs w:val="24"/>
              </w:rPr>
              <w:t>Balta Amara</w:t>
            </w:r>
          </w:p>
        </w:tc>
        <w:tc>
          <w:tcPr>
            <w:tcW w:w="159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1825"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0,294</w:t>
            </w:r>
          </w:p>
        </w:tc>
        <w:tc>
          <w:tcPr>
            <w:tcW w:w="184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0,199</w:t>
            </w:r>
          </w:p>
        </w:tc>
      </w:tr>
      <w:tr w:rsidR="00420717" w:rsidRPr="00702A15" w:rsidTr="00D92384">
        <w:trPr>
          <w:jc w:val="center"/>
        </w:trPr>
        <w:tc>
          <w:tcPr>
            <w:tcW w:w="1904" w:type="dxa"/>
            <w:vMerge/>
          </w:tcPr>
          <w:p w:rsidR="00420717" w:rsidRPr="00702A15" w:rsidRDefault="00420717" w:rsidP="00D92384">
            <w:pPr>
              <w:jc w:val="both"/>
              <w:rPr>
                <w:rFonts w:ascii="Arial" w:hAnsi="Arial" w:cs="Arial"/>
                <w:bCs/>
                <w:sz w:val="24"/>
                <w:szCs w:val="24"/>
              </w:rPr>
            </w:pPr>
          </w:p>
        </w:tc>
        <w:tc>
          <w:tcPr>
            <w:tcW w:w="1618" w:type="dxa"/>
          </w:tcPr>
          <w:p w:rsidR="00420717" w:rsidRPr="00702A15" w:rsidRDefault="00420717" w:rsidP="00D92384">
            <w:pPr>
              <w:tabs>
                <w:tab w:val="left" w:pos="315"/>
              </w:tabs>
              <w:jc w:val="both"/>
              <w:rPr>
                <w:rFonts w:ascii="Arial" w:hAnsi="Arial" w:cs="Arial"/>
                <w:b/>
                <w:sz w:val="24"/>
                <w:szCs w:val="24"/>
              </w:rPr>
            </w:pPr>
            <w:r w:rsidRPr="00702A15">
              <w:rPr>
                <w:rFonts w:ascii="Arial" w:hAnsi="Arial" w:cs="Arial"/>
                <w:bCs/>
                <w:sz w:val="24"/>
                <w:szCs w:val="24"/>
              </w:rPr>
              <w:t>Balta Albă</w:t>
            </w:r>
          </w:p>
        </w:tc>
        <w:tc>
          <w:tcPr>
            <w:tcW w:w="159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1825"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0,703</w:t>
            </w:r>
          </w:p>
        </w:tc>
        <w:tc>
          <w:tcPr>
            <w:tcW w:w="184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w:t>
            </w:r>
          </w:p>
        </w:tc>
      </w:tr>
      <w:tr w:rsidR="00420717" w:rsidRPr="00702A15" w:rsidTr="00D92384">
        <w:trPr>
          <w:jc w:val="center"/>
        </w:trPr>
        <w:tc>
          <w:tcPr>
            <w:tcW w:w="1904" w:type="dxa"/>
            <w:vMerge/>
          </w:tcPr>
          <w:p w:rsidR="00420717" w:rsidRPr="00702A15" w:rsidRDefault="00420717" w:rsidP="00D92384">
            <w:pPr>
              <w:jc w:val="both"/>
              <w:rPr>
                <w:rFonts w:ascii="Arial" w:hAnsi="Arial" w:cs="Arial"/>
                <w:bCs/>
                <w:sz w:val="24"/>
                <w:szCs w:val="24"/>
              </w:rPr>
            </w:pPr>
          </w:p>
        </w:tc>
        <w:tc>
          <w:tcPr>
            <w:tcW w:w="1618" w:type="dxa"/>
            <w:vAlign w:val="bottom"/>
          </w:tcPr>
          <w:p w:rsidR="00420717" w:rsidRPr="00702A15" w:rsidRDefault="00420717" w:rsidP="00D92384">
            <w:pPr>
              <w:jc w:val="both"/>
              <w:rPr>
                <w:rFonts w:ascii="Arial" w:hAnsi="Arial" w:cs="Arial"/>
                <w:bCs/>
                <w:sz w:val="24"/>
                <w:szCs w:val="24"/>
              </w:rPr>
            </w:pPr>
            <w:r w:rsidRPr="00702A15">
              <w:rPr>
                <w:rFonts w:ascii="Arial" w:hAnsi="Arial" w:cs="Arial"/>
                <w:bCs/>
                <w:sz w:val="24"/>
                <w:szCs w:val="24"/>
              </w:rPr>
              <w:t>Ciulniţa</w:t>
            </w:r>
          </w:p>
        </w:tc>
        <w:tc>
          <w:tcPr>
            <w:tcW w:w="159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1825"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0,322</w:t>
            </w:r>
          </w:p>
        </w:tc>
        <w:tc>
          <w:tcPr>
            <w:tcW w:w="184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0,233</w:t>
            </w:r>
          </w:p>
        </w:tc>
      </w:tr>
    </w:tbl>
    <w:p w:rsidR="00420717" w:rsidRPr="00AA0E3F" w:rsidRDefault="00420717" w:rsidP="00420717">
      <w:pPr>
        <w:tabs>
          <w:tab w:val="left" w:pos="315"/>
        </w:tabs>
        <w:spacing w:after="0" w:line="240" w:lineRule="auto"/>
        <w:jc w:val="both"/>
        <w:rPr>
          <w:rFonts w:ascii="Arial" w:hAnsi="Arial" w:cs="Arial"/>
          <w:b/>
          <w:bCs/>
          <w:sz w:val="24"/>
          <w:szCs w:val="24"/>
          <w:lang w:val="it-IT"/>
        </w:rPr>
      </w:pPr>
      <w:r w:rsidRPr="00AA0E3F">
        <w:rPr>
          <w:rFonts w:ascii="Arial" w:hAnsi="Arial" w:cs="Arial"/>
          <w:b/>
          <w:sz w:val="24"/>
          <w:szCs w:val="24"/>
        </w:rPr>
        <w:t>Tabel II.2.1.2.2.</w:t>
      </w:r>
      <w:r w:rsidRPr="00AA0E3F">
        <w:rPr>
          <w:rFonts w:ascii="Arial" w:hAnsi="Arial" w:cs="Arial"/>
          <w:b/>
          <w:bCs/>
          <w:sz w:val="24"/>
          <w:szCs w:val="24"/>
          <w:lang w:val="it-IT"/>
        </w:rPr>
        <w:t xml:space="preserve"> </w:t>
      </w:r>
      <w:r w:rsidRPr="00AA0E3F">
        <w:rPr>
          <w:rFonts w:ascii="Arial" w:hAnsi="Arial" w:cs="Arial"/>
          <w:b/>
          <w:bCs/>
          <w:sz w:val="24"/>
          <w:szCs w:val="24"/>
        </w:rPr>
        <w:t>C</w:t>
      </w:r>
      <w:r w:rsidRPr="00AA0E3F">
        <w:rPr>
          <w:rFonts w:ascii="Arial" w:hAnsi="Arial" w:cs="Arial"/>
          <w:b/>
          <w:sz w:val="24"/>
          <w:szCs w:val="24"/>
        </w:rPr>
        <w:t>oncentraţiile medii ale fosforului total (P</w:t>
      </w:r>
      <w:r w:rsidRPr="00AA0E3F">
        <w:rPr>
          <w:rFonts w:ascii="Arial" w:hAnsi="Arial" w:cs="Arial"/>
          <w:b/>
          <w:sz w:val="24"/>
          <w:szCs w:val="24"/>
          <w:vertAlign w:val="subscript"/>
        </w:rPr>
        <w:t>T</w:t>
      </w:r>
      <w:r w:rsidRPr="00AA0E3F">
        <w:rPr>
          <w:rFonts w:ascii="Arial" w:hAnsi="Arial" w:cs="Arial"/>
          <w:b/>
          <w:sz w:val="24"/>
          <w:szCs w:val="24"/>
        </w:rPr>
        <w:t>) şi azotaţilor (NO</w:t>
      </w:r>
      <w:r w:rsidRPr="00AA0E3F">
        <w:rPr>
          <w:rFonts w:ascii="Arial" w:hAnsi="Arial" w:cs="Arial"/>
          <w:b/>
          <w:sz w:val="24"/>
          <w:szCs w:val="24"/>
          <w:vertAlign w:val="subscript"/>
        </w:rPr>
        <w:t>3</w:t>
      </w:r>
      <w:r w:rsidRPr="00AA0E3F">
        <w:rPr>
          <w:rFonts w:ascii="Arial" w:hAnsi="Arial" w:cs="Arial"/>
          <w:b/>
          <w:sz w:val="24"/>
          <w:szCs w:val="24"/>
          <w:vertAlign w:val="superscript"/>
        </w:rPr>
        <w:t>-</w:t>
      </w:r>
      <w:r w:rsidRPr="00AA0E3F">
        <w:rPr>
          <w:rFonts w:ascii="Arial" w:hAnsi="Arial" w:cs="Arial"/>
          <w:b/>
          <w:sz w:val="24"/>
          <w:szCs w:val="24"/>
        </w:rPr>
        <w:t>) d</w:t>
      </w:r>
      <w:r w:rsidRPr="00AA0E3F">
        <w:rPr>
          <w:rFonts w:ascii="Arial" w:hAnsi="Arial" w:cs="Arial"/>
          <w:b/>
          <w:sz w:val="24"/>
          <w:szCs w:val="24"/>
        </w:rPr>
        <w:t>e</w:t>
      </w:r>
      <w:r w:rsidRPr="00AA0E3F">
        <w:rPr>
          <w:rFonts w:ascii="Arial" w:hAnsi="Arial" w:cs="Arial"/>
          <w:b/>
          <w:sz w:val="24"/>
          <w:szCs w:val="24"/>
        </w:rPr>
        <w:t>terminate în principalele lacurile din judeţul Buzău, în anul 2014</w:t>
      </w:r>
    </w:p>
    <w:p w:rsidR="00420717" w:rsidRDefault="00420717" w:rsidP="00420717">
      <w:pPr>
        <w:tabs>
          <w:tab w:val="left" w:pos="315"/>
        </w:tabs>
        <w:spacing w:after="0" w:line="240" w:lineRule="auto"/>
        <w:jc w:val="right"/>
        <w:rPr>
          <w:rFonts w:ascii="Arial" w:hAnsi="Arial" w:cs="Arial"/>
          <w:bCs/>
          <w:sz w:val="24"/>
          <w:szCs w:val="24"/>
        </w:rPr>
      </w:pPr>
      <w:r w:rsidRPr="00702A15">
        <w:rPr>
          <w:rFonts w:ascii="Arial" w:hAnsi="Arial" w:cs="Arial"/>
          <w:bCs/>
          <w:sz w:val="24"/>
          <w:szCs w:val="24"/>
        </w:rPr>
        <w:t>Sursa datelor: ABA Buzău-Ialomi</w:t>
      </w:r>
      <w:r>
        <w:rPr>
          <w:rFonts w:ascii="Arial" w:hAnsi="Arial" w:cs="Arial"/>
          <w:bCs/>
          <w:sz w:val="24"/>
          <w:szCs w:val="24"/>
        </w:rPr>
        <w:t>ţ</w:t>
      </w:r>
      <w:r w:rsidRPr="00702A15">
        <w:rPr>
          <w:rFonts w:ascii="Arial" w:hAnsi="Arial" w:cs="Arial"/>
          <w:bCs/>
          <w:sz w:val="24"/>
          <w:szCs w:val="24"/>
        </w:rPr>
        <w:t>a</w:t>
      </w:r>
    </w:p>
    <w:p w:rsidR="005864AC" w:rsidRPr="00702A15" w:rsidRDefault="005864AC" w:rsidP="00420717">
      <w:pPr>
        <w:tabs>
          <w:tab w:val="left" w:pos="315"/>
        </w:tabs>
        <w:spacing w:after="0" w:line="240" w:lineRule="auto"/>
        <w:jc w:val="right"/>
        <w:rPr>
          <w:rFonts w:ascii="Arial" w:hAnsi="Arial" w:cs="Arial"/>
          <w:bCs/>
          <w:sz w:val="24"/>
          <w:szCs w:val="24"/>
        </w:rPr>
      </w:pPr>
    </w:p>
    <w:p w:rsidR="00420717" w:rsidRPr="00702A15" w:rsidRDefault="00420717" w:rsidP="00420717">
      <w:pPr>
        <w:tabs>
          <w:tab w:val="left" w:pos="315"/>
        </w:tabs>
        <w:spacing w:after="0" w:line="240" w:lineRule="auto"/>
        <w:jc w:val="both"/>
        <w:rPr>
          <w:rFonts w:ascii="Arial" w:hAnsi="Arial" w:cs="Arial"/>
          <w:b/>
          <w:bCs/>
          <w:sz w:val="24"/>
          <w:szCs w:val="24"/>
          <w:lang w:val="it-IT"/>
        </w:rPr>
      </w:pPr>
      <w:r w:rsidRPr="00702A15">
        <w:rPr>
          <w:rFonts w:ascii="Arial" w:hAnsi="Arial" w:cs="Arial"/>
          <w:b/>
          <w:bCs/>
          <w:noProof/>
          <w:sz w:val="24"/>
          <w:szCs w:val="24"/>
          <w:lang w:val="ro-RO" w:eastAsia="ro-RO"/>
        </w:rPr>
        <w:drawing>
          <wp:inline distT="0" distB="0" distL="0" distR="0">
            <wp:extent cx="6081217" cy="3116275"/>
            <wp:effectExtent l="19050" t="0" r="14783" b="7925"/>
            <wp:docPr id="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20717" w:rsidRPr="00AA0E3F" w:rsidRDefault="00420717" w:rsidP="00420717">
      <w:pPr>
        <w:tabs>
          <w:tab w:val="left" w:pos="315"/>
        </w:tabs>
        <w:spacing w:before="120" w:after="120" w:line="240" w:lineRule="auto"/>
        <w:jc w:val="both"/>
        <w:rPr>
          <w:rFonts w:ascii="Arial" w:hAnsi="Arial" w:cs="Arial"/>
          <w:b/>
          <w:sz w:val="24"/>
          <w:szCs w:val="24"/>
        </w:rPr>
      </w:pPr>
      <w:r w:rsidRPr="00AA0E3F">
        <w:rPr>
          <w:rFonts w:ascii="Arial" w:hAnsi="Arial" w:cs="Arial"/>
          <w:b/>
          <w:bCs/>
          <w:sz w:val="24"/>
          <w:szCs w:val="24"/>
        </w:rPr>
        <w:t xml:space="preserve">Figura </w:t>
      </w:r>
      <w:r w:rsidRPr="00AA0E3F">
        <w:rPr>
          <w:rFonts w:ascii="Arial" w:hAnsi="Arial" w:cs="Arial"/>
          <w:b/>
          <w:sz w:val="24"/>
          <w:szCs w:val="24"/>
        </w:rPr>
        <w:t>II.2.1.2.1. Variaţia concentraţiilor de fosfor total şi azotaţi în principalele lac</w:t>
      </w:r>
      <w:r w:rsidRPr="00AA0E3F">
        <w:rPr>
          <w:rFonts w:ascii="Arial" w:hAnsi="Arial" w:cs="Arial"/>
          <w:b/>
          <w:sz w:val="24"/>
          <w:szCs w:val="24"/>
        </w:rPr>
        <w:t>u</w:t>
      </w:r>
      <w:r w:rsidRPr="00AA0E3F">
        <w:rPr>
          <w:rFonts w:ascii="Arial" w:hAnsi="Arial" w:cs="Arial"/>
          <w:b/>
          <w:sz w:val="24"/>
          <w:szCs w:val="24"/>
        </w:rPr>
        <w:t>ri, în anul 2014, la nivelul judeţului Buzău</w:t>
      </w:r>
    </w:p>
    <w:p w:rsidR="00420717" w:rsidRPr="00702A15" w:rsidRDefault="00420717" w:rsidP="00420717">
      <w:pPr>
        <w:tabs>
          <w:tab w:val="left" w:pos="315"/>
        </w:tabs>
        <w:spacing w:after="0" w:line="240" w:lineRule="auto"/>
        <w:jc w:val="both"/>
        <w:rPr>
          <w:rFonts w:ascii="Arial" w:hAnsi="Arial" w:cs="Arial"/>
          <w:sz w:val="24"/>
          <w:szCs w:val="24"/>
        </w:rPr>
      </w:pPr>
    </w:p>
    <w:p w:rsidR="00420717" w:rsidRDefault="00420717" w:rsidP="00420717">
      <w:pPr>
        <w:tabs>
          <w:tab w:val="left" w:pos="315"/>
        </w:tabs>
        <w:spacing w:after="0" w:line="240" w:lineRule="auto"/>
        <w:jc w:val="both"/>
        <w:rPr>
          <w:rFonts w:ascii="Arial" w:hAnsi="Arial" w:cs="Arial"/>
          <w:sz w:val="24"/>
          <w:szCs w:val="24"/>
        </w:rPr>
      </w:pPr>
      <w:r w:rsidRPr="00702A15">
        <w:rPr>
          <w:rFonts w:ascii="Arial" w:hAnsi="Arial" w:cs="Arial"/>
          <w:sz w:val="24"/>
          <w:szCs w:val="24"/>
        </w:rPr>
        <w:t>Evolu</w:t>
      </w:r>
      <w:r>
        <w:rPr>
          <w:rFonts w:ascii="Arial" w:hAnsi="Arial" w:cs="Arial"/>
          <w:sz w:val="24"/>
          <w:szCs w:val="24"/>
        </w:rPr>
        <w:t>ţ</w:t>
      </w:r>
      <w:r w:rsidRPr="00702A15">
        <w:rPr>
          <w:rFonts w:ascii="Arial" w:hAnsi="Arial" w:cs="Arial"/>
          <w:sz w:val="24"/>
          <w:szCs w:val="24"/>
        </w:rPr>
        <w:t>ia concentraţiilor medii anuale ale fosforului total (P</w:t>
      </w:r>
      <w:r w:rsidRPr="00702A15">
        <w:rPr>
          <w:rFonts w:ascii="Arial" w:hAnsi="Arial" w:cs="Arial"/>
          <w:sz w:val="24"/>
          <w:szCs w:val="24"/>
          <w:vertAlign w:val="subscript"/>
        </w:rPr>
        <w:t>T</w:t>
      </w:r>
      <w:r w:rsidRPr="00702A15">
        <w:rPr>
          <w:rFonts w:ascii="Arial" w:hAnsi="Arial" w:cs="Arial"/>
          <w:sz w:val="24"/>
          <w:szCs w:val="24"/>
        </w:rPr>
        <w:t xml:space="preserve">) </w:t>
      </w:r>
      <w:r>
        <w:rPr>
          <w:rFonts w:ascii="Arial" w:hAnsi="Arial" w:cs="Arial"/>
          <w:sz w:val="24"/>
          <w:szCs w:val="24"/>
        </w:rPr>
        <w:t>ş</w:t>
      </w:r>
      <w:r w:rsidRPr="00702A15">
        <w:rPr>
          <w:rFonts w:ascii="Arial" w:hAnsi="Arial" w:cs="Arial"/>
          <w:sz w:val="24"/>
          <w:szCs w:val="24"/>
        </w:rPr>
        <w:t>i ale azota</w:t>
      </w:r>
      <w:r>
        <w:rPr>
          <w:rFonts w:ascii="Arial" w:hAnsi="Arial" w:cs="Arial"/>
          <w:sz w:val="24"/>
          <w:szCs w:val="24"/>
        </w:rPr>
        <w:t>ţ</w:t>
      </w:r>
      <w:r w:rsidRPr="00702A15">
        <w:rPr>
          <w:rFonts w:ascii="Arial" w:hAnsi="Arial" w:cs="Arial"/>
          <w:sz w:val="24"/>
          <w:szCs w:val="24"/>
        </w:rPr>
        <w:t>ilor (NO</w:t>
      </w:r>
      <w:r w:rsidRPr="00702A15">
        <w:rPr>
          <w:rFonts w:ascii="Arial" w:hAnsi="Arial" w:cs="Arial"/>
          <w:sz w:val="24"/>
          <w:szCs w:val="24"/>
          <w:vertAlign w:val="subscript"/>
        </w:rPr>
        <w:t>3</w:t>
      </w:r>
      <w:r w:rsidRPr="00702A15">
        <w:rPr>
          <w:rFonts w:ascii="Arial" w:hAnsi="Arial" w:cs="Arial"/>
          <w:sz w:val="24"/>
          <w:szCs w:val="24"/>
          <w:vertAlign w:val="superscript"/>
        </w:rPr>
        <w:t>-</w:t>
      </w:r>
      <w:r w:rsidRPr="00702A15">
        <w:rPr>
          <w:rFonts w:ascii="Arial" w:hAnsi="Arial" w:cs="Arial"/>
          <w:sz w:val="24"/>
          <w:szCs w:val="24"/>
        </w:rPr>
        <w:t>) dete</w:t>
      </w:r>
      <w:r w:rsidRPr="00702A15">
        <w:rPr>
          <w:rFonts w:ascii="Arial" w:hAnsi="Arial" w:cs="Arial"/>
          <w:sz w:val="24"/>
          <w:szCs w:val="24"/>
        </w:rPr>
        <w:t>r</w:t>
      </w:r>
      <w:r w:rsidRPr="00702A15">
        <w:rPr>
          <w:rFonts w:ascii="Arial" w:hAnsi="Arial" w:cs="Arial"/>
          <w:sz w:val="24"/>
          <w:szCs w:val="24"/>
        </w:rPr>
        <w:t>minate în principalele lacuri din jude</w:t>
      </w:r>
      <w:r>
        <w:rPr>
          <w:rFonts w:ascii="Arial" w:hAnsi="Arial" w:cs="Arial"/>
          <w:sz w:val="24"/>
          <w:szCs w:val="24"/>
        </w:rPr>
        <w:t>ţ</w:t>
      </w:r>
      <w:r w:rsidRPr="00702A15">
        <w:rPr>
          <w:rFonts w:ascii="Arial" w:hAnsi="Arial" w:cs="Arial"/>
          <w:sz w:val="24"/>
          <w:szCs w:val="24"/>
        </w:rPr>
        <w:t>ul Buzău, în perioda 2010-2014, este redată în tabelul următor.</w:t>
      </w:r>
    </w:p>
    <w:tbl>
      <w:tblPr>
        <w:tblStyle w:val="TableGrid"/>
        <w:tblW w:w="10348" w:type="dxa"/>
        <w:jc w:val="center"/>
        <w:tblInd w:w="-34" w:type="dxa"/>
        <w:tblLayout w:type="fixed"/>
        <w:tblLook w:val="04A0"/>
      </w:tblPr>
      <w:tblGrid>
        <w:gridCol w:w="1560"/>
        <w:gridCol w:w="992"/>
        <w:gridCol w:w="709"/>
        <w:gridCol w:w="850"/>
        <w:gridCol w:w="709"/>
        <w:gridCol w:w="851"/>
        <w:gridCol w:w="708"/>
        <w:gridCol w:w="851"/>
        <w:gridCol w:w="709"/>
        <w:gridCol w:w="850"/>
        <w:gridCol w:w="709"/>
        <w:gridCol w:w="850"/>
      </w:tblGrid>
      <w:tr w:rsidR="00420717" w:rsidRPr="00702A15" w:rsidTr="00D92384">
        <w:trPr>
          <w:trHeight w:val="625"/>
          <w:jc w:val="center"/>
        </w:trPr>
        <w:tc>
          <w:tcPr>
            <w:tcW w:w="1560" w:type="dxa"/>
            <w:vMerge w:val="restart"/>
            <w:vAlign w:val="center"/>
          </w:tcPr>
          <w:p w:rsidR="00420717" w:rsidRPr="00702A15" w:rsidRDefault="00420717" w:rsidP="00D92384">
            <w:pPr>
              <w:pStyle w:val="Default"/>
              <w:jc w:val="center"/>
              <w:rPr>
                <w:color w:val="auto"/>
              </w:rPr>
            </w:pPr>
            <w:r w:rsidRPr="00702A15">
              <w:rPr>
                <w:bCs/>
                <w:color w:val="auto"/>
              </w:rPr>
              <w:lastRenderedPageBreak/>
              <w:t xml:space="preserve">Lacul </w:t>
            </w:r>
          </w:p>
        </w:tc>
        <w:tc>
          <w:tcPr>
            <w:tcW w:w="992" w:type="dxa"/>
            <w:vMerge w:val="restart"/>
            <w:vAlign w:val="center"/>
          </w:tcPr>
          <w:p w:rsidR="00420717" w:rsidRPr="00702A15" w:rsidRDefault="00420717" w:rsidP="00D92384">
            <w:pPr>
              <w:pStyle w:val="Default"/>
              <w:jc w:val="center"/>
              <w:rPr>
                <w:color w:val="auto"/>
              </w:rPr>
            </w:pPr>
            <w:r w:rsidRPr="00702A15">
              <w:rPr>
                <w:bCs/>
                <w:color w:val="auto"/>
              </w:rPr>
              <w:t>Număr secţiuni de control</w:t>
            </w:r>
          </w:p>
        </w:tc>
        <w:tc>
          <w:tcPr>
            <w:tcW w:w="7796" w:type="dxa"/>
            <w:gridSpan w:val="10"/>
            <w:vAlign w:val="center"/>
          </w:tcPr>
          <w:p w:rsidR="00420717" w:rsidRPr="00702A15" w:rsidRDefault="00420717" w:rsidP="00D92384">
            <w:pPr>
              <w:pStyle w:val="Default"/>
              <w:jc w:val="center"/>
              <w:rPr>
                <w:bCs/>
                <w:color w:val="auto"/>
              </w:rPr>
            </w:pPr>
            <w:r w:rsidRPr="00702A15">
              <w:rPr>
                <w:bCs/>
                <w:color w:val="auto"/>
              </w:rPr>
              <w:t>Concentra</w:t>
            </w:r>
            <w:r>
              <w:rPr>
                <w:bCs/>
                <w:color w:val="auto"/>
              </w:rPr>
              <w:t>ţ</w:t>
            </w:r>
            <w:r w:rsidRPr="00702A15">
              <w:rPr>
                <w:bCs/>
                <w:color w:val="auto"/>
              </w:rPr>
              <w:t>ii medii anuale (mg/l)</w:t>
            </w:r>
          </w:p>
        </w:tc>
      </w:tr>
      <w:tr w:rsidR="00420717" w:rsidRPr="00702A15" w:rsidTr="00D92384">
        <w:trPr>
          <w:trHeight w:val="279"/>
          <w:jc w:val="center"/>
        </w:trPr>
        <w:tc>
          <w:tcPr>
            <w:tcW w:w="1560" w:type="dxa"/>
            <w:vMerge/>
            <w:vAlign w:val="center"/>
          </w:tcPr>
          <w:p w:rsidR="00420717" w:rsidRPr="00702A15" w:rsidRDefault="00420717" w:rsidP="00D92384">
            <w:pPr>
              <w:pStyle w:val="Default"/>
              <w:jc w:val="center"/>
              <w:rPr>
                <w:bCs/>
                <w:color w:val="auto"/>
              </w:rPr>
            </w:pPr>
          </w:p>
        </w:tc>
        <w:tc>
          <w:tcPr>
            <w:tcW w:w="992" w:type="dxa"/>
            <w:vMerge/>
            <w:vAlign w:val="center"/>
          </w:tcPr>
          <w:p w:rsidR="00420717" w:rsidRPr="00702A15" w:rsidRDefault="00420717" w:rsidP="00D92384">
            <w:pPr>
              <w:pStyle w:val="Default"/>
              <w:jc w:val="center"/>
              <w:rPr>
                <w:bCs/>
                <w:color w:val="auto"/>
              </w:rPr>
            </w:pPr>
          </w:p>
        </w:tc>
        <w:tc>
          <w:tcPr>
            <w:tcW w:w="1559" w:type="dxa"/>
            <w:gridSpan w:val="2"/>
            <w:vAlign w:val="center"/>
          </w:tcPr>
          <w:p w:rsidR="00420717" w:rsidRPr="00702A15" w:rsidRDefault="00420717" w:rsidP="00D92384">
            <w:pPr>
              <w:pStyle w:val="Default"/>
              <w:jc w:val="center"/>
              <w:rPr>
                <w:bCs/>
                <w:color w:val="auto"/>
              </w:rPr>
            </w:pPr>
            <w:r w:rsidRPr="00702A15">
              <w:rPr>
                <w:bCs/>
                <w:color w:val="auto"/>
              </w:rPr>
              <w:t>2010</w:t>
            </w:r>
          </w:p>
        </w:tc>
        <w:tc>
          <w:tcPr>
            <w:tcW w:w="1560" w:type="dxa"/>
            <w:gridSpan w:val="2"/>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2011</w:t>
            </w:r>
          </w:p>
        </w:tc>
        <w:tc>
          <w:tcPr>
            <w:tcW w:w="1559" w:type="dxa"/>
            <w:gridSpan w:val="2"/>
            <w:vAlign w:val="center"/>
          </w:tcPr>
          <w:p w:rsidR="00420717" w:rsidRPr="00702A15" w:rsidRDefault="00420717" w:rsidP="00D92384">
            <w:pPr>
              <w:pStyle w:val="Default"/>
              <w:jc w:val="center"/>
              <w:rPr>
                <w:bCs/>
                <w:color w:val="auto"/>
              </w:rPr>
            </w:pPr>
            <w:r w:rsidRPr="00702A15">
              <w:rPr>
                <w:bCs/>
                <w:color w:val="auto"/>
              </w:rPr>
              <w:t>2012</w:t>
            </w:r>
          </w:p>
        </w:tc>
        <w:tc>
          <w:tcPr>
            <w:tcW w:w="1559" w:type="dxa"/>
            <w:gridSpan w:val="2"/>
            <w:vAlign w:val="center"/>
          </w:tcPr>
          <w:p w:rsidR="00420717" w:rsidRPr="00702A15" w:rsidRDefault="00420717" w:rsidP="00D92384">
            <w:pPr>
              <w:pStyle w:val="Default"/>
              <w:jc w:val="center"/>
              <w:rPr>
                <w:bCs/>
                <w:color w:val="auto"/>
              </w:rPr>
            </w:pPr>
            <w:r w:rsidRPr="00702A15">
              <w:rPr>
                <w:bCs/>
                <w:color w:val="auto"/>
              </w:rPr>
              <w:t>2013</w:t>
            </w:r>
          </w:p>
        </w:tc>
        <w:tc>
          <w:tcPr>
            <w:tcW w:w="1559" w:type="dxa"/>
            <w:gridSpan w:val="2"/>
            <w:vAlign w:val="center"/>
          </w:tcPr>
          <w:p w:rsidR="00420717" w:rsidRPr="00702A15" w:rsidRDefault="00420717" w:rsidP="00D92384">
            <w:pPr>
              <w:pStyle w:val="Default"/>
              <w:jc w:val="center"/>
              <w:rPr>
                <w:bCs/>
                <w:color w:val="auto"/>
              </w:rPr>
            </w:pPr>
            <w:r w:rsidRPr="00702A15">
              <w:rPr>
                <w:bCs/>
                <w:color w:val="auto"/>
              </w:rPr>
              <w:t>2014</w:t>
            </w:r>
          </w:p>
        </w:tc>
      </w:tr>
      <w:tr w:rsidR="00420717" w:rsidRPr="00702A15" w:rsidTr="00D92384">
        <w:trPr>
          <w:trHeight w:val="293"/>
          <w:jc w:val="center"/>
        </w:trPr>
        <w:tc>
          <w:tcPr>
            <w:tcW w:w="1560" w:type="dxa"/>
            <w:vMerge/>
            <w:vAlign w:val="center"/>
          </w:tcPr>
          <w:p w:rsidR="00420717" w:rsidRPr="00702A15" w:rsidRDefault="00420717" w:rsidP="00D92384">
            <w:pPr>
              <w:pStyle w:val="Default"/>
              <w:jc w:val="center"/>
              <w:rPr>
                <w:bCs/>
                <w:color w:val="auto"/>
              </w:rPr>
            </w:pPr>
          </w:p>
        </w:tc>
        <w:tc>
          <w:tcPr>
            <w:tcW w:w="992" w:type="dxa"/>
            <w:vMerge/>
            <w:vAlign w:val="center"/>
          </w:tcPr>
          <w:p w:rsidR="00420717" w:rsidRPr="00702A15" w:rsidRDefault="00420717" w:rsidP="00D92384">
            <w:pPr>
              <w:pStyle w:val="Default"/>
              <w:jc w:val="center"/>
              <w:rPr>
                <w:bCs/>
                <w:color w:val="auto"/>
              </w:rPr>
            </w:pPr>
          </w:p>
        </w:tc>
        <w:tc>
          <w:tcPr>
            <w:tcW w:w="709" w:type="dxa"/>
            <w:vAlign w:val="center"/>
          </w:tcPr>
          <w:p w:rsidR="00420717" w:rsidRPr="00702A15" w:rsidRDefault="00420717" w:rsidP="00D92384">
            <w:pPr>
              <w:pStyle w:val="Default"/>
              <w:jc w:val="center"/>
              <w:rPr>
                <w:color w:val="auto"/>
              </w:rPr>
            </w:pPr>
            <w:r w:rsidRPr="00702A15">
              <w:rPr>
                <w:bCs/>
                <w:color w:val="auto"/>
              </w:rPr>
              <w:t>PT</w:t>
            </w:r>
          </w:p>
        </w:tc>
        <w:tc>
          <w:tcPr>
            <w:tcW w:w="850" w:type="dxa"/>
            <w:vAlign w:val="center"/>
          </w:tcPr>
          <w:p w:rsidR="00420717" w:rsidRPr="00702A15" w:rsidRDefault="00420717" w:rsidP="00D92384">
            <w:pPr>
              <w:pStyle w:val="Default"/>
              <w:jc w:val="center"/>
              <w:rPr>
                <w:color w:val="auto"/>
              </w:rPr>
            </w:pPr>
            <w:r w:rsidRPr="00702A15">
              <w:rPr>
                <w:bCs/>
                <w:color w:val="auto"/>
              </w:rPr>
              <w:t>NO</w:t>
            </w:r>
            <w:r w:rsidRPr="00702A15">
              <w:rPr>
                <w:bCs/>
                <w:color w:val="auto"/>
                <w:vertAlign w:val="subscript"/>
              </w:rPr>
              <w:t>3</w:t>
            </w:r>
            <w:r w:rsidRPr="00702A15">
              <w:rPr>
                <w:bCs/>
                <w:color w:val="auto"/>
                <w:vertAlign w:val="superscript"/>
              </w:rPr>
              <w:t>-</w:t>
            </w:r>
          </w:p>
        </w:tc>
        <w:tc>
          <w:tcPr>
            <w:tcW w:w="709" w:type="dxa"/>
            <w:vAlign w:val="center"/>
          </w:tcPr>
          <w:p w:rsidR="00420717" w:rsidRPr="00702A15" w:rsidRDefault="00420717" w:rsidP="00D92384">
            <w:pPr>
              <w:pStyle w:val="Default"/>
              <w:jc w:val="center"/>
              <w:rPr>
                <w:color w:val="auto"/>
              </w:rPr>
            </w:pPr>
            <w:r w:rsidRPr="00702A15">
              <w:rPr>
                <w:bCs/>
                <w:color w:val="auto"/>
              </w:rPr>
              <w:t>PT</w:t>
            </w:r>
          </w:p>
        </w:tc>
        <w:tc>
          <w:tcPr>
            <w:tcW w:w="851" w:type="dxa"/>
            <w:vAlign w:val="center"/>
          </w:tcPr>
          <w:p w:rsidR="00420717" w:rsidRPr="00702A15" w:rsidRDefault="00420717" w:rsidP="00D92384">
            <w:pPr>
              <w:pStyle w:val="Default"/>
              <w:jc w:val="center"/>
              <w:rPr>
                <w:color w:val="auto"/>
              </w:rPr>
            </w:pPr>
            <w:r w:rsidRPr="00702A15">
              <w:rPr>
                <w:bCs/>
                <w:color w:val="auto"/>
              </w:rPr>
              <w:t>NO</w:t>
            </w:r>
            <w:r w:rsidRPr="00702A15">
              <w:rPr>
                <w:bCs/>
                <w:color w:val="auto"/>
                <w:vertAlign w:val="subscript"/>
              </w:rPr>
              <w:t>3</w:t>
            </w:r>
            <w:r w:rsidRPr="00702A15">
              <w:rPr>
                <w:bCs/>
                <w:color w:val="auto"/>
                <w:vertAlign w:val="superscript"/>
              </w:rPr>
              <w:t>-</w:t>
            </w:r>
          </w:p>
        </w:tc>
        <w:tc>
          <w:tcPr>
            <w:tcW w:w="708" w:type="dxa"/>
            <w:vAlign w:val="center"/>
          </w:tcPr>
          <w:p w:rsidR="00420717" w:rsidRPr="00702A15" w:rsidRDefault="00420717" w:rsidP="00D92384">
            <w:pPr>
              <w:pStyle w:val="Default"/>
              <w:jc w:val="center"/>
              <w:rPr>
                <w:color w:val="auto"/>
              </w:rPr>
            </w:pPr>
            <w:r w:rsidRPr="00702A15">
              <w:rPr>
                <w:bCs/>
                <w:color w:val="auto"/>
              </w:rPr>
              <w:t>PT</w:t>
            </w:r>
          </w:p>
        </w:tc>
        <w:tc>
          <w:tcPr>
            <w:tcW w:w="851" w:type="dxa"/>
            <w:vAlign w:val="center"/>
          </w:tcPr>
          <w:p w:rsidR="00420717" w:rsidRPr="00702A15" w:rsidRDefault="00420717" w:rsidP="00D92384">
            <w:pPr>
              <w:pStyle w:val="Default"/>
              <w:jc w:val="center"/>
              <w:rPr>
                <w:color w:val="auto"/>
              </w:rPr>
            </w:pPr>
            <w:r w:rsidRPr="00702A15">
              <w:rPr>
                <w:bCs/>
                <w:color w:val="auto"/>
              </w:rPr>
              <w:t>NO</w:t>
            </w:r>
            <w:r w:rsidRPr="00702A15">
              <w:rPr>
                <w:bCs/>
                <w:color w:val="auto"/>
                <w:vertAlign w:val="subscript"/>
              </w:rPr>
              <w:t>3</w:t>
            </w:r>
            <w:r w:rsidRPr="00702A15">
              <w:rPr>
                <w:bCs/>
                <w:color w:val="auto"/>
                <w:vertAlign w:val="superscript"/>
              </w:rPr>
              <w:t>-</w:t>
            </w:r>
          </w:p>
        </w:tc>
        <w:tc>
          <w:tcPr>
            <w:tcW w:w="709" w:type="dxa"/>
            <w:vAlign w:val="center"/>
          </w:tcPr>
          <w:p w:rsidR="00420717" w:rsidRPr="00702A15" w:rsidRDefault="00420717" w:rsidP="00D92384">
            <w:pPr>
              <w:pStyle w:val="Default"/>
              <w:jc w:val="center"/>
              <w:rPr>
                <w:color w:val="auto"/>
              </w:rPr>
            </w:pPr>
            <w:r w:rsidRPr="00702A15">
              <w:rPr>
                <w:bCs/>
                <w:color w:val="auto"/>
              </w:rPr>
              <w:t>PT</w:t>
            </w:r>
          </w:p>
        </w:tc>
        <w:tc>
          <w:tcPr>
            <w:tcW w:w="850" w:type="dxa"/>
            <w:vAlign w:val="center"/>
          </w:tcPr>
          <w:p w:rsidR="00420717" w:rsidRPr="00702A15" w:rsidRDefault="00420717" w:rsidP="00D92384">
            <w:pPr>
              <w:pStyle w:val="Default"/>
              <w:jc w:val="center"/>
              <w:rPr>
                <w:color w:val="auto"/>
              </w:rPr>
            </w:pPr>
            <w:r w:rsidRPr="00702A15">
              <w:rPr>
                <w:bCs/>
                <w:color w:val="auto"/>
              </w:rPr>
              <w:t>NO</w:t>
            </w:r>
            <w:r w:rsidRPr="00702A15">
              <w:rPr>
                <w:bCs/>
                <w:color w:val="auto"/>
                <w:vertAlign w:val="subscript"/>
              </w:rPr>
              <w:t>3</w:t>
            </w:r>
            <w:r w:rsidRPr="00702A15">
              <w:rPr>
                <w:bCs/>
                <w:color w:val="auto"/>
                <w:vertAlign w:val="superscript"/>
              </w:rPr>
              <w:t>-</w:t>
            </w:r>
          </w:p>
        </w:tc>
        <w:tc>
          <w:tcPr>
            <w:tcW w:w="709" w:type="dxa"/>
            <w:vAlign w:val="center"/>
          </w:tcPr>
          <w:p w:rsidR="00420717" w:rsidRPr="00702A15" w:rsidRDefault="00420717" w:rsidP="00D92384">
            <w:pPr>
              <w:pStyle w:val="Default"/>
              <w:jc w:val="center"/>
              <w:rPr>
                <w:color w:val="auto"/>
              </w:rPr>
            </w:pPr>
            <w:r w:rsidRPr="00702A15">
              <w:rPr>
                <w:bCs/>
                <w:color w:val="auto"/>
              </w:rPr>
              <w:t>PT</w:t>
            </w:r>
          </w:p>
        </w:tc>
        <w:tc>
          <w:tcPr>
            <w:tcW w:w="850" w:type="dxa"/>
            <w:vAlign w:val="center"/>
          </w:tcPr>
          <w:p w:rsidR="00420717" w:rsidRPr="00702A15" w:rsidRDefault="00420717" w:rsidP="00D92384">
            <w:pPr>
              <w:pStyle w:val="Default"/>
              <w:jc w:val="center"/>
              <w:rPr>
                <w:color w:val="auto"/>
              </w:rPr>
            </w:pPr>
            <w:r w:rsidRPr="00702A15">
              <w:rPr>
                <w:bCs/>
                <w:color w:val="auto"/>
              </w:rPr>
              <w:t>NO</w:t>
            </w:r>
            <w:r w:rsidRPr="00702A15">
              <w:rPr>
                <w:bCs/>
                <w:color w:val="auto"/>
                <w:vertAlign w:val="subscript"/>
              </w:rPr>
              <w:t>3</w:t>
            </w:r>
            <w:r w:rsidRPr="00702A15">
              <w:rPr>
                <w:bCs/>
                <w:color w:val="auto"/>
                <w:vertAlign w:val="superscript"/>
              </w:rPr>
              <w:t>-</w:t>
            </w:r>
          </w:p>
        </w:tc>
      </w:tr>
      <w:tr w:rsidR="00420717" w:rsidRPr="00702A15" w:rsidTr="00D92384">
        <w:trPr>
          <w:jc w:val="center"/>
        </w:trPr>
        <w:tc>
          <w:tcPr>
            <w:tcW w:w="1560" w:type="dxa"/>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702A15">
              <w:rPr>
                <w:rFonts w:ascii="Arial" w:hAnsi="Arial" w:cs="Arial"/>
                <w:sz w:val="24"/>
                <w:szCs w:val="24"/>
              </w:rPr>
              <w:t>Siriu</w:t>
            </w:r>
          </w:p>
        </w:tc>
        <w:tc>
          <w:tcPr>
            <w:tcW w:w="99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2</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0,01</w:t>
            </w:r>
          </w:p>
        </w:tc>
        <w:tc>
          <w:tcPr>
            <w:tcW w:w="850"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0,02</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2,97</w:t>
            </w:r>
          </w:p>
        </w:tc>
        <w:tc>
          <w:tcPr>
            <w:tcW w:w="708"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0,03</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2,98</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0,02</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2,21</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0,02</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2,49</w:t>
            </w:r>
          </w:p>
        </w:tc>
      </w:tr>
      <w:tr w:rsidR="00420717" w:rsidRPr="00702A15" w:rsidTr="00D92384">
        <w:trPr>
          <w:jc w:val="center"/>
        </w:trPr>
        <w:tc>
          <w:tcPr>
            <w:tcW w:w="1560" w:type="dxa"/>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702A15">
              <w:rPr>
                <w:rFonts w:ascii="Arial" w:hAnsi="Arial" w:cs="Arial"/>
                <w:sz w:val="24"/>
                <w:szCs w:val="24"/>
              </w:rPr>
              <w:t>Cândeşti</w:t>
            </w:r>
          </w:p>
        </w:tc>
        <w:tc>
          <w:tcPr>
            <w:tcW w:w="99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0,01</w:t>
            </w:r>
          </w:p>
        </w:tc>
        <w:tc>
          <w:tcPr>
            <w:tcW w:w="850"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0,02</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2,61</w:t>
            </w:r>
          </w:p>
        </w:tc>
        <w:tc>
          <w:tcPr>
            <w:tcW w:w="708"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0,03</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2,68</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0,02</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2,47</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0,01</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2,70</w:t>
            </w:r>
          </w:p>
        </w:tc>
      </w:tr>
      <w:tr w:rsidR="00420717" w:rsidRPr="00702A15" w:rsidTr="00D92384">
        <w:trPr>
          <w:jc w:val="center"/>
        </w:trPr>
        <w:tc>
          <w:tcPr>
            <w:tcW w:w="1560" w:type="dxa"/>
            <w:vAlign w:val="center"/>
          </w:tcPr>
          <w:p w:rsidR="00420717" w:rsidRPr="00702A15" w:rsidRDefault="00420717" w:rsidP="00D92384">
            <w:pPr>
              <w:rPr>
                <w:rFonts w:ascii="Arial" w:hAnsi="Arial" w:cs="Arial"/>
                <w:bCs/>
                <w:sz w:val="24"/>
                <w:szCs w:val="24"/>
              </w:rPr>
            </w:pPr>
            <w:r w:rsidRPr="00702A15">
              <w:rPr>
                <w:rFonts w:ascii="Arial" w:hAnsi="Arial" w:cs="Arial"/>
                <w:bCs/>
                <w:sz w:val="24"/>
                <w:szCs w:val="24"/>
              </w:rPr>
              <w:t>Balta Amara</w:t>
            </w:r>
          </w:p>
        </w:tc>
        <w:tc>
          <w:tcPr>
            <w:tcW w:w="99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0,09</w:t>
            </w:r>
          </w:p>
        </w:tc>
        <w:tc>
          <w:tcPr>
            <w:tcW w:w="850"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0,10</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0,25</w:t>
            </w:r>
          </w:p>
        </w:tc>
        <w:tc>
          <w:tcPr>
            <w:tcW w:w="708"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0,28</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0,60</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0,23</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0,18</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0,29</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0,88</w:t>
            </w:r>
          </w:p>
        </w:tc>
      </w:tr>
      <w:tr w:rsidR="00420717" w:rsidRPr="00702A15" w:rsidTr="00D92384">
        <w:trPr>
          <w:jc w:val="center"/>
        </w:trPr>
        <w:tc>
          <w:tcPr>
            <w:tcW w:w="1560" w:type="dxa"/>
            <w:vAlign w:val="center"/>
          </w:tcPr>
          <w:p w:rsidR="00420717" w:rsidRPr="00702A15" w:rsidRDefault="00420717" w:rsidP="00D92384">
            <w:pPr>
              <w:rPr>
                <w:rFonts w:ascii="Arial" w:hAnsi="Arial" w:cs="Arial"/>
                <w:bCs/>
                <w:sz w:val="24"/>
                <w:szCs w:val="24"/>
              </w:rPr>
            </w:pPr>
            <w:r w:rsidRPr="00702A15">
              <w:rPr>
                <w:rFonts w:ascii="Arial" w:hAnsi="Arial" w:cs="Arial"/>
                <w:bCs/>
                <w:sz w:val="24"/>
                <w:szCs w:val="24"/>
              </w:rPr>
              <w:t>Balta Albă</w:t>
            </w:r>
          </w:p>
        </w:tc>
        <w:tc>
          <w:tcPr>
            <w:tcW w:w="99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0,92</w:t>
            </w:r>
          </w:p>
        </w:tc>
        <w:tc>
          <w:tcPr>
            <w:tcW w:w="850"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0,46</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708"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0,35</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0,18</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0,70</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w:t>
            </w:r>
          </w:p>
        </w:tc>
      </w:tr>
      <w:tr w:rsidR="00420717" w:rsidRPr="00702A15" w:rsidTr="00D92384">
        <w:trPr>
          <w:jc w:val="center"/>
        </w:trPr>
        <w:tc>
          <w:tcPr>
            <w:tcW w:w="1560" w:type="dxa"/>
            <w:vAlign w:val="center"/>
          </w:tcPr>
          <w:p w:rsidR="00420717" w:rsidRPr="00702A15" w:rsidRDefault="00420717" w:rsidP="00D92384">
            <w:pPr>
              <w:rPr>
                <w:rFonts w:ascii="Arial" w:hAnsi="Arial" w:cs="Arial"/>
                <w:bCs/>
                <w:sz w:val="24"/>
                <w:szCs w:val="24"/>
              </w:rPr>
            </w:pPr>
            <w:r w:rsidRPr="00702A15">
              <w:rPr>
                <w:rFonts w:ascii="Arial" w:hAnsi="Arial" w:cs="Arial"/>
                <w:bCs/>
                <w:sz w:val="24"/>
                <w:szCs w:val="24"/>
              </w:rPr>
              <w:t>Ciulniţa</w:t>
            </w:r>
          </w:p>
        </w:tc>
        <w:tc>
          <w:tcPr>
            <w:tcW w:w="992"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1</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0,06</w:t>
            </w:r>
          </w:p>
        </w:tc>
        <w:tc>
          <w:tcPr>
            <w:tcW w:w="850"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0,09</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0,43</w:t>
            </w:r>
          </w:p>
        </w:tc>
        <w:tc>
          <w:tcPr>
            <w:tcW w:w="708"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0,31</w:t>
            </w:r>
          </w:p>
        </w:tc>
        <w:tc>
          <w:tcPr>
            <w:tcW w:w="851"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1,99</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0,18</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1,23</w:t>
            </w:r>
          </w:p>
        </w:tc>
        <w:tc>
          <w:tcPr>
            <w:tcW w:w="709" w:type="dxa"/>
            <w:vAlign w:val="center"/>
          </w:tcPr>
          <w:p w:rsidR="00420717" w:rsidRPr="00702A15" w:rsidRDefault="00420717" w:rsidP="00D92384">
            <w:pPr>
              <w:tabs>
                <w:tab w:val="left" w:pos="315"/>
              </w:tabs>
              <w:jc w:val="center"/>
              <w:rPr>
                <w:rFonts w:ascii="Arial" w:hAnsi="Arial" w:cs="Arial"/>
                <w:sz w:val="24"/>
                <w:szCs w:val="24"/>
              </w:rPr>
            </w:pPr>
            <w:r w:rsidRPr="00702A15">
              <w:rPr>
                <w:rFonts w:ascii="Arial" w:hAnsi="Arial" w:cs="Arial"/>
                <w:sz w:val="24"/>
                <w:szCs w:val="24"/>
              </w:rPr>
              <w:t>0,32</w:t>
            </w:r>
          </w:p>
        </w:tc>
        <w:tc>
          <w:tcPr>
            <w:tcW w:w="850" w:type="dxa"/>
            <w:vAlign w:val="center"/>
          </w:tcPr>
          <w:p w:rsidR="00420717" w:rsidRPr="00702A15" w:rsidRDefault="00420717" w:rsidP="00D92384">
            <w:pPr>
              <w:jc w:val="center"/>
              <w:rPr>
                <w:rFonts w:ascii="Arial" w:hAnsi="Arial" w:cs="Arial"/>
                <w:sz w:val="24"/>
                <w:szCs w:val="24"/>
              </w:rPr>
            </w:pPr>
            <w:r w:rsidRPr="00702A15">
              <w:rPr>
                <w:rFonts w:ascii="Arial" w:hAnsi="Arial" w:cs="Arial"/>
                <w:sz w:val="24"/>
                <w:szCs w:val="24"/>
              </w:rPr>
              <w:t>1,03</w:t>
            </w:r>
          </w:p>
        </w:tc>
      </w:tr>
    </w:tbl>
    <w:p w:rsidR="00420717" w:rsidRPr="00AA0E3F" w:rsidRDefault="00420717" w:rsidP="00420717">
      <w:pPr>
        <w:tabs>
          <w:tab w:val="left" w:pos="315"/>
        </w:tabs>
        <w:spacing w:after="0" w:line="240" w:lineRule="auto"/>
        <w:jc w:val="both"/>
        <w:rPr>
          <w:rFonts w:ascii="Arial" w:hAnsi="Arial" w:cs="Arial"/>
          <w:b/>
          <w:bCs/>
          <w:sz w:val="24"/>
          <w:szCs w:val="24"/>
          <w:lang w:val="it-IT"/>
        </w:rPr>
      </w:pPr>
      <w:r w:rsidRPr="00AA0E3F">
        <w:rPr>
          <w:rFonts w:ascii="Arial" w:hAnsi="Arial" w:cs="Arial"/>
          <w:b/>
          <w:sz w:val="24"/>
          <w:szCs w:val="24"/>
        </w:rPr>
        <w:t>Tabel II.2.1.2.3.</w:t>
      </w:r>
      <w:r w:rsidRPr="00AA0E3F">
        <w:rPr>
          <w:rFonts w:ascii="Arial" w:hAnsi="Arial" w:cs="Arial"/>
          <w:b/>
          <w:bCs/>
          <w:sz w:val="24"/>
          <w:szCs w:val="24"/>
          <w:lang w:val="it-IT"/>
        </w:rPr>
        <w:t xml:space="preserve"> </w:t>
      </w:r>
      <w:r w:rsidRPr="00AA0E3F">
        <w:rPr>
          <w:rFonts w:ascii="Arial" w:hAnsi="Arial" w:cs="Arial"/>
          <w:b/>
          <w:bCs/>
          <w:sz w:val="24"/>
          <w:szCs w:val="24"/>
        </w:rPr>
        <w:t>Evoluţia c</w:t>
      </w:r>
      <w:r w:rsidRPr="00AA0E3F">
        <w:rPr>
          <w:rFonts w:ascii="Arial" w:hAnsi="Arial" w:cs="Arial"/>
          <w:b/>
          <w:sz w:val="24"/>
          <w:szCs w:val="24"/>
        </w:rPr>
        <w:t>oncentraţiilor medii anuale ale fosforului total (P</w:t>
      </w:r>
      <w:r w:rsidRPr="00AA0E3F">
        <w:rPr>
          <w:rFonts w:ascii="Arial" w:hAnsi="Arial" w:cs="Arial"/>
          <w:b/>
          <w:sz w:val="24"/>
          <w:szCs w:val="24"/>
          <w:vertAlign w:val="subscript"/>
        </w:rPr>
        <w:t>T</w:t>
      </w:r>
      <w:r w:rsidRPr="00AA0E3F">
        <w:rPr>
          <w:rFonts w:ascii="Arial" w:hAnsi="Arial" w:cs="Arial"/>
          <w:b/>
          <w:sz w:val="24"/>
          <w:szCs w:val="24"/>
        </w:rPr>
        <w:t>) şi ale azotaţilor (NO</w:t>
      </w:r>
      <w:r w:rsidRPr="00AA0E3F">
        <w:rPr>
          <w:rFonts w:ascii="Arial" w:hAnsi="Arial" w:cs="Arial"/>
          <w:b/>
          <w:sz w:val="24"/>
          <w:szCs w:val="24"/>
          <w:vertAlign w:val="subscript"/>
        </w:rPr>
        <w:t>3</w:t>
      </w:r>
      <w:r w:rsidRPr="00AA0E3F">
        <w:rPr>
          <w:rFonts w:ascii="Arial" w:hAnsi="Arial" w:cs="Arial"/>
          <w:b/>
          <w:sz w:val="24"/>
          <w:szCs w:val="24"/>
          <w:vertAlign w:val="superscript"/>
        </w:rPr>
        <w:t>-</w:t>
      </w:r>
      <w:r w:rsidRPr="00AA0E3F">
        <w:rPr>
          <w:rFonts w:ascii="Arial" w:hAnsi="Arial" w:cs="Arial"/>
          <w:b/>
          <w:sz w:val="24"/>
          <w:szCs w:val="24"/>
        </w:rPr>
        <w:t>) determinate în principalele lacuri din judeţul Buzău, în perioda 2010-2014</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a</w:t>
      </w:r>
    </w:p>
    <w:p w:rsidR="00420717" w:rsidRDefault="00420717" w:rsidP="00420717">
      <w:pPr>
        <w:tabs>
          <w:tab w:val="left" w:pos="315"/>
        </w:tabs>
        <w:spacing w:after="0" w:line="240" w:lineRule="auto"/>
        <w:jc w:val="both"/>
        <w:rPr>
          <w:rFonts w:ascii="Arial" w:hAnsi="Arial" w:cs="Arial"/>
          <w:sz w:val="24"/>
          <w:szCs w:val="24"/>
        </w:rPr>
      </w:pPr>
    </w:p>
    <w:p w:rsidR="005864AC" w:rsidRPr="00702A15" w:rsidRDefault="005864AC" w:rsidP="00420717">
      <w:pPr>
        <w:tabs>
          <w:tab w:val="left" w:pos="315"/>
        </w:tabs>
        <w:spacing w:after="0" w:line="240" w:lineRule="auto"/>
        <w:jc w:val="both"/>
        <w:rPr>
          <w:rFonts w:ascii="Arial" w:hAnsi="Arial" w:cs="Arial"/>
          <w:sz w:val="24"/>
          <w:szCs w:val="24"/>
        </w:rPr>
      </w:pPr>
    </w:p>
    <w:p w:rsidR="00420717" w:rsidRPr="00702A15" w:rsidRDefault="00420717" w:rsidP="00420717">
      <w:pPr>
        <w:tabs>
          <w:tab w:val="left" w:pos="315"/>
        </w:tabs>
        <w:spacing w:after="0" w:line="240" w:lineRule="auto"/>
        <w:jc w:val="center"/>
        <w:rPr>
          <w:rFonts w:ascii="Arial" w:hAnsi="Arial" w:cs="Arial"/>
          <w:sz w:val="24"/>
          <w:szCs w:val="24"/>
        </w:rPr>
      </w:pPr>
      <w:r w:rsidRPr="00702A15">
        <w:rPr>
          <w:rFonts w:ascii="Arial" w:hAnsi="Arial" w:cs="Arial"/>
          <w:noProof/>
          <w:sz w:val="24"/>
          <w:szCs w:val="24"/>
          <w:lang w:val="ro-RO" w:eastAsia="ro-RO"/>
        </w:rPr>
        <w:drawing>
          <wp:inline distT="0" distB="0" distL="0" distR="0">
            <wp:extent cx="5972810" cy="3156585"/>
            <wp:effectExtent l="19050" t="0" r="27940" b="5715"/>
            <wp:docPr id="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20717" w:rsidRPr="00AA0E3F" w:rsidRDefault="00420717" w:rsidP="00420717">
      <w:pPr>
        <w:tabs>
          <w:tab w:val="left" w:pos="315"/>
        </w:tabs>
        <w:spacing w:before="120" w:after="120" w:line="240" w:lineRule="auto"/>
        <w:jc w:val="both"/>
        <w:rPr>
          <w:rFonts w:ascii="Arial" w:hAnsi="Arial" w:cs="Arial"/>
          <w:b/>
          <w:sz w:val="24"/>
          <w:szCs w:val="24"/>
        </w:rPr>
      </w:pPr>
      <w:r w:rsidRPr="00AA0E3F">
        <w:rPr>
          <w:rFonts w:ascii="Arial" w:hAnsi="Arial" w:cs="Arial"/>
          <w:b/>
          <w:bCs/>
          <w:sz w:val="24"/>
          <w:szCs w:val="24"/>
        </w:rPr>
        <w:t xml:space="preserve">Figura </w:t>
      </w:r>
      <w:r w:rsidRPr="00AA0E3F">
        <w:rPr>
          <w:rFonts w:ascii="Arial" w:hAnsi="Arial" w:cs="Arial"/>
          <w:b/>
          <w:sz w:val="24"/>
          <w:szCs w:val="24"/>
        </w:rPr>
        <w:t xml:space="preserve">II.2.1.2.2. </w:t>
      </w:r>
      <w:r w:rsidRPr="00AA0E3F">
        <w:rPr>
          <w:rFonts w:ascii="Arial" w:hAnsi="Arial" w:cs="Arial"/>
          <w:b/>
          <w:bCs/>
          <w:sz w:val="24"/>
          <w:szCs w:val="24"/>
        </w:rPr>
        <w:t>Evoluţia c</w:t>
      </w:r>
      <w:r w:rsidRPr="00AA0E3F">
        <w:rPr>
          <w:rFonts w:ascii="Arial" w:hAnsi="Arial" w:cs="Arial"/>
          <w:b/>
          <w:sz w:val="24"/>
          <w:szCs w:val="24"/>
        </w:rPr>
        <w:t>oncentraţiilor medii anuale ale fosforului total (P</w:t>
      </w:r>
      <w:r w:rsidRPr="00AA0E3F">
        <w:rPr>
          <w:rFonts w:ascii="Arial" w:hAnsi="Arial" w:cs="Arial"/>
          <w:b/>
          <w:sz w:val="24"/>
          <w:szCs w:val="24"/>
          <w:vertAlign w:val="subscript"/>
        </w:rPr>
        <w:t>T</w:t>
      </w:r>
      <w:r w:rsidRPr="00AA0E3F">
        <w:rPr>
          <w:rFonts w:ascii="Arial" w:hAnsi="Arial" w:cs="Arial"/>
          <w:b/>
          <w:sz w:val="24"/>
          <w:szCs w:val="24"/>
        </w:rPr>
        <w:t>) dete</w:t>
      </w:r>
      <w:r w:rsidRPr="00AA0E3F">
        <w:rPr>
          <w:rFonts w:ascii="Arial" w:hAnsi="Arial" w:cs="Arial"/>
          <w:b/>
          <w:sz w:val="24"/>
          <w:szCs w:val="24"/>
        </w:rPr>
        <w:t>r</w:t>
      </w:r>
      <w:r w:rsidRPr="00AA0E3F">
        <w:rPr>
          <w:rFonts w:ascii="Arial" w:hAnsi="Arial" w:cs="Arial"/>
          <w:b/>
          <w:sz w:val="24"/>
          <w:szCs w:val="24"/>
        </w:rPr>
        <w:t>minate în principalele lacuri din judeţul Buzău, în perioda 2010-2014</w:t>
      </w:r>
    </w:p>
    <w:p w:rsidR="00420717" w:rsidRPr="00702A15" w:rsidRDefault="00420717" w:rsidP="00420717">
      <w:pPr>
        <w:tabs>
          <w:tab w:val="left" w:pos="315"/>
        </w:tabs>
        <w:spacing w:after="0" w:line="240" w:lineRule="auto"/>
        <w:jc w:val="center"/>
        <w:rPr>
          <w:rFonts w:ascii="Arial" w:hAnsi="Arial" w:cs="Arial"/>
          <w:sz w:val="24"/>
          <w:szCs w:val="24"/>
        </w:rPr>
      </w:pPr>
    </w:p>
    <w:p w:rsidR="00420717" w:rsidRPr="00702A15" w:rsidRDefault="00420717" w:rsidP="00420717">
      <w:pPr>
        <w:tabs>
          <w:tab w:val="left" w:pos="315"/>
        </w:tabs>
        <w:spacing w:after="0" w:line="240" w:lineRule="auto"/>
        <w:jc w:val="center"/>
        <w:rPr>
          <w:rFonts w:ascii="Arial" w:hAnsi="Arial" w:cs="Arial"/>
          <w:sz w:val="24"/>
          <w:szCs w:val="24"/>
        </w:rPr>
      </w:pPr>
      <w:r w:rsidRPr="00702A15">
        <w:rPr>
          <w:rFonts w:ascii="Arial" w:hAnsi="Arial" w:cs="Arial"/>
          <w:noProof/>
          <w:sz w:val="24"/>
          <w:szCs w:val="24"/>
          <w:lang w:val="ro-RO" w:eastAsia="ro-RO"/>
        </w:rPr>
        <w:lastRenderedPageBreak/>
        <w:drawing>
          <wp:inline distT="0" distB="0" distL="0" distR="0">
            <wp:extent cx="5973420" cy="2772461"/>
            <wp:effectExtent l="19050" t="0" r="27330" b="8839"/>
            <wp:docPr id="9"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20717" w:rsidRPr="00AA0E3F" w:rsidRDefault="00420717" w:rsidP="00420717">
      <w:pPr>
        <w:tabs>
          <w:tab w:val="left" w:pos="315"/>
        </w:tabs>
        <w:spacing w:before="120" w:after="120" w:line="240" w:lineRule="auto"/>
        <w:jc w:val="both"/>
        <w:rPr>
          <w:rFonts w:ascii="Arial" w:hAnsi="Arial" w:cs="Arial"/>
          <w:b/>
          <w:sz w:val="24"/>
          <w:szCs w:val="24"/>
        </w:rPr>
      </w:pPr>
      <w:r w:rsidRPr="00AA0E3F">
        <w:rPr>
          <w:rFonts w:ascii="Arial" w:hAnsi="Arial" w:cs="Arial"/>
          <w:b/>
          <w:bCs/>
          <w:sz w:val="24"/>
          <w:szCs w:val="24"/>
        </w:rPr>
        <w:t xml:space="preserve">Figura </w:t>
      </w:r>
      <w:r w:rsidRPr="00AA0E3F">
        <w:rPr>
          <w:rFonts w:ascii="Arial" w:hAnsi="Arial" w:cs="Arial"/>
          <w:b/>
          <w:sz w:val="24"/>
          <w:szCs w:val="24"/>
        </w:rPr>
        <w:t xml:space="preserve">II.2.1.2.3. </w:t>
      </w:r>
      <w:r w:rsidRPr="00AA0E3F">
        <w:rPr>
          <w:rFonts w:ascii="Arial" w:hAnsi="Arial" w:cs="Arial"/>
          <w:b/>
          <w:bCs/>
          <w:sz w:val="24"/>
          <w:szCs w:val="24"/>
        </w:rPr>
        <w:t>Evoluţia c</w:t>
      </w:r>
      <w:r w:rsidRPr="00AA0E3F">
        <w:rPr>
          <w:rFonts w:ascii="Arial" w:hAnsi="Arial" w:cs="Arial"/>
          <w:b/>
          <w:sz w:val="24"/>
          <w:szCs w:val="24"/>
        </w:rPr>
        <w:t>oncentraţiilor medii anuale ale azotaţilor (NO</w:t>
      </w:r>
      <w:r w:rsidRPr="00AA0E3F">
        <w:rPr>
          <w:rFonts w:ascii="Arial" w:hAnsi="Arial" w:cs="Arial"/>
          <w:b/>
          <w:sz w:val="24"/>
          <w:szCs w:val="24"/>
          <w:vertAlign w:val="subscript"/>
        </w:rPr>
        <w:t>3</w:t>
      </w:r>
      <w:r w:rsidRPr="00AA0E3F">
        <w:rPr>
          <w:rFonts w:ascii="Arial" w:hAnsi="Arial" w:cs="Arial"/>
          <w:b/>
          <w:sz w:val="24"/>
          <w:szCs w:val="24"/>
          <w:vertAlign w:val="superscript"/>
        </w:rPr>
        <w:t>-</w:t>
      </w:r>
      <w:r w:rsidRPr="00AA0E3F">
        <w:rPr>
          <w:rFonts w:ascii="Arial" w:hAnsi="Arial" w:cs="Arial"/>
          <w:b/>
          <w:sz w:val="24"/>
          <w:szCs w:val="24"/>
        </w:rPr>
        <w:t>) determ</w:t>
      </w:r>
      <w:r w:rsidRPr="00AA0E3F">
        <w:rPr>
          <w:rFonts w:ascii="Arial" w:hAnsi="Arial" w:cs="Arial"/>
          <w:b/>
          <w:sz w:val="24"/>
          <w:szCs w:val="24"/>
        </w:rPr>
        <w:t>i</w:t>
      </w:r>
      <w:r w:rsidRPr="00AA0E3F">
        <w:rPr>
          <w:rFonts w:ascii="Arial" w:hAnsi="Arial" w:cs="Arial"/>
          <w:b/>
          <w:sz w:val="24"/>
          <w:szCs w:val="24"/>
        </w:rPr>
        <w:t>nate în principalele lacuri din judeţul Buzău, în perioda 2010-2014</w:t>
      </w:r>
    </w:p>
    <w:p w:rsidR="00420717" w:rsidRPr="00702A15" w:rsidRDefault="00420717" w:rsidP="00420717">
      <w:pPr>
        <w:tabs>
          <w:tab w:val="left" w:pos="315"/>
        </w:tabs>
        <w:spacing w:after="0" w:line="240" w:lineRule="auto"/>
        <w:jc w:val="both"/>
        <w:rPr>
          <w:rFonts w:ascii="Arial" w:hAnsi="Arial" w:cs="Arial"/>
          <w:sz w:val="24"/>
          <w:szCs w:val="24"/>
        </w:rPr>
      </w:pPr>
    </w:p>
    <w:p w:rsidR="00420717" w:rsidRPr="00702A15" w:rsidRDefault="00420717" w:rsidP="00420717">
      <w:pPr>
        <w:tabs>
          <w:tab w:val="left" w:pos="315"/>
        </w:tabs>
        <w:spacing w:after="0" w:line="240" w:lineRule="auto"/>
        <w:jc w:val="both"/>
        <w:rPr>
          <w:rFonts w:ascii="Arial" w:hAnsi="Arial" w:cs="Arial"/>
          <w:b/>
          <w:bCs/>
          <w:sz w:val="24"/>
          <w:szCs w:val="24"/>
          <w:lang w:val="it-IT"/>
        </w:rPr>
      </w:pPr>
      <w:r w:rsidRPr="00702A15">
        <w:rPr>
          <w:rFonts w:ascii="Arial" w:hAnsi="Arial" w:cs="Arial"/>
          <w:b/>
          <w:bCs/>
          <w:sz w:val="24"/>
          <w:szCs w:val="24"/>
          <w:lang w:val="it-IT"/>
        </w:rPr>
        <w:t>C. Calitatea lacurilor din jude</w:t>
      </w:r>
      <w:r>
        <w:rPr>
          <w:rFonts w:ascii="Arial" w:hAnsi="Arial" w:cs="Arial"/>
          <w:b/>
          <w:bCs/>
          <w:sz w:val="24"/>
          <w:szCs w:val="24"/>
          <w:lang w:val="it-IT"/>
        </w:rPr>
        <w:t>ţ</w:t>
      </w:r>
      <w:r w:rsidRPr="00702A15">
        <w:rPr>
          <w:rFonts w:ascii="Arial" w:hAnsi="Arial" w:cs="Arial"/>
          <w:b/>
          <w:bCs/>
          <w:sz w:val="24"/>
          <w:szCs w:val="24"/>
          <w:lang w:val="it-IT"/>
        </w:rPr>
        <w:t>ul Buzău din punct de vedere al substan</w:t>
      </w:r>
      <w:r>
        <w:rPr>
          <w:rFonts w:ascii="Arial" w:hAnsi="Arial" w:cs="Arial"/>
          <w:b/>
          <w:bCs/>
          <w:sz w:val="24"/>
          <w:szCs w:val="24"/>
          <w:lang w:val="it-IT"/>
        </w:rPr>
        <w:t>ţ</w:t>
      </w:r>
      <w:r w:rsidRPr="00702A15">
        <w:rPr>
          <w:rFonts w:ascii="Arial" w:hAnsi="Arial" w:cs="Arial"/>
          <w:b/>
          <w:bCs/>
          <w:sz w:val="24"/>
          <w:szCs w:val="24"/>
          <w:lang w:val="it-IT"/>
        </w:rPr>
        <w:t>elor periculoase</w:t>
      </w:r>
    </w:p>
    <w:p w:rsidR="00420717" w:rsidRPr="00702A15" w:rsidRDefault="00420717" w:rsidP="00420717">
      <w:pPr>
        <w:tabs>
          <w:tab w:val="left" w:pos="315"/>
        </w:tabs>
        <w:spacing w:after="0" w:line="240" w:lineRule="auto"/>
        <w:jc w:val="both"/>
        <w:rPr>
          <w:rFonts w:ascii="Arial" w:hAnsi="Arial" w:cs="Arial"/>
          <w:b/>
          <w:bCs/>
          <w:sz w:val="24"/>
          <w:szCs w:val="24"/>
          <w:lang w:val="it-IT"/>
        </w:rPr>
      </w:pPr>
    </w:p>
    <w:p w:rsidR="00420717" w:rsidRDefault="00420717" w:rsidP="00420717">
      <w:pPr>
        <w:pStyle w:val="Default"/>
        <w:jc w:val="both"/>
        <w:rPr>
          <w:bCs/>
          <w:color w:val="auto"/>
        </w:rPr>
      </w:pPr>
      <w:r w:rsidRPr="00702A15">
        <w:rPr>
          <w:bCs/>
          <w:color w:val="auto"/>
        </w:rPr>
        <w:t>Informaţiile generale privind monitorizarea substanţelor periculoase din principalele lacuri aflate pe teritoriul jude</w:t>
      </w:r>
      <w:r>
        <w:rPr>
          <w:bCs/>
          <w:color w:val="auto"/>
        </w:rPr>
        <w:t>ţ</w:t>
      </w:r>
      <w:r w:rsidRPr="00702A15">
        <w:rPr>
          <w:bCs/>
          <w:color w:val="auto"/>
        </w:rPr>
        <w:t>ului Buzău, sunt redate în tabelul de mai jos (RO 66).</w:t>
      </w:r>
    </w:p>
    <w:p w:rsidR="00420717" w:rsidRPr="00702A15" w:rsidRDefault="00420717" w:rsidP="00420717">
      <w:pPr>
        <w:pStyle w:val="Default"/>
        <w:jc w:val="both"/>
        <w:rPr>
          <w:bCs/>
          <w:color w:val="auto"/>
        </w:rPr>
      </w:pPr>
    </w:p>
    <w:tbl>
      <w:tblPr>
        <w:tblStyle w:val="TableGrid"/>
        <w:tblW w:w="0" w:type="auto"/>
        <w:jc w:val="center"/>
        <w:tblInd w:w="817" w:type="dxa"/>
        <w:tblLook w:val="04A0"/>
      </w:tblPr>
      <w:tblGrid>
        <w:gridCol w:w="1701"/>
        <w:gridCol w:w="1418"/>
        <w:gridCol w:w="1842"/>
        <w:gridCol w:w="1843"/>
        <w:gridCol w:w="2126"/>
      </w:tblGrid>
      <w:tr w:rsidR="00420717" w:rsidRPr="00702A15" w:rsidTr="00D92384">
        <w:trPr>
          <w:jc w:val="center"/>
        </w:trPr>
        <w:tc>
          <w:tcPr>
            <w:tcW w:w="1701" w:type="dxa"/>
            <w:vMerge w:val="restart"/>
            <w:vAlign w:val="center"/>
          </w:tcPr>
          <w:p w:rsidR="00420717" w:rsidRPr="00702A15" w:rsidRDefault="00420717" w:rsidP="00D92384">
            <w:pPr>
              <w:jc w:val="center"/>
              <w:rPr>
                <w:rFonts w:ascii="Arial" w:hAnsi="Arial" w:cs="Arial"/>
                <w:b/>
                <w:bCs/>
                <w:sz w:val="24"/>
                <w:szCs w:val="24"/>
              </w:rPr>
            </w:pPr>
            <w:r w:rsidRPr="00702A15">
              <w:rPr>
                <w:rFonts w:ascii="Arial" w:hAnsi="Arial" w:cs="Arial"/>
                <w:b/>
                <w:bCs/>
                <w:sz w:val="24"/>
                <w:szCs w:val="24"/>
              </w:rPr>
              <w:t>Lacul</w:t>
            </w:r>
          </w:p>
        </w:tc>
        <w:tc>
          <w:tcPr>
            <w:tcW w:w="3260" w:type="dxa"/>
            <w:gridSpan w:val="2"/>
            <w:vAlign w:val="center"/>
          </w:tcPr>
          <w:p w:rsidR="00420717" w:rsidRPr="00702A15" w:rsidRDefault="00420717" w:rsidP="00D92384">
            <w:pPr>
              <w:jc w:val="center"/>
              <w:rPr>
                <w:rFonts w:ascii="Arial" w:hAnsi="Arial" w:cs="Arial"/>
                <w:b/>
                <w:bCs/>
                <w:sz w:val="24"/>
                <w:szCs w:val="24"/>
              </w:rPr>
            </w:pPr>
            <w:r w:rsidRPr="00702A15">
              <w:rPr>
                <w:rFonts w:ascii="Arial" w:hAnsi="Arial" w:cs="Arial"/>
                <w:b/>
                <w:bCs/>
                <w:sz w:val="24"/>
                <w:szCs w:val="24"/>
              </w:rPr>
              <w:t>Substan</w:t>
            </w:r>
            <w:r>
              <w:rPr>
                <w:rFonts w:ascii="Arial" w:hAnsi="Arial" w:cs="Arial"/>
                <w:b/>
                <w:bCs/>
                <w:sz w:val="24"/>
                <w:szCs w:val="24"/>
              </w:rPr>
              <w:t>ţ</w:t>
            </w:r>
            <w:r w:rsidRPr="00702A15">
              <w:rPr>
                <w:rFonts w:ascii="Arial" w:hAnsi="Arial" w:cs="Arial"/>
                <w:b/>
                <w:bCs/>
                <w:sz w:val="24"/>
                <w:szCs w:val="24"/>
              </w:rPr>
              <w:t>e periculoase monitorizate (număr)</w:t>
            </w:r>
          </w:p>
        </w:tc>
        <w:tc>
          <w:tcPr>
            <w:tcW w:w="1843" w:type="dxa"/>
            <w:vMerge w:val="restart"/>
            <w:vAlign w:val="center"/>
          </w:tcPr>
          <w:p w:rsidR="00420717" w:rsidRPr="00702A15" w:rsidRDefault="00420717" w:rsidP="00D92384">
            <w:pPr>
              <w:jc w:val="center"/>
              <w:rPr>
                <w:rFonts w:ascii="Arial" w:hAnsi="Arial" w:cs="Arial"/>
                <w:b/>
                <w:bCs/>
                <w:sz w:val="24"/>
                <w:szCs w:val="24"/>
              </w:rPr>
            </w:pPr>
            <w:r w:rsidRPr="00702A15">
              <w:rPr>
                <w:rFonts w:ascii="Arial" w:hAnsi="Arial" w:cs="Arial"/>
                <w:b/>
                <w:bCs/>
                <w:sz w:val="24"/>
                <w:szCs w:val="24"/>
              </w:rPr>
              <w:t>Număr substan</w:t>
            </w:r>
            <w:r>
              <w:rPr>
                <w:rFonts w:ascii="Arial" w:hAnsi="Arial" w:cs="Arial"/>
                <w:b/>
                <w:bCs/>
                <w:sz w:val="24"/>
                <w:szCs w:val="24"/>
              </w:rPr>
              <w:t>ţ</w:t>
            </w:r>
            <w:r w:rsidRPr="00702A15">
              <w:rPr>
                <w:rFonts w:ascii="Arial" w:hAnsi="Arial" w:cs="Arial"/>
                <w:b/>
                <w:bCs/>
                <w:sz w:val="24"/>
                <w:szCs w:val="24"/>
              </w:rPr>
              <w:t>e prioritare m</w:t>
            </w:r>
            <w:r w:rsidRPr="00702A15">
              <w:rPr>
                <w:rFonts w:ascii="Arial" w:hAnsi="Arial" w:cs="Arial"/>
                <w:b/>
                <w:bCs/>
                <w:sz w:val="24"/>
                <w:szCs w:val="24"/>
              </w:rPr>
              <w:t>o</w:t>
            </w:r>
            <w:r w:rsidRPr="00702A15">
              <w:rPr>
                <w:rFonts w:ascii="Arial" w:hAnsi="Arial" w:cs="Arial"/>
                <w:b/>
                <w:bCs/>
                <w:sz w:val="24"/>
                <w:szCs w:val="24"/>
              </w:rPr>
              <w:t>nitorizate</w:t>
            </w:r>
          </w:p>
        </w:tc>
        <w:tc>
          <w:tcPr>
            <w:tcW w:w="2126" w:type="dxa"/>
            <w:vMerge w:val="restart"/>
            <w:vAlign w:val="center"/>
          </w:tcPr>
          <w:p w:rsidR="00420717" w:rsidRPr="00702A15" w:rsidRDefault="00420717" w:rsidP="00D92384">
            <w:pPr>
              <w:jc w:val="center"/>
              <w:rPr>
                <w:rFonts w:ascii="Arial" w:hAnsi="Arial" w:cs="Arial"/>
                <w:b/>
                <w:bCs/>
                <w:sz w:val="24"/>
                <w:szCs w:val="24"/>
              </w:rPr>
            </w:pPr>
            <w:r w:rsidRPr="00702A15">
              <w:rPr>
                <w:rFonts w:ascii="Arial" w:hAnsi="Arial" w:cs="Arial"/>
                <w:b/>
                <w:bCs/>
                <w:sz w:val="24"/>
                <w:szCs w:val="24"/>
              </w:rPr>
              <w:t>Număr puncte de monitorizare</w:t>
            </w:r>
          </w:p>
        </w:tc>
      </w:tr>
      <w:tr w:rsidR="00420717" w:rsidRPr="00702A15" w:rsidTr="00D92384">
        <w:trPr>
          <w:jc w:val="center"/>
        </w:trPr>
        <w:tc>
          <w:tcPr>
            <w:tcW w:w="1701" w:type="dxa"/>
            <w:vMerge/>
          </w:tcPr>
          <w:p w:rsidR="00420717" w:rsidRPr="00702A15" w:rsidRDefault="00420717" w:rsidP="00D92384">
            <w:pPr>
              <w:rPr>
                <w:rFonts w:ascii="Arial" w:hAnsi="Arial" w:cs="Arial"/>
                <w:b/>
                <w:bCs/>
                <w:sz w:val="24"/>
                <w:szCs w:val="24"/>
              </w:rPr>
            </w:pPr>
          </w:p>
        </w:tc>
        <w:tc>
          <w:tcPr>
            <w:tcW w:w="1418" w:type="dxa"/>
            <w:vAlign w:val="center"/>
          </w:tcPr>
          <w:p w:rsidR="00420717" w:rsidRPr="00702A15" w:rsidRDefault="00420717" w:rsidP="00D92384">
            <w:pPr>
              <w:jc w:val="center"/>
              <w:rPr>
                <w:rFonts w:ascii="Arial" w:hAnsi="Arial" w:cs="Arial"/>
                <w:b/>
                <w:bCs/>
                <w:sz w:val="24"/>
                <w:szCs w:val="24"/>
              </w:rPr>
            </w:pPr>
            <w:r w:rsidRPr="00702A15">
              <w:rPr>
                <w:rFonts w:ascii="Arial" w:hAnsi="Arial" w:cs="Arial"/>
                <w:b/>
                <w:bCs/>
                <w:sz w:val="24"/>
                <w:szCs w:val="24"/>
              </w:rPr>
              <w:t>Metale grele</w:t>
            </w:r>
          </w:p>
        </w:tc>
        <w:tc>
          <w:tcPr>
            <w:tcW w:w="1842" w:type="dxa"/>
            <w:vAlign w:val="center"/>
          </w:tcPr>
          <w:p w:rsidR="00420717" w:rsidRPr="00702A15" w:rsidRDefault="00420717" w:rsidP="00D92384">
            <w:pPr>
              <w:jc w:val="center"/>
              <w:rPr>
                <w:rFonts w:ascii="Arial" w:hAnsi="Arial" w:cs="Arial"/>
                <w:b/>
                <w:bCs/>
                <w:sz w:val="24"/>
                <w:szCs w:val="24"/>
              </w:rPr>
            </w:pPr>
            <w:r w:rsidRPr="00702A15">
              <w:rPr>
                <w:rFonts w:ascii="Arial" w:hAnsi="Arial" w:cs="Arial"/>
                <w:b/>
                <w:bCs/>
                <w:sz w:val="24"/>
                <w:szCs w:val="24"/>
              </w:rPr>
              <w:t>Substan</w:t>
            </w:r>
            <w:r>
              <w:rPr>
                <w:rFonts w:ascii="Arial" w:hAnsi="Arial" w:cs="Arial"/>
                <w:b/>
                <w:bCs/>
                <w:sz w:val="24"/>
                <w:szCs w:val="24"/>
              </w:rPr>
              <w:t>ţ</w:t>
            </w:r>
            <w:r w:rsidRPr="00702A15">
              <w:rPr>
                <w:rFonts w:ascii="Arial" w:hAnsi="Arial" w:cs="Arial"/>
                <w:b/>
                <w:bCs/>
                <w:sz w:val="24"/>
                <w:szCs w:val="24"/>
              </w:rPr>
              <w:t>e organice</w:t>
            </w:r>
          </w:p>
        </w:tc>
        <w:tc>
          <w:tcPr>
            <w:tcW w:w="1843" w:type="dxa"/>
            <w:vMerge/>
          </w:tcPr>
          <w:p w:rsidR="00420717" w:rsidRPr="00702A15" w:rsidRDefault="00420717" w:rsidP="00D92384">
            <w:pPr>
              <w:rPr>
                <w:rFonts w:ascii="Arial" w:hAnsi="Arial" w:cs="Arial"/>
                <w:b/>
                <w:bCs/>
                <w:sz w:val="24"/>
                <w:szCs w:val="24"/>
              </w:rPr>
            </w:pPr>
          </w:p>
        </w:tc>
        <w:tc>
          <w:tcPr>
            <w:tcW w:w="2126" w:type="dxa"/>
            <w:vMerge/>
          </w:tcPr>
          <w:p w:rsidR="00420717" w:rsidRPr="00702A15" w:rsidRDefault="00420717" w:rsidP="00D92384">
            <w:pPr>
              <w:rPr>
                <w:rFonts w:ascii="Arial" w:hAnsi="Arial" w:cs="Arial"/>
                <w:b/>
                <w:bCs/>
                <w:sz w:val="24"/>
                <w:szCs w:val="24"/>
              </w:rPr>
            </w:pPr>
          </w:p>
        </w:tc>
      </w:tr>
      <w:tr w:rsidR="00420717" w:rsidRPr="00702A15" w:rsidTr="00D92384">
        <w:trPr>
          <w:jc w:val="center"/>
        </w:trPr>
        <w:tc>
          <w:tcPr>
            <w:tcW w:w="1701" w:type="dxa"/>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r w:rsidRPr="00702A15">
              <w:rPr>
                <w:rFonts w:ascii="Arial" w:hAnsi="Arial" w:cs="Arial"/>
                <w:sz w:val="24"/>
                <w:szCs w:val="24"/>
              </w:rPr>
              <w:t>Siriu</w:t>
            </w:r>
          </w:p>
        </w:tc>
        <w:tc>
          <w:tcPr>
            <w:tcW w:w="1418"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3</w:t>
            </w:r>
          </w:p>
        </w:tc>
        <w:tc>
          <w:tcPr>
            <w:tcW w:w="1842"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3"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3</w:t>
            </w:r>
          </w:p>
        </w:tc>
        <w:tc>
          <w:tcPr>
            <w:tcW w:w="2126"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1</w:t>
            </w:r>
          </w:p>
        </w:tc>
      </w:tr>
      <w:tr w:rsidR="00420717" w:rsidRPr="00702A15" w:rsidTr="00D92384">
        <w:trPr>
          <w:jc w:val="center"/>
        </w:trPr>
        <w:tc>
          <w:tcPr>
            <w:tcW w:w="1701" w:type="dxa"/>
            <w:vAlign w:val="center"/>
          </w:tcPr>
          <w:p w:rsidR="00420717" w:rsidRPr="00702A15" w:rsidRDefault="00420717" w:rsidP="00D923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szCs w:val="24"/>
              </w:rPr>
            </w:pPr>
            <w:r w:rsidRPr="00702A15">
              <w:rPr>
                <w:rFonts w:ascii="Arial" w:hAnsi="Arial" w:cs="Arial"/>
                <w:sz w:val="24"/>
                <w:szCs w:val="24"/>
              </w:rPr>
              <w:t>Cândeşti</w:t>
            </w:r>
          </w:p>
        </w:tc>
        <w:tc>
          <w:tcPr>
            <w:tcW w:w="1418"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2"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3"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2126"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r>
      <w:tr w:rsidR="00420717" w:rsidRPr="00702A15" w:rsidTr="00D92384">
        <w:trPr>
          <w:jc w:val="center"/>
        </w:trPr>
        <w:tc>
          <w:tcPr>
            <w:tcW w:w="1701" w:type="dxa"/>
            <w:vAlign w:val="bottom"/>
          </w:tcPr>
          <w:p w:rsidR="00420717" w:rsidRPr="00702A15" w:rsidRDefault="00420717" w:rsidP="00D92384">
            <w:pPr>
              <w:jc w:val="both"/>
              <w:rPr>
                <w:rFonts w:ascii="Arial" w:hAnsi="Arial" w:cs="Arial"/>
                <w:bCs/>
                <w:sz w:val="24"/>
                <w:szCs w:val="24"/>
              </w:rPr>
            </w:pPr>
            <w:r w:rsidRPr="00702A15">
              <w:rPr>
                <w:rFonts w:ascii="Arial" w:hAnsi="Arial" w:cs="Arial"/>
                <w:bCs/>
                <w:sz w:val="24"/>
                <w:szCs w:val="24"/>
              </w:rPr>
              <w:t>Balta Amara</w:t>
            </w:r>
          </w:p>
        </w:tc>
        <w:tc>
          <w:tcPr>
            <w:tcW w:w="1418"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2"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3"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2126"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r>
      <w:tr w:rsidR="00420717" w:rsidRPr="00702A15" w:rsidTr="00D92384">
        <w:trPr>
          <w:jc w:val="center"/>
        </w:trPr>
        <w:tc>
          <w:tcPr>
            <w:tcW w:w="1701" w:type="dxa"/>
            <w:vAlign w:val="bottom"/>
          </w:tcPr>
          <w:p w:rsidR="00420717" w:rsidRPr="00702A15" w:rsidRDefault="00420717" w:rsidP="00D92384">
            <w:pPr>
              <w:jc w:val="both"/>
              <w:rPr>
                <w:rFonts w:ascii="Arial" w:hAnsi="Arial" w:cs="Arial"/>
                <w:bCs/>
                <w:sz w:val="24"/>
                <w:szCs w:val="24"/>
              </w:rPr>
            </w:pPr>
            <w:r w:rsidRPr="00702A15">
              <w:rPr>
                <w:rFonts w:ascii="Arial" w:hAnsi="Arial" w:cs="Arial"/>
                <w:bCs/>
                <w:sz w:val="24"/>
                <w:szCs w:val="24"/>
              </w:rPr>
              <w:t>Balta Albă</w:t>
            </w:r>
          </w:p>
        </w:tc>
        <w:tc>
          <w:tcPr>
            <w:tcW w:w="1418"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2"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3"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2126"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r>
      <w:tr w:rsidR="00420717" w:rsidRPr="00702A15" w:rsidTr="00D92384">
        <w:trPr>
          <w:jc w:val="center"/>
        </w:trPr>
        <w:tc>
          <w:tcPr>
            <w:tcW w:w="1701" w:type="dxa"/>
            <w:vAlign w:val="bottom"/>
          </w:tcPr>
          <w:p w:rsidR="00420717" w:rsidRPr="00702A15" w:rsidRDefault="00420717" w:rsidP="00D92384">
            <w:pPr>
              <w:jc w:val="both"/>
              <w:rPr>
                <w:rFonts w:ascii="Arial" w:hAnsi="Arial" w:cs="Arial"/>
                <w:bCs/>
                <w:sz w:val="24"/>
                <w:szCs w:val="24"/>
              </w:rPr>
            </w:pPr>
            <w:r w:rsidRPr="00702A15">
              <w:rPr>
                <w:rFonts w:ascii="Arial" w:hAnsi="Arial" w:cs="Arial"/>
                <w:bCs/>
                <w:sz w:val="24"/>
                <w:szCs w:val="24"/>
              </w:rPr>
              <w:t>Ciulniţa</w:t>
            </w:r>
          </w:p>
        </w:tc>
        <w:tc>
          <w:tcPr>
            <w:tcW w:w="1418"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2"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1843" w:type="dxa"/>
            <w:vAlign w:val="center"/>
          </w:tcPr>
          <w:p w:rsidR="00420717" w:rsidRPr="00702A15" w:rsidRDefault="00420717" w:rsidP="00D92384">
            <w:pPr>
              <w:jc w:val="center"/>
              <w:rPr>
                <w:rFonts w:ascii="Arial" w:hAnsi="Arial" w:cs="Arial"/>
                <w:bCs/>
                <w:sz w:val="24"/>
                <w:szCs w:val="24"/>
              </w:rPr>
            </w:pPr>
            <w:r w:rsidRPr="00702A15">
              <w:rPr>
                <w:rFonts w:ascii="Arial" w:hAnsi="Arial" w:cs="Arial"/>
                <w:bCs/>
                <w:sz w:val="24"/>
                <w:szCs w:val="24"/>
              </w:rPr>
              <w:t>-</w:t>
            </w:r>
          </w:p>
        </w:tc>
        <w:tc>
          <w:tcPr>
            <w:tcW w:w="2126" w:type="dxa"/>
            <w:vAlign w:val="center"/>
          </w:tcPr>
          <w:p w:rsidR="00420717" w:rsidRPr="00702A15" w:rsidRDefault="00420717" w:rsidP="00D92384">
            <w:pPr>
              <w:jc w:val="center"/>
              <w:rPr>
                <w:rFonts w:ascii="Arial" w:hAnsi="Arial" w:cs="Arial"/>
                <w:bCs/>
                <w:sz w:val="24"/>
                <w:szCs w:val="24"/>
              </w:rPr>
            </w:pPr>
          </w:p>
        </w:tc>
      </w:tr>
    </w:tbl>
    <w:p w:rsidR="00420717" w:rsidRPr="00AA0E3F" w:rsidRDefault="00420717" w:rsidP="00420717">
      <w:pPr>
        <w:pStyle w:val="Default"/>
        <w:jc w:val="both"/>
        <w:rPr>
          <w:b/>
          <w:bCs/>
          <w:color w:val="auto"/>
        </w:rPr>
      </w:pPr>
      <w:r w:rsidRPr="00AA0E3F">
        <w:rPr>
          <w:b/>
          <w:color w:val="auto"/>
        </w:rPr>
        <w:t>Tabel II.2.1.2.4.</w:t>
      </w:r>
      <w:r w:rsidRPr="00AA0E3F">
        <w:rPr>
          <w:b/>
          <w:bCs/>
          <w:color w:val="auto"/>
          <w:lang w:val="it-IT"/>
        </w:rPr>
        <w:t xml:space="preserve"> </w:t>
      </w:r>
      <w:r w:rsidRPr="00AA0E3F">
        <w:rPr>
          <w:b/>
          <w:bCs/>
          <w:color w:val="auto"/>
        </w:rPr>
        <w:t>Informaţii generale privind monitorizarea substanţelor periculoase din lacuri</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a</w:t>
      </w:r>
    </w:p>
    <w:p w:rsidR="00420717" w:rsidRPr="00702A15" w:rsidRDefault="00420717" w:rsidP="00420717">
      <w:pPr>
        <w:pStyle w:val="Default"/>
        <w:jc w:val="both"/>
        <w:rPr>
          <w:bCs/>
          <w:color w:val="auto"/>
        </w:rPr>
      </w:pPr>
    </w:p>
    <w:p w:rsidR="00420717" w:rsidRPr="00702A15" w:rsidRDefault="00420717" w:rsidP="00420717">
      <w:pPr>
        <w:pStyle w:val="Default"/>
        <w:jc w:val="both"/>
        <w:rPr>
          <w:bCs/>
          <w:color w:val="auto"/>
        </w:rPr>
      </w:pPr>
      <w:r w:rsidRPr="00702A15">
        <w:rPr>
          <w:bCs/>
          <w:color w:val="auto"/>
        </w:rPr>
        <w:t>Pentru situa</w:t>
      </w:r>
      <w:r>
        <w:rPr>
          <w:bCs/>
          <w:color w:val="auto"/>
        </w:rPr>
        <w:t>ţ</w:t>
      </w:r>
      <w:r w:rsidRPr="00702A15">
        <w:rPr>
          <w:bCs/>
          <w:color w:val="auto"/>
        </w:rPr>
        <w:t>ia centralizată a substan</w:t>
      </w:r>
      <w:r>
        <w:rPr>
          <w:bCs/>
          <w:color w:val="auto"/>
        </w:rPr>
        <w:t>ţ</w:t>
      </w:r>
      <w:r w:rsidRPr="00702A15">
        <w:rPr>
          <w:bCs/>
          <w:color w:val="auto"/>
        </w:rPr>
        <w:t xml:space="preserve">elor periculoase </w:t>
      </w:r>
      <w:r>
        <w:rPr>
          <w:bCs/>
          <w:color w:val="auto"/>
        </w:rPr>
        <w:t>ş</w:t>
      </w:r>
      <w:r w:rsidRPr="00702A15">
        <w:rPr>
          <w:bCs/>
          <w:color w:val="auto"/>
        </w:rPr>
        <w:t xml:space="preserve">i a punctelor de monitorizare a acestora, în lacurile naturale </w:t>
      </w:r>
      <w:r>
        <w:rPr>
          <w:bCs/>
          <w:color w:val="auto"/>
        </w:rPr>
        <w:t>ş</w:t>
      </w:r>
      <w:r w:rsidRPr="00702A15">
        <w:rPr>
          <w:bCs/>
          <w:color w:val="auto"/>
        </w:rPr>
        <w:t>i artificiale din jude</w:t>
      </w:r>
      <w:r>
        <w:rPr>
          <w:bCs/>
          <w:color w:val="auto"/>
        </w:rPr>
        <w:t>ţ</w:t>
      </w:r>
      <w:r w:rsidRPr="00702A15">
        <w:rPr>
          <w:bCs/>
          <w:color w:val="auto"/>
        </w:rPr>
        <w:t>ul Buzău, în anul 2014, (conform RO 66) ABA Buzău -Ialomi</w:t>
      </w:r>
      <w:r>
        <w:rPr>
          <w:bCs/>
          <w:color w:val="auto"/>
        </w:rPr>
        <w:t>ţ</w:t>
      </w:r>
      <w:r w:rsidRPr="00702A15">
        <w:rPr>
          <w:bCs/>
          <w:color w:val="auto"/>
        </w:rPr>
        <w:t>a nu a furnizat date.</w:t>
      </w:r>
    </w:p>
    <w:p w:rsidR="00420717" w:rsidRPr="00702A15" w:rsidRDefault="00420717" w:rsidP="00420717">
      <w:pPr>
        <w:pStyle w:val="Default"/>
        <w:jc w:val="both"/>
        <w:rPr>
          <w:color w:val="auto"/>
        </w:rPr>
      </w:pPr>
    </w:p>
    <w:p w:rsidR="00420717" w:rsidRPr="00702A15" w:rsidRDefault="00420717" w:rsidP="00420717">
      <w:pPr>
        <w:spacing w:after="0" w:line="240" w:lineRule="auto"/>
        <w:jc w:val="both"/>
        <w:rPr>
          <w:rFonts w:ascii="Arial" w:hAnsi="Arial" w:cs="Arial"/>
          <w:b/>
          <w:bCs/>
          <w:sz w:val="24"/>
          <w:szCs w:val="24"/>
        </w:rPr>
      </w:pPr>
      <w:r w:rsidRPr="00702A15">
        <w:rPr>
          <w:rFonts w:ascii="Arial" w:hAnsi="Arial" w:cs="Arial"/>
          <w:b/>
          <w:bCs/>
          <w:sz w:val="24"/>
          <w:szCs w:val="24"/>
        </w:rPr>
        <w:t>D. Caracterizarea generală a calită</w:t>
      </w:r>
      <w:r>
        <w:rPr>
          <w:rFonts w:ascii="Arial" w:hAnsi="Arial" w:cs="Arial"/>
          <w:b/>
          <w:bCs/>
          <w:sz w:val="24"/>
          <w:szCs w:val="24"/>
        </w:rPr>
        <w:t>ţ</w:t>
      </w:r>
      <w:r w:rsidRPr="00702A15">
        <w:rPr>
          <w:rFonts w:ascii="Arial" w:hAnsi="Arial" w:cs="Arial"/>
          <w:b/>
          <w:bCs/>
          <w:sz w:val="24"/>
          <w:szCs w:val="24"/>
        </w:rPr>
        <w:t>ii lacurilor din jude</w:t>
      </w:r>
      <w:r>
        <w:rPr>
          <w:rFonts w:ascii="Arial" w:hAnsi="Arial" w:cs="Arial"/>
          <w:b/>
          <w:bCs/>
          <w:sz w:val="24"/>
          <w:szCs w:val="24"/>
        </w:rPr>
        <w:t>ţ</w:t>
      </w:r>
      <w:r w:rsidRPr="00702A15">
        <w:rPr>
          <w:rFonts w:ascii="Arial" w:hAnsi="Arial" w:cs="Arial"/>
          <w:b/>
          <w:bCs/>
          <w:sz w:val="24"/>
          <w:szCs w:val="24"/>
        </w:rPr>
        <w:t>ul Buzău</w:t>
      </w:r>
    </w:p>
    <w:p w:rsidR="00420717" w:rsidRPr="00702A15" w:rsidRDefault="00420717" w:rsidP="00420717">
      <w:pPr>
        <w:spacing w:after="0" w:line="240" w:lineRule="auto"/>
        <w:jc w:val="both"/>
        <w:rPr>
          <w:rFonts w:ascii="Arial" w:hAnsi="Arial" w:cs="Arial"/>
          <w:b/>
          <w:bCs/>
          <w:sz w:val="24"/>
          <w:szCs w:val="24"/>
        </w:rPr>
      </w:pPr>
    </w:p>
    <w:p w:rsidR="00420717" w:rsidRPr="00702A15" w:rsidRDefault="00420717" w:rsidP="00420717">
      <w:pPr>
        <w:spacing w:after="0" w:line="240" w:lineRule="auto"/>
        <w:jc w:val="both"/>
        <w:rPr>
          <w:rFonts w:ascii="Arial" w:hAnsi="Arial" w:cs="Arial"/>
          <w:b/>
          <w:bCs/>
          <w:sz w:val="24"/>
          <w:szCs w:val="24"/>
        </w:rPr>
      </w:pPr>
      <w:r w:rsidRPr="00702A15">
        <w:rPr>
          <w:rFonts w:ascii="Arial" w:hAnsi="Arial" w:cs="Arial"/>
          <w:b/>
          <w:bCs/>
          <w:sz w:val="24"/>
          <w:szCs w:val="24"/>
        </w:rPr>
        <w:t>Pentru acest capitol nu au fost furnizate date de către ABA Buzău Ialomi</w:t>
      </w:r>
      <w:r>
        <w:rPr>
          <w:rFonts w:ascii="Arial" w:hAnsi="Arial" w:cs="Arial"/>
          <w:b/>
          <w:bCs/>
          <w:sz w:val="24"/>
          <w:szCs w:val="24"/>
        </w:rPr>
        <w:t>ţ</w:t>
      </w:r>
      <w:r w:rsidRPr="00702A15">
        <w:rPr>
          <w:rFonts w:ascii="Arial" w:hAnsi="Arial" w:cs="Arial"/>
          <w:b/>
          <w:bCs/>
          <w:sz w:val="24"/>
          <w:szCs w:val="24"/>
        </w:rPr>
        <w:t>a</w:t>
      </w:r>
    </w:p>
    <w:p w:rsidR="00420717" w:rsidRPr="00702A15" w:rsidRDefault="00420717" w:rsidP="00420717">
      <w:pPr>
        <w:spacing w:after="0" w:line="240" w:lineRule="auto"/>
        <w:jc w:val="both"/>
        <w:rPr>
          <w:rFonts w:ascii="Arial" w:hAnsi="Arial" w:cs="Arial"/>
          <w:b/>
          <w:bCs/>
          <w:sz w:val="24"/>
          <w:szCs w:val="24"/>
        </w:rPr>
      </w:pPr>
    </w:p>
    <w:p w:rsidR="005864AC" w:rsidRDefault="005864AC" w:rsidP="00420717">
      <w:pPr>
        <w:tabs>
          <w:tab w:val="left" w:pos="1204"/>
          <w:tab w:val="left" w:leader="dot" w:pos="9356"/>
        </w:tabs>
        <w:spacing w:after="0" w:line="240" w:lineRule="auto"/>
        <w:rPr>
          <w:rFonts w:ascii="Arial" w:hAnsi="Arial" w:cs="Arial"/>
          <w:b/>
          <w:sz w:val="24"/>
          <w:szCs w:val="24"/>
        </w:rPr>
      </w:pP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lastRenderedPageBreak/>
        <w:t>II.2.1.3. Calitatea apelor subterane</w:t>
      </w:r>
      <w:r>
        <w:rPr>
          <w:rFonts w:ascii="Arial" w:hAnsi="Arial" w:cs="Arial"/>
          <w:b/>
          <w:sz w:val="24"/>
          <w:szCs w:val="24"/>
        </w:rPr>
        <w:t xml:space="preserve">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pStyle w:val="BodyText"/>
        <w:spacing w:after="0" w:line="240" w:lineRule="auto"/>
        <w:jc w:val="both"/>
        <w:rPr>
          <w:rFonts w:ascii="Arial" w:hAnsi="Arial" w:cs="Arial"/>
          <w:sz w:val="24"/>
          <w:szCs w:val="24"/>
          <w:lang w:val="pt-BR"/>
        </w:rPr>
      </w:pPr>
      <w:r w:rsidRPr="00702A15">
        <w:rPr>
          <w:rFonts w:ascii="Arial" w:hAnsi="Arial" w:cs="Arial"/>
          <w:sz w:val="24"/>
          <w:szCs w:val="24"/>
          <w:lang w:val="pt-BR"/>
        </w:rPr>
        <w:t>În spaţiul hidrografic administrat de ABA Buzău-Ialomiţa au fost identificate şi delimitate 18 corpuri de apă subterană. Delimitarea corpurilor de apă subterană nu coincide cu împarţirea pe judeţe şi de aceea evaluarea corpurilor nu poate fi facută numai pe baza rezultatelor obţinute în urma monitorizării forajelor amplasate pe teritoriul judeţului Buzău. Din cele 18 corpuri de apă, numai  în 6 sunt monitorizate şi foraje din judeţul Buzău.</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 xml:space="preserve">Aprecierea stării calitative a forajelor monitorizate s-a facut comparând valorile medii determinate cu valorile de prag stabilite în Ordinul 137/2009 privind aprobarea valorilor de prag pentru corpurile de apă din România şi cu valorile CMA reglementate de legea 311/2006 -Legea apei potabile pentru elementele analizate pentru care nu există calculate valori de prag. S-a considerat că un corp de apă subterană este în </w:t>
      </w:r>
      <w:r w:rsidRPr="00702A15">
        <w:rPr>
          <w:rFonts w:ascii="Arial" w:hAnsi="Arial" w:cs="Arial"/>
          <w:b/>
          <w:sz w:val="24"/>
          <w:szCs w:val="24"/>
          <w:lang w:val="it-IT"/>
        </w:rPr>
        <w:t>stare chimică bună</w:t>
      </w:r>
      <w:r w:rsidRPr="00702A15">
        <w:rPr>
          <w:rFonts w:ascii="Arial" w:hAnsi="Arial" w:cs="Arial"/>
          <w:sz w:val="24"/>
          <w:szCs w:val="24"/>
          <w:lang w:val="it-IT"/>
        </w:rPr>
        <w:t xml:space="preserve"> dacă numărul punctelor de monitorizare (forajelor) poluate nu depăşeşte 20% din totalul punctelor de monitorizare (forajelor) de pe un corp de apă subterană şi </w:t>
      </w:r>
      <w:r w:rsidRPr="00702A15">
        <w:rPr>
          <w:rFonts w:ascii="Arial" w:hAnsi="Arial" w:cs="Arial"/>
          <w:b/>
          <w:sz w:val="24"/>
          <w:szCs w:val="24"/>
          <w:lang w:val="it-IT"/>
        </w:rPr>
        <w:t>în stare chimică slabă</w:t>
      </w:r>
      <w:r w:rsidRPr="00702A15">
        <w:rPr>
          <w:rFonts w:ascii="Arial" w:hAnsi="Arial" w:cs="Arial"/>
          <w:sz w:val="24"/>
          <w:szCs w:val="24"/>
          <w:lang w:val="it-IT"/>
        </w:rPr>
        <w:t xml:space="preserve"> dacă numărul punctelor de monitorizare (forajelor) poluate depăşeşte 20% din totalul punctelor de monitorizare (forajelor) de pe un corp de apă subterană. Dacă punctele de monitorizare (forajele) poluate se grupează într-o anumită zonă pe suprafaţa corpului se consideră că acesta se afla </w:t>
      </w:r>
      <w:r w:rsidRPr="00702A15">
        <w:rPr>
          <w:rFonts w:ascii="Arial" w:hAnsi="Arial" w:cs="Arial"/>
          <w:b/>
          <w:sz w:val="24"/>
          <w:szCs w:val="24"/>
          <w:lang w:val="it-IT"/>
        </w:rPr>
        <w:t>local în stare slabă</w:t>
      </w:r>
      <w:r w:rsidRPr="00702A15">
        <w:rPr>
          <w:rFonts w:ascii="Arial" w:hAnsi="Arial" w:cs="Arial"/>
          <w:sz w:val="24"/>
          <w:szCs w:val="24"/>
          <w:lang w:val="it-IT"/>
        </w:rPr>
        <w:t>.</w:t>
      </w:r>
    </w:p>
    <w:p w:rsidR="00420717" w:rsidRPr="00702A15" w:rsidRDefault="00420717" w:rsidP="00420717">
      <w:pPr>
        <w:pStyle w:val="Footer"/>
        <w:jc w:val="both"/>
        <w:rPr>
          <w:rFonts w:ascii="Arial" w:hAnsi="Arial" w:cs="Arial"/>
          <w:sz w:val="24"/>
          <w:szCs w:val="24"/>
          <w:lang w:val="it-IT"/>
        </w:rPr>
      </w:pPr>
      <w:r w:rsidRPr="00702A15">
        <w:rPr>
          <w:rFonts w:ascii="Arial" w:hAnsi="Arial" w:cs="Arial"/>
          <w:sz w:val="24"/>
          <w:szCs w:val="24"/>
          <w:lang w:val="it-IT"/>
        </w:rPr>
        <w:t>Rezultatele obţinute în anul 2014 pentru fiecare corp de apă subterană sunt prezentate în continuare:</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b/>
          <w:bCs/>
          <w:sz w:val="24"/>
          <w:szCs w:val="24"/>
          <w:lang w:val="it-IT"/>
        </w:rPr>
        <w:t>Corpul ROIL 05  - Conul aluvial Buzău</w:t>
      </w:r>
    </w:p>
    <w:p w:rsidR="00420717" w:rsidRPr="00702A15" w:rsidRDefault="00420717" w:rsidP="00420717">
      <w:pPr>
        <w:spacing w:after="0" w:line="240" w:lineRule="auto"/>
        <w:jc w:val="both"/>
        <w:rPr>
          <w:rFonts w:ascii="Arial" w:hAnsi="Arial" w:cs="Arial"/>
          <w:iCs/>
          <w:sz w:val="24"/>
          <w:szCs w:val="24"/>
          <w:lang w:val="it-IT"/>
        </w:rPr>
      </w:pPr>
      <w:r w:rsidRPr="00702A15">
        <w:rPr>
          <w:rFonts w:ascii="Arial" w:hAnsi="Arial" w:cs="Arial"/>
          <w:iCs/>
          <w:sz w:val="24"/>
          <w:szCs w:val="24"/>
          <w:lang w:val="it-IT"/>
        </w:rPr>
        <w:t>În anul 2014 în acest corp de apă au fost programate pentru monitorizare cantitativă (nivel) 3 foraje.</w:t>
      </w:r>
    </w:p>
    <w:p w:rsidR="00420717" w:rsidRPr="00702A15" w:rsidRDefault="00420717" w:rsidP="00420717">
      <w:pPr>
        <w:spacing w:after="0" w:line="240" w:lineRule="auto"/>
        <w:jc w:val="both"/>
        <w:rPr>
          <w:rFonts w:ascii="Arial" w:hAnsi="Arial" w:cs="Arial"/>
          <w:iCs/>
          <w:sz w:val="24"/>
          <w:szCs w:val="24"/>
          <w:lang w:val="it-IT"/>
        </w:rPr>
      </w:pPr>
      <w:r w:rsidRPr="00702A15">
        <w:rPr>
          <w:rFonts w:ascii="Arial" w:hAnsi="Arial" w:cs="Arial"/>
          <w:iCs/>
          <w:sz w:val="24"/>
          <w:szCs w:val="24"/>
          <w:lang w:val="it-IT"/>
        </w:rPr>
        <w:t>Pentru evaluarea stării chimice a corpului de apă s-a monitorizat starea calitativă a 6 foraje.</w:t>
      </w:r>
    </w:p>
    <w:tbl>
      <w:tblPr>
        <w:tblW w:w="4950" w:type="dxa"/>
        <w:jc w:val="center"/>
        <w:tblInd w:w="2067" w:type="dxa"/>
        <w:tblLook w:val="00A0"/>
      </w:tblPr>
      <w:tblGrid>
        <w:gridCol w:w="3240"/>
        <w:gridCol w:w="1710"/>
      </w:tblGrid>
      <w:tr w:rsidR="00420717" w:rsidRPr="00702A15" w:rsidTr="00D92384">
        <w:trPr>
          <w:trHeight w:val="301"/>
          <w:jc w:val="center"/>
        </w:trPr>
        <w:tc>
          <w:tcPr>
            <w:tcW w:w="3240"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VERNE</w:t>
            </w:r>
            <w:r>
              <w:rPr>
                <w:rFonts w:ascii="Arial" w:hAnsi="Arial" w:cs="Arial"/>
                <w:bCs/>
                <w:sz w:val="24"/>
                <w:szCs w:val="24"/>
              </w:rPr>
              <w:t>Ş</w:t>
            </w:r>
            <w:r w:rsidRPr="00702A15">
              <w:rPr>
                <w:rFonts w:ascii="Arial" w:hAnsi="Arial" w:cs="Arial"/>
                <w:bCs/>
                <w:sz w:val="24"/>
                <w:szCs w:val="24"/>
              </w:rPr>
              <w:t>TI</w:t>
            </w:r>
          </w:p>
        </w:tc>
        <w:tc>
          <w:tcPr>
            <w:tcW w:w="171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F5</w:t>
            </w:r>
          </w:p>
        </w:tc>
      </w:tr>
      <w:tr w:rsidR="00420717" w:rsidRPr="00702A15" w:rsidTr="00D92384">
        <w:trPr>
          <w:trHeight w:val="300"/>
          <w:jc w:val="center"/>
        </w:trPr>
        <w:tc>
          <w:tcPr>
            <w:tcW w:w="324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SĂGEATA</w:t>
            </w:r>
          </w:p>
        </w:tc>
        <w:tc>
          <w:tcPr>
            <w:tcW w:w="171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F3R</w:t>
            </w:r>
          </w:p>
        </w:tc>
      </w:tr>
      <w:tr w:rsidR="00420717" w:rsidRPr="00702A15" w:rsidTr="00D92384">
        <w:trPr>
          <w:trHeight w:val="300"/>
          <w:jc w:val="center"/>
        </w:trPr>
        <w:tc>
          <w:tcPr>
            <w:tcW w:w="324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VERGULEASA-POLUARE</w:t>
            </w:r>
          </w:p>
        </w:tc>
        <w:tc>
          <w:tcPr>
            <w:tcW w:w="171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P2A</w:t>
            </w:r>
          </w:p>
        </w:tc>
      </w:tr>
      <w:tr w:rsidR="00420717" w:rsidRPr="00702A15" w:rsidTr="00D92384">
        <w:trPr>
          <w:trHeight w:val="300"/>
          <w:jc w:val="center"/>
        </w:trPr>
        <w:tc>
          <w:tcPr>
            <w:tcW w:w="324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BUZĂU SV</w:t>
            </w:r>
          </w:p>
        </w:tc>
        <w:tc>
          <w:tcPr>
            <w:tcW w:w="171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F6</w:t>
            </w:r>
          </w:p>
        </w:tc>
      </w:tr>
      <w:tr w:rsidR="00420717" w:rsidRPr="00702A15" w:rsidTr="00D92384">
        <w:trPr>
          <w:trHeight w:val="300"/>
          <w:jc w:val="center"/>
        </w:trPr>
        <w:tc>
          <w:tcPr>
            <w:tcW w:w="324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SĂGEATA</w:t>
            </w:r>
          </w:p>
        </w:tc>
        <w:tc>
          <w:tcPr>
            <w:tcW w:w="171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F8</w:t>
            </w:r>
          </w:p>
        </w:tc>
      </w:tr>
      <w:tr w:rsidR="00420717" w:rsidRPr="00702A15" w:rsidTr="00D92384">
        <w:trPr>
          <w:trHeight w:val="300"/>
          <w:jc w:val="center"/>
        </w:trPr>
        <w:tc>
          <w:tcPr>
            <w:tcW w:w="324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MAXENU SUD ORD.II</w:t>
            </w:r>
          </w:p>
        </w:tc>
        <w:tc>
          <w:tcPr>
            <w:tcW w:w="171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bl>
    <w:p w:rsidR="005864AC" w:rsidRDefault="005864AC" w:rsidP="00420717">
      <w:pPr>
        <w:spacing w:after="0" w:line="240" w:lineRule="auto"/>
        <w:jc w:val="both"/>
        <w:rPr>
          <w:rFonts w:ascii="Arial" w:hAnsi="Arial" w:cs="Arial"/>
          <w:sz w:val="24"/>
          <w:szCs w:val="24"/>
          <w:lang w:val="it-IT"/>
        </w:rPr>
      </w:pP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Indicatorii care au determinat starea corpului de apă sunt: Nitra</w:t>
      </w:r>
      <w:r>
        <w:rPr>
          <w:rFonts w:ascii="Arial" w:hAnsi="Arial" w:cs="Arial"/>
          <w:sz w:val="24"/>
          <w:szCs w:val="24"/>
          <w:lang w:val="it-IT"/>
        </w:rPr>
        <w:t>ţ</w:t>
      </w:r>
      <w:r w:rsidRPr="00702A15">
        <w:rPr>
          <w:rFonts w:ascii="Arial" w:hAnsi="Arial" w:cs="Arial"/>
          <w:sz w:val="24"/>
          <w:szCs w:val="24"/>
          <w:lang w:val="it-IT"/>
        </w:rPr>
        <w:t>i</w:t>
      </w:r>
      <w:r w:rsidRPr="00702A15">
        <w:rPr>
          <w:rFonts w:ascii="Arial" w:hAnsi="Arial" w:cs="Arial"/>
          <w:b/>
          <w:sz w:val="24"/>
          <w:szCs w:val="24"/>
          <w:lang w:val="it-IT"/>
        </w:rPr>
        <w:t xml:space="preserve"> (</w:t>
      </w:r>
      <w:r w:rsidRPr="00702A15">
        <w:rPr>
          <w:rFonts w:ascii="Arial" w:hAnsi="Arial" w:cs="Arial"/>
          <w:sz w:val="24"/>
          <w:szCs w:val="24"/>
          <w:lang w:val="it-IT"/>
        </w:rPr>
        <w:t>NO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Amoniu (NH</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w:t>
      </w:r>
      <w:r w:rsidRPr="00702A15">
        <w:rPr>
          <w:rFonts w:ascii="Arial" w:hAnsi="Arial" w:cs="Arial"/>
          <w:sz w:val="24"/>
          <w:szCs w:val="24"/>
          <w:lang w:val="it-IT"/>
        </w:rPr>
        <w:t>), Cloruri (Cl</w:t>
      </w:r>
      <w:r w:rsidRPr="00702A15">
        <w:rPr>
          <w:rFonts w:ascii="Arial" w:hAnsi="Arial" w:cs="Arial"/>
          <w:sz w:val="24"/>
          <w:szCs w:val="24"/>
          <w:vertAlign w:val="superscript"/>
          <w:lang w:val="it-IT"/>
        </w:rPr>
        <w:t>-</w:t>
      </w:r>
      <w:r w:rsidRPr="00702A15">
        <w:rPr>
          <w:rFonts w:ascii="Arial" w:hAnsi="Arial" w:cs="Arial"/>
          <w:sz w:val="24"/>
          <w:szCs w:val="24"/>
          <w:lang w:val="it-IT"/>
        </w:rPr>
        <w:t>), Sulfa</w:t>
      </w:r>
      <w:r>
        <w:rPr>
          <w:rFonts w:ascii="Arial" w:hAnsi="Arial" w:cs="Arial"/>
          <w:sz w:val="24"/>
          <w:szCs w:val="24"/>
          <w:lang w:val="it-IT"/>
        </w:rPr>
        <w:t>ţ</w:t>
      </w:r>
      <w:r w:rsidRPr="00702A15">
        <w:rPr>
          <w:rFonts w:ascii="Arial" w:hAnsi="Arial" w:cs="Arial"/>
          <w:sz w:val="24"/>
          <w:szCs w:val="24"/>
          <w:lang w:val="it-IT"/>
        </w:rPr>
        <w:t>i (SO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2+</w:t>
      </w:r>
      <w:r w:rsidRPr="00702A15">
        <w:rPr>
          <w:rFonts w:ascii="Arial" w:hAnsi="Arial" w:cs="Arial"/>
          <w:sz w:val="24"/>
          <w:szCs w:val="24"/>
          <w:lang w:val="it-IT"/>
        </w:rPr>
        <w:t>), Nitri</w:t>
      </w:r>
      <w:r>
        <w:rPr>
          <w:rFonts w:ascii="Arial" w:hAnsi="Arial" w:cs="Arial"/>
          <w:sz w:val="24"/>
          <w:szCs w:val="24"/>
          <w:lang w:val="it-IT"/>
        </w:rPr>
        <w:t>ţ</w:t>
      </w:r>
      <w:r w:rsidRPr="00702A15">
        <w:rPr>
          <w:rFonts w:ascii="Arial" w:hAnsi="Arial" w:cs="Arial"/>
          <w:sz w:val="24"/>
          <w:szCs w:val="24"/>
          <w:lang w:val="it-IT"/>
        </w:rPr>
        <w:t>i (NO</w:t>
      </w:r>
      <w:r w:rsidRPr="00702A15">
        <w:rPr>
          <w:rFonts w:ascii="Arial" w:hAnsi="Arial" w:cs="Arial"/>
          <w:sz w:val="24"/>
          <w:szCs w:val="24"/>
          <w:vertAlign w:val="subscript"/>
          <w:lang w:val="it-IT"/>
        </w:rPr>
        <w:t>2</w:t>
      </w:r>
      <w:r w:rsidRPr="00702A15">
        <w:rPr>
          <w:rFonts w:ascii="Arial" w:hAnsi="Arial" w:cs="Arial"/>
          <w:sz w:val="24"/>
          <w:szCs w:val="24"/>
          <w:vertAlign w:val="superscript"/>
          <w:lang w:val="it-IT"/>
        </w:rPr>
        <w:t>-</w:t>
      </w:r>
      <w:r w:rsidRPr="00702A15">
        <w:rPr>
          <w:rFonts w:ascii="Arial" w:hAnsi="Arial" w:cs="Arial"/>
          <w:sz w:val="24"/>
          <w:szCs w:val="24"/>
          <w:lang w:val="it-IT"/>
        </w:rPr>
        <w:t xml:space="preserve">) </w:t>
      </w:r>
      <w:r>
        <w:rPr>
          <w:rFonts w:ascii="Arial" w:hAnsi="Arial" w:cs="Arial"/>
          <w:sz w:val="24"/>
          <w:szCs w:val="24"/>
          <w:lang w:val="it-IT"/>
        </w:rPr>
        <w:t>ş</w:t>
      </w:r>
      <w:r w:rsidRPr="00702A15">
        <w:rPr>
          <w:rFonts w:ascii="Arial" w:hAnsi="Arial" w:cs="Arial"/>
          <w:sz w:val="24"/>
          <w:szCs w:val="24"/>
          <w:lang w:val="it-IT"/>
        </w:rPr>
        <w:t>i ortofosfa</w:t>
      </w:r>
      <w:r>
        <w:rPr>
          <w:rFonts w:ascii="Arial" w:hAnsi="Arial" w:cs="Arial"/>
          <w:sz w:val="24"/>
          <w:szCs w:val="24"/>
          <w:lang w:val="it-IT"/>
        </w:rPr>
        <w:t>ţ</w:t>
      </w:r>
      <w:r w:rsidRPr="00702A15">
        <w:rPr>
          <w:rFonts w:ascii="Arial" w:hAnsi="Arial" w:cs="Arial"/>
          <w:sz w:val="24"/>
          <w:szCs w:val="24"/>
          <w:lang w:val="it-IT"/>
        </w:rPr>
        <w:t>i solubili (PO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3-</w:t>
      </w:r>
      <w:r w:rsidRPr="00702A15">
        <w:rPr>
          <w:rFonts w:ascii="Arial" w:hAnsi="Arial" w:cs="Arial"/>
          <w:sz w:val="24"/>
          <w:szCs w:val="24"/>
          <w:lang w:val="it-IT"/>
        </w:rPr>
        <w:t xml:space="preserve">), fenoli, plumb, arsen, mercur, zinc, cadmiu, tricloretilena </w:t>
      </w:r>
      <w:r>
        <w:rPr>
          <w:rFonts w:ascii="Arial" w:hAnsi="Arial" w:cs="Arial"/>
          <w:sz w:val="24"/>
          <w:szCs w:val="24"/>
          <w:lang w:val="it-IT"/>
        </w:rPr>
        <w:t>ş</w:t>
      </w:r>
      <w:r w:rsidRPr="00702A15">
        <w:rPr>
          <w:rFonts w:ascii="Arial" w:hAnsi="Arial" w:cs="Arial"/>
          <w:sz w:val="24"/>
          <w:szCs w:val="24"/>
          <w:lang w:val="it-IT"/>
        </w:rPr>
        <w:t>i tetracloretilena.</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Rezultatul încadrării corpului de apă:</w:t>
      </w:r>
    </w:p>
    <w:p w:rsidR="00420717"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Din cele 6 foraje monitorizate, 3 foraje au înregistrat valori mai mari decât valorile de prag stabilite pentru indicatorii sulfa</w:t>
      </w:r>
      <w:r>
        <w:rPr>
          <w:rFonts w:ascii="Arial" w:hAnsi="Arial" w:cs="Arial"/>
          <w:sz w:val="24"/>
          <w:szCs w:val="24"/>
          <w:lang w:val="it-IT"/>
        </w:rPr>
        <w:t>ţ</w:t>
      </w:r>
      <w:r w:rsidRPr="00702A15">
        <w:rPr>
          <w:rFonts w:ascii="Arial" w:hAnsi="Arial" w:cs="Arial"/>
          <w:sz w:val="24"/>
          <w:szCs w:val="24"/>
          <w:lang w:val="it-IT"/>
        </w:rPr>
        <w:t xml:space="preserve">i, fenoli </w:t>
      </w:r>
      <w:r>
        <w:rPr>
          <w:rFonts w:ascii="Arial" w:hAnsi="Arial" w:cs="Arial"/>
          <w:sz w:val="24"/>
          <w:szCs w:val="24"/>
          <w:lang w:val="it-IT"/>
        </w:rPr>
        <w:t>ş</w:t>
      </w:r>
      <w:r w:rsidRPr="00702A15">
        <w:rPr>
          <w:rFonts w:ascii="Arial" w:hAnsi="Arial" w:cs="Arial"/>
          <w:sz w:val="24"/>
          <w:szCs w:val="24"/>
          <w:lang w:val="it-IT"/>
        </w:rPr>
        <w:t>i azotati, astfel:</w:t>
      </w:r>
    </w:p>
    <w:p w:rsidR="00420717" w:rsidRPr="00702A15" w:rsidRDefault="00420717" w:rsidP="00420717">
      <w:pPr>
        <w:spacing w:after="0" w:line="240" w:lineRule="auto"/>
        <w:jc w:val="both"/>
        <w:rPr>
          <w:rFonts w:ascii="Arial" w:hAnsi="Arial" w:cs="Arial"/>
          <w:sz w:val="24"/>
          <w:szCs w:val="24"/>
          <w:lang w:val="it-IT"/>
        </w:rPr>
      </w:pPr>
    </w:p>
    <w:tbl>
      <w:tblPr>
        <w:tblW w:w="8190" w:type="dxa"/>
        <w:jc w:val="center"/>
        <w:tblInd w:w="828" w:type="dxa"/>
        <w:tblLook w:val="00A0"/>
      </w:tblPr>
      <w:tblGrid>
        <w:gridCol w:w="2790"/>
        <w:gridCol w:w="2520"/>
        <w:gridCol w:w="990"/>
        <w:gridCol w:w="1890"/>
      </w:tblGrid>
      <w:tr w:rsidR="00420717" w:rsidRPr="00702A15" w:rsidTr="00D92384">
        <w:trPr>
          <w:trHeight w:val="300"/>
          <w:jc w:val="center"/>
        </w:trPr>
        <w:tc>
          <w:tcPr>
            <w:tcW w:w="2790" w:type="dxa"/>
            <w:vMerge w:val="restart"/>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depă</w:t>
            </w:r>
            <w:r>
              <w:rPr>
                <w:rFonts w:ascii="Arial" w:hAnsi="Arial" w:cs="Arial"/>
                <w:b/>
                <w:bCs/>
                <w:sz w:val="24"/>
                <w:szCs w:val="24"/>
              </w:rPr>
              <w:t>ş</w:t>
            </w:r>
            <w:r w:rsidRPr="00702A15">
              <w:rPr>
                <w:rFonts w:ascii="Arial" w:hAnsi="Arial" w:cs="Arial"/>
                <w:b/>
                <w:bCs/>
                <w:sz w:val="24"/>
                <w:szCs w:val="24"/>
              </w:rPr>
              <w:t>ire sulfa</w:t>
            </w:r>
            <w:r>
              <w:rPr>
                <w:rFonts w:ascii="Arial" w:hAnsi="Arial" w:cs="Arial"/>
                <w:b/>
                <w:bCs/>
                <w:sz w:val="24"/>
                <w:szCs w:val="24"/>
              </w:rPr>
              <w:t>ţ</w:t>
            </w:r>
            <w:r w:rsidRPr="00702A15">
              <w:rPr>
                <w:rFonts w:ascii="Arial" w:hAnsi="Arial" w:cs="Arial"/>
                <w:b/>
                <w:bCs/>
                <w:sz w:val="24"/>
                <w:szCs w:val="24"/>
              </w:rPr>
              <w:t>i</w:t>
            </w:r>
          </w:p>
        </w:tc>
        <w:tc>
          <w:tcPr>
            <w:tcW w:w="252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SĂGEATA</w:t>
            </w:r>
          </w:p>
        </w:tc>
        <w:tc>
          <w:tcPr>
            <w:tcW w:w="9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F3R</w:t>
            </w:r>
          </w:p>
        </w:tc>
        <w:tc>
          <w:tcPr>
            <w:tcW w:w="18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514,45</w:t>
            </w:r>
          </w:p>
        </w:tc>
      </w:tr>
      <w:tr w:rsidR="00420717" w:rsidRPr="00702A15" w:rsidTr="00D92384">
        <w:trPr>
          <w:trHeight w:val="300"/>
          <w:jc w:val="center"/>
        </w:trPr>
        <w:tc>
          <w:tcPr>
            <w:tcW w:w="2790" w:type="dxa"/>
            <w:vMerge/>
            <w:tcBorders>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
                <w:bCs/>
                <w:sz w:val="24"/>
                <w:szCs w:val="24"/>
              </w:rPr>
            </w:pPr>
          </w:p>
        </w:tc>
        <w:tc>
          <w:tcPr>
            <w:tcW w:w="252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SĂGEATA</w:t>
            </w:r>
          </w:p>
        </w:tc>
        <w:tc>
          <w:tcPr>
            <w:tcW w:w="99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F8</w:t>
            </w:r>
          </w:p>
        </w:tc>
        <w:tc>
          <w:tcPr>
            <w:tcW w:w="189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 xml:space="preserve">277,25 </w:t>
            </w:r>
          </w:p>
        </w:tc>
      </w:tr>
      <w:tr w:rsidR="00420717" w:rsidRPr="00702A15" w:rsidTr="00D92384">
        <w:trPr>
          <w:trHeight w:val="300"/>
          <w:jc w:val="center"/>
        </w:trPr>
        <w:tc>
          <w:tcPr>
            <w:tcW w:w="2790" w:type="dxa"/>
            <w:vMerge w:val="restart"/>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depă</w:t>
            </w:r>
            <w:r>
              <w:rPr>
                <w:rFonts w:ascii="Arial" w:hAnsi="Arial" w:cs="Arial"/>
                <w:b/>
                <w:bCs/>
                <w:sz w:val="24"/>
                <w:szCs w:val="24"/>
              </w:rPr>
              <w:t>ş</w:t>
            </w:r>
            <w:r w:rsidRPr="00702A15">
              <w:rPr>
                <w:rFonts w:ascii="Arial" w:hAnsi="Arial" w:cs="Arial"/>
                <w:b/>
                <w:bCs/>
                <w:sz w:val="24"/>
                <w:szCs w:val="24"/>
              </w:rPr>
              <w:t>ire NO3</w:t>
            </w:r>
          </w:p>
        </w:tc>
        <w:tc>
          <w:tcPr>
            <w:tcW w:w="252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BUZĂU SV</w:t>
            </w:r>
          </w:p>
        </w:tc>
        <w:tc>
          <w:tcPr>
            <w:tcW w:w="9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F6</w:t>
            </w:r>
          </w:p>
        </w:tc>
        <w:tc>
          <w:tcPr>
            <w:tcW w:w="18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 xml:space="preserve">53,6 </w:t>
            </w:r>
          </w:p>
        </w:tc>
      </w:tr>
      <w:tr w:rsidR="00420717" w:rsidRPr="00702A15" w:rsidTr="00D92384">
        <w:trPr>
          <w:trHeight w:val="300"/>
          <w:jc w:val="center"/>
        </w:trPr>
        <w:tc>
          <w:tcPr>
            <w:tcW w:w="2790" w:type="dxa"/>
            <w:vMerge/>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
                <w:bCs/>
                <w:sz w:val="24"/>
                <w:szCs w:val="24"/>
              </w:rPr>
            </w:pPr>
          </w:p>
        </w:tc>
        <w:tc>
          <w:tcPr>
            <w:tcW w:w="252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SĂGEATA</w:t>
            </w:r>
          </w:p>
        </w:tc>
        <w:tc>
          <w:tcPr>
            <w:tcW w:w="9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F3R</w:t>
            </w:r>
          </w:p>
        </w:tc>
        <w:tc>
          <w:tcPr>
            <w:tcW w:w="18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lang w:val="pt-BR"/>
              </w:rPr>
            </w:pPr>
            <w:r w:rsidRPr="00702A15">
              <w:rPr>
                <w:rFonts w:ascii="Arial" w:hAnsi="Arial" w:cs="Arial"/>
                <w:bCs/>
                <w:sz w:val="24"/>
                <w:szCs w:val="24"/>
                <w:lang w:val="pt-BR"/>
              </w:rPr>
              <w:t>74,1</w:t>
            </w:r>
          </w:p>
        </w:tc>
      </w:tr>
      <w:tr w:rsidR="00420717" w:rsidRPr="00702A15" w:rsidTr="00D92384">
        <w:trPr>
          <w:trHeight w:val="300"/>
          <w:jc w:val="center"/>
        </w:trPr>
        <w:tc>
          <w:tcPr>
            <w:tcW w:w="2790"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depă</w:t>
            </w:r>
            <w:r>
              <w:rPr>
                <w:rFonts w:ascii="Arial" w:hAnsi="Arial" w:cs="Arial"/>
                <w:b/>
                <w:bCs/>
                <w:sz w:val="24"/>
                <w:szCs w:val="24"/>
              </w:rPr>
              <w:t>ş</w:t>
            </w:r>
            <w:r w:rsidRPr="00702A15">
              <w:rPr>
                <w:rFonts w:ascii="Arial" w:hAnsi="Arial" w:cs="Arial"/>
                <w:b/>
                <w:bCs/>
                <w:sz w:val="24"/>
                <w:szCs w:val="24"/>
              </w:rPr>
              <w:t>ire fenoli</w:t>
            </w:r>
          </w:p>
        </w:tc>
        <w:tc>
          <w:tcPr>
            <w:tcW w:w="252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SĂGEATA</w:t>
            </w:r>
          </w:p>
        </w:tc>
        <w:tc>
          <w:tcPr>
            <w:tcW w:w="9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F8</w:t>
            </w:r>
          </w:p>
        </w:tc>
        <w:tc>
          <w:tcPr>
            <w:tcW w:w="18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lang w:val="pt-BR"/>
              </w:rPr>
            </w:pPr>
            <w:r w:rsidRPr="00702A15">
              <w:rPr>
                <w:rFonts w:ascii="Arial" w:hAnsi="Arial" w:cs="Arial"/>
                <w:bCs/>
                <w:sz w:val="24"/>
                <w:szCs w:val="24"/>
                <w:lang w:val="pt-BR"/>
              </w:rPr>
              <w:t>3,25</w:t>
            </w:r>
          </w:p>
        </w:tc>
      </w:tr>
    </w:tbl>
    <w:p w:rsidR="005864AC" w:rsidRDefault="005864AC" w:rsidP="00420717">
      <w:pPr>
        <w:spacing w:after="0" w:line="240" w:lineRule="auto"/>
        <w:jc w:val="both"/>
        <w:rPr>
          <w:rFonts w:ascii="Arial" w:hAnsi="Arial" w:cs="Arial"/>
          <w:bCs/>
          <w:sz w:val="24"/>
          <w:szCs w:val="24"/>
          <w:lang w:val="it-IT"/>
        </w:rPr>
      </w:pP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bCs/>
          <w:sz w:val="24"/>
          <w:szCs w:val="24"/>
          <w:lang w:val="it-IT"/>
        </w:rPr>
        <w:t>Având în vedere rezultatele ob</w:t>
      </w:r>
      <w:r>
        <w:rPr>
          <w:rFonts w:ascii="Arial" w:hAnsi="Arial" w:cs="Arial"/>
          <w:bCs/>
          <w:sz w:val="24"/>
          <w:szCs w:val="24"/>
          <w:lang w:val="it-IT"/>
        </w:rPr>
        <w:t>ţ</w:t>
      </w:r>
      <w:r w:rsidRPr="00702A15">
        <w:rPr>
          <w:rFonts w:ascii="Arial" w:hAnsi="Arial" w:cs="Arial"/>
          <w:bCs/>
          <w:sz w:val="24"/>
          <w:szCs w:val="24"/>
          <w:lang w:val="it-IT"/>
        </w:rPr>
        <w:t>inute, starea corpului de apă este slabă dar, datorită numărului mic de foraje</w:t>
      </w:r>
      <w:r w:rsidRPr="00702A15">
        <w:rPr>
          <w:rFonts w:ascii="Arial" w:hAnsi="Arial" w:cs="Arial"/>
          <w:sz w:val="24"/>
          <w:szCs w:val="24"/>
          <w:lang w:val="it-IT"/>
        </w:rPr>
        <w:t xml:space="preserve"> monitorizate se consideră că acest corp se află în stare calitativă (chimică) bună. </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Prezentarea altor indicatori monitoriza</w:t>
      </w:r>
      <w:r>
        <w:rPr>
          <w:rFonts w:ascii="Arial" w:hAnsi="Arial" w:cs="Arial"/>
          <w:sz w:val="24"/>
          <w:szCs w:val="24"/>
          <w:lang w:val="it-IT"/>
        </w:rPr>
        <w:t>ţ</w:t>
      </w:r>
      <w:r w:rsidRPr="00702A15">
        <w:rPr>
          <w:rFonts w:ascii="Arial" w:hAnsi="Arial" w:cs="Arial"/>
          <w:sz w:val="24"/>
          <w:szCs w:val="24"/>
          <w:lang w:val="it-IT"/>
        </w:rPr>
        <w:t>i</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Conform Manualului de Operare pentru 2014, au mai fost monitoriza</w:t>
      </w:r>
      <w:r>
        <w:rPr>
          <w:rFonts w:ascii="Arial" w:hAnsi="Arial" w:cs="Arial"/>
          <w:sz w:val="24"/>
          <w:szCs w:val="24"/>
          <w:lang w:val="it-IT"/>
        </w:rPr>
        <w:t>ţ</w:t>
      </w:r>
      <w:r w:rsidRPr="00702A15">
        <w:rPr>
          <w:rFonts w:ascii="Arial" w:hAnsi="Arial" w:cs="Arial"/>
          <w:sz w:val="24"/>
          <w:szCs w:val="24"/>
          <w:lang w:val="it-IT"/>
        </w:rPr>
        <w:t>i o serie de parametri fizico-chimici, care nu intră în evaluarea stării chimice. Ace</w:t>
      </w:r>
      <w:r>
        <w:rPr>
          <w:rFonts w:ascii="Arial" w:hAnsi="Arial" w:cs="Arial"/>
          <w:sz w:val="24"/>
          <w:szCs w:val="24"/>
          <w:lang w:val="it-IT"/>
        </w:rPr>
        <w:t>ş</w:t>
      </w:r>
      <w:r w:rsidRPr="00702A15">
        <w:rPr>
          <w:rFonts w:ascii="Arial" w:hAnsi="Arial" w:cs="Arial"/>
          <w:sz w:val="24"/>
          <w:szCs w:val="24"/>
          <w:lang w:val="it-IT"/>
        </w:rPr>
        <w:t>tia sunt:</w:t>
      </w:r>
      <w:r w:rsidRPr="00702A15">
        <w:rPr>
          <w:rFonts w:ascii="Arial" w:hAnsi="Arial" w:cs="Arial"/>
          <w:b/>
          <w:i/>
          <w:sz w:val="24"/>
          <w:szCs w:val="24"/>
          <w:lang w:val="it-IT"/>
        </w:rPr>
        <w:t xml:space="preserve"> </w:t>
      </w:r>
      <w:r w:rsidRPr="00702A15">
        <w:rPr>
          <w:rFonts w:ascii="Arial" w:hAnsi="Arial" w:cs="Arial"/>
          <w:sz w:val="24"/>
          <w:szCs w:val="24"/>
          <w:lang w:val="it-IT"/>
        </w:rPr>
        <w:t>pH, oxigen dizolvat (OD), conductivitate, bicarbona</w:t>
      </w:r>
      <w:r>
        <w:rPr>
          <w:rFonts w:ascii="Arial" w:hAnsi="Arial" w:cs="Arial"/>
          <w:sz w:val="24"/>
          <w:szCs w:val="24"/>
          <w:lang w:val="it-IT"/>
        </w:rPr>
        <w:t>ţ</w:t>
      </w:r>
      <w:r w:rsidRPr="00702A15">
        <w:rPr>
          <w:rFonts w:ascii="Arial" w:hAnsi="Arial" w:cs="Arial"/>
          <w:sz w:val="24"/>
          <w:szCs w:val="24"/>
          <w:lang w:val="it-IT"/>
        </w:rPr>
        <w:t>i (HCO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Sodiu (Na</w:t>
      </w:r>
      <w:r w:rsidRPr="00702A15">
        <w:rPr>
          <w:rFonts w:ascii="Arial" w:hAnsi="Arial" w:cs="Arial"/>
          <w:sz w:val="24"/>
          <w:szCs w:val="24"/>
          <w:vertAlign w:val="superscript"/>
          <w:lang w:val="it-IT"/>
        </w:rPr>
        <w:t>+</w:t>
      </w:r>
      <w:r w:rsidRPr="00702A15">
        <w:rPr>
          <w:rFonts w:ascii="Arial" w:hAnsi="Arial" w:cs="Arial"/>
          <w:sz w:val="24"/>
          <w:szCs w:val="24"/>
          <w:lang w:val="it-IT"/>
        </w:rPr>
        <w:t>), Potasiu (K</w:t>
      </w:r>
      <w:r w:rsidRPr="00702A15">
        <w:rPr>
          <w:rFonts w:ascii="Arial" w:hAnsi="Arial" w:cs="Arial"/>
          <w:sz w:val="24"/>
          <w:szCs w:val="24"/>
          <w:vertAlign w:val="superscript"/>
          <w:lang w:val="it-IT"/>
        </w:rPr>
        <w:t>+</w:t>
      </w:r>
      <w:r w:rsidRPr="00702A15">
        <w:rPr>
          <w:rFonts w:ascii="Arial" w:hAnsi="Arial" w:cs="Arial"/>
          <w:sz w:val="24"/>
          <w:szCs w:val="24"/>
          <w:lang w:val="it-IT"/>
        </w:rPr>
        <w:t>), Calciu (Ca</w:t>
      </w:r>
      <w:r w:rsidRPr="00702A15">
        <w:rPr>
          <w:rFonts w:ascii="Arial" w:hAnsi="Arial" w:cs="Arial"/>
          <w:sz w:val="24"/>
          <w:szCs w:val="24"/>
          <w:vertAlign w:val="superscript"/>
          <w:lang w:val="it-IT"/>
        </w:rPr>
        <w:t>2+</w:t>
      </w:r>
      <w:r w:rsidRPr="00702A15">
        <w:rPr>
          <w:rFonts w:ascii="Arial" w:hAnsi="Arial" w:cs="Arial"/>
          <w:sz w:val="24"/>
          <w:szCs w:val="24"/>
          <w:lang w:val="it-IT"/>
        </w:rPr>
        <w:t>), Magneziu (Mg</w:t>
      </w:r>
      <w:r w:rsidRPr="00702A15">
        <w:rPr>
          <w:rFonts w:ascii="Arial" w:hAnsi="Arial" w:cs="Arial"/>
          <w:sz w:val="24"/>
          <w:szCs w:val="24"/>
          <w:vertAlign w:val="superscript"/>
          <w:lang w:val="it-IT"/>
        </w:rPr>
        <w:t>2+</w:t>
      </w:r>
      <w:r w:rsidRPr="00702A15">
        <w:rPr>
          <w:rFonts w:ascii="Arial" w:hAnsi="Arial" w:cs="Arial"/>
          <w:sz w:val="24"/>
          <w:szCs w:val="24"/>
          <w:lang w:val="it-IT"/>
        </w:rPr>
        <w:t>).</w:t>
      </w:r>
    </w:p>
    <w:p w:rsidR="00420717" w:rsidRPr="00702A15" w:rsidRDefault="00420717" w:rsidP="00420717">
      <w:pPr>
        <w:spacing w:after="0" w:line="240" w:lineRule="auto"/>
        <w:jc w:val="both"/>
        <w:rPr>
          <w:rFonts w:ascii="Arial" w:hAnsi="Arial" w:cs="Arial"/>
          <w:b/>
          <w:sz w:val="24"/>
          <w:szCs w:val="24"/>
        </w:rPr>
      </w:pPr>
      <w:r w:rsidRPr="00702A15">
        <w:rPr>
          <w:rFonts w:ascii="Arial" w:hAnsi="Arial" w:cs="Arial"/>
          <w:b/>
          <w:sz w:val="24"/>
          <w:szCs w:val="24"/>
        </w:rPr>
        <w:lastRenderedPageBreak/>
        <w:t>Corpul  ROIL06 - Lunca râului Călmăţui</w:t>
      </w:r>
    </w:p>
    <w:p w:rsidR="00420717" w:rsidRPr="00702A15" w:rsidRDefault="00420717" w:rsidP="00420717">
      <w:pPr>
        <w:spacing w:after="0" w:line="240" w:lineRule="auto"/>
        <w:jc w:val="both"/>
        <w:rPr>
          <w:rFonts w:ascii="Arial" w:hAnsi="Arial" w:cs="Arial"/>
          <w:iCs/>
          <w:sz w:val="24"/>
          <w:szCs w:val="24"/>
        </w:rPr>
      </w:pPr>
      <w:r w:rsidRPr="00702A15">
        <w:rPr>
          <w:rFonts w:ascii="Arial" w:hAnsi="Arial" w:cs="Arial"/>
          <w:iCs/>
          <w:sz w:val="24"/>
          <w:szCs w:val="24"/>
          <w:lang w:val="it-IT"/>
        </w:rPr>
        <w:t>În anul 2014 în acest corp de apă au fost programate pentru monitorizare cantitativă (nivel)  43 foraje</w:t>
      </w:r>
      <w:r w:rsidRPr="00702A15">
        <w:rPr>
          <w:rFonts w:ascii="Arial" w:hAnsi="Arial" w:cs="Arial"/>
          <w:iCs/>
          <w:sz w:val="24"/>
          <w:szCs w:val="24"/>
        </w:rPr>
        <w:t>.</w:t>
      </w: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Pentru evaluarea stării calitative a acestui corp de apă subterană s-au monitorizat 9 foraje. </w:t>
      </w:r>
    </w:p>
    <w:p w:rsidR="005864AC" w:rsidRPr="00702A15" w:rsidRDefault="005864AC" w:rsidP="00420717">
      <w:pPr>
        <w:spacing w:after="0" w:line="240" w:lineRule="auto"/>
        <w:jc w:val="both"/>
        <w:rPr>
          <w:rFonts w:ascii="Arial" w:hAnsi="Arial" w:cs="Arial"/>
          <w:sz w:val="24"/>
          <w:szCs w:val="24"/>
        </w:rPr>
      </w:pPr>
    </w:p>
    <w:tbl>
      <w:tblPr>
        <w:tblW w:w="5040" w:type="dxa"/>
        <w:jc w:val="center"/>
        <w:tblInd w:w="2021" w:type="dxa"/>
        <w:tblLook w:val="00A0"/>
      </w:tblPr>
      <w:tblGrid>
        <w:gridCol w:w="3690"/>
        <w:gridCol w:w="1350"/>
      </w:tblGrid>
      <w:tr w:rsidR="00420717" w:rsidRPr="00702A15" w:rsidTr="00D92384">
        <w:trPr>
          <w:trHeight w:val="300"/>
          <w:jc w:val="center"/>
        </w:trPr>
        <w:tc>
          <w:tcPr>
            <w:tcW w:w="3690"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RU</w:t>
            </w:r>
            <w:r>
              <w:rPr>
                <w:rFonts w:ascii="Arial" w:hAnsi="Arial" w:cs="Arial"/>
                <w:bCs/>
                <w:sz w:val="24"/>
                <w:szCs w:val="24"/>
              </w:rPr>
              <w:t>Ş</w:t>
            </w:r>
            <w:r w:rsidRPr="00702A15">
              <w:rPr>
                <w:rFonts w:ascii="Arial" w:hAnsi="Arial" w:cs="Arial"/>
                <w:bCs/>
                <w:sz w:val="24"/>
                <w:szCs w:val="24"/>
              </w:rPr>
              <w:t>ETU</w:t>
            </w:r>
          </w:p>
        </w:tc>
        <w:tc>
          <w:tcPr>
            <w:tcW w:w="135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CIRE</w:t>
            </w:r>
            <w:r>
              <w:rPr>
                <w:rFonts w:ascii="Arial" w:hAnsi="Arial" w:cs="Arial"/>
                <w:bCs/>
                <w:sz w:val="24"/>
                <w:szCs w:val="24"/>
              </w:rPr>
              <w:t>Ş</w:t>
            </w:r>
            <w:r w:rsidRPr="00702A15">
              <w:rPr>
                <w:rFonts w:ascii="Arial" w:hAnsi="Arial" w:cs="Arial"/>
                <w:bCs/>
                <w:sz w:val="24"/>
                <w:szCs w:val="24"/>
              </w:rPr>
              <w:t>U</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F2R</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BRĂDEANCA</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F7</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LUCIU NORD (CILIBIA)</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F24</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LI</w:t>
            </w:r>
            <w:r>
              <w:rPr>
                <w:rFonts w:ascii="Arial" w:hAnsi="Arial" w:cs="Arial"/>
                <w:bCs/>
                <w:sz w:val="24"/>
                <w:szCs w:val="24"/>
              </w:rPr>
              <w:t>Ş</w:t>
            </w:r>
            <w:r w:rsidRPr="00702A15">
              <w:rPr>
                <w:rFonts w:ascii="Arial" w:hAnsi="Arial" w:cs="Arial"/>
                <w:bCs/>
                <w:sz w:val="24"/>
                <w:szCs w:val="24"/>
              </w:rPr>
              <w:t>COTEANCA</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MÎNZU POLUARE (CILIBIA)</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F6</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CARAGELE (CILIBIA)</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BĂLTENI EST ORD.II</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jc w:val="center"/>
        </w:trPr>
        <w:tc>
          <w:tcPr>
            <w:tcW w:w="369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LARGU NORD ORD.II</w:t>
            </w:r>
          </w:p>
        </w:tc>
        <w:tc>
          <w:tcPr>
            <w:tcW w:w="135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bl>
    <w:p w:rsidR="005864AC" w:rsidRDefault="005864AC" w:rsidP="00420717">
      <w:pPr>
        <w:spacing w:after="0" w:line="240" w:lineRule="auto"/>
        <w:jc w:val="both"/>
        <w:rPr>
          <w:rFonts w:ascii="Arial" w:hAnsi="Arial" w:cs="Arial"/>
          <w:sz w:val="24"/>
          <w:szCs w:val="24"/>
          <w:lang w:val="it-IT"/>
        </w:rPr>
      </w:pP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Indicatorii care au determinat starea corpului de apă sunt: Nitra</w:t>
      </w:r>
      <w:r>
        <w:rPr>
          <w:rFonts w:ascii="Arial" w:hAnsi="Arial" w:cs="Arial"/>
          <w:sz w:val="24"/>
          <w:szCs w:val="24"/>
          <w:lang w:val="it-IT"/>
        </w:rPr>
        <w:t>ţ</w:t>
      </w:r>
      <w:r w:rsidRPr="00702A15">
        <w:rPr>
          <w:rFonts w:ascii="Arial" w:hAnsi="Arial" w:cs="Arial"/>
          <w:sz w:val="24"/>
          <w:szCs w:val="24"/>
          <w:lang w:val="it-IT"/>
        </w:rPr>
        <w:t>i</w:t>
      </w:r>
      <w:r w:rsidRPr="00702A15">
        <w:rPr>
          <w:rFonts w:ascii="Arial" w:hAnsi="Arial" w:cs="Arial"/>
          <w:b/>
          <w:sz w:val="24"/>
          <w:szCs w:val="24"/>
          <w:lang w:val="it-IT"/>
        </w:rPr>
        <w:t xml:space="preserve"> (</w:t>
      </w:r>
      <w:r w:rsidRPr="00702A15">
        <w:rPr>
          <w:rFonts w:ascii="Arial" w:hAnsi="Arial" w:cs="Arial"/>
          <w:sz w:val="24"/>
          <w:szCs w:val="24"/>
          <w:lang w:val="it-IT"/>
        </w:rPr>
        <w:t>NO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Amoniu (NH</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w:t>
      </w:r>
      <w:r w:rsidRPr="00702A15">
        <w:rPr>
          <w:rFonts w:ascii="Arial" w:hAnsi="Arial" w:cs="Arial"/>
          <w:sz w:val="24"/>
          <w:szCs w:val="24"/>
          <w:lang w:val="it-IT"/>
        </w:rPr>
        <w:t>), Cloruri (Cl</w:t>
      </w:r>
      <w:r w:rsidRPr="00702A15">
        <w:rPr>
          <w:rFonts w:ascii="Arial" w:hAnsi="Arial" w:cs="Arial"/>
          <w:sz w:val="24"/>
          <w:szCs w:val="24"/>
          <w:vertAlign w:val="superscript"/>
          <w:lang w:val="it-IT"/>
        </w:rPr>
        <w:t>-</w:t>
      </w:r>
      <w:r w:rsidRPr="00702A15">
        <w:rPr>
          <w:rFonts w:ascii="Arial" w:hAnsi="Arial" w:cs="Arial"/>
          <w:sz w:val="24"/>
          <w:szCs w:val="24"/>
          <w:lang w:val="it-IT"/>
        </w:rPr>
        <w:t>), Sulfa</w:t>
      </w:r>
      <w:r>
        <w:rPr>
          <w:rFonts w:ascii="Arial" w:hAnsi="Arial" w:cs="Arial"/>
          <w:sz w:val="24"/>
          <w:szCs w:val="24"/>
          <w:lang w:val="it-IT"/>
        </w:rPr>
        <w:t>ţ</w:t>
      </w:r>
      <w:r w:rsidRPr="00702A15">
        <w:rPr>
          <w:rFonts w:ascii="Arial" w:hAnsi="Arial" w:cs="Arial"/>
          <w:sz w:val="24"/>
          <w:szCs w:val="24"/>
          <w:lang w:val="it-IT"/>
        </w:rPr>
        <w:t>i (SO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2+</w:t>
      </w:r>
      <w:r w:rsidRPr="00702A15">
        <w:rPr>
          <w:rFonts w:ascii="Arial" w:hAnsi="Arial" w:cs="Arial"/>
          <w:sz w:val="24"/>
          <w:szCs w:val="24"/>
          <w:lang w:val="it-IT"/>
        </w:rPr>
        <w:t>), Nitri</w:t>
      </w:r>
      <w:r>
        <w:rPr>
          <w:rFonts w:ascii="Arial" w:hAnsi="Arial" w:cs="Arial"/>
          <w:sz w:val="24"/>
          <w:szCs w:val="24"/>
          <w:lang w:val="it-IT"/>
        </w:rPr>
        <w:t>ţ</w:t>
      </w:r>
      <w:r w:rsidRPr="00702A15">
        <w:rPr>
          <w:rFonts w:ascii="Arial" w:hAnsi="Arial" w:cs="Arial"/>
          <w:sz w:val="24"/>
          <w:szCs w:val="24"/>
          <w:lang w:val="it-IT"/>
        </w:rPr>
        <w:t>i (NO</w:t>
      </w:r>
      <w:r w:rsidRPr="00702A15">
        <w:rPr>
          <w:rFonts w:ascii="Arial" w:hAnsi="Arial" w:cs="Arial"/>
          <w:sz w:val="24"/>
          <w:szCs w:val="24"/>
          <w:vertAlign w:val="subscript"/>
          <w:lang w:val="it-IT"/>
        </w:rPr>
        <w:t>2</w:t>
      </w:r>
      <w:r w:rsidRPr="00702A15">
        <w:rPr>
          <w:rFonts w:ascii="Arial" w:hAnsi="Arial" w:cs="Arial"/>
          <w:sz w:val="24"/>
          <w:szCs w:val="24"/>
          <w:vertAlign w:val="superscript"/>
          <w:lang w:val="it-IT"/>
        </w:rPr>
        <w:t>-</w:t>
      </w:r>
      <w:r w:rsidRPr="00702A15">
        <w:rPr>
          <w:rFonts w:ascii="Arial" w:hAnsi="Arial" w:cs="Arial"/>
          <w:sz w:val="24"/>
          <w:szCs w:val="24"/>
          <w:lang w:val="it-IT"/>
        </w:rPr>
        <w:t xml:space="preserve">) </w:t>
      </w:r>
      <w:r>
        <w:rPr>
          <w:rFonts w:ascii="Arial" w:hAnsi="Arial" w:cs="Arial"/>
          <w:sz w:val="24"/>
          <w:szCs w:val="24"/>
          <w:lang w:val="it-IT"/>
        </w:rPr>
        <w:t>ş</w:t>
      </w:r>
      <w:r w:rsidRPr="00702A15">
        <w:rPr>
          <w:rFonts w:ascii="Arial" w:hAnsi="Arial" w:cs="Arial"/>
          <w:sz w:val="24"/>
          <w:szCs w:val="24"/>
          <w:lang w:val="it-IT"/>
        </w:rPr>
        <w:t>i ortofosfa</w:t>
      </w:r>
      <w:r>
        <w:rPr>
          <w:rFonts w:ascii="Arial" w:hAnsi="Arial" w:cs="Arial"/>
          <w:sz w:val="24"/>
          <w:szCs w:val="24"/>
          <w:lang w:val="it-IT"/>
        </w:rPr>
        <w:t>ţ</w:t>
      </w:r>
      <w:r w:rsidRPr="00702A15">
        <w:rPr>
          <w:rFonts w:ascii="Arial" w:hAnsi="Arial" w:cs="Arial"/>
          <w:sz w:val="24"/>
          <w:szCs w:val="24"/>
          <w:lang w:val="it-IT"/>
        </w:rPr>
        <w:t>i solubili (PO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3-</w:t>
      </w:r>
      <w:r w:rsidRPr="00702A15">
        <w:rPr>
          <w:rFonts w:ascii="Arial" w:hAnsi="Arial" w:cs="Arial"/>
          <w:sz w:val="24"/>
          <w:szCs w:val="24"/>
          <w:lang w:val="it-IT"/>
        </w:rPr>
        <w:t xml:space="preserve">), fenoli. </w:t>
      </w: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Depă</w:t>
      </w:r>
      <w:r>
        <w:rPr>
          <w:rFonts w:ascii="Arial" w:hAnsi="Arial" w:cs="Arial"/>
          <w:sz w:val="24"/>
          <w:szCs w:val="24"/>
        </w:rPr>
        <w:t>ş</w:t>
      </w:r>
      <w:r w:rsidRPr="00702A15">
        <w:rPr>
          <w:rFonts w:ascii="Arial" w:hAnsi="Arial" w:cs="Arial"/>
          <w:sz w:val="24"/>
          <w:szCs w:val="24"/>
        </w:rPr>
        <w:t xml:space="preserve">iri locale ale valorilor de prag s-au semnalat la 4 foraje. Acestea sunt: </w:t>
      </w:r>
    </w:p>
    <w:p w:rsidR="005864AC" w:rsidRPr="00702A15" w:rsidRDefault="005864AC" w:rsidP="00420717">
      <w:pPr>
        <w:spacing w:after="0" w:line="240" w:lineRule="auto"/>
        <w:jc w:val="both"/>
        <w:rPr>
          <w:rFonts w:ascii="Arial" w:hAnsi="Arial" w:cs="Arial"/>
          <w:sz w:val="24"/>
          <w:szCs w:val="24"/>
        </w:rPr>
      </w:pPr>
    </w:p>
    <w:tbl>
      <w:tblPr>
        <w:tblW w:w="7560" w:type="dxa"/>
        <w:jc w:val="center"/>
        <w:tblInd w:w="828" w:type="dxa"/>
        <w:tblLook w:val="00A0"/>
      </w:tblPr>
      <w:tblGrid>
        <w:gridCol w:w="2520"/>
        <w:gridCol w:w="2160"/>
        <w:gridCol w:w="1080"/>
        <w:gridCol w:w="1800"/>
      </w:tblGrid>
      <w:tr w:rsidR="00420717" w:rsidRPr="00702A15" w:rsidTr="00D92384">
        <w:trPr>
          <w:trHeight w:val="300"/>
          <w:jc w:val="center"/>
        </w:trPr>
        <w:tc>
          <w:tcPr>
            <w:tcW w:w="2520" w:type="dxa"/>
            <w:vMerge w:val="restart"/>
            <w:tcBorders>
              <w:top w:val="single" w:sz="4" w:space="0" w:color="auto"/>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lang w:val="fr-FR"/>
              </w:rPr>
            </w:pPr>
            <w:r w:rsidRPr="00702A15">
              <w:rPr>
                <w:rFonts w:ascii="Arial" w:hAnsi="Arial" w:cs="Arial"/>
                <w:bCs/>
                <w:sz w:val="24"/>
                <w:szCs w:val="24"/>
                <w:lang w:val="fr-FR"/>
              </w:rPr>
              <w:t>3 foraje cu depă</w:t>
            </w:r>
            <w:r>
              <w:rPr>
                <w:rFonts w:ascii="Arial" w:hAnsi="Arial" w:cs="Arial"/>
                <w:bCs/>
                <w:sz w:val="24"/>
                <w:szCs w:val="24"/>
                <w:lang w:val="fr-FR"/>
              </w:rPr>
              <w:t>ş</w:t>
            </w:r>
            <w:r w:rsidRPr="00702A15">
              <w:rPr>
                <w:rFonts w:ascii="Arial" w:hAnsi="Arial" w:cs="Arial"/>
                <w:bCs/>
                <w:sz w:val="24"/>
                <w:szCs w:val="24"/>
                <w:lang w:val="fr-FR"/>
              </w:rPr>
              <w:t>iri la NH4</w:t>
            </w:r>
          </w:p>
        </w:tc>
        <w:tc>
          <w:tcPr>
            <w:tcW w:w="216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LARGU NORD ORD.II</w:t>
            </w:r>
          </w:p>
        </w:tc>
        <w:tc>
          <w:tcPr>
            <w:tcW w:w="108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8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7,50</w:t>
            </w:r>
          </w:p>
        </w:tc>
      </w:tr>
      <w:tr w:rsidR="00420717" w:rsidRPr="00702A15" w:rsidTr="00D92384">
        <w:trPr>
          <w:trHeight w:val="300"/>
          <w:jc w:val="center"/>
        </w:trPr>
        <w:tc>
          <w:tcPr>
            <w:tcW w:w="2520" w:type="dxa"/>
            <w:vMerge/>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lang w:val="fr-FR"/>
              </w:rPr>
            </w:pPr>
          </w:p>
        </w:tc>
        <w:tc>
          <w:tcPr>
            <w:tcW w:w="216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BRĂDEANCA</w:t>
            </w:r>
          </w:p>
        </w:tc>
        <w:tc>
          <w:tcPr>
            <w:tcW w:w="108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F7</w:t>
            </w:r>
          </w:p>
        </w:tc>
        <w:tc>
          <w:tcPr>
            <w:tcW w:w="18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1,729</w:t>
            </w:r>
          </w:p>
        </w:tc>
      </w:tr>
      <w:tr w:rsidR="00420717" w:rsidRPr="00702A15" w:rsidTr="00D92384">
        <w:trPr>
          <w:trHeight w:val="300"/>
          <w:jc w:val="center"/>
        </w:trPr>
        <w:tc>
          <w:tcPr>
            <w:tcW w:w="2520" w:type="dxa"/>
            <w:vMerge/>
            <w:tcBorders>
              <w:left w:val="single" w:sz="4" w:space="0" w:color="auto"/>
              <w:bottom w:val="single" w:sz="4" w:space="0" w:color="000000"/>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p>
        </w:tc>
        <w:tc>
          <w:tcPr>
            <w:tcW w:w="216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LI</w:t>
            </w:r>
            <w:r>
              <w:rPr>
                <w:rFonts w:ascii="Arial" w:hAnsi="Arial" w:cs="Arial"/>
                <w:bCs/>
                <w:sz w:val="24"/>
                <w:szCs w:val="24"/>
              </w:rPr>
              <w:t>Ş</w:t>
            </w:r>
            <w:r w:rsidRPr="00702A15">
              <w:rPr>
                <w:rFonts w:ascii="Arial" w:hAnsi="Arial" w:cs="Arial"/>
                <w:bCs/>
                <w:sz w:val="24"/>
                <w:szCs w:val="24"/>
              </w:rPr>
              <w:t>COTEANCA</w:t>
            </w:r>
          </w:p>
        </w:tc>
        <w:tc>
          <w:tcPr>
            <w:tcW w:w="108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w:t>
            </w:r>
          </w:p>
        </w:tc>
        <w:tc>
          <w:tcPr>
            <w:tcW w:w="180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1,624</w:t>
            </w:r>
          </w:p>
        </w:tc>
      </w:tr>
      <w:tr w:rsidR="00420717" w:rsidRPr="00702A15" w:rsidTr="00D92384">
        <w:trPr>
          <w:trHeight w:val="300"/>
          <w:jc w:val="center"/>
        </w:trPr>
        <w:tc>
          <w:tcPr>
            <w:tcW w:w="2520" w:type="dxa"/>
            <w:vMerge w:val="restart"/>
            <w:tcBorders>
              <w:top w:val="nil"/>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lang w:val="fr-FR"/>
              </w:rPr>
            </w:pPr>
            <w:r w:rsidRPr="00702A15">
              <w:rPr>
                <w:rFonts w:ascii="Arial" w:hAnsi="Arial" w:cs="Arial"/>
                <w:bCs/>
                <w:sz w:val="24"/>
                <w:szCs w:val="24"/>
                <w:lang w:val="fr-FR"/>
              </w:rPr>
              <w:t>4 foraje cu depă</w:t>
            </w:r>
            <w:r>
              <w:rPr>
                <w:rFonts w:ascii="Arial" w:hAnsi="Arial" w:cs="Arial"/>
                <w:bCs/>
                <w:sz w:val="24"/>
                <w:szCs w:val="24"/>
                <w:lang w:val="fr-FR"/>
              </w:rPr>
              <w:t>ş</w:t>
            </w:r>
            <w:r w:rsidRPr="00702A15">
              <w:rPr>
                <w:rFonts w:ascii="Arial" w:hAnsi="Arial" w:cs="Arial"/>
                <w:bCs/>
                <w:sz w:val="24"/>
                <w:szCs w:val="24"/>
                <w:lang w:val="fr-FR"/>
              </w:rPr>
              <w:t>iri la cloruri</w:t>
            </w:r>
          </w:p>
        </w:tc>
        <w:tc>
          <w:tcPr>
            <w:tcW w:w="216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RU</w:t>
            </w:r>
            <w:r>
              <w:rPr>
                <w:rFonts w:ascii="Arial" w:hAnsi="Arial" w:cs="Arial"/>
                <w:bCs/>
                <w:sz w:val="24"/>
                <w:szCs w:val="24"/>
              </w:rPr>
              <w:t>Ş</w:t>
            </w:r>
            <w:r w:rsidRPr="00702A15">
              <w:rPr>
                <w:rFonts w:ascii="Arial" w:hAnsi="Arial" w:cs="Arial"/>
                <w:bCs/>
                <w:sz w:val="24"/>
                <w:szCs w:val="24"/>
              </w:rPr>
              <w:t>ETU</w:t>
            </w:r>
          </w:p>
        </w:tc>
        <w:tc>
          <w:tcPr>
            <w:tcW w:w="108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c>
          <w:tcPr>
            <w:tcW w:w="180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 xml:space="preserve">1.152,2 </w:t>
            </w:r>
          </w:p>
        </w:tc>
      </w:tr>
      <w:tr w:rsidR="00420717" w:rsidRPr="00702A15" w:rsidTr="00D92384">
        <w:trPr>
          <w:trHeight w:val="300"/>
          <w:jc w:val="center"/>
        </w:trPr>
        <w:tc>
          <w:tcPr>
            <w:tcW w:w="2520" w:type="dxa"/>
            <w:vMerge/>
            <w:tcBorders>
              <w:left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p>
        </w:tc>
        <w:tc>
          <w:tcPr>
            <w:tcW w:w="216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CIRE</w:t>
            </w:r>
            <w:r>
              <w:rPr>
                <w:rFonts w:ascii="Arial" w:hAnsi="Arial" w:cs="Arial"/>
                <w:bCs/>
                <w:sz w:val="24"/>
                <w:szCs w:val="24"/>
              </w:rPr>
              <w:t>Ş</w:t>
            </w:r>
            <w:r w:rsidRPr="00702A15">
              <w:rPr>
                <w:rFonts w:ascii="Arial" w:hAnsi="Arial" w:cs="Arial"/>
                <w:bCs/>
                <w:sz w:val="24"/>
                <w:szCs w:val="24"/>
              </w:rPr>
              <w:t>U</w:t>
            </w:r>
          </w:p>
        </w:tc>
        <w:tc>
          <w:tcPr>
            <w:tcW w:w="108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F2R</w:t>
            </w:r>
          </w:p>
        </w:tc>
        <w:tc>
          <w:tcPr>
            <w:tcW w:w="180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1.492,24</w:t>
            </w:r>
          </w:p>
        </w:tc>
      </w:tr>
      <w:tr w:rsidR="00420717" w:rsidRPr="00702A15" w:rsidTr="00D92384">
        <w:trPr>
          <w:trHeight w:val="300"/>
          <w:jc w:val="center"/>
        </w:trPr>
        <w:tc>
          <w:tcPr>
            <w:tcW w:w="2520" w:type="dxa"/>
            <w:vMerge/>
            <w:tcBorders>
              <w:left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p>
        </w:tc>
        <w:tc>
          <w:tcPr>
            <w:tcW w:w="216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BRĂDEANCA</w:t>
            </w:r>
          </w:p>
        </w:tc>
        <w:tc>
          <w:tcPr>
            <w:tcW w:w="108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F7</w:t>
            </w:r>
          </w:p>
        </w:tc>
        <w:tc>
          <w:tcPr>
            <w:tcW w:w="180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3.533,58</w:t>
            </w:r>
          </w:p>
        </w:tc>
      </w:tr>
      <w:tr w:rsidR="00420717" w:rsidRPr="00702A15" w:rsidTr="00D92384">
        <w:trPr>
          <w:trHeight w:val="300"/>
          <w:jc w:val="center"/>
        </w:trPr>
        <w:tc>
          <w:tcPr>
            <w:tcW w:w="2520" w:type="dxa"/>
            <w:vMerge/>
            <w:tcBorders>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p>
        </w:tc>
        <w:tc>
          <w:tcPr>
            <w:tcW w:w="216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LI</w:t>
            </w:r>
            <w:r>
              <w:rPr>
                <w:rFonts w:ascii="Arial" w:hAnsi="Arial" w:cs="Arial"/>
                <w:bCs/>
                <w:sz w:val="24"/>
                <w:szCs w:val="24"/>
              </w:rPr>
              <w:t>Ş</w:t>
            </w:r>
            <w:r w:rsidRPr="00702A15">
              <w:rPr>
                <w:rFonts w:ascii="Arial" w:hAnsi="Arial" w:cs="Arial"/>
                <w:bCs/>
                <w:sz w:val="24"/>
                <w:szCs w:val="24"/>
              </w:rPr>
              <w:t>COTEANCA</w:t>
            </w:r>
          </w:p>
        </w:tc>
        <w:tc>
          <w:tcPr>
            <w:tcW w:w="108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w:t>
            </w:r>
          </w:p>
        </w:tc>
        <w:tc>
          <w:tcPr>
            <w:tcW w:w="180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3.879,77</w:t>
            </w:r>
          </w:p>
        </w:tc>
      </w:tr>
      <w:tr w:rsidR="00420717" w:rsidRPr="00702A15" w:rsidTr="00D92384">
        <w:trPr>
          <w:trHeight w:val="300"/>
          <w:jc w:val="center"/>
        </w:trPr>
        <w:tc>
          <w:tcPr>
            <w:tcW w:w="2520"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 foraj cu depă</w:t>
            </w:r>
            <w:r>
              <w:rPr>
                <w:rFonts w:ascii="Arial" w:hAnsi="Arial" w:cs="Arial"/>
                <w:bCs/>
                <w:sz w:val="24"/>
                <w:szCs w:val="24"/>
              </w:rPr>
              <w:t>ş</w:t>
            </w:r>
            <w:r w:rsidRPr="00702A15">
              <w:rPr>
                <w:rFonts w:ascii="Arial" w:hAnsi="Arial" w:cs="Arial"/>
                <w:bCs/>
                <w:sz w:val="24"/>
                <w:szCs w:val="24"/>
              </w:rPr>
              <w:t>ire la sulfa</w:t>
            </w:r>
            <w:r>
              <w:rPr>
                <w:rFonts w:ascii="Arial" w:hAnsi="Arial" w:cs="Arial"/>
                <w:bCs/>
                <w:sz w:val="24"/>
                <w:szCs w:val="24"/>
              </w:rPr>
              <w:t>ţ</w:t>
            </w:r>
            <w:r w:rsidRPr="00702A15">
              <w:rPr>
                <w:rFonts w:ascii="Arial" w:hAnsi="Arial" w:cs="Arial"/>
                <w:bCs/>
                <w:sz w:val="24"/>
                <w:szCs w:val="24"/>
              </w:rPr>
              <w:t>i</w:t>
            </w:r>
          </w:p>
        </w:tc>
        <w:tc>
          <w:tcPr>
            <w:tcW w:w="2160" w:type="dxa"/>
            <w:tcBorders>
              <w:top w:val="single" w:sz="4" w:space="0" w:color="auto"/>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LI</w:t>
            </w:r>
            <w:r>
              <w:rPr>
                <w:rFonts w:ascii="Arial" w:hAnsi="Arial" w:cs="Arial"/>
                <w:bCs/>
                <w:sz w:val="24"/>
                <w:szCs w:val="24"/>
              </w:rPr>
              <w:t>Ş</w:t>
            </w:r>
            <w:r w:rsidRPr="00702A15">
              <w:rPr>
                <w:rFonts w:ascii="Arial" w:hAnsi="Arial" w:cs="Arial"/>
                <w:bCs/>
                <w:sz w:val="24"/>
                <w:szCs w:val="24"/>
              </w:rPr>
              <w:t>COTEANCA</w:t>
            </w:r>
          </w:p>
        </w:tc>
        <w:tc>
          <w:tcPr>
            <w:tcW w:w="1080" w:type="dxa"/>
            <w:tcBorders>
              <w:top w:val="single" w:sz="4" w:space="0" w:color="auto"/>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w:t>
            </w:r>
          </w:p>
        </w:tc>
        <w:tc>
          <w:tcPr>
            <w:tcW w:w="1800" w:type="dxa"/>
            <w:tcBorders>
              <w:top w:val="single" w:sz="4" w:space="0" w:color="auto"/>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537,71</w:t>
            </w:r>
          </w:p>
        </w:tc>
      </w:tr>
      <w:tr w:rsidR="00420717" w:rsidRPr="00702A15" w:rsidTr="00D92384">
        <w:trPr>
          <w:trHeight w:val="300"/>
          <w:jc w:val="center"/>
        </w:trPr>
        <w:tc>
          <w:tcPr>
            <w:tcW w:w="2520"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 foraj cu depă</w:t>
            </w:r>
            <w:r>
              <w:rPr>
                <w:rFonts w:ascii="Arial" w:hAnsi="Arial" w:cs="Arial"/>
                <w:bCs/>
                <w:sz w:val="24"/>
                <w:szCs w:val="24"/>
              </w:rPr>
              <w:t>ş</w:t>
            </w:r>
            <w:r w:rsidRPr="00702A15">
              <w:rPr>
                <w:rFonts w:ascii="Arial" w:hAnsi="Arial" w:cs="Arial"/>
                <w:bCs/>
                <w:sz w:val="24"/>
                <w:szCs w:val="24"/>
              </w:rPr>
              <w:t>ire la fosfa</w:t>
            </w:r>
            <w:r>
              <w:rPr>
                <w:rFonts w:ascii="Arial" w:hAnsi="Arial" w:cs="Arial"/>
                <w:bCs/>
                <w:sz w:val="24"/>
                <w:szCs w:val="24"/>
              </w:rPr>
              <w:t>ţ</w:t>
            </w:r>
            <w:r w:rsidRPr="00702A15">
              <w:rPr>
                <w:rFonts w:ascii="Arial" w:hAnsi="Arial" w:cs="Arial"/>
                <w:bCs/>
                <w:sz w:val="24"/>
                <w:szCs w:val="24"/>
              </w:rPr>
              <w:t>i</w:t>
            </w:r>
          </w:p>
        </w:tc>
        <w:tc>
          <w:tcPr>
            <w:tcW w:w="2160" w:type="dxa"/>
            <w:tcBorders>
              <w:top w:val="single" w:sz="4" w:space="0" w:color="auto"/>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LARGU NORD ORD.II</w:t>
            </w:r>
          </w:p>
        </w:tc>
        <w:tc>
          <w:tcPr>
            <w:tcW w:w="1080" w:type="dxa"/>
            <w:tcBorders>
              <w:top w:val="single" w:sz="4" w:space="0" w:color="auto"/>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800" w:type="dxa"/>
            <w:tcBorders>
              <w:top w:val="single" w:sz="4" w:space="0" w:color="auto"/>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0,90</w:t>
            </w:r>
          </w:p>
        </w:tc>
      </w:tr>
    </w:tbl>
    <w:p w:rsidR="005864AC" w:rsidRDefault="005864AC" w:rsidP="00420717">
      <w:pPr>
        <w:spacing w:after="0" w:line="240" w:lineRule="auto"/>
        <w:jc w:val="both"/>
        <w:rPr>
          <w:rFonts w:ascii="Arial" w:hAnsi="Arial" w:cs="Arial"/>
          <w:sz w:val="24"/>
          <w:szCs w:val="24"/>
          <w:lang w:val="it-IT"/>
        </w:rPr>
      </w:pP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 xml:space="preserve">Acest corp de apa subterană este în </w:t>
      </w:r>
      <w:r w:rsidRPr="00702A15">
        <w:rPr>
          <w:rFonts w:ascii="Arial" w:hAnsi="Arial" w:cs="Arial"/>
          <w:b/>
          <w:sz w:val="24"/>
          <w:szCs w:val="24"/>
          <w:lang w:val="it-IT"/>
        </w:rPr>
        <w:t>stare calitativă (chimică) slabă.</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Conform Manualului de Operare pentru 2014, au mai fost monitoriza</w:t>
      </w:r>
      <w:r>
        <w:rPr>
          <w:rFonts w:ascii="Arial" w:hAnsi="Arial" w:cs="Arial"/>
          <w:sz w:val="24"/>
          <w:szCs w:val="24"/>
          <w:lang w:val="it-IT"/>
        </w:rPr>
        <w:t>ţ</w:t>
      </w:r>
      <w:r w:rsidRPr="00702A15">
        <w:rPr>
          <w:rFonts w:ascii="Arial" w:hAnsi="Arial" w:cs="Arial"/>
          <w:sz w:val="24"/>
          <w:szCs w:val="24"/>
          <w:lang w:val="it-IT"/>
        </w:rPr>
        <w:t>i parametri fizico-chimici, care nu intră în evaluarea stării chimice. Ace</w:t>
      </w:r>
      <w:r>
        <w:rPr>
          <w:rFonts w:ascii="Arial" w:hAnsi="Arial" w:cs="Arial"/>
          <w:sz w:val="24"/>
          <w:szCs w:val="24"/>
          <w:lang w:val="it-IT"/>
        </w:rPr>
        <w:t>ş</w:t>
      </w:r>
      <w:r w:rsidRPr="00702A15">
        <w:rPr>
          <w:rFonts w:ascii="Arial" w:hAnsi="Arial" w:cs="Arial"/>
          <w:sz w:val="24"/>
          <w:szCs w:val="24"/>
          <w:lang w:val="it-IT"/>
        </w:rPr>
        <w:t>tia sunt:</w:t>
      </w:r>
      <w:r w:rsidRPr="00702A15">
        <w:rPr>
          <w:rFonts w:ascii="Arial" w:hAnsi="Arial" w:cs="Arial"/>
          <w:b/>
          <w:i/>
          <w:sz w:val="24"/>
          <w:szCs w:val="24"/>
          <w:lang w:val="it-IT"/>
        </w:rPr>
        <w:t xml:space="preserve"> </w:t>
      </w:r>
      <w:r w:rsidRPr="00702A15">
        <w:rPr>
          <w:rFonts w:ascii="Arial" w:hAnsi="Arial" w:cs="Arial"/>
          <w:sz w:val="24"/>
          <w:szCs w:val="24"/>
          <w:lang w:val="it-IT"/>
        </w:rPr>
        <w:t>pH, oxigen dizolvat (OD), conductivitate, bicarbona</w:t>
      </w:r>
      <w:r>
        <w:rPr>
          <w:rFonts w:ascii="Arial" w:hAnsi="Arial" w:cs="Arial"/>
          <w:sz w:val="24"/>
          <w:szCs w:val="24"/>
          <w:lang w:val="it-IT"/>
        </w:rPr>
        <w:t>ţ</w:t>
      </w:r>
      <w:r w:rsidRPr="00702A15">
        <w:rPr>
          <w:rFonts w:ascii="Arial" w:hAnsi="Arial" w:cs="Arial"/>
          <w:sz w:val="24"/>
          <w:szCs w:val="24"/>
          <w:lang w:val="it-IT"/>
        </w:rPr>
        <w:t>i (HCO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Sodiu (Na</w:t>
      </w:r>
      <w:r w:rsidRPr="00702A15">
        <w:rPr>
          <w:rFonts w:ascii="Arial" w:hAnsi="Arial" w:cs="Arial"/>
          <w:sz w:val="24"/>
          <w:szCs w:val="24"/>
          <w:vertAlign w:val="superscript"/>
          <w:lang w:val="it-IT"/>
        </w:rPr>
        <w:t>+</w:t>
      </w:r>
      <w:r w:rsidRPr="00702A15">
        <w:rPr>
          <w:rFonts w:ascii="Arial" w:hAnsi="Arial" w:cs="Arial"/>
          <w:sz w:val="24"/>
          <w:szCs w:val="24"/>
          <w:lang w:val="it-IT"/>
        </w:rPr>
        <w:t>), Potasiu (K</w:t>
      </w:r>
      <w:r w:rsidRPr="00702A15">
        <w:rPr>
          <w:rFonts w:ascii="Arial" w:hAnsi="Arial" w:cs="Arial"/>
          <w:sz w:val="24"/>
          <w:szCs w:val="24"/>
          <w:vertAlign w:val="superscript"/>
          <w:lang w:val="it-IT"/>
        </w:rPr>
        <w:t>+</w:t>
      </w:r>
      <w:r w:rsidRPr="00702A15">
        <w:rPr>
          <w:rFonts w:ascii="Arial" w:hAnsi="Arial" w:cs="Arial"/>
          <w:sz w:val="24"/>
          <w:szCs w:val="24"/>
          <w:lang w:val="it-IT"/>
        </w:rPr>
        <w:t>), Calciu (Ca</w:t>
      </w:r>
      <w:r w:rsidRPr="00702A15">
        <w:rPr>
          <w:rFonts w:ascii="Arial" w:hAnsi="Arial" w:cs="Arial"/>
          <w:sz w:val="24"/>
          <w:szCs w:val="24"/>
          <w:vertAlign w:val="superscript"/>
          <w:lang w:val="it-IT"/>
        </w:rPr>
        <w:t>2+</w:t>
      </w:r>
      <w:r w:rsidRPr="00702A15">
        <w:rPr>
          <w:rFonts w:ascii="Arial" w:hAnsi="Arial" w:cs="Arial"/>
          <w:sz w:val="24"/>
          <w:szCs w:val="24"/>
          <w:lang w:val="it-IT"/>
        </w:rPr>
        <w:t>), Magneziu (Mg</w:t>
      </w:r>
      <w:r w:rsidRPr="00702A15">
        <w:rPr>
          <w:rFonts w:ascii="Arial" w:hAnsi="Arial" w:cs="Arial"/>
          <w:sz w:val="24"/>
          <w:szCs w:val="24"/>
          <w:vertAlign w:val="superscript"/>
          <w:lang w:val="it-IT"/>
        </w:rPr>
        <w:t>2+</w:t>
      </w:r>
      <w:r w:rsidRPr="00702A15">
        <w:rPr>
          <w:rFonts w:ascii="Arial" w:hAnsi="Arial" w:cs="Arial"/>
          <w:sz w:val="24"/>
          <w:szCs w:val="24"/>
          <w:lang w:val="it-IT"/>
        </w:rPr>
        <w:t>).</w:t>
      </w:r>
    </w:p>
    <w:p w:rsidR="00420717" w:rsidRPr="00702A15" w:rsidRDefault="00420717" w:rsidP="00420717">
      <w:pPr>
        <w:spacing w:after="0" w:line="240" w:lineRule="auto"/>
        <w:jc w:val="both"/>
        <w:rPr>
          <w:rFonts w:ascii="Arial" w:hAnsi="Arial" w:cs="Arial"/>
          <w:b/>
          <w:sz w:val="24"/>
          <w:szCs w:val="24"/>
        </w:rPr>
      </w:pPr>
      <w:r w:rsidRPr="00702A15">
        <w:rPr>
          <w:rFonts w:ascii="Arial" w:hAnsi="Arial" w:cs="Arial"/>
          <w:b/>
          <w:sz w:val="24"/>
          <w:szCs w:val="24"/>
        </w:rPr>
        <w:t>Corpul ROIL08 - Urziceni</w:t>
      </w:r>
      <w:r w:rsidRPr="00702A15">
        <w:rPr>
          <w:rFonts w:ascii="Arial" w:hAnsi="Arial" w:cs="Arial"/>
          <w:sz w:val="24"/>
          <w:szCs w:val="24"/>
        </w:rPr>
        <w:tab/>
        <w:t xml:space="preserve"> </w:t>
      </w:r>
    </w:p>
    <w:p w:rsidR="00420717" w:rsidRPr="00702A15" w:rsidRDefault="00420717" w:rsidP="00420717">
      <w:pPr>
        <w:spacing w:after="0" w:line="240" w:lineRule="auto"/>
        <w:jc w:val="both"/>
        <w:rPr>
          <w:rFonts w:ascii="Arial" w:hAnsi="Arial" w:cs="Arial"/>
          <w:iCs/>
          <w:sz w:val="24"/>
          <w:szCs w:val="24"/>
        </w:rPr>
      </w:pPr>
      <w:r w:rsidRPr="00702A15">
        <w:rPr>
          <w:rFonts w:ascii="Arial" w:hAnsi="Arial" w:cs="Arial"/>
          <w:iCs/>
          <w:sz w:val="24"/>
          <w:szCs w:val="24"/>
          <w:lang w:val="it-IT"/>
        </w:rPr>
        <w:t>În anul 2014 în acest corp de apă au fost programate pentru monitorizare cantitativă (nivel)  21 foraje.</w:t>
      </w:r>
      <w:r w:rsidRPr="00702A15">
        <w:rPr>
          <w:rFonts w:ascii="Arial" w:hAnsi="Arial" w:cs="Arial"/>
          <w:iCs/>
          <w:sz w:val="24"/>
          <w:szCs w:val="24"/>
        </w:rPr>
        <w:t xml:space="preserve"> </w:t>
      </w: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Pentru evaluarea stării calitative, </w:t>
      </w:r>
      <w:r w:rsidRPr="00702A15">
        <w:rPr>
          <w:rFonts w:ascii="Arial" w:hAnsi="Arial" w:cs="Arial"/>
          <w:iCs/>
          <w:sz w:val="24"/>
          <w:szCs w:val="24"/>
        </w:rPr>
        <w:t>s-au monitorizat 12 foraje</w:t>
      </w:r>
      <w:r w:rsidRPr="00702A15">
        <w:rPr>
          <w:rFonts w:ascii="Arial" w:hAnsi="Arial" w:cs="Arial"/>
          <w:sz w:val="24"/>
          <w:szCs w:val="24"/>
        </w:rPr>
        <w:t xml:space="preserve">. Acestea sunt: </w:t>
      </w:r>
    </w:p>
    <w:p w:rsidR="00420717" w:rsidRPr="00702A15" w:rsidRDefault="00420717" w:rsidP="00420717">
      <w:pPr>
        <w:spacing w:after="0" w:line="240" w:lineRule="auto"/>
        <w:jc w:val="both"/>
        <w:rPr>
          <w:rFonts w:ascii="Arial" w:hAnsi="Arial" w:cs="Arial"/>
          <w:sz w:val="24"/>
          <w:szCs w:val="24"/>
        </w:rPr>
      </w:pPr>
    </w:p>
    <w:tbl>
      <w:tblPr>
        <w:tblW w:w="5580" w:type="dxa"/>
        <w:tblInd w:w="2087" w:type="dxa"/>
        <w:tblCellMar>
          <w:left w:w="0" w:type="dxa"/>
          <w:right w:w="0" w:type="dxa"/>
        </w:tblCellMar>
        <w:tblLook w:val="00A0"/>
      </w:tblPr>
      <w:tblGrid>
        <w:gridCol w:w="3780"/>
        <w:gridCol w:w="1800"/>
      </w:tblGrid>
      <w:tr w:rsidR="00420717" w:rsidRPr="00702A15" w:rsidTr="00D92384">
        <w:trPr>
          <w:trHeight w:val="300"/>
        </w:trPr>
        <w:tc>
          <w:tcPr>
            <w:tcW w:w="378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VALEA CIORII</w:t>
            </w:r>
          </w:p>
        </w:tc>
        <w:tc>
          <w:tcPr>
            <w:tcW w:w="180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GRINDU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CÎMPENI (BĂDENI MILUI</w:t>
            </w:r>
            <w:r>
              <w:rPr>
                <w:rFonts w:ascii="Arial" w:hAnsi="Arial" w:cs="Arial"/>
                <w:bCs/>
                <w:sz w:val="24"/>
                <w:szCs w:val="24"/>
              </w:rPr>
              <w:t>Ţ</w:t>
            </w:r>
            <w:r w:rsidRPr="00702A15">
              <w:rPr>
                <w:rFonts w:ascii="Arial" w:hAnsi="Arial" w:cs="Arial"/>
                <w:bCs/>
                <w:sz w:val="24"/>
                <w:szCs w:val="24"/>
              </w:rPr>
              <w:t>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F4</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MANASIA-SPETENI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F4</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ION ROATĂ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FLORICA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GLODEANU SILI</w:t>
            </w:r>
            <w:r>
              <w:rPr>
                <w:rFonts w:ascii="Arial" w:hAnsi="Arial" w:cs="Arial"/>
                <w:bCs/>
                <w:sz w:val="24"/>
                <w:szCs w:val="24"/>
              </w:rPr>
              <w:t>Ş</w:t>
            </w:r>
            <w:r w:rsidRPr="00702A15">
              <w:rPr>
                <w:rFonts w:ascii="Arial" w:hAnsi="Arial" w:cs="Arial"/>
                <w:bCs/>
                <w:sz w:val="24"/>
                <w:szCs w:val="24"/>
              </w:rPr>
              <w:t>TEA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MILO</w:t>
            </w:r>
            <w:r>
              <w:rPr>
                <w:rFonts w:ascii="Arial" w:hAnsi="Arial" w:cs="Arial"/>
                <w:bCs/>
                <w:sz w:val="24"/>
                <w:szCs w:val="24"/>
              </w:rPr>
              <w:t>Ş</w:t>
            </w:r>
            <w:r w:rsidRPr="00702A15">
              <w:rPr>
                <w:rFonts w:ascii="Arial" w:hAnsi="Arial" w:cs="Arial"/>
                <w:bCs/>
                <w:sz w:val="24"/>
                <w:szCs w:val="24"/>
              </w:rPr>
              <w:t>ESTI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CIORANCA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lastRenderedPageBreak/>
              <w:t>COLELIA SUD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IAZU ORD.II</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7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CĂZĂNE</w:t>
            </w:r>
            <w:r>
              <w:rPr>
                <w:rFonts w:ascii="Arial" w:hAnsi="Arial" w:cs="Arial"/>
                <w:bCs/>
                <w:sz w:val="24"/>
                <w:szCs w:val="24"/>
              </w:rPr>
              <w:t>Ş</w:t>
            </w:r>
            <w:r w:rsidRPr="00702A15">
              <w:rPr>
                <w:rFonts w:ascii="Arial" w:hAnsi="Arial" w:cs="Arial"/>
                <w:bCs/>
                <w:sz w:val="24"/>
                <w:szCs w:val="24"/>
              </w:rPr>
              <w:t>TI-CIOCHINA</w:t>
            </w:r>
          </w:p>
        </w:tc>
        <w:tc>
          <w:tcPr>
            <w:tcW w:w="180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bl>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Indicatorii care au determinat starea chimică a corpului de apă au fost: Nitra</w:t>
      </w:r>
      <w:r>
        <w:rPr>
          <w:rFonts w:ascii="Arial" w:hAnsi="Arial" w:cs="Arial"/>
          <w:sz w:val="24"/>
          <w:szCs w:val="24"/>
          <w:lang w:val="it-IT"/>
        </w:rPr>
        <w:t>ţ</w:t>
      </w:r>
      <w:r w:rsidRPr="00702A15">
        <w:rPr>
          <w:rFonts w:ascii="Arial" w:hAnsi="Arial" w:cs="Arial"/>
          <w:sz w:val="24"/>
          <w:szCs w:val="24"/>
          <w:lang w:val="it-IT"/>
        </w:rPr>
        <w:t xml:space="preserve">i </w:t>
      </w:r>
      <w:r w:rsidRPr="00702A15">
        <w:rPr>
          <w:rFonts w:ascii="Arial" w:hAnsi="Arial" w:cs="Arial"/>
          <w:b/>
          <w:sz w:val="24"/>
          <w:szCs w:val="24"/>
          <w:lang w:val="it-IT"/>
        </w:rPr>
        <w:t>(</w:t>
      </w:r>
      <w:r w:rsidRPr="00702A15">
        <w:rPr>
          <w:rFonts w:ascii="Arial" w:hAnsi="Arial" w:cs="Arial"/>
          <w:sz w:val="24"/>
          <w:szCs w:val="24"/>
          <w:lang w:val="it-IT"/>
        </w:rPr>
        <w:t>NO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Amoniu (NH</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w:t>
      </w:r>
      <w:r w:rsidRPr="00702A15">
        <w:rPr>
          <w:rFonts w:ascii="Arial" w:hAnsi="Arial" w:cs="Arial"/>
          <w:sz w:val="24"/>
          <w:szCs w:val="24"/>
          <w:lang w:val="it-IT"/>
        </w:rPr>
        <w:t>), Cloruri (Cl</w:t>
      </w:r>
      <w:r w:rsidRPr="00702A15">
        <w:rPr>
          <w:rFonts w:ascii="Arial" w:hAnsi="Arial" w:cs="Arial"/>
          <w:sz w:val="24"/>
          <w:szCs w:val="24"/>
          <w:vertAlign w:val="superscript"/>
          <w:lang w:val="it-IT"/>
        </w:rPr>
        <w:t>-</w:t>
      </w:r>
      <w:r w:rsidRPr="00702A15">
        <w:rPr>
          <w:rFonts w:ascii="Arial" w:hAnsi="Arial" w:cs="Arial"/>
          <w:sz w:val="24"/>
          <w:szCs w:val="24"/>
          <w:lang w:val="it-IT"/>
        </w:rPr>
        <w:t>), Sulfa</w:t>
      </w:r>
      <w:r>
        <w:rPr>
          <w:rFonts w:ascii="Arial" w:hAnsi="Arial" w:cs="Arial"/>
          <w:sz w:val="24"/>
          <w:szCs w:val="24"/>
          <w:lang w:val="it-IT"/>
        </w:rPr>
        <w:t>ţ</w:t>
      </w:r>
      <w:r w:rsidRPr="00702A15">
        <w:rPr>
          <w:rFonts w:ascii="Arial" w:hAnsi="Arial" w:cs="Arial"/>
          <w:sz w:val="24"/>
          <w:szCs w:val="24"/>
          <w:lang w:val="it-IT"/>
        </w:rPr>
        <w:t>i (SO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2+</w:t>
      </w:r>
      <w:r w:rsidRPr="00702A15">
        <w:rPr>
          <w:rFonts w:ascii="Arial" w:hAnsi="Arial" w:cs="Arial"/>
          <w:sz w:val="24"/>
          <w:szCs w:val="24"/>
          <w:lang w:val="it-IT"/>
        </w:rPr>
        <w:t>), Nitri</w:t>
      </w:r>
      <w:r>
        <w:rPr>
          <w:rFonts w:ascii="Arial" w:hAnsi="Arial" w:cs="Arial"/>
          <w:sz w:val="24"/>
          <w:szCs w:val="24"/>
          <w:lang w:val="it-IT"/>
        </w:rPr>
        <w:t>ţ</w:t>
      </w:r>
      <w:r w:rsidRPr="00702A15">
        <w:rPr>
          <w:rFonts w:ascii="Arial" w:hAnsi="Arial" w:cs="Arial"/>
          <w:sz w:val="24"/>
          <w:szCs w:val="24"/>
          <w:lang w:val="it-IT"/>
        </w:rPr>
        <w:t>i (NO</w:t>
      </w:r>
      <w:r w:rsidRPr="00702A15">
        <w:rPr>
          <w:rFonts w:ascii="Arial" w:hAnsi="Arial" w:cs="Arial"/>
          <w:sz w:val="24"/>
          <w:szCs w:val="24"/>
          <w:vertAlign w:val="subscript"/>
          <w:lang w:val="it-IT"/>
        </w:rPr>
        <w:t>2</w:t>
      </w:r>
      <w:r w:rsidRPr="00702A15">
        <w:rPr>
          <w:rFonts w:ascii="Arial" w:hAnsi="Arial" w:cs="Arial"/>
          <w:sz w:val="24"/>
          <w:szCs w:val="24"/>
          <w:vertAlign w:val="superscript"/>
          <w:lang w:val="it-IT"/>
        </w:rPr>
        <w:t>-</w:t>
      </w:r>
      <w:r w:rsidRPr="00702A15">
        <w:rPr>
          <w:rFonts w:ascii="Arial" w:hAnsi="Arial" w:cs="Arial"/>
          <w:sz w:val="24"/>
          <w:szCs w:val="24"/>
          <w:lang w:val="it-IT"/>
        </w:rPr>
        <w:t xml:space="preserve">) </w:t>
      </w:r>
      <w:r>
        <w:rPr>
          <w:rFonts w:ascii="Arial" w:hAnsi="Arial" w:cs="Arial"/>
          <w:sz w:val="24"/>
          <w:szCs w:val="24"/>
          <w:lang w:val="it-IT"/>
        </w:rPr>
        <w:t>ş</w:t>
      </w:r>
      <w:r w:rsidRPr="00702A15">
        <w:rPr>
          <w:rFonts w:ascii="Arial" w:hAnsi="Arial" w:cs="Arial"/>
          <w:sz w:val="24"/>
          <w:szCs w:val="24"/>
          <w:lang w:val="it-IT"/>
        </w:rPr>
        <w:t>i ortofosfa</w:t>
      </w:r>
      <w:r>
        <w:rPr>
          <w:rFonts w:ascii="Arial" w:hAnsi="Arial" w:cs="Arial"/>
          <w:sz w:val="24"/>
          <w:szCs w:val="24"/>
          <w:lang w:val="it-IT"/>
        </w:rPr>
        <w:t>ţ</w:t>
      </w:r>
      <w:r w:rsidRPr="00702A15">
        <w:rPr>
          <w:rFonts w:ascii="Arial" w:hAnsi="Arial" w:cs="Arial"/>
          <w:sz w:val="24"/>
          <w:szCs w:val="24"/>
          <w:lang w:val="it-IT"/>
        </w:rPr>
        <w:t>i solubili (PO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3-</w:t>
      </w:r>
      <w:r w:rsidRPr="00702A15">
        <w:rPr>
          <w:rFonts w:ascii="Arial" w:hAnsi="Arial" w:cs="Arial"/>
          <w:sz w:val="24"/>
          <w:szCs w:val="24"/>
          <w:lang w:val="it-IT"/>
        </w:rPr>
        <w:t>).</w:t>
      </w:r>
    </w:p>
    <w:p w:rsidR="00420717"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Depă</w:t>
      </w:r>
      <w:r>
        <w:rPr>
          <w:rFonts w:ascii="Arial" w:hAnsi="Arial" w:cs="Arial"/>
          <w:sz w:val="24"/>
          <w:szCs w:val="24"/>
          <w:lang w:val="it-IT"/>
        </w:rPr>
        <w:t>ş</w:t>
      </w:r>
      <w:r w:rsidRPr="00702A15">
        <w:rPr>
          <w:rFonts w:ascii="Arial" w:hAnsi="Arial" w:cs="Arial"/>
          <w:sz w:val="24"/>
          <w:szCs w:val="24"/>
          <w:lang w:val="it-IT"/>
        </w:rPr>
        <w:t>iri fa</w:t>
      </w:r>
      <w:r>
        <w:rPr>
          <w:rFonts w:ascii="Arial" w:hAnsi="Arial" w:cs="Arial"/>
          <w:sz w:val="24"/>
          <w:szCs w:val="24"/>
          <w:lang w:val="it-IT"/>
        </w:rPr>
        <w:t>ţ</w:t>
      </w:r>
      <w:r w:rsidRPr="00702A15">
        <w:rPr>
          <w:rFonts w:ascii="Arial" w:hAnsi="Arial" w:cs="Arial"/>
          <w:sz w:val="24"/>
          <w:szCs w:val="24"/>
          <w:lang w:val="it-IT"/>
        </w:rPr>
        <w:t>ă de valorile prag s-au constatat la: 1 foraj pentru sulfa</w:t>
      </w:r>
      <w:r>
        <w:rPr>
          <w:rFonts w:ascii="Arial" w:hAnsi="Arial" w:cs="Arial"/>
          <w:sz w:val="24"/>
          <w:szCs w:val="24"/>
          <w:lang w:val="it-IT"/>
        </w:rPr>
        <w:t>ţ</w:t>
      </w:r>
      <w:r w:rsidRPr="00702A15">
        <w:rPr>
          <w:rFonts w:ascii="Arial" w:hAnsi="Arial" w:cs="Arial"/>
          <w:sz w:val="24"/>
          <w:szCs w:val="24"/>
          <w:lang w:val="it-IT"/>
        </w:rPr>
        <w:t>i (Milo</w:t>
      </w:r>
      <w:r>
        <w:rPr>
          <w:rFonts w:ascii="Arial" w:hAnsi="Arial" w:cs="Arial"/>
          <w:sz w:val="24"/>
          <w:szCs w:val="24"/>
          <w:lang w:val="it-IT"/>
        </w:rPr>
        <w:t>ş</w:t>
      </w:r>
      <w:r w:rsidRPr="00702A15">
        <w:rPr>
          <w:rFonts w:ascii="Arial" w:hAnsi="Arial" w:cs="Arial"/>
          <w:sz w:val="24"/>
          <w:szCs w:val="24"/>
          <w:lang w:val="it-IT"/>
        </w:rPr>
        <w:t>e</w:t>
      </w:r>
      <w:r>
        <w:rPr>
          <w:rFonts w:ascii="Arial" w:hAnsi="Arial" w:cs="Arial"/>
          <w:sz w:val="24"/>
          <w:szCs w:val="24"/>
          <w:lang w:val="it-IT"/>
        </w:rPr>
        <w:t>ş</w:t>
      </w:r>
      <w:r w:rsidRPr="00702A15">
        <w:rPr>
          <w:rFonts w:ascii="Arial" w:hAnsi="Arial" w:cs="Arial"/>
          <w:sz w:val="24"/>
          <w:szCs w:val="24"/>
          <w:lang w:val="it-IT"/>
        </w:rPr>
        <w:t xml:space="preserve">ti Ord.II F1) </w:t>
      </w:r>
      <w:r>
        <w:rPr>
          <w:rFonts w:ascii="Arial" w:hAnsi="Arial" w:cs="Arial"/>
          <w:sz w:val="24"/>
          <w:szCs w:val="24"/>
          <w:lang w:val="it-IT"/>
        </w:rPr>
        <w:t>ş</w:t>
      </w:r>
      <w:r w:rsidRPr="00702A15">
        <w:rPr>
          <w:rFonts w:ascii="Arial" w:hAnsi="Arial" w:cs="Arial"/>
          <w:sz w:val="24"/>
          <w:szCs w:val="24"/>
          <w:lang w:val="it-IT"/>
        </w:rPr>
        <w:t>i 1 foraj pentru azota</w:t>
      </w:r>
      <w:r>
        <w:rPr>
          <w:rFonts w:ascii="Arial" w:hAnsi="Arial" w:cs="Arial"/>
          <w:sz w:val="24"/>
          <w:szCs w:val="24"/>
          <w:lang w:val="it-IT"/>
        </w:rPr>
        <w:t>ţ</w:t>
      </w:r>
      <w:r w:rsidRPr="00702A15">
        <w:rPr>
          <w:rFonts w:ascii="Arial" w:hAnsi="Arial" w:cs="Arial"/>
          <w:sz w:val="24"/>
          <w:szCs w:val="24"/>
          <w:lang w:val="it-IT"/>
        </w:rPr>
        <w:t>i (Cioranca Ord.II F1).</w:t>
      </w:r>
    </w:p>
    <w:p w:rsidR="005864AC" w:rsidRPr="00702A15" w:rsidRDefault="005864AC" w:rsidP="00420717">
      <w:pPr>
        <w:spacing w:after="0" w:line="240" w:lineRule="auto"/>
        <w:jc w:val="both"/>
        <w:rPr>
          <w:rFonts w:ascii="Arial" w:hAnsi="Arial" w:cs="Arial"/>
          <w:sz w:val="24"/>
          <w:szCs w:val="24"/>
          <w:lang w:val="it-IT"/>
        </w:rPr>
      </w:pPr>
    </w:p>
    <w:tbl>
      <w:tblPr>
        <w:tblW w:w="7369" w:type="dxa"/>
        <w:tblInd w:w="1098" w:type="dxa"/>
        <w:tblLook w:val="00A0"/>
      </w:tblPr>
      <w:tblGrid>
        <w:gridCol w:w="2520"/>
        <w:gridCol w:w="2790"/>
        <w:gridCol w:w="677"/>
        <w:gridCol w:w="1382"/>
      </w:tblGrid>
      <w:tr w:rsidR="00420717" w:rsidRPr="00702A15" w:rsidTr="00D92384">
        <w:trPr>
          <w:trHeight w:val="344"/>
        </w:trPr>
        <w:tc>
          <w:tcPr>
            <w:tcW w:w="2520"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depă</w:t>
            </w:r>
            <w:r>
              <w:rPr>
                <w:rFonts w:ascii="Arial" w:hAnsi="Arial" w:cs="Arial"/>
                <w:bCs/>
                <w:sz w:val="24"/>
                <w:szCs w:val="24"/>
              </w:rPr>
              <w:t>ş</w:t>
            </w:r>
            <w:r w:rsidRPr="00702A15">
              <w:rPr>
                <w:rFonts w:ascii="Arial" w:hAnsi="Arial" w:cs="Arial"/>
                <w:bCs/>
                <w:sz w:val="24"/>
                <w:szCs w:val="24"/>
              </w:rPr>
              <w:t>ire SO4</w:t>
            </w:r>
          </w:p>
        </w:tc>
        <w:tc>
          <w:tcPr>
            <w:tcW w:w="279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MILO</w:t>
            </w:r>
            <w:r>
              <w:rPr>
                <w:rFonts w:ascii="Arial" w:hAnsi="Arial" w:cs="Arial"/>
                <w:bCs/>
                <w:sz w:val="24"/>
                <w:szCs w:val="24"/>
              </w:rPr>
              <w:t>Ş</w:t>
            </w:r>
            <w:r w:rsidRPr="00702A15">
              <w:rPr>
                <w:rFonts w:ascii="Arial" w:hAnsi="Arial" w:cs="Arial"/>
                <w:bCs/>
                <w:sz w:val="24"/>
                <w:szCs w:val="24"/>
              </w:rPr>
              <w:t>E</w:t>
            </w:r>
            <w:r>
              <w:rPr>
                <w:rFonts w:ascii="Arial" w:hAnsi="Arial" w:cs="Arial"/>
                <w:bCs/>
                <w:sz w:val="24"/>
                <w:szCs w:val="24"/>
              </w:rPr>
              <w:t>Ş</w:t>
            </w:r>
            <w:r w:rsidRPr="00702A15">
              <w:rPr>
                <w:rFonts w:ascii="Arial" w:hAnsi="Arial" w:cs="Arial"/>
                <w:bCs/>
                <w:sz w:val="24"/>
                <w:szCs w:val="24"/>
              </w:rPr>
              <w:t>TI ORD. II</w:t>
            </w:r>
          </w:p>
        </w:tc>
        <w:tc>
          <w:tcPr>
            <w:tcW w:w="677"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382"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616,35</w:t>
            </w:r>
          </w:p>
        </w:tc>
      </w:tr>
      <w:tr w:rsidR="00420717" w:rsidRPr="00702A15" w:rsidTr="00D92384">
        <w:trPr>
          <w:trHeight w:val="485"/>
        </w:trPr>
        <w:tc>
          <w:tcPr>
            <w:tcW w:w="2520" w:type="dxa"/>
            <w:tcBorders>
              <w:top w:val="nil"/>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depă</w:t>
            </w:r>
            <w:r>
              <w:rPr>
                <w:rFonts w:ascii="Arial" w:hAnsi="Arial" w:cs="Arial"/>
                <w:bCs/>
                <w:sz w:val="24"/>
                <w:szCs w:val="24"/>
              </w:rPr>
              <w:t>ş</w:t>
            </w:r>
            <w:r w:rsidRPr="00702A15">
              <w:rPr>
                <w:rFonts w:ascii="Arial" w:hAnsi="Arial" w:cs="Arial"/>
                <w:bCs/>
                <w:sz w:val="24"/>
                <w:szCs w:val="24"/>
              </w:rPr>
              <w:t>ire NO3</w:t>
            </w:r>
          </w:p>
        </w:tc>
        <w:tc>
          <w:tcPr>
            <w:tcW w:w="2790"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CIORANCA ORD.II</w:t>
            </w:r>
          </w:p>
        </w:tc>
        <w:tc>
          <w:tcPr>
            <w:tcW w:w="677"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382" w:type="dxa"/>
            <w:tcBorders>
              <w:top w:val="nil"/>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57,5</w:t>
            </w:r>
          </w:p>
        </w:tc>
      </w:tr>
    </w:tbl>
    <w:p w:rsidR="005864AC" w:rsidRDefault="005864AC" w:rsidP="00420717">
      <w:pPr>
        <w:spacing w:after="0" w:line="240" w:lineRule="auto"/>
        <w:jc w:val="both"/>
        <w:rPr>
          <w:rFonts w:ascii="Arial" w:hAnsi="Arial" w:cs="Arial"/>
          <w:sz w:val="24"/>
          <w:szCs w:val="24"/>
          <w:lang w:val="it-IT"/>
        </w:rPr>
      </w:pP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 xml:space="preserve">Corpul de apă subterană este în </w:t>
      </w:r>
      <w:r w:rsidRPr="00702A15">
        <w:rPr>
          <w:rFonts w:ascii="Arial" w:hAnsi="Arial" w:cs="Arial"/>
          <w:b/>
          <w:sz w:val="24"/>
          <w:szCs w:val="24"/>
          <w:lang w:val="it-IT"/>
        </w:rPr>
        <w:t>stare calitativă (chimică) bună.</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Conform Manualului de Operare pentru 2014, au mai fost monitorizati parametri fizico-chimici, care nu intră în evaluarea stării chimice. Acestia sunt:</w:t>
      </w:r>
      <w:r w:rsidRPr="00702A15">
        <w:rPr>
          <w:rFonts w:ascii="Arial" w:hAnsi="Arial" w:cs="Arial"/>
          <w:b/>
          <w:i/>
          <w:sz w:val="24"/>
          <w:szCs w:val="24"/>
          <w:lang w:val="it-IT"/>
        </w:rPr>
        <w:t xml:space="preserve"> </w:t>
      </w:r>
      <w:r w:rsidRPr="00702A15">
        <w:rPr>
          <w:rFonts w:ascii="Arial" w:hAnsi="Arial" w:cs="Arial"/>
          <w:sz w:val="24"/>
          <w:szCs w:val="24"/>
          <w:lang w:val="it-IT"/>
        </w:rPr>
        <w:t>pH, oxigen dizolvat (OD), conductivitate, alcalinitatea totală, bicarbona</w:t>
      </w:r>
      <w:r>
        <w:rPr>
          <w:rFonts w:ascii="Arial" w:hAnsi="Arial" w:cs="Arial"/>
          <w:sz w:val="24"/>
          <w:szCs w:val="24"/>
          <w:lang w:val="it-IT"/>
        </w:rPr>
        <w:t>ţ</w:t>
      </w:r>
      <w:r w:rsidRPr="00702A15">
        <w:rPr>
          <w:rFonts w:ascii="Arial" w:hAnsi="Arial" w:cs="Arial"/>
          <w:sz w:val="24"/>
          <w:szCs w:val="24"/>
          <w:lang w:val="it-IT"/>
        </w:rPr>
        <w:t>i (HCO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Sodiu (Na</w:t>
      </w:r>
      <w:r w:rsidRPr="00702A15">
        <w:rPr>
          <w:rFonts w:ascii="Arial" w:hAnsi="Arial" w:cs="Arial"/>
          <w:sz w:val="24"/>
          <w:szCs w:val="24"/>
          <w:vertAlign w:val="superscript"/>
          <w:lang w:val="it-IT"/>
        </w:rPr>
        <w:t>+</w:t>
      </w:r>
      <w:r w:rsidRPr="00702A15">
        <w:rPr>
          <w:rFonts w:ascii="Arial" w:hAnsi="Arial" w:cs="Arial"/>
          <w:sz w:val="24"/>
          <w:szCs w:val="24"/>
          <w:lang w:val="it-IT"/>
        </w:rPr>
        <w:t>), Potasiu (K</w:t>
      </w:r>
      <w:r w:rsidRPr="00702A15">
        <w:rPr>
          <w:rFonts w:ascii="Arial" w:hAnsi="Arial" w:cs="Arial"/>
          <w:sz w:val="24"/>
          <w:szCs w:val="24"/>
          <w:vertAlign w:val="superscript"/>
          <w:lang w:val="it-IT"/>
        </w:rPr>
        <w:t>+</w:t>
      </w:r>
      <w:r w:rsidRPr="00702A15">
        <w:rPr>
          <w:rFonts w:ascii="Arial" w:hAnsi="Arial" w:cs="Arial"/>
          <w:sz w:val="24"/>
          <w:szCs w:val="24"/>
          <w:lang w:val="it-IT"/>
        </w:rPr>
        <w:t>), Calciu (Ca</w:t>
      </w:r>
      <w:r w:rsidRPr="00702A15">
        <w:rPr>
          <w:rFonts w:ascii="Arial" w:hAnsi="Arial" w:cs="Arial"/>
          <w:sz w:val="24"/>
          <w:szCs w:val="24"/>
          <w:vertAlign w:val="superscript"/>
          <w:lang w:val="it-IT"/>
        </w:rPr>
        <w:t>2+</w:t>
      </w:r>
      <w:r w:rsidRPr="00702A15">
        <w:rPr>
          <w:rFonts w:ascii="Arial" w:hAnsi="Arial" w:cs="Arial"/>
          <w:sz w:val="24"/>
          <w:szCs w:val="24"/>
          <w:lang w:val="it-IT"/>
        </w:rPr>
        <w:t>), Magneziu (Mg</w:t>
      </w:r>
      <w:r w:rsidRPr="00702A15">
        <w:rPr>
          <w:rFonts w:ascii="Arial" w:hAnsi="Arial" w:cs="Arial"/>
          <w:sz w:val="24"/>
          <w:szCs w:val="24"/>
          <w:vertAlign w:val="superscript"/>
          <w:lang w:val="it-IT"/>
        </w:rPr>
        <w:t>2+</w:t>
      </w:r>
      <w:r w:rsidRPr="00702A15">
        <w:rPr>
          <w:rFonts w:ascii="Arial" w:hAnsi="Arial" w:cs="Arial"/>
          <w:sz w:val="24"/>
          <w:szCs w:val="24"/>
          <w:lang w:val="it-IT"/>
        </w:rPr>
        <w:t>).</w:t>
      </w:r>
    </w:p>
    <w:p w:rsidR="00420717" w:rsidRPr="00702A15" w:rsidRDefault="00420717" w:rsidP="00420717">
      <w:pPr>
        <w:spacing w:after="0" w:line="240" w:lineRule="auto"/>
        <w:jc w:val="both"/>
        <w:rPr>
          <w:rFonts w:ascii="Arial" w:hAnsi="Arial" w:cs="Arial"/>
          <w:b/>
          <w:sz w:val="24"/>
          <w:szCs w:val="24"/>
          <w:lang w:val="it-IT"/>
        </w:rPr>
      </w:pPr>
      <w:r w:rsidRPr="00702A15">
        <w:rPr>
          <w:rFonts w:ascii="Arial" w:hAnsi="Arial" w:cs="Arial"/>
          <w:b/>
          <w:sz w:val="24"/>
          <w:szCs w:val="24"/>
          <w:lang w:val="it-IT"/>
        </w:rPr>
        <w:t>Corpul ROIL09 - Călmăţuiul de sud</w:t>
      </w:r>
    </w:p>
    <w:p w:rsidR="00420717" w:rsidRPr="00702A15" w:rsidRDefault="00420717" w:rsidP="00420717">
      <w:pPr>
        <w:spacing w:after="0" w:line="240" w:lineRule="auto"/>
        <w:jc w:val="both"/>
        <w:rPr>
          <w:rFonts w:ascii="Arial" w:hAnsi="Arial" w:cs="Arial"/>
          <w:iCs/>
          <w:sz w:val="24"/>
          <w:szCs w:val="24"/>
          <w:lang w:val="it-IT"/>
        </w:rPr>
      </w:pPr>
      <w:r w:rsidRPr="00702A15">
        <w:rPr>
          <w:rFonts w:ascii="Arial" w:hAnsi="Arial" w:cs="Arial"/>
          <w:iCs/>
          <w:sz w:val="24"/>
          <w:szCs w:val="24"/>
          <w:lang w:val="it-IT"/>
        </w:rPr>
        <w:t>În anul 2014 în acest corp de apă au fost programate pentru monitorizare cantitativă (nivel)  24 foraje.</w:t>
      </w:r>
    </w:p>
    <w:p w:rsidR="00420717" w:rsidRDefault="00420717" w:rsidP="00420717">
      <w:pPr>
        <w:spacing w:after="0" w:line="240" w:lineRule="auto"/>
        <w:jc w:val="both"/>
        <w:rPr>
          <w:rFonts w:ascii="Arial" w:hAnsi="Arial" w:cs="Arial"/>
          <w:iCs/>
          <w:sz w:val="24"/>
          <w:szCs w:val="24"/>
          <w:lang w:val="it-IT"/>
        </w:rPr>
      </w:pPr>
      <w:r w:rsidRPr="00702A15">
        <w:rPr>
          <w:rFonts w:ascii="Arial" w:hAnsi="Arial" w:cs="Arial"/>
          <w:iCs/>
          <w:sz w:val="24"/>
          <w:szCs w:val="24"/>
          <w:lang w:val="it-IT"/>
        </w:rPr>
        <w:t xml:space="preserve">Pentru evaluarea stării chimice a acestui corp de apă, în anul 2014 s-au monitorizat </w:t>
      </w:r>
      <w:r>
        <w:rPr>
          <w:rFonts w:ascii="Arial" w:hAnsi="Arial" w:cs="Arial"/>
          <w:iCs/>
          <w:sz w:val="24"/>
          <w:szCs w:val="24"/>
          <w:lang w:val="it-IT"/>
        </w:rPr>
        <w:t>ş</w:t>
      </w:r>
      <w:r w:rsidRPr="00702A15">
        <w:rPr>
          <w:rFonts w:ascii="Arial" w:hAnsi="Arial" w:cs="Arial"/>
          <w:iCs/>
          <w:sz w:val="24"/>
          <w:szCs w:val="24"/>
          <w:lang w:val="it-IT"/>
        </w:rPr>
        <w:t>i calitativ 12 foraje care apar</w:t>
      </w:r>
      <w:r>
        <w:rPr>
          <w:rFonts w:ascii="Arial" w:hAnsi="Arial" w:cs="Arial"/>
          <w:iCs/>
          <w:sz w:val="24"/>
          <w:szCs w:val="24"/>
          <w:lang w:val="it-IT"/>
        </w:rPr>
        <w:t>ţ</w:t>
      </w:r>
      <w:r w:rsidRPr="00702A15">
        <w:rPr>
          <w:rFonts w:ascii="Arial" w:hAnsi="Arial" w:cs="Arial"/>
          <w:iCs/>
          <w:sz w:val="24"/>
          <w:szCs w:val="24"/>
          <w:lang w:val="it-IT"/>
        </w:rPr>
        <w:t>in re</w:t>
      </w:r>
      <w:r>
        <w:rPr>
          <w:rFonts w:ascii="Arial" w:hAnsi="Arial" w:cs="Arial"/>
          <w:iCs/>
          <w:sz w:val="24"/>
          <w:szCs w:val="24"/>
          <w:lang w:val="it-IT"/>
        </w:rPr>
        <w:t>ţ</w:t>
      </w:r>
      <w:r w:rsidRPr="00702A15">
        <w:rPr>
          <w:rFonts w:ascii="Arial" w:hAnsi="Arial" w:cs="Arial"/>
          <w:iCs/>
          <w:sz w:val="24"/>
          <w:szCs w:val="24"/>
          <w:lang w:val="it-IT"/>
        </w:rPr>
        <w:t>elei hidrogeologice na</w:t>
      </w:r>
      <w:r>
        <w:rPr>
          <w:rFonts w:ascii="Arial" w:hAnsi="Arial" w:cs="Arial"/>
          <w:iCs/>
          <w:sz w:val="24"/>
          <w:szCs w:val="24"/>
          <w:lang w:val="it-IT"/>
        </w:rPr>
        <w:t>ţ</w:t>
      </w:r>
      <w:r w:rsidRPr="00702A15">
        <w:rPr>
          <w:rFonts w:ascii="Arial" w:hAnsi="Arial" w:cs="Arial"/>
          <w:iCs/>
          <w:sz w:val="24"/>
          <w:szCs w:val="24"/>
          <w:lang w:val="it-IT"/>
        </w:rPr>
        <w:t>ionale:</w:t>
      </w:r>
    </w:p>
    <w:p w:rsidR="005864AC" w:rsidRPr="00702A15" w:rsidRDefault="005864AC" w:rsidP="00420717">
      <w:pPr>
        <w:spacing w:after="0" w:line="240" w:lineRule="auto"/>
        <w:jc w:val="both"/>
        <w:rPr>
          <w:rFonts w:ascii="Arial" w:hAnsi="Arial" w:cs="Arial"/>
          <w:iCs/>
          <w:sz w:val="24"/>
          <w:szCs w:val="24"/>
          <w:lang w:val="it-IT"/>
        </w:rPr>
      </w:pPr>
    </w:p>
    <w:tbl>
      <w:tblPr>
        <w:tblW w:w="5850" w:type="dxa"/>
        <w:tblInd w:w="1618" w:type="dxa"/>
        <w:tblLook w:val="00A0"/>
      </w:tblPr>
      <w:tblGrid>
        <w:gridCol w:w="4140"/>
        <w:gridCol w:w="1710"/>
      </w:tblGrid>
      <w:tr w:rsidR="00420717" w:rsidRPr="00702A15" w:rsidTr="00D92384">
        <w:trPr>
          <w:trHeight w:val="300"/>
        </w:trPr>
        <w:tc>
          <w:tcPr>
            <w:tcW w:w="4140" w:type="dxa"/>
            <w:tcBorders>
              <w:top w:val="single" w:sz="4" w:space="0" w:color="auto"/>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VICTORIA ORD.II</w:t>
            </w:r>
          </w:p>
        </w:tc>
        <w:tc>
          <w:tcPr>
            <w:tcW w:w="171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M.KOGALNICEANU ORD.II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LARGU ORD.II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BRĂDEANU ORD.II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CARAGELE (CILIBIA)</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ÎNSURĂ</w:t>
            </w:r>
            <w:r>
              <w:rPr>
                <w:rFonts w:ascii="Arial" w:hAnsi="Arial" w:cs="Arial"/>
                <w:bCs/>
                <w:sz w:val="24"/>
                <w:szCs w:val="24"/>
              </w:rPr>
              <w:t>Ţ</w:t>
            </w:r>
            <w:r w:rsidRPr="00702A15">
              <w:rPr>
                <w:rFonts w:ascii="Arial" w:hAnsi="Arial" w:cs="Arial"/>
                <w:bCs/>
                <w:sz w:val="24"/>
                <w:szCs w:val="24"/>
              </w:rPr>
              <w:t>EI ORD.II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MIHAI BRAVU ORD.II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GENERAL POETAS ORD.II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ZĂVOAIA ORD.II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single" w:sz="4" w:space="0" w:color="auto"/>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NICULE</w:t>
            </w:r>
            <w:r>
              <w:rPr>
                <w:rFonts w:ascii="Arial" w:hAnsi="Arial" w:cs="Arial"/>
                <w:bCs/>
                <w:sz w:val="24"/>
                <w:szCs w:val="24"/>
              </w:rPr>
              <w:t>Ş</w:t>
            </w:r>
            <w:r w:rsidRPr="00702A15">
              <w:rPr>
                <w:rFonts w:ascii="Arial" w:hAnsi="Arial" w:cs="Arial"/>
                <w:bCs/>
                <w:sz w:val="24"/>
                <w:szCs w:val="24"/>
              </w:rPr>
              <w:t>TI-JIANU ORD.II</w:t>
            </w:r>
          </w:p>
        </w:tc>
        <w:tc>
          <w:tcPr>
            <w:tcW w:w="171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single" w:sz="4" w:space="0" w:color="auto"/>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SMÎRDAN(BUZĂU) ORD.II</w:t>
            </w:r>
          </w:p>
        </w:tc>
        <w:tc>
          <w:tcPr>
            <w:tcW w:w="1710" w:type="dxa"/>
            <w:tcBorders>
              <w:top w:val="nil"/>
              <w:left w:val="nil"/>
              <w:bottom w:val="nil"/>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140" w:type="dxa"/>
            <w:tcBorders>
              <w:top w:val="single" w:sz="4" w:space="0" w:color="auto"/>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PADINA SUD ORD II</w:t>
            </w:r>
          </w:p>
        </w:tc>
        <w:tc>
          <w:tcPr>
            <w:tcW w:w="171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bl>
    <w:p w:rsidR="005864AC" w:rsidRDefault="005864AC" w:rsidP="00420717">
      <w:pPr>
        <w:spacing w:after="0" w:line="240" w:lineRule="auto"/>
        <w:jc w:val="both"/>
        <w:rPr>
          <w:rFonts w:ascii="Arial" w:hAnsi="Arial" w:cs="Arial"/>
          <w:sz w:val="24"/>
          <w:szCs w:val="24"/>
          <w:lang w:val="it-IT"/>
        </w:rPr>
      </w:pP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 xml:space="preserve">Indicatorii care au determinat starea corpului de apă </w:t>
      </w:r>
      <w:r>
        <w:rPr>
          <w:rFonts w:ascii="Arial" w:hAnsi="Arial" w:cs="Arial"/>
          <w:sz w:val="24"/>
          <w:szCs w:val="24"/>
          <w:lang w:val="it-IT"/>
        </w:rPr>
        <w:t>ş</w:t>
      </w:r>
      <w:r w:rsidRPr="00702A15">
        <w:rPr>
          <w:rFonts w:ascii="Arial" w:hAnsi="Arial" w:cs="Arial"/>
          <w:sz w:val="24"/>
          <w:szCs w:val="24"/>
          <w:lang w:val="it-IT"/>
        </w:rPr>
        <w:t>i pentru care sunt stabilite valori de prag, sunt:</w:t>
      </w:r>
      <w:r w:rsidRPr="00702A15">
        <w:rPr>
          <w:rFonts w:ascii="Arial" w:hAnsi="Arial" w:cs="Arial"/>
          <w:b/>
          <w:sz w:val="24"/>
          <w:szCs w:val="24"/>
          <w:lang w:val="it-IT"/>
        </w:rPr>
        <w:t xml:space="preserve"> </w:t>
      </w:r>
      <w:r w:rsidRPr="00702A15">
        <w:rPr>
          <w:rFonts w:ascii="Arial" w:hAnsi="Arial" w:cs="Arial"/>
          <w:sz w:val="24"/>
          <w:szCs w:val="24"/>
          <w:lang w:val="it-IT"/>
        </w:rPr>
        <w:t>Nitra</w:t>
      </w:r>
      <w:r>
        <w:rPr>
          <w:rFonts w:ascii="Arial" w:hAnsi="Arial" w:cs="Arial"/>
          <w:sz w:val="24"/>
          <w:szCs w:val="24"/>
          <w:lang w:val="it-IT"/>
        </w:rPr>
        <w:t>ţ</w:t>
      </w:r>
      <w:r w:rsidRPr="00702A15">
        <w:rPr>
          <w:rFonts w:ascii="Arial" w:hAnsi="Arial" w:cs="Arial"/>
          <w:sz w:val="24"/>
          <w:szCs w:val="24"/>
          <w:lang w:val="it-IT"/>
        </w:rPr>
        <w:t>i</w:t>
      </w:r>
      <w:r w:rsidRPr="00702A15">
        <w:rPr>
          <w:rFonts w:ascii="Arial" w:hAnsi="Arial" w:cs="Arial"/>
          <w:b/>
          <w:sz w:val="24"/>
          <w:szCs w:val="24"/>
          <w:lang w:val="it-IT"/>
        </w:rPr>
        <w:t xml:space="preserve"> (</w:t>
      </w:r>
      <w:r w:rsidRPr="00702A15">
        <w:rPr>
          <w:rFonts w:ascii="Arial" w:hAnsi="Arial" w:cs="Arial"/>
          <w:sz w:val="24"/>
          <w:szCs w:val="24"/>
          <w:lang w:val="it-IT"/>
        </w:rPr>
        <w:t>NO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Amoniu (NH</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w:t>
      </w:r>
      <w:r w:rsidRPr="00702A15">
        <w:rPr>
          <w:rFonts w:ascii="Arial" w:hAnsi="Arial" w:cs="Arial"/>
          <w:sz w:val="24"/>
          <w:szCs w:val="24"/>
          <w:lang w:val="it-IT"/>
        </w:rPr>
        <w:t>), Cloruri (Cl</w:t>
      </w:r>
      <w:r w:rsidRPr="00702A15">
        <w:rPr>
          <w:rFonts w:ascii="Arial" w:hAnsi="Arial" w:cs="Arial"/>
          <w:sz w:val="24"/>
          <w:szCs w:val="24"/>
          <w:vertAlign w:val="superscript"/>
          <w:lang w:val="it-IT"/>
        </w:rPr>
        <w:t>-</w:t>
      </w:r>
      <w:r w:rsidRPr="00702A15">
        <w:rPr>
          <w:rFonts w:ascii="Arial" w:hAnsi="Arial" w:cs="Arial"/>
          <w:sz w:val="24"/>
          <w:szCs w:val="24"/>
          <w:lang w:val="it-IT"/>
        </w:rPr>
        <w:t>), Sulfa</w:t>
      </w:r>
      <w:r>
        <w:rPr>
          <w:rFonts w:ascii="Arial" w:hAnsi="Arial" w:cs="Arial"/>
          <w:sz w:val="24"/>
          <w:szCs w:val="24"/>
          <w:lang w:val="it-IT"/>
        </w:rPr>
        <w:t>ţ</w:t>
      </w:r>
      <w:r w:rsidRPr="00702A15">
        <w:rPr>
          <w:rFonts w:ascii="Arial" w:hAnsi="Arial" w:cs="Arial"/>
          <w:sz w:val="24"/>
          <w:szCs w:val="24"/>
          <w:lang w:val="it-IT"/>
        </w:rPr>
        <w:t>i (SO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2+</w:t>
      </w:r>
      <w:r w:rsidRPr="00702A15">
        <w:rPr>
          <w:rFonts w:ascii="Arial" w:hAnsi="Arial" w:cs="Arial"/>
          <w:sz w:val="24"/>
          <w:szCs w:val="24"/>
          <w:lang w:val="it-IT"/>
        </w:rPr>
        <w:t>), Nitri</w:t>
      </w:r>
      <w:r>
        <w:rPr>
          <w:rFonts w:ascii="Arial" w:hAnsi="Arial" w:cs="Arial"/>
          <w:sz w:val="24"/>
          <w:szCs w:val="24"/>
          <w:lang w:val="it-IT"/>
        </w:rPr>
        <w:t>ţ</w:t>
      </w:r>
      <w:r w:rsidRPr="00702A15">
        <w:rPr>
          <w:rFonts w:ascii="Arial" w:hAnsi="Arial" w:cs="Arial"/>
          <w:sz w:val="24"/>
          <w:szCs w:val="24"/>
          <w:lang w:val="it-IT"/>
        </w:rPr>
        <w:t>i (NO</w:t>
      </w:r>
      <w:r w:rsidRPr="00702A15">
        <w:rPr>
          <w:rFonts w:ascii="Arial" w:hAnsi="Arial" w:cs="Arial"/>
          <w:sz w:val="24"/>
          <w:szCs w:val="24"/>
          <w:vertAlign w:val="subscript"/>
          <w:lang w:val="it-IT"/>
        </w:rPr>
        <w:t>2</w:t>
      </w:r>
      <w:r w:rsidRPr="00702A15">
        <w:rPr>
          <w:rFonts w:ascii="Arial" w:hAnsi="Arial" w:cs="Arial"/>
          <w:sz w:val="24"/>
          <w:szCs w:val="24"/>
          <w:vertAlign w:val="superscript"/>
          <w:lang w:val="it-IT"/>
        </w:rPr>
        <w:t>-</w:t>
      </w:r>
      <w:r w:rsidRPr="00702A15">
        <w:rPr>
          <w:rFonts w:ascii="Arial" w:hAnsi="Arial" w:cs="Arial"/>
          <w:sz w:val="24"/>
          <w:szCs w:val="24"/>
          <w:lang w:val="it-IT"/>
        </w:rPr>
        <w:t xml:space="preserve">) </w:t>
      </w:r>
      <w:r>
        <w:rPr>
          <w:rFonts w:ascii="Arial" w:hAnsi="Arial" w:cs="Arial"/>
          <w:sz w:val="24"/>
          <w:szCs w:val="24"/>
          <w:lang w:val="it-IT"/>
        </w:rPr>
        <w:t>ş</w:t>
      </w:r>
      <w:r w:rsidRPr="00702A15">
        <w:rPr>
          <w:rFonts w:ascii="Arial" w:hAnsi="Arial" w:cs="Arial"/>
          <w:sz w:val="24"/>
          <w:szCs w:val="24"/>
          <w:lang w:val="it-IT"/>
        </w:rPr>
        <w:t>i ortofosfa</w:t>
      </w:r>
      <w:r>
        <w:rPr>
          <w:rFonts w:ascii="Arial" w:hAnsi="Arial" w:cs="Arial"/>
          <w:sz w:val="24"/>
          <w:szCs w:val="24"/>
          <w:lang w:val="it-IT"/>
        </w:rPr>
        <w:t>ţ</w:t>
      </w:r>
      <w:r w:rsidRPr="00702A15">
        <w:rPr>
          <w:rFonts w:ascii="Arial" w:hAnsi="Arial" w:cs="Arial"/>
          <w:sz w:val="24"/>
          <w:szCs w:val="24"/>
          <w:lang w:val="it-IT"/>
        </w:rPr>
        <w:t>i solubili (PO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3-</w:t>
      </w:r>
      <w:r w:rsidRPr="00702A15">
        <w:rPr>
          <w:rFonts w:ascii="Arial" w:hAnsi="Arial" w:cs="Arial"/>
          <w:sz w:val="24"/>
          <w:szCs w:val="24"/>
          <w:lang w:val="it-IT"/>
        </w:rPr>
        <w:t>), fenoli, mercur, arsen, plumb, cadmiu, tricloretilenă, tetracloetilenă, benzen.</w:t>
      </w:r>
    </w:p>
    <w:p w:rsidR="00420717"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Din cele 12 foraje monitorizate, s-au înregistrat depă</w:t>
      </w:r>
      <w:r>
        <w:rPr>
          <w:rFonts w:ascii="Arial" w:hAnsi="Arial" w:cs="Arial"/>
          <w:sz w:val="24"/>
          <w:szCs w:val="24"/>
          <w:lang w:val="it-IT"/>
        </w:rPr>
        <w:t>ş</w:t>
      </w:r>
      <w:r w:rsidRPr="00702A15">
        <w:rPr>
          <w:rFonts w:ascii="Arial" w:hAnsi="Arial" w:cs="Arial"/>
          <w:sz w:val="24"/>
          <w:szCs w:val="24"/>
          <w:lang w:val="it-IT"/>
        </w:rPr>
        <w:t>iri fa</w:t>
      </w:r>
      <w:r>
        <w:rPr>
          <w:rFonts w:ascii="Arial" w:hAnsi="Arial" w:cs="Arial"/>
          <w:sz w:val="24"/>
          <w:szCs w:val="24"/>
          <w:lang w:val="it-IT"/>
        </w:rPr>
        <w:t>ţ</w:t>
      </w:r>
      <w:r w:rsidRPr="00702A15">
        <w:rPr>
          <w:rFonts w:ascii="Arial" w:hAnsi="Arial" w:cs="Arial"/>
          <w:sz w:val="24"/>
          <w:szCs w:val="24"/>
          <w:lang w:val="it-IT"/>
        </w:rPr>
        <w:t>ă de valorile de prag la 5 foraje.</w:t>
      </w:r>
    </w:p>
    <w:p w:rsidR="00420717" w:rsidRPr="00702A15" w:rsidRDefault="00420717" w:rsidP="00420717">
      <w:pPr>
        <w:spacing w:after="0" w:line="240" w:lineRule="auto"/>
        <w:jc w:val="both"/>
        <w:rPr>
          <w:rFonts w:ascii="Arial" w:hAnsi="Arial" w:cs="Arial"/>
          <w:sz w:val="24"/>
          <w:szCs w:val="24"/>
          <w:lang w:val="it-IT"/>
        </w:rPr>
      </w:pPr>
    </w:p>
    <w:tbl>
      <w:tblPr>
        <w:tblpPr w:leftFromText="180" w:rightFromText="180" w:vertAnchor="text" w:tblpY="1"/>
        <w:tblOverlap w:val="never"/>
        <w:tblW w:w="7560" w:type="dxa"/>
        <w:tblInd w:w="1008" w:type="dxa"/>
        <w:tblLook w:val="00A0"/>
      </w:tblPr>
      <w:tblGrid>
        <w:gridCol w:w="2700"/>
        <w:gridCol w:w="2520"/>
        <w:gridCol w:w="900"/>
        <w:gridCol w:w="1440"/>
      </w:tblGrid>
      <w:tr w:rsidR="00420717" w:rsidRPr="00702A15" w:rsidTr="00D92384">
        <w:trPr>
          <w:trHeight w:val="300"/>
        </w:trPr>
        <w:tc>
          <w:tcPr>
            <w:tcW w:w="2700" w:type="dxa"/>
            <w:vMerge w:val="restart"/>
            <w:tcBorders>
              <w:top w:val="single" w:sz="4" w:space="0" w:color="auto"/>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depă</w:t>
            </w:r>
            <w:r>
              <w:rPr>
                <w:rFonts w:ascii="Arial" w:hAnsi="Arial" w:cs="Arial"/>
                <w:bCs/>
                <w:sz w:val="24"/>
                <w:szCs w:val="24"/>
              </w:rPr>
              <w:t>ş</w:t>
            </w:r>
            <w:r w:rsidRPr="00702A15">
              <w:rPr>
                <w:rFonts w:ascii="Arial" w:hAnsi="Arial" w:cs="Arial"/>
                <w:bCs/>
                <w:sz w:val="24"/>
                <w:szCs w:val="24"/>
              </w:rPr>
              <w:t>iri amoniu</w:t>
            </w:r>
          </w:p>
        </w:tc>
        <w:tc>
          <w:tcPr>
            <w:tcW w:w="252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LARGU ORD.II</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1,46</w:t>
            </w:r>
          </w:p>
        </w:tc>
      </w:tr>
      <w:tr w:rsidR="00420717" w:rsidRPr="00702A15" w:rsidTr="00D92384">
        <w:trPr>
          <w:trHeight w:val="300"/>
        </w:trPr>
        <w:tc>
          <w:tcPr>
            <w:tcW w:w="2700" w:type="dxa"/>
            <w:vMerge/>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p>
        </w:tc>
        <w:tc>
          <w:tcPr>
            <w:tcW w:w="252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NICULE</w:t>
            </w:r>
            <w:r>
              <w:rPr>
                <w:rFonts w:ascii="Arial" w:hAnsi="Arial" w:cs="Arial"/>
                <w:bCs/>
                <w:sz w:val="24"/>
                <w:szCs w:val="24"/>
              </w:rPr>
              <w:t>Ş</w:t>
            </w:r>
            <w:r w:rsidRPr="00702A15">
              <w:rPr>
                <w:rFonts w:ascii="Arial" w:hAnsi="Arial" w:cs="Arial"/>
                <w:bCs/>
                <w:sz w:val="24"/>
                <w:szCs w:val="24"/>
              </w:rPr>
              <w:t>TI-JIANU ORD.II</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0,91</w:t>
            </w:r>
          </w:p>
        </w:tc>
      </w:tr>
      <w:tr w:rsidR="00420717" w:rsidRPr="00702A15" w:rsidTr="00D92384">
        <w:trPr>
          <w:trHeight w:val="300"/>
        </w:trPr>
        <w:tc>
          <w:tcPr>
            <w:tcW w:w="2700" w:type="dxa"/>
            <w:vMerge/>
            <w:tcBorders>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p>
        </w:tc>
        <w:tc>
          <w:tcPr>
            <w:tcW w:w="252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CARAGELE (CIL</w:t>
            </w:r>
            <w:r w:rsidRPr="00702A15">
              <w:rPr>
                <w:rFonts w:ascii="Arial" w:hAnsi="Arial" w:cs="Arial"/>
                <w:bCs/>
                <w:sz w:val="24"/>
                <w:szCs w:val="24"/>
              </w:rPr>
              <w:t>I</w:t>
            </w:r>
            <w:r w:rsidRPr="00702A15">
              <w:rPr>
                <w:rFonts w:ascii="Arial" w:hAnsi="Arial" w:cs="Arial"/>
                <w:bCs/>
                <w:sz w:val="24"/>
                <w:szCs w:val="24"/>
              </w:rPr>
              <w:t>BIA)</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1,14</w:t>
            </w:r>
          </w:p>
        </w:tc>
      </w:tr>
      <w:tr w:rsidR="00420717" w:rsidRPr="00702A15" w:rsidTr="00D92384">
        <w:trPr>
          <w:trHeight w:val="300"/>
        </w:trPr>
        <w:tc>
          <w:tcPr>
            <w:tcW w:w="2700" w:type="dxa"/>
            <w:vMerge w:val="restart"/>
            <w:tcBorders>
              <w:top w:val="single" w:sz="4" w:space="0" w:color="auto"/>
              <w:left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depă</w:t>
            </w:r>
            <w:r>
              <w:rPr>
                <w:rFonts w:ascii="Arial" w:hAnsi="Arial" w:cs="Arial"/>
                <w:sz w:val="24"/>
                <w:szCs w:val="24"/>
              </w:rPr>
              <w:t>ş</w:t>
            </w:r>
            <w:r w:rsidRPr="00702A15">
              <w:rPr>
                <w:rFonts w:ascii="Arial" w:hAnsi="Arial" w:cs="Arial"/>
                <w:sz w:val="24"/>
                <w:szCs w:val="24"/>
              </w:rPr>
              <w:t>iri sulfa</w:t>
            </w:r>
            <w:r>
              <w:rPr>
                <w:rFonts w:ascii="Arial" w:hAnsi="Arial" w:cs="Arial"/>
                <w:sz w:val="24"/>
                <w:szCs w:val="24"/>
              </w:rPr>
              <w:t>ţ</w:t>
            </w:r>
            <w:r w:rsidRPr="00702A15">
              <w:rPr>
                <w:rFonts w:ascii="Arial" w:hAnsi="Arial" w:cs="Arial"/>
                <w:sz w:val="24"/>
                <w:szCs w:val="24"/>
              </w:rPr>
              <w:t>i</w:t>
            </w:r>
          </w:p>
        </w:tc>
        <w:tc>
          <w:tcPr>
            <w:tcW w:w="252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LARGU ORD.II</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 xml:space="preserve">349,4 </w:t>
            </w:r>
          </w:p>
        </w:tc>
      </w:tr>
      <w:tr w:rsidR="00420717" w:rsidRPr="00702A15" w:rsidTr="00D92384">
        <w:trPr>
          <w:trHeight w:val="300"/>
        </w:trPr>
        <w:tc>
          <w:tcPr>
            <w:tcW w:w="2700" w:type="dxa"/>
            <w:vMerge/>
            <w:tcBorders>
              <w:left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p>
        </w:tc>
        <w:tc>
          <w:tcPr>
            <w:tcW w:w="252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ZĂVOAIA ORD.II</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1.535,41</w:t>
            </w:r>
          </w:p>
        </w:tc>
      </w:tr>
      <w:tr w:rsidR="00420717" w:rsidRPr="00702A15" w:rsidTr="00D92384">
        <w:trPr>
          <w:trHeight w:val="300"/>
        </w:trPr>
        <w:tc>
          <w:tcPr>
            <w:tcW w:w="2700" w:type="dxa"/>
            <w:vMerge/>
            <w:tcBorders>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p>
        </w:tc>
        <w:tc>
          <w:tcPr>
            <w:tcW w:w="252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VICTORIA ORD.II</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297,10</w:t>
            </w:r>
          </w:p>
        </w:tc>
      </w:tr>
      <w:tr w:rsidR="00420717" w:rsidRPr="00702A15" w:rsidTr="00D92384">
        <w:trPr>
          <w:trHeight w:val="300"/>
        </w:trPr>
        <w:tc>
          <w:tcPr>
            <w:tcW w:w="2700" w:type="dxa"/>
            <w:vMerge w:val="restart"/>
            <w:tcBorders>
              <w:top w:val="single" w:sz="4" w:space="0" w:color="auto"/>
              <w:left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depă</w:t>
            </w:r>
            <w:r>
              <w:rPr>
                <w:rFonts w:ascii="Arial" w:hAnsi="Arial" w:cs="Arial"/>
                <w:sz w:val="24"/>
                <w:szCs w:val="24"/>
              </w:rPr>
              <w:t>ş</w:t>
            </w:r>
            <w:r w:rsidRPr="00702A15">
              <w:rPr>
                <w:rFonts w:ascii="Arial" w:hAnsi="Arial" w:cs="Arial"/>
                <w:sz w:val="24"/>
                <w:szCs w:val="24"/>
              </w:rPr>
              <w:t>iri cloruri</w:t>
            </w:r>
          </w:p>
        </w:tc>
        <w:tc>
          <w:tcPr>
            <w:tcW w:w="252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LARGU ORD.II</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479,35</w:t>
            </w:r>
          </w:p>
        </w:tc>
      </w:tr>
      <w:tr w:rsidR="00420717" w:rsidRPr="00702A15" w:rsidTr="00D92384">
        <w:trPr>
          <w:trHeight w:val="300"/>
        </w:trPr>
        <w:tc>
          <w:tcPr>
            <w:tcW w:w="2700" w:type="dxa"/>
            <w:vMerge/>
            <w:tcBorders>
              <w:left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p>
        </w:tc>
        <w:tc>
          <w:tcPr>
            <w:tcW w:w="252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CARAGELE (CIL</w:t>
            </w:r>
            <w:r w:rsidRPr="00702A15">
              <w:rPr>
                <w:rFonts w:ascii="Arial" w:hAnsi="Arial" w:cs="Arial"/>
                <w:bCs/>
                <w:sz w:val="24"/>
                <w:szCs w:val="24"/>
              </w:rPr>
              <w:t>I</w:t>
            </w:r>
            <w:r w:rsidRPr="00702A15">
              <w:rPr>
                <w:rFonts w:ascii="Arial" w:hAnsi="Arial" w:cs="Arial"/>
                <w:bCs/>
                <w:sz w:val="24"/>
                <w:szCs w:val="24"/>
              </w:rPr>
              <w:t>BIA)</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432,55</w:t>
            </w:r>
          </w:p>
        </w:tc>
      </w:tr>
      <w:tr w:rsidR="00420717" w:rsidRPr="00702A15" w:rsidTr="00D92384">
        <w:trPr>
          <w:trHeight w:val="300"/>
        </w:trPr>
        <w:tc>
          <w:tcPr>
            <w:tcW w:w="2700" w:type="dxa"/>
            <w:vMerge/>
            <w:tcBorders>
              <w:left w:val="single" w:sz="4" w:space="0" w:color="auto"/>
              <w:bottom w:val="single" w:sz="4" w:space="0" w:color="auto"/>
              <w:right w:val="single" w:sz="4" w:space="0" w:color="auto"/>
            </w:tcBorders>
            <w:noWrap/>
            <w:vAlign w:val="center"/>
          </w:tcPr>
          <w:p w:rsidR="00420717" w:rsidRPr="00702A15" w:rsidRDefault="00420717" w:rsidP="00D92384">
            <w:pPr>
              <w:spacing w:after="0" w:line="240" w:lineRule="auto"/>
              <w:jc w:val="center"/>
              <w:rPr>
                <w:rFonts w:ascii="Arial" w:hAnsi="Arial" w:cs="Arial"/>
                <w:sz w:val="24"/>
                <w:szCs w:val="24"/>
              </w:rPr>
            </w:pPr>
          </w:p>
        </w:tc>
        <w:tc>
          <w:tcPr>
            <w:tcW w:w="252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ZĂVOAIA ORD.II</w:t>
            </w:r>
          </w:p>
        </w:tc>
        <w:tc>
          <w:tcPr>
            <w:tcW w:w="90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c>
          <w:tcPr>
            <w:tcW w:w="1440" w:type="dxa"/>
            <w:tcBorders>
              <w:top w:val="single" w:sz="4" w:space="0" w:color="auto"/>
              <w:left w:val="nil"/>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279,33</w:t>
            </w:r>
          </w:p>
        </w:tc>
      </w:tr>
    </w:tbl>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br w:type="textWrapping" w:clear="all"/>
      </w:r>
      <w:r w:rsidR="005864AC">
        <w:rPr>
          <w:rFonts w:ascii="Arial" w:hAnsi="Arial" w:cs="Arial"/>
          <w:bCs/>
          <w:sz w:val="24"/>
          <w:szCs w:val="24"/>
          <w:lang w:val="pt-BR"/>
        </w:rPr>
        <w:t>A</w:t>
      </w:r>
      <w:r w:rsidRPr="00702A15">
        <w:rPr>
          <w:rFonts w:ascii="Arial" w:hAnsi="Arial" w:cs="Arial"/>
          <w:bCs/>
          <w:sz w:val="24"/>
          <w:szCs w:val="24"/>
          <w:lang w:val="pt-BR"/>
        </w:rPr>
        <w:t xml:space="preserve">cest corp de apă subterană </w:t>
      </w:r>
      <w:r w:rsidRPr="00702A15">
        <w:rPr>
          <w:rFonts w:ascii="Arial" w:hAnsi="Arial" w:cs="Arial"/>
          <w:sz w:val="24"/>
          <w:szCs w:val="24"/>
          <w:lang w:val="pt-BR"/>
        </w:rPr>
        <w:t>se află în stare calitativă (chimică) slabă dar datorita faptului ca forajele cu depă</w:t>
      </w:r>
      <w:r>
        <w:rPr>
          <w:rFonts w:ascii="Arial" w:hAnsi="Arial" w:cs="Arial"/>
          <w:sz w:val="24"/>
          <w:szCs w:val="24"/>
          <w:lang w:val="pt-BR"/>
        </w:rPr>
        <w:t>ş</w:t>
      </w:r>
      <w:r w:rsidRPr="00702A15">
        <w:rPr>
          <w:rFonts w:ascii="Arial" w:hAnsi="Arial" w:cs="Arial"/>
          <w:sz w:val="24"/>
          <w:szCs w:val="24"/>
          <w:lang w:val="pt-BR"/>
        </w:rPr>
        <w:t xml:space="preserve">iri sunt grupate în partea de NE a corpului de apă, starea calitativă a acestui corp de apă se consideră </w:t>
      </w:r>
      <w:r w:rsidRPr="00702A15">
        <w:rPr>
          <w:rFonts w:ascii="Arial" w:hAnsi="Arial" w:cs="Arial"/>
          <w:b/>
          <w:sz w:val="24"/>
          <w:szCs w:val="24"/>
          <w:lang w:val="pt-BR"/>
        </w:rPr>
        <w:t>bună</w:t>
      </w:r>
      <w:r w:rsidRPr="00702A15">
        <w:rPr>
          <w:rFonts w:ascii="Arial" w:hAnsi="Arial" w:cs="Arial"/>
          <w:b/>
          <w:sz w:val="24"/>
          <w:szCs w:val="24"/>
          <w:lang w:val="it-IT"/>
        </w:rPr>
        <w:t xml:space="preserve">. </w:t>
      </w:r>
    </w:p>
    <w:p w:rsidR="00420717" w:rsidRPr="00702A15" w:rsidRDefault="00420717" w:rsidP="00420717">
      <w:pPr>
        <w:spacing w:after="0" w:line="240" w:lineRule="auto"/>
        <w:jc w:val="both"/>
        <w:rPr>
          <w:rFonts w:ascii="Arial" w:hAnsi="Arial" w:cs="Arial"/>
          <w:sz w:val="24"/>
          <w:szCs w:val="24"/>
          <w:lang w:val="it-IT"/>
        </w:rPr>
      </w:pPr>
      <w:r>
        <w:rPr>
          <w:rFonts w:ascii="Arial" w:hAnsi="Arial" w:cs="Arial"/>
          <w:sz w:val="24"/>
          <w:szCs w:val="24"/>
          <w:lang w:val="it-IT"/>
        </w:rPr>
        <w:t>Ş</w:t>
      </w:r>
      <w:r w:rsidRPr="00702A15">
        <w:rPr>
          <w:rFonts w:ascii="Arial" w:hAnsi="Arial" w:cs="Arial"/>
          <w:sz w:val="24"/>
          <w:szCs w:val="24"/>
          <w:lang w:val="it-IT"/>
        </w:rPr>
        <w:t>i în acest corp de apă au mai fost monitoriza</w:t>
      </w:r>
      <w:r>
        <w:rPr>
          <w:rFonts w:ascii="Arial" w:hAnsi="Arial" w:cs="Arial"/>
          <w:sz w:val="24"/>
          <w:szCs w:val="24"/>
          <w:lang w:val="it-IT"/>
        </w:rPr>
        <w:t>ţ</w:t>
      </w:r>
      <w:r w:rsidRPr="00702A15">
        <w:rPr>
          <w:rFonts w:ascii="Arial" w:hAnsi="Arial" w:cs="Arial"/>
          <w:sz w:val="24"/>
          <w:szCs w:val="24"/>
          <w:lang w:val="it-IT"/>
        </w:rPr>
        <w:t>i, conform Manualului de Operare pentru 2014, parametri fizico-chimici, care nu intră în evaluarea stării chimice. Acestia sunt:</w:t>
      </w:r>
      <w:r w:rsidRPr="00702A15">
        <w:rPr>
          <w:rFonts w:ascii="Arial" w:hAnsi="Arial" w:cs="Arial"/>
          <w:b/>
          <w:i/>
          <w:sz w:val="24"/>
          <w:szCs w:val="24"/>
          <w:lang w:val="it-IT"/>
        </w:rPr>
        <w:t xml:space="preserve"> </w:t>
      </w:r>
      <w:r w:rsidRPr="00702A15">
        <w:rPr>
          <w:rFonts w:ascii="Arial" w:hAnsi="Arial" w:cs="Arial"/>
          <w:sz w:val="24"/>
          <w:szCs w:val="24"/>
          <w:lang w:val="it-IT"/>
        </w:rPr>
        <w:t>pH, oxigen dizolvat (OD), conductivitate, duritate tot., bicarbona</w:t>
      </w:r>
      <w:r>
        <w:rPr>
          <w:rFonts w:ascii="Arial" w:hAnsi="Arial" w:cs="Arial"/>
          <w:sz w:val="24"/>
          <w:szCs w:val="24"/>
          <w:lang w:val="it-IT"/>
        </w:rPr>
        <w:t>ţ</w:t>
      </w:r>
      <w:r w:rsidRPr="00702A15">
        <w:rPr>
          <w:rFonts w:ascii="Arial" w:hAnsi="Arial" w:cs="Arial"/>
          <w:sz w:val="24"/>
          <w:szCs w:val="24"/>
          <w:lang w:val="it-IT"/>
        </w:rPr>
        <w:t>i (HCO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Sodiu (Na</w:t>
      </w:r>
      <w:r w:rsidRPr="00702A15">
        <w:rPr>
          <w:rFonts w:ascii="Arial" w:hAnsi="Arial" w:cs="Arial"/>
          <w:sz w:val="24"/>
          <w:szCs w:val="24"/>
          <w:vertAlign w:val="superscript"/>
          <w:lang w:val="it-IT"/>
        </w:rPr>
        <w:t>+</w:t>
      </w:r>
      <w:r w:rsidRPr="00702A15">
        <w:rPr>
          <w:rFonts w:ascii="Arial" w:hAnsi="Arial" w:cs="Arial"/>
          <w:sz w:val="24"/>
          <w:szCs w:val="24"/>
          <w:lang w:val="it-IT"/>
        </w:rPr>
        <w:t>); Potasiu (K</w:t>
      </w:r>
      <w:r w:rsidRPr="00702A15">
        <w:rPr>
          <w:rFonts w:ascii="Arial" w:hAnsi="Arial" w:cs="Arial"/>
          <w:sz w:val="24"/>
          <w:szCs w:val="24"/>
          <w:vertAlign w:val="superscript"/>
          <w:lang w:val="it-IT"/>
        </w:rPr>
        <w:t>+</w:t>
      </w:r>
      <w:r w:rsidRPr="00702A15">
        <w:rPr>
          <w:rFonts w:ascii="Arial" w:hAnsi="Arial" w:cs="Arial"/>
          <w:sz w:val="24"/>
          <w:szCs w:val="24"/>
          <w:lang w:val="it-IT"/>
        </w:rPr>
        <w:t>); Calciu (Ca</w:t>
      </w:r>
      <w:r w:rsidRPr="00702A15">
        <w:rPr>
          <w:rFonts w:ascii="Arial" w:hAnsi="Arial" w:cs="Arial"/>
          <w:sz w:val="24"/>
          <w:szCs w:val="24"/>
          <w:vertAlign w:val="superscript"/>
          <w:lang w:val="it-IT"/>
        </w:rPr>
        <w:t>2+</w:t>
      </w:r>
      <w:r w:rsidRPr="00702A15">
        <w:rPr>
          <w:rFonts w:ascii="Arial" w:hAnsi="Arial" w:cs="Arial"/>
          <w:sz w:val="24"/>
          <w:szCs w:val="24"/>
          <w:lang w:val="it-IT"/>
        </w:rPr>
        <w:t>); Magneziu (Mg</w:t>
      </w:r>
      <w:r w:rsidRPr="00702A15">
        <w:rPr>
          <w:rFonts w:ascii="Arial" w:hAnsi="Arial" w:cs="Arial"/>
          <w:sz w:val="24"/>
          <w:szCs w:val="24"/>
          <w:vertAlign w:val="superscript"/>
          <w:lang w:val="it-IT"/>
        </w:rPr>
        <w:t>2+</w:t>
      </w:r>
      <w:r w:rsidRPr="00702A15">
        <w:rPr>
          <w:rFonts w:ascii="Arial" w:hAnsi="Arial" w:cs="Arial"/>
          <w:sz w:val="24"/>
          <w:szCs w:val="24"/>
          <w:lang w:val="it-IT"/>
        </w:rPr>
        <w:t>).</w:t>
      </w:r>
    </w:p>
    <w:p w:rsidR="00420717" w:rsidRPr="00702A15" w:rsidRDefault="00420717" w:rsidP="00420717">
      <w:pPr>
        <w:spacing w:after="0" w:line="240" w:lineRule="auto"/>
        <w:jc w:val="both"/>
        <w:rPr>
          <w:rFonts w:ascii="Arial" w:hAnsi="Arial" w:cs="Arial"/>
          <w:b/>
          <w:sz w:val="24"/>
          <w:szCs w:val="24"/>
          <w:lang w:val="it-IT"/>
        </w:rPr>
      </w:pPr>
      <w:r w:rsidRPr="00702A15">
        <w:rPr>
          <w:rFonts w:ascii="Arial" w:hAnsi="Arial" w:cs="Arial"/>
          <w:b/>
          <w:sz w:val="24"/>
          <w:szCs w:val="24"/>
          <w:lang w:val="it-IT"/>
        </w:rPr>
        <w:t>Corpul ROIL10 Lunca Buzăului superior</w:t>
      </w:r>
    </w:p>
    <w:p w:rsidR="00420717" w:rsidRPr="00702A15" w:rsidRDefault="00420717" w:rsidP="00420717">
      <w:pPr>
        <w:spacing w:after="0" w:line="240" w:lineRule="auto"/>
        <w:jc w:val="both"/>
        <w:rPr>
          <w:rFonts w:ascii="Arial" w:hAnsi="Arial" w:cs="Arial"/>
          <w:sz w:val="24"/>
          <w:szCs w:val="24"/>
          <w:lang w:val="pt-BR"/>
        </w:rPr>
      </w:pPr>
      <w:r w:rsidRPr="00702A15">
        <w:rPr>
          <w:rFonts w:ascii="Arial" w:hAnsi="Arial" w:cs="Arial"/>
          <w:iCs/>
          <w:sz w:val="24"/>
          <w:szCs w:val="24"/>
          <w:lang w:val="it-IT"/>
        </w:rPr>
        <w:t>În anul 2014 în acest corp de apă au fost programate pentru monitorizare cantitativă (nivel)  4 foraje</w:t>
      </w:r>
      <w:r w:rsidRPr="00702A15">
        <w:rPr>
          <w:rFonts w:ascii="Arial" w:hAnsi="Arial" w:cs="Arial"/>
          <w:sz w:val="24"/>
          <w:szCs w:val="24"/>
          <w:lang w:val="fr-FR"/>
        </w:rPr>
        <w:t xml:space="preserve">. </w:t>
      </w:r>
      <w:r w:rsidRPr="00702A15">
        <w:rPr>
          <w:rFonts w:ascii="Arial" w:hAnsi="Arial" w:cs="Arial"/>
          <w:sz w:val="24"/>
          <w:szCs w:val="24"/>
          <w:lang w:val="pt-BR"/>
        </w:rPr>
        <w:t>Evaluarea calitativă s-a facut prin monitorizarea forajului Vipere</w:t>
      </w:r>
      <w:r>
        <w:rPr>
          <w:rFonts w:ascii="Arial" w:hAnsi="Arial" w:cs="Arial"/>
          <w:sz w:val="24"/>
          <w:szCs w:val="24"/>
          <w:lang w:val="pt-BR"/>
        </w:rPr>
        <w:t>ş</w:t>
      </w:r>
      <w:r w:rsidRPr="00702A15">
        <w:rPr>
          <w:rFonts w:ascii="Arial" w:hAnsi="Arial" w:cs="Arial"/>
          <w:sz w:val="24"/>
          <w:szCs w:val="24"/>
          <w:lang w:val="pt-BR"/>
        </w:rPr>
        <w:t>ti F2.</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 xml:space="preserve">Indicatorii care au determinat starea corpului de apă </w:t>
      </w:r>
      <w:r>
        <w:rPr>
          <w:rFonts w:ascii="Arial" w:hAnsi="Arial" w:cs="Arial"/>
          <w:sz w:val="24"/>
          <w:szCs w:val="24"/>
          <w:lang w:val="it-IT"/>
        </w:rPr>
        <w:t>ş</w:t>
      </w:r>
      <w:r w:rsidRPr="00702A15">
        <w:rPr>
          <w:rFonts w:ascii="Arial" w:hAnsi="Arial" w:cs="Arial"/>
          <w:sz w:val="24"/>
          <w:szCs w:val="24"/>
          <w:lang w:val="it-IT"/>
        </w:rPr>
        <w:t>i pentru care sunt stabilite valori de prag, sunt:</w:t>
      </w:r>
      <w:r w:rsidRPr="00702A15">
        <w:rPr>
          <w:rFonts w:ascii="Arial" w:hAnsi="Arial" w:cs="Arial"/>
          <w:b/>
          <w:sz w:val="24"/>
          <w:szCs w:val="24"/>
          <w:lang w:val="it-IT"/>
        </w:rPr>
        <w:t xml:space="preserve"> </w:t>
      </w:r>
      <w:r w:rsidRPr="00702A15">
        <w:rPr>
          <w:rFonts w:ascii="Arial" w:hAnsi="Arial" w:cs="Arial"/>
          <w:sz w:val="24"/>
          <w:szCs w:val="24"/>
          <w:lang w:val="it-IT"/>
        </w:rPr>
        <w:t>Nitra</w:t>
      </w:r>
      <w:r>
        <w:rPr>
          <w:rFonts w:ascii="Arial" w:hAnsi="Arial" w:cs="Arial"/>
          <w:sz w:val="24"/>
          <w:szCs w:val="24"/>
          <w:lang w:val="it-IT"/>
        </w:rPr>
        <w:t>ţ</w:t>
      </w:r>
      <w:r w:rsidRPr="00702A15">
        <w:rPr>
          <w:rFonts w:ascii="Arial" w:hAnsi="Arial" w:cs="Arial"/>
          <w:sz w:val="24"/>
          <w:szCs w:val="24"/>
          <w:lang w:val="it-IT"/>
        </w:rPr>
        <w:t>i</w:t>
      </w:r>
      <w:r w:rsidRPr="00702A15">
        <w:rPr>
          <w:rFonts w:ascii="Arial" w:hAnsi="Arial" w:cs="Arial"/>
          <w:b/>
          <w:sz w:val="24"/>
          <w:szCs w:val="24"/>
          <w:lang w:val="it-IT"/>
        </w:rPr>
        <w:t xml:space="preserve"> (</w:t>
      </w:r>
      <w:r w:rsidRPr="00702A15">
        <w:rPr>
          <w:rFonts w:ascii="Arial" w:hAnsi="Arial" w:cs="Arial"/>
          <w:sz w:val="24"/>
          <w:szCs w:val="24"/>
          <w:lang w:val="it-IT"/>
        </w:rPr>
        <w:t>NO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Amoniu (NH</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w:t>
      </w:r>
      <w:r w:rsidRPr="00702A15">
        <w:rPr>
          <w:rFonts w:ascii="Arial" w:hAnsi="Arial" w:cs="Arial"/>
          <w:sz w:val="24"/>
          <w:szCs w:val="24"/>
          <w:lang w:val="it-IT"/>
        </w:rPr>
        <w:t>), Cloruri (Cl</w:t>
      </w:r>
      <w:r w:rsidRPr="00702A15">
        <w:rPr>
          <w:rFonts w:ascii="Arial" w:hAnsi="Arial" w:cs="Arial"/>
          <w:sz w:val="24"/>
          <w:szCs w:val="24"/>
          <w:vertAlign w:val="superscript"/>
          <w:lang w:val="it-IT"/>
        </w:rPr>
        <w:t>-</w:t>
      </w:r>
      <w:r w:rsidRPr="00702A15">
        <w:rPr>
          <w:rFonts w:ascii="Arial" w:hAnsi="Arial" w:cs="Arial"/>
          <w:sz w:val="24"/>
          <w:szCs w:val="24"/>
          <w:lang w:val="it-IT"/>
        </w:rPr>
        <w:t>), Sulfa</w:t>
      </w:r>
      <w:r>
        <w:rPr>
          <w:rFonts w:ascii="Arial" w:hAnsi="Arial" w:cs="Arial"/>
          <w:sz w:val="24"/>
          <w:szCs w:val="24"/>
          <w:lang w:val="it-IT"/>
        </w:rPr>
        <w:t>ţ</w:t>
      </w:r>
      <w:r w:rsidRPr="00702A15">
        <w:rPr>
          <w:rFonts w:ascii="Arial" w:hAnsi="Arial" w:cs="Arial"/>
          <w:sz w:val="24"/>
          <w:szCs w:val="24"/>
          <w:lang w:val="it-IT"/>
        </w:rPr>
        <w:t>i (SO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2+</w:t>
      </w:r>
      <w:r w:rsidRPr="00702A15">
        <w:rPr>
          <w:rFonts w:ascii="Arial" w:hAnsi="Arial" w:cs="Arial"/>
          <w:sz w:val="24"/>
          <w:szCs w:val="24"/>
          <w:lang w:val="it-IT"/>
        </w:rPr>
        <w:t>), Nitri</w:t>
      </w:r>
      <w:r>
        <w:rPr>
          <w:rFonts w:ascii="Arial" w:hAnsi="Arial" w:cs="Arial"/>
          <w:sz w:val="24"/>
          <w:szCs w:val="24"/>
          <w:lang w:val="it-IT"/>
        </w:rPr>
        <w:t>ţ</w:t>
      </w:r>
      <w:r w:rsidRPr="00702A15">
        <w:rPr>
          <w:rFonts w:ascii="Arial" w:hAnsi="Arial" w:cs="Arial"/>
          <w:sz w:val="24"/>
          <w:szCs w:val="24"/>
          <w:lang w:val="it-IT"/>
        </w:rPr>
        <w:t>i (NO</w:t>
      </w:r>
      <w:r w:rsidRPr="00702A15">
        <w:rPr>
          <w:rFonts w:ascii="Arial" w:hAnsi="Arial" w:cs="Arial"/>
          <w:sz w:val="24"/>
          <w:szCs w:val="24"/>
          <w:vertAlign w:val="subscript"/>
          <w:lang w:val="it-IT"/>
        </w:rPr>
        <w:t>2</w:t>
      </w:r>
      <w:r w:rsidRPr="00702A15">
        <w:rPr>
          <w:rFonts w:ascii="Arial" w:hAnsi="Arial" w:cs="Arial"/>
          <w:sz w:val="24"/>
          <w:szCs w:val="24"/>
          <w:vertAlign w:val="superscript"/>
          <w:lang w:val="it-IT"/>
        </w:rPr>
        <w:t>-</w:t>
      </w:r>
      <w:r w:rsidRPr="00702A15">
        <w:rPr>
          <w:rFonts w:ascii="Arial" w:hAnsi="Arial" w:cs="Arial"/>
          <w:sz w:val="24"/>
          <w:szCs w:val="24"/>
          <w:lang w:val="it-IT"/>
        </w:rPr>
        <w:t xml:space="preserve">) </w:t>
      </w:r>
      <w:r>
        <w:rPr>
          <w:rFonts w:ascii="Arial" w:hAnsi="Arial" w:cs="Arial"/>
          <w:sz w:val="24"/>
          <w:szCs w:val="24"/>
          <w:lang w:val="it-IT"/>
        </w:rPr>
        <w:t>ş</w:t>
      </w:r>
      <w:r w:rsidRPr="00702A15">
        <w:rPr>
          <w:rFonts w:ascii="Arial" w:hAnsi="Arial" w:cs="Arial"/>
          <w:sz w:val="24"/>
          <w:szCs w:val="24"/>
          <w:lang w:val="it-IT"/>
        </w:rPr>
        <w:t>i ortofosfa</w:t>
      </w:r>
      <w:r>
        <w:rPr>
          <w:rFonts w:ascii="Arial" w:hAnsi="Arial" w:cs="Arial"/>
          <w:sz w:val="24"/>
          <w:szCs w:val="24"/>
          <w:lang w:val="it-IT"/>
        </w:rPr>
        <w:t>ţ</w:t>
      </w:r>
      <w:r w:rsidRPr="00702A15">
        <w:rPr>
          <w:rFonts w:ascii="Arial" w:hAnsi="Arial" w:cs="Arial"/>
          <w:sz w:val="24"/>
          <w:szCs w:val="24"/>
          <w:lang w:val="it-IT"/>
        </w:rPr>
        <w:t>i solubili (PO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3-</w:t>
      </w:r>
      <w:r w:rsidRPr="00702A15">
        <w:rPr>
          <w:rFonts w:ascii="Arial" w:hAnsi="Arial" w:cs="Arial"/>
          <w:sz w:val="24"/>
          <w:szCs w:val="24"/>
          <w:lang w:val="it-IT"/>
        </w:rPr>
        <w:t>).</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 xml:space="preserve">Rezultatul încadrarii corpului de apă </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Pe baza analizei efectuate s-a constatat depă</w:t>
      </w:r>
      <w:r>
        <w:rPr>
          <w:rFonts w:ascii="Arial" w:hAnsi="Arial" w:cs="Arial"/>
          <w:sz w:val="24"/>
          <w:szCs w:val="24"/>
          <w:lang w:val="it-IT"/>
        </w:rPr>
        <w:t>ş</w:t>
      </w:r>
      <w:r w:rsidRPr="00702A15">
        <w:rPr>
          <w:rFonts w:ascii="Arial" w:hAnsi="Arial" w:cs="Arial"/>
          <w:sz w:val="24"/>
          <w:szCs w:val="24"/>
          <w:lang w:val="it-IT"/>
        </w:rPr>
        <w:t>irea valorilor de prag pentru cloruri (559,5 mg/l).</w:t>
      </w:r>
    </w:p>
    <w:p w:rsidR="00420717" w:rsidRPr="00702A15" w:rsidRDefault="00420717" w:rsidP="00420717">
      <w:pPr>
        <w:spacing w:after="0" w:line="240" w:lineRule="auto"/>
        <w:jc w:val="both"/>
        <w:rPr>
          <w:rFonts w:ascii="Arial" w:hAnsi="Arial" w:cs="Arial"/>
          <w:b/>
          <w:sz w:val="24"/>
          <w:szCs w:val="24"/>
          <w:lang w:val="it-IT"/>
        </w:rPr>
      </w:pPr>
      <w:r w:rsidRPr="00702A15">
        <w:rPr>
          <w:rFonts w:ascii="Arial" w:hAnsi="Arial" w:cs="Arial"/>
          <w:sz w:val="24"/>
          <w:szCs w:val="24"/>
          <w:lang w:val="it-IT"/>
        </w:rPr>
        <w:t xml:space="preserve">Corpul de apă subterană este în starea calitativă (chimică) slabă dar, având în vedere numărul mic de foraje monitorizate în acest corp de apă subterană, starea calitativă (chimică) se consideră </w:t>
      </w:r>
      <w:r w:rsidRPr="00702A15">
        <w:rPr>
          <w:rFonts w:ascii="Arial" w:hAnsi="Arial" w:cs="Arial"/>
          <w:b/>
          <w:sz w:val="24"/>
          <w:szCs w:val="24"/>
          <w:lang w:val="it-IT"/>
        </w:rPr>
        <w:t>bună.</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Prezentarea altor indicatori monitoriza</w:t>
      </w:r>
      <w:r>
        <w:rPr>
          <w:rFonts w:ascii="Arial" w:hAnsi="Arial" w:cs="Arial"/>
          <w:sz w:val="24"/>
          <w:szCs w:val="24"/>
          <w:lang w:val="it-IT"/>
        </w:rPr>
        <w:t>ţ</w:t>
      </w:r>
      <w:r w:rsidRPr="00702A15">
        <w:rPr>
          <w:rFonts w:ascii="Arial" w:hAnsi="Arial" w:cs="Arial"/>
          <w:sz w:val="24"/>
          <w:szCs w:val="24"/>
          <w:lang w:val="it-IT"/>
        </w:rPr>
        <w:t>i:</w:t>
      </w:r>
    </w:p>
    <w:p w:rsidR="00420717" w:rsidRPr="00702A15" w:rsidRDefault="00420717" w:rsidP="00420717">
      <w:pPr>
        <w:spacing w:after="0" w:line="240" w:lineRule="auto"/>
        <w:jc w:val="both"/>
        <w:rPr>
          <w:rFonts w:ascii="Arial" w:hAnsi="Arial" w:cs="Arial"/>
          <w:sz w:val="24"/>
          <w:szCs w:val="24"/>
          <w:lang w:val="it-IT"/>
        </w:rPr>
      </w:pPr>
      <w:r>
        <w:rPr>
          <w:rFonts w:ascii="Arial" w:hAnsi="Arial" w:cs="Arial"/>
          <w:sz w:val="24"/>
          <w:szCs w:val="24"/>
          <w:lang w:val="it-IT"/>
        </w:rPr>
        <w:t>Ş</w:t>
      </w:r>
      <w:r w:rsidRPr="00702A15">
        <w:rPr>
          <w:rFonts w:ascii="Arial" w:hAnsi="Arial" w:cs="Arial"/>
          <w:sz w:val="24"/>
          <w:szCs w:val="24"/>
          <w:lang w:val="it-IT"/>
        </w:rPr>
        <w:t>i în acest corp de apă au mai fost monitoriza</w:t>
      </w:r>
      <w:r>
        <w:rPr>
          <w:rFonts w:ascii="Arial" w:hAnsi="Arial" w:cs="Arial"/>
          <w:sz w:val="24"/>
          <w:szCs w:val="24"/>
          <w:lang w:val="it-IT"/>
        </w:rPr>
        <w:t>ţ</w:t>
      </w:r>
      <w:r w:rsidRPr="00702A15">
        <w:rPr>
          <w:rFonts w:ascii="Arial" w:hAnsi="Arial" w:cs="Arial"/>
          <w:sz w:val="24"/>
          <w:szCs w:val="24"/>
          <w:lang w:val="it-IT"/>
        </w:rPr>
        <w:t>i parametri fizico-chimici, care nu intră în evaluarea stării chimice. Ace</w:t>
      </w:r>
      <w:r>
        <w:rPr>
          <w:rFonts w:ascii="Arial" w:hAnsi="Arial" w:cs="Arial"/>
          <w:sz w:val="24"/>
          <w:szCs w:val="24"/>
          <w:lang w:val="it-IT"/>
        </w:rPr>
        <w:t>ş</w:t>
      </w:r>
      <w:r w:rsidRPr="00702A15">
        <w:rPr>
          <w:rFonts w:ascii="Arial" w:hAnsi="Arial" w:cs="Arial"/>
          <w:sz w:val="24"/>
          <w:szCs w:val="24"/>
          <w:lang w:val="it-IT"/>
        </w:rPr>
        <w:t>tia sunt:</w:t>
      </w:r>
      <w:r w:rsidRPr="00702A15">
        <w:rPr>
          <w:rFonts w:ascii="Arial" w:hAnsi="Arial" w:cs="Arial"/>
          <w:b/>
          <w:i/>
          <w:sz w:val="24"/>
          <w:szCs w:val="24"/>
          <w:lang w:val="it-IT"/>
        </w:rPr>
        <w:t xml:space="preserve"> </w:t>
      </w:r>
      <w:r w:rsidRPr="00702A15">
        <w:rPr>
          <w:rFonts w:ascii="Arial" w:hAnsi="Arial" w:cs="Arial"/>
          <w:sz w:val="24"/>
          <w:szCs w:val="24"/>
          <w:lang w:val="it-IT"/>
        </w:rPr>
        <w:t>pH, oxigen dizolvat (OD), conductivitate, alcalinitatea totală, bicarbona</w:t>
      </w:r>
      <w:r>
        <w:rPr>
          <w:rFonts w:ascii="Arial" w:hAnsi="Arial" w:cs="Arial"/>
          <w:sz w:val="24"/>
          <w:szCs w:val="24"/>
          <w:lang w:val="it-IT"/>
        </w:rPr>
        <w:t>ţ</w:t>
      </w:r>
      <w:r w:rsidRPr="00702A15">
        <w:rPr>
          <w:rFonts w:ascii="Arial" w:hAnsi="Arial" w:cs="Arial"/>
          <w:sz w:val="24"/>
          <w:szCs w:val="24"/>
          <w:lang w:val="it-IT"/>
        </w:rPr>
        <w:t>i (HCO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Sodiu (Na</w:t>
      </w:r>
      <w:r w:rsidRPr="00702A15">
        <w:rPr>
          <w:rFonts w:ascii="Arial" w:hAnsi="Arial" w:cs="Arial"/>
          <w:sz w:val="24"/>
          <w:szCs w:val="24"/>
          <w:vertAlign w:val="superscript"/>
          <w:lang w:val="it-IT"/>
        </w:rPr>
        <w:t>+</w:t>
      </w:r>
      <w:r w:rsidRPr="00702A15">
        <w:rPr>
          <w:rFonts w:ascii="Arial" w:hAnsi="Arial" w:cs="Arial"/>
          <w:sz w:val="24"/>
          <w:szCs w:val="24"/>
          <w:lang w:val="it-IT"/>
        </w:rPr>
        <w:t>), Potasiu (K</w:t>
      </w:r>
      <w:r w:rsidRPr="00702A15">
        <w:rPr>
          <w:rFonts w:ascii="Arial" w:hAnsi="Arial" w:cs="Arial"/>
          <w:sz w:val="24"/>
          <w:szCs w:val="24"/>
          <w:vertAlign w:val="superscript"/>
          <w:lang w:val="it-IT"/>
        </w:rPr>
        <w:t>+</w:t>
      </w:r>
      <w:r w:rsidRPr="00702A15">
        <w:rPr>
          <w:rFonts w:ascii="Arial" w:hAnsi="Arial" w:cs="Arial"/>
          <w:sz w:val="24"/>
          <w:szCs w:val="24"/>
          <w:lang w:val="it-IT"/>
        </w:rPr>
        <w:t>), Calciu (Ca</w:t>
      </w:r>
      <w:r w:rsidRPr="00702A15">
        <w:rPr>
          <w:rFonts w:ascii="Arial" w:hAnsi="Arial" w:cs="Arial"/>
          <w:sz w:val="24"/>
          <w:szCs w:val="24"/>
          <w:vertAlign w:val="superscript"/>
          <w:lang w:val="it-IT"/>
        </w:rPr>
        <w:t>2+</w:t>
      </w:r>
      <w:r w:rsidRPr="00702A15">
        <w:rPr>
          <w:rFonts w:ascii="Arial" w:hAnsi="Arial" w:cs="Arial"/>
          <w:sz w:val="24"/>
          <w:szCs w:val="24"/>
          <w:lang w:val="it-IT"/>
        </w:rPr>
        <w:t>), Magneziu (Mg</w:t>
      </w:r>
      <w:r w:rsidRPr="00702A15">
        <w:rPr>
          <w:rFonts w:ascii="Arial" w:hAnsi="Arial" w:cs="Arial"/>
          <w:sz w:val="24"/>
          <w:szCs w:val="24"/>
          <w:vertAlign w:val="superscript"/>
          <w:lang w:val="it-IT"/>
        </w:rPr>
        <w:t>2+</w:t>
      </w:r>
      <w:r w:rsidRPr="00702A15">
        <w:rPr>
          <w:rFonts w:ascii="Arial" w:hAnsi="Arial" w:cs="Arial"/>
          <w:sz w:val="24"/>
          <w:szCs w:val="24"/>
          <w:lang w:val="it-IT"/>
        </w:rPr>
        <w:t xml:space="preserve">). </w:t>
      </w:r>
    </w:p>
    <w:p w:rsidR="00420717" w:rsidRPr="00702A15" w:rsidRDefault="00420717" w:rsidP="00420717">
      <w:pPr>
        <w:pStyle w:val="BodyText3"/>
        <w:spacing w:after="0"/>
        <w:jc w:val="both"/>
        <w:rPr>
          <w:rFonts w:ascii="Arial" w:hAnsi="Arial" w:cs="Arial"/>
          <w:b/>
          <w:bCs/>
          <w:sz w:val="24"/>
          <w:szCs w:val="24"/>
          <w:lang w:val="it-IT"/>
        </w:rPr>
      </w:pPr>
      <w:r w:rsidRPr="00702A15">
        <w:rPr>
          <w:rFonts w:ascii="Arial" w:hAnsi="Arial" w:cs="Arial"/>
          <w:b/>
          <w:bCs/>
          <w:sz w:val="24"/>
          <w:szCs w:val="24"/>
          <w:lang w:val="it-IT"/>
        </w:rPr>
        <w:t>Corpul ROIL12 Câmpia Gherghiţei</w:t>
      </w:r>
    </w:p>
    <w:p w:rsidR="00420717" w:rsidRDefault="00420717" w:rsidP="00420717">
      <w:pPr>
        <w:pStyle w:val="BodyText3"/>
        <w:spacing w:after="0"/>
        <w:jc w:val="both"/>
        <w:rPr>
          <w:rFonts w:ascii="Arial" w:hAnsi="Arial" w:cs="Arial"/>
          <w:bCs/>
          <w:sz w:val="24"/>
          <w:szCs w:val="24"/>
        </w:rPr>
      </w:pPr>
      <w:r w:rsidRPr="00702A15">
        <w:rPr>
          <w:rFonts w:ascii="Arial" w:hAnsi="Arial" w:cs="Arial"/>
          <w:iCs/>
          <w:sz w:val="24"/>
          <w:szCs w:val="24"/>
          <w:lang w:val="it-IT"/>
        </w:rPr>
        <w:t>În anul 2014 în acest corp de apă au fost programate pentru monitorizare cantitativă (nivel)  62 foraje</w:t>
      </w:r>
      <w:r w:rsidRPr="00702A15">
        <w:rPr>
          <w:rFonts w:ascii="Arial" w:hAnsi="Arial" w:cs="Arial"/>
          <w:bCs/>
          <w:sz w:val="24"/>
          <w:szCs w:val="24"/>
        </w:rPr>
        <w:t>. Monitorizarea stării calitative a acestui corp de apă subterană s-a realizat în anul 2014 într-un număr de 20 foraje:</w:t>
      </w:r>
    </w:p>
    <w:p w:rsidR="00420717" w:rsidRPr="00702A15" w:rsidRDefault="00420717" w:rsidP="00420717">
      <w:pPr>
        <w:pStyle w:val="BodyText3"/>
        <w:spacing w:after="0"/>
        <w:jc w:val="both"/>
        <w:rPr>
          <w:rFonts w:ascii="Arial" w:hAnsi="Arial" w:cs="Arial"/>
          <w:bCs/>
          <w:sz w:val="24"/>
          <w:szCs w:val="24"/>
        </w:rPr>
      </w:pPr>
    </w:p>
    <w:tbl>
      <w:tblPr>
        <w:tblW w:w="6660" w:type="dxa"/>
        <w:tblInd w:w="1638" w:type="dxa"/>
        <w:tblLook w:val="00A0"/>
      </w:tblPr>
      <w:tblGrid>
        <w:gridCol w:w="4590"/>
        <w:gridCol w:w="2070"/>
      </w:tblGrid>
      <w:tr w:rsidR="00420717" w:rsidRPr="00702A15" w:rsidTr="00D92384">
        <w:trPr>
          <w:trHeight w:val="300"/>
        </w:trPr>
        <w:tc>
          <w:tcPr>
            <w:tcW w:w="4590" w:type="dxa"/>
            <w:tcBorders>
              <w:top w:val="single" w:sz="4" w:space="0" w:color="auto"/>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HALTA-PRAHOVA</w:t>
            </w:r>
          </w:p>
        </w:tc>
        <w:tc>
          <w:tcPr>
            <w:tcW w:w="2070" w:type="dxa"/>
            <w:tcBorders>
              <w:top w:val="single" w:sz="4" w:space="0" w:color="auto"/>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MALU RO</w:t>
            </w:r>
            <w:r>
              <w:rPr>
                <w:rFonts w:ascii="Arial" w:hAnsi="Arial" w:cs="Arial"/>
                <w:bCs/>
                <w:sz w:val="24"/>
                <w:szCs w:val="24"/>
              </w:rPr>
              <w:t>Ş</w:t>
            </w:r>
            <w:r w:rsidRPr="00702A15">
              <w:rPr>
                <w:rFonts w:ascii="Arial" w:hAnsi="Arial" w:cs="Arial"/>
                <w:bCs/>
                <w:sz w:val="24"/>
                <w:szCs w:val="24"/>
              </w:rPr>
              <w:t>U</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SĂLCIILE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CONDURATU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ADÎNCATA-FIERBIN</w:t>
            </w:r>
            <w:r>
              <w:rPr>
                <w:rFonts w:ascii="Arial" w:hAnsi="Arial" w:cs="Arial"/>
                <w:bCs/>
                <w:sz w:val="24"/>
                <w:szCs w:val="24"/>
              </w:rPr>
              <w:t>Ţ</w:t>
            </w:r>
            <w:r w:rsidRPr="00702A15">
              <w:rPr>
                <w:rFonts w:ascii="Arial" w:hAnsi="Arial" w:cs="Arial"/>
                <w:bCs/>
                <w:sz w:val="24"/>
                <w:szCs w:val="24"/>
              </w:rPr>
              <w:t>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F4</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RODEANU</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F3R</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ADÎNCATA-FIERBIN</w:t>
            </w:r>
            <w:r>
              <w:rPr>
                <w:rFonts w:ascii="Arial" w:hAnsi="Arial" w:cs="Arial"/>
                <w:bCs/>
                <w:sz w:val="24"/>
                <w:szCs w:val="24"/>
              </w:rPr>
              <w:t>Ţ</w:t>
            </w:r>
            <w:r w:rsidRPr="00702A15">
              <w:rPr>
                <w:rFonts w:ascii="Arial" w:hAnsi="Arial" w:cs="Arial"/>
                <w:bCs/>
                <w:sz w:val="24"/>
                <w:szCs w:val="24"/>
              </w:rPr>
              <w:t>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F5</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BURIAS-PREDE</w:t>
            </w:r>
            <w:r>
              <w:rPr>
                <w:rFonts w:ascii="Arial" w:hAnsi="Arial" w:cs="Arial"/>
                <w:bCs/>
                <w:sz w:val="24"/>
                <w:szCs w:val="24"/>
              </w:rPr>
              <w:t>Ş</w:t>
            </w:r>
            <w:r w:rsidRPr="00702A15">
              <w:rPr>
                <w:rFonts w:ascii="Arial" w:hAnsi="Arial" w:cs="Arial"/>
                <w:bCs/>
                <w:sz w:val="24"/>
                <w:szCs w:val="24"/>
              </w:rPr>
              <w:t>TI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GURA OCNI</w:t>
            </w:r>
            <w:r>
              <w:rPr>
                <w:rFonts w:ascii="Arial" w:hAnsi="Arial" w:cs="Arial"/>
                <w:bCs/>
                <w:sz w:val="24"/>
                <w:szCs w:val="24"/>
              </w:rPr>
              <w:t>Ţ</w:t>
            </w:r>
            <w:r w:rsidRPr="00702A15">
              <w:rPr>
                <w:rFonts w:ascii="Arial" w:hAnsi="Arial" w:cs="Arial"/>
                <w:bCs/>
                <w:sz w:val="24"/>
                <w:szCs w:val="24"/>
              </w:rPr>
              <w:t>EI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GĂGENI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STÎLPU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SĂHĂTENI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BĂLENI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PUCHENI-MO</w:t>
            </w:r>
            <w:r>
              <w:rPr>
                <w:rFonts w:ascii="Arial" w:hAnsi="Arial" w:cs="Arial"/>
                <w:bCs/>
                <w:sz w:val="24"/>
                <w:szCs w:val="24"/>
              </w:rPr>
              <w:t>Ş</w:t>
            </w:r>
            <w:r w:rsidRPr="00702A15">
              <w:rPr>
                <w:rFonts w:ascii="Arial" w:hAnsi="Arial" w:cs="Arial"/>
                <w:bCs/>
                <w:sz w:val="24"/>
                <w:szCs w:val="24"/>
              </w:rPr>
              <w:t>NENI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F1A</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BUDA-PALANCA</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MALU RO</w:t>
            </w:r>
            <w:r>
              <w:rPr>
                <w:rFonts w:ascii="Arial" w:hAnsi="Arial" w:cs="Arial"/>
                <w:bCs/>
                <w:sz w:val="24"/>
                <w:szCs w:val="24"/>
              </w:rPr>
              <w:t>Ş</w:t>
            </w:r>
            <w:r w:rsidRPr="00702A15">
              <w:rPr>
                <w:rFonts w:ascii="Arial" w:hAnsi="Arial" w:cs="Arial"/>
                <w:bCs/>
                <w:sz w:val="24"/>
                <w:szCs w:val="24"/>
              </w:rPr>
              <w:t>U</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F5</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MĂRCE</w:t>
            </w:r>
            <w:r>
              <w:rPr>
                <w:rFonts w:ascii="Arial" w:hAnsi="Arial" w:cs="Arial"/>
                <w:bCs/>
                <w:sz w:val="24"/>
                <w:szCs w:val="24"/>
              </w:rPr>
              <w:t>Ş</w:t>
            </w:r>
            <w:r w:rsidRPr="00702A15">
              <w:rPr>
                <w:rFonts w:ascii="Arial" w:hAnsi="Arial" w:cs="Arial"/>
                <w:bCs/>
                <w:sz w:val="24"/>
                <w:szCs w:val="24"/>
              </w:rPr>
              <w:t>TI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ULMENI (BUZĂU) ORD.II</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nil"/>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BUC</w:t>
            </w:r>
            <w:r>
              <w:rPr>
                <w:rFonts w:ascii="Arial" w:hAnsi="Arial" w:cs="Arial"/>
                <w:bCs/>
                <w:sz w:val="24"/>
                <w:szCs w:val="24"/>
              </w:rPr>
              <w:t>Ş</w:t>
            </w:r>
            <w:r w:rsidRPr="00702A15">
              <w:rPr>
                <w:rFonts w:ascii="Arial" w:hAnsi="Arial" w:cs="Arial"/>
                <w:bCs/>
                <w:sz w:val="24"/>
                <w:szCs w:val="24"/>
              </w:rPr>
              <w:t>ANI ORD.II</w:t>
            </w:r>
          </w:p>
        </w:tc>
        <w:tc>
          <w:tcPr>
            <w:tcW w:w="2070" w:type="dxa"/>
            <w:tcBorders>
              <w:top w:val="nil"/>
              <w:left w:val="nil"/>
              <w:bottom w:val="nil"/>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4590" w:type="dxa"/>
            <w:tcBorders>
              <w:top w:val="nil"/>
              <w:left w:val="single" w:sz="4" w:space="0" w:color="auto"/>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MĂNE</w:t>
            </w:r>
            <w:r>
              <w:rPr>
                <w:rFonts w:ascii="Arial" w:hAnsi="Arial" w:cs="Arial"/>
                <w:bCs/>
                <w:sz w:val="24"/>
                <w:szCs w:val="24"/>
              </w:rPr>
              <w:t>Ş</w:t>
            </w:r>
            <w:r w:rsidRPr="00702A15">
              <w:rPr>
                <w:rFonts w:ascii="Arial" w:hAnsi="Arial" w:cs="Arial"/>
                <w:bCs/>
                <w:sz w:val="24"/>
                <w:szCs w:val="24"/>
              </w:rPr>
              <w:t xml:space="preserve">TI </w:t>
            </w:r>
          </w:p>
        </w:tc>
        <w:tc>
          <w:tcPr>
            <w:tcW w:w="2070" w:type="dxa"/>
            <w:tcBorders>
              <w:top w:val="nil"/>
              <w:left w:val="nil"/>
              <w:bottom w:val="single" w:sz="4" w:space="0" w:color="auto"/>
              <w:right w:val="single" w:sz="4" w:space="0" w:color="auto"/>
            </w:tcBorders>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F8</w:t>
            </w:r>
          </w:p>
        </w:tc>
      </w:tr>
    </w:tbl>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lastRenderedPageBreak/>
        <w:t>Indicatorii care au determinat starea corpului de apă sunt:</w:t>
      </w:r>
      <w:r w:rsidRPr="00702A15">
        <w:rPr>
          <w:rFonts w:ascii="Arial" w:hAnsi="Arial" w:cs="Arial"/>
          <w:b/>
          <w:sz w:val="24"/>
          <w:szCs w:val="24"/>
          <w:lang w:val="it-IT"/>
        </w:rPr>
        <w:t xml:space="preserve"> </w:t>
      </w:r>
      <w:r w:rsidRPr="00702A15">
        <w:rPr>
          <w:rFonts w:ascii="Arial" w:hAnsi="Arial" w:cs="Arial"/>
          <w:sz w:val="24"/>
          <w:szCs w:val="24"/>
          <w:lang w:val="it-IT"/>
        </w:rPr>
        <w:t>Nitra</w:t>
      </w:r>
      <w:r>
        <w:rPr>
          <w:rFonts w:ascii="Arial" w:hAnsi="Arial" w:cs="Arial"/>
          <w:sz w:val="24"/>
          <w:szCs w:val="24"/>
          <w:lang w:val="it-IT"/>
        </w:rPr>
        <w:t>ţ</w:t>
      </w:r>
      <w:r w:rsidRPr="00702A15">
        <w:rPr>
          <w:rFonts w:ascii="Arial" w:hAnsi="Arial" w:cs="Arial"/>
          <w:sz w:val="24"/>
          <w:szCs w:val="24"/>
          <w:lang w:val="it-IT"/>
        </w:rPr>
        <w:t>i</w:t>
      </w:r>
      <w:r w:rsidRPr="00702A15">
        <w:rPr>
          <w:rFonts w:ascii="Arial" w:hAnsi="Arial" w:cs="Arial"/>
          <w:b/>
          <w:sz w:val="24"/>
          <w:szCs w:val="24"/>
          <w:lang w:val="it-IT"/>
        </w:rPr>
        <w:t xml:space="preserve"> (</w:t>
      </w:r>
      <w:r w:rsidRPr="00702A15">
        <w:rPr>
          <w:rFonts w:ascii="Arial" w:hAnsi="Arial" w:cs="Arial"/>
          <w:sz w:val="24"/>
          <w:szCs w:val="24"/>
          <w:lang w:val="it-IT"/>
        </w:rPr>
        <w:t>NO</w:t>
      </w:r>
      <w:r w:rsidRPr="00702A15">
        <w:rPr>
          <w:rFonts w:ascii="Arial" w:hAnsi="Arial" w:cs="Arial"/>
          <w:sz w:val="24"/>
          <w:szCs w:val="24"/>
          <w:vertAlign w:val="subscript"/>
          <w:lang w:val="it-IT"/>
        </w:rPr>
        <w:t>3</w:t>
      </w:r>
      <w:r w:rsidRPr="00702A15">
        <w:rPr>
          <w:rFonts w:ascii="Arial" w:hAnsi="Arial" w:cs="Arial"/>
          <w:sz w:val="24"/>
          <w:szCs w:val="24"/>
          <w:vertAlign w:val="superscript"/>
          <w:lang w:val="it-IT"/>
        </w:rPr>
        <w:t>-</w:t>
      </w:r>
      <w:r w:rsidRPr="00702A15">
        <w:rPr>
          <w:rFonts w:ascii="Arial" w:hAnsi="Arial" w:cs="Arial"/>
          <w:sz w:val="24"/>
          <w:szCs w:val="24"/>
          <w:lang w:val="it-IT"/>
        </w:rPr>
        <w:t>), Amoniu (NH</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w:t>
      </w:r>
      <w:r w:rsidRPr="00702A15">
        <w:rPr>
          <w:rFonts w:ascii="Arial" w:hAnsi="Arial" w:cs="Arial"/>
          <w:sz w:val="24"/>
          <w:szCs w:val="24"/>
          <w:lang w:val="it-IT"/>
        </w:rPr>
        <w:t>), Cloruri (Cl</w:t>
      </w:r>
      <w:r w:rsidRPr="00702A15">
        <w:rPr>
          <w:rFonts w:ascii="Arial" w:hAnsi="Arial" w:cs="Arial"/>
          <w:sz w:val="24"/>
          <w:szCs w:val="24"/>
          <w:vertAlign w:val="superscript"/>
          <w:lang w:val="it-IT"/>
        </w:rPr>
        <w:t>-</w:t>
      </w:r>
      <w:r w:rsidRPr="00702A15">
        <w:rPr>
          <w:rFonts w:ascii="Arial" w:hAnsi="Arial" w:cs="Arial"/>
          <w:sz w:val="24"/>
          <w:szCs w:val="24"/>
          <w:lang w:val="it-IT"/>
        </w:rPr>
        <w:t>), Sulfa</w:t>
      </w:r>
      <w:r>
        <w:rPr>
          <w:rFonts w:ascii="Arial" w:hAnsi="Arial" w:cs="Arial"/>
          <w:sz w:val="24"/>
          <w:szCs w:val="24"/>
          <w:lang w:val="it-IT"/>
        </w:rPr>
        <w:t>ţ</w:t>
      </w:r>
      <w:r w:rsidRPr="00702A15">
        <w:rPr>
          <w:rFonts w:ascii="Arial" w:hAnsi="Arial" w:cs="Arial"/>
          <w:sz w:val="24"/>
          <w:szCs w:val="24"/>
          <w:lang w:val="it-IT"/>
        </w:rPr>
        <w:t>i (SO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2+</w:t>
      </w:r>
      <w:r w:rsidRPr="00702A15">
        <w:rPr>
          <w:rFonts w:ascii="Arial" w:hAnsi="Arial" w:cs="Arial"/>
          <w:sz w:val="24"/>
          <w:szCs w:val="24"/>
          <w:lang w:val="it-IT"/>
        </w:rPr>
        <w:t>), Nitri</w:t>
      </w:r>
      <w:r>
        <w:rPr>
          <w:rFonts w:ascii="Arial" w:hAnsi="Arial" w:cs="Arial"/>
          <w:sz w:val="24"/>
          <w:szCs w:val="24"/>
          <w:lang w:val="it-IT"/>
        </w:rPr>
        <w:t>ţ</w:t>
      </w:r>
      <w:r w:rsidRPr="00702A15">
        <w:rPr>
          <w:rFonts w:ascii="Arial" w:hAnsi="Arial" w:cs="Arial"/>
          <w:sz w:val="24"/>
          <w:szCs w:val="24"/>
          <w:lang w:val="it-IT"/>
        </w:rPr>
        <w:t>i (NO</w:t>
      </w:r>
      <w:r w:rsidRPr="00702A15">
        <w:rPr>
          <w:rFonts w:ascii="Arial" w:hAnsi="Arial" w:cs="Arial"/>
          <w:sz w:val="24"/>
          <w:szCs w:val="24"/>
          <w:vertAlign w:val="subscript"/>
          <w:lang w:val="it-IT"/>
        </w:rPr>
        <w:t>2</w:t>
      </w:r>
      <w:r w:rsidRPr="00702A15">
        <w:rPr>
          <w:rFonts w:ascii="Arial" w:hAnsi="Arial" w:cs="Arial"/>
          <w:sz w:val="24"/>
          <w:szCs w:val="24"/>
          <w:vertAlign w:val="superscript"/>
          <w:lang w:val="it-IT"/>
        </w:rPr>
        <w:t>-</w:t>
      </w:r>
      <w:r w:rsidRPr="00702A15">
        <w:rPr>
          <w:rFonts w:ascii="Arial" w:hAnsi="Arial" w:cs="Arial"/>
          <w:sz w:val="24"/>
          <w:szCs w:val="24"/>
          <w:lang w:val="it-IT"/>
        </w:rPr>
        <w:t>), ortofosfa</w:t>
      </w:r>
      <w:r>
        <w:rPr>
          <w:rFonts w:ascii="Arial" w:hAnsi="Arial" w:cs="Arial"/>
          <w:sz w:val="24"/>
          <w:szCs w:val="24"/>
          <w:lang w:val="it-IT"/>
        </w:rPr>
        <w:t>ţ</w:t>
      </w:r>
      <w:r w:rsidRPr="00702A15">
        <w:rPr>
          <w:rFonts w:ascii="Arial" w:hAnsi="Arial" w:cs="Arial"/>
          <w:sz w:val="24"/>
          <w:szCs w:val="24"/>
          <w:lang w:val="it-IT"/>
        </w:rPr>
        <w:t>i solubili (PO</w:t>
      </w:r>
      <w:r w:rsidRPr="00702A15">
        <w:rPr>
          <w:rFonts w:ascii="Arial" w:hAnsi="Arial" w:cs="Arial"/>
          <w:sz w:val="24"/>
          <w:szCs w:val="24"/>
          <w:vertAlign w:val="subscript"/>
          <w:lang w:val="it-IT"/>
        </w:rPr>
        <w:t>4</w:t>
      </w:r>
      <w:r w:rsidRPr="00702A15">
        <w:rPr>
          <w:rFonts w:ascii="Arial" w:hAnsi="Arial" w:cs="Arial"/>
          <w:sz w:val="24"/>
          <w:szCs w:val="24"/>
          <w:vertAlign w:val="superscript"/>
          <w:lang w:val="it-IT"/>
        </w:rPr>
        <w:t>3-</w:t>
      </w:r>
      <w:r w:rsidRPr="00702A15">
        <w:rPr>
          <w:rFonts w:ascii="Arial" w:hAnsi="Arial" w:cs="Arial"/>
          <w:sz w:val="24"/>
          <w:szCs w:val="24"/>
          <w:lang w:val="it-IT"/>
        </w:rPr>
        <w:t xml:space="preserve">), cupru, cadmiu, benzen, triclortilenă, tetracloretilenă,crom, arsen </w:t>
      </w:r>
      <w:r>
        <w:rPr>
          <w:rFonts w:ascii="Arial" w:hAnsi="Arial" w:cs="Arial"/>
          <w:sz w:val="24"/>
          <w:szCs w:val="24"/>
          <w:lang w:val="it-IT"/>
        </w:rPr>
        <w:t>ş</w:t>
      </w:r>
      <w:r w:rsidRPr="00702A15">
        <w:rPr>
          <w:rFonts w:ascii="Arial" w:hAnsi="Arial" w:cs="Arial"/>
          <w:sz w:val="24"/>
          <w:szCs w:val="24"/>
          <w:lang w:val="it-IT"/>
        </w:rPr>
        <w:t>i plumb.</w:t>
      </w:r>
    </w:p>
    <w:p w:rsidR="00420717" w:rsidRPr="00702A15" w:rsidRDefault="00420717" w:rsidP="00420717">
      <w:pPr>
        <w:spacing w:after="0" w:line="240" w:lineRule="auto"/>
        <w:jc w:val="both"/>
        <w:rPr>
          <w:rFonts w:ascii="Arial" w:hAnsi="Arial" w:cs="Arial"/>
          <w:sz w:val="24"/>
          <w:szCs w:val="24"/>
          <w:lang w:val="it-IT"/>
        </w:rPr>
      </w:pPr>
      <w:r w:rsidRPr="00702A15">
        <w:rPr>
          <w:rFonts w:ascii="Arial" w:hAnsi="Arial" w:cs="Arial"/>
          <w:sz w:val="24"/>
          <w:szCs w:val="24"/>
          <w:lang w:val="it-IT"/>
        </w:rPr>
        <w:t xml:space="preserve">Rezultatul încadrării corpului de apă </w:t>
      </w:r>
    </w:p>
    <w:p w:rsidR="00420717" w:rsidRDefault="00420717" w:rsidP="00420717">
      <w:pPr>
        <w:spacing w:after="0" w:line="240" w:lineRule="auto"/>
        <w:jc w:val="both"/>
        <w:rPr>
          <w:rFonts w:ascii="Arial" w:hAnsi="Arial" w:cs="Arial"/>
          <w:bCs/>
          <w:sz w:val="24"/>
          <w:szCs w:val="24"/>
          <w:lang w:val="pt-BR"/>
        </w:rPr>
      </w:pPr>
      <w:r w:rsidRPr="00702A15">
        <w:rPr>
          <w:rFonts w:ascii="Arial" w:hAnsi="Arial" w:cs="Arial"/>
          <w:bCs/>
          <w:sz w:val="24"/>
          <w:szCs w:val="24"/>
          <w:lang w:val="it-IT"/>
        </w:rPr>
        <w:t>Analiza stării calitative s-a facut prin compararea valorilor prag cu concentra</w:t>
      </w:r>
      <w:r>
        <w:rPr>
          <w:rFonts w:ascii="Arial" w:hAnsi="Arial" w:cs="Arial"/>
          <w:bCs/>
          <w:sz w:val="24"/>
          <w:szCs w:val="24"/>
          <w:lang w:val="it-IT"/>
        </w:rPr>
        <w:t>ţ</w:t>
      </w:r>
      <w:r w:rsidRPr="00702A15">
        <w:rPr>
          <w:rFonts w:ascii="Arial" w:hAnsi="Arial" w:cs="Arial"/>
          <w:bCs/>
          <w:sz w:val="24"/>
          <w:szCs w:val="24"/>
          <w:lang w:val="it-IT"/>
        </w:rPr>
        <w:t>iile medii</w:t>
      </w:r>
      <w:r w:rsidRPr="00702A15">
        <w:rPr>
          <w:rFonts w:ascii="Arial" w:hAnsi="Arial" w:cs="Arial"/>
          <w:bCs/>
          <w:sz w:val="24"/>
          <w:szCs w:val="24"/>
          <w:u w:val="single"/>
          <w:lang w:val="it-IT"/>
        </w:rPr>
        <w:t xml:space="preserve"> </w:t>
      </w:r>
      <w:r w:rsidRPr="00702A15">
        <w:rPr>
          <w:rFonts w:ascii="Arial" w:hAnsi="Arial" w:cs="Arial"/>
          <w:bCs/>
          <w:sz w:val="24"/>
          <w:szCs w:val="24"/>
          <w:lang w:val="it-IT"/>
        </w:rPr>
        <w:t>ob</w:t>
      </w:r>
      <w:r>
        <w:rPr>
          <w:rFonts w:ascii="Arial" w:hAnsi="Arial" w:cs="Arial"/>
          <w:bCs/>
          <w:sz w:val="24"/>
          <w:szCs w:val="24"/>
          <w:lang w:val="it-IT"/>
        </w:rPr>
        <w:t>ţ</w:t>
      </w:r>
      <w:r w:rsidRPr="00702A15">
        <w:rPr>
          <w:rFonts w:ascii="Arial" w:hAnsi="Arial" w:cs="Arial"/>
          <w:bCs/>
          <w:sz w:val="24"/>
          <w:szCs w:val="24"/>
          <w:lang w:val="it-IT"/>
        </w:rPr>
        <w:t xml:space="preserve">inute la analizele chimice din anul 2014. </w:t>
      </w:r>
      <w:r w:rsidRPr="00702A15">
        <w:rPr>
          <w:rFonts w:ascii="Arial" w:hAnsi="Arial" w:cs="Arial"/>
          <w:bCs/>
          <w:sz w:val="24"/>
          <w:szCs w:val="24"/>
          <w:lang w:val="pt-BR"/>
        </w:rPr>
        <w:t>Astfel, s-a constat ca există 13 foraje cu depă</w:t>
      </w:r>
      <w:r>
        <w:rPr>
          <w:rFonts w:ascii="Arial" w:hAnsi="Arial" w:cs="Arial"/>
          <w:bCs/>
          <w:sz w:val="24"/>
          <w:szCs w:val="24"/>
          <w:lang w:val="pt-BR"/>
        </w:rPr>
        <w:t>ş</w:t>
      </w:r>
      <w:r w:rsidRPr="00702A15">
        <w:rPr>
          <w:rFonts w:ascii="Arial" w:hAnsi="Arial" w:cs="Arial"/>
          <w:bCs/>
          <w:sz w:val="24"/>
          <w:szCs w:val="24"/>
          <w:lang w:val="pt-BR"/>
        </w:rPr>
        <w:t>iri prezentate în tabelul de mai jos.</w:t>
      </w:r>
    </w:p>
    <w:p w:rsidR="00420717" w:rsidRPr="00702A15" w:rsidRDefault="00420717" w:rsidP="00420717">
      <w:pPr>
        <w:spacing w:after="0" w:line="240" w:lineRule="auto"/>
        <w:jc w:val="both"/>
        <w:rPr>
          <w:rFonts w:ascii="Arial" w:hAnsi="Arial" w:cs="Arial"/>
          <w:bCs/>
          <w:sz w:val="24"/>
          <w:szCs w:val="24"/>
          <w:lang w:val="pt-BR"/>
        </w:rPr>
      </w:pPr>
    </w:p>
    <w:tbl>
      <w:tblPr>
        <w:tblW w:w="7110" w:type="dxa"/>
        <w:tblInd w:w="1367" w:type="dxa"/>
        <w:tblCellMar>
          <w:left w:w="0" w:type="dxa"/>
          <w:right w:w="0" w:type="dxa"/>
        </w:tblCellMar>
        <w:tblLook w:val="00A0"/>
      </w:tblPr>
      <w:tblGrid>
        <w:gridCol w:w="3600"/>
        <w:gridCol w:w="2350"/>
        <w:gridCol w:w="1160"/>
      </w:tblGrid>
      <w:tr w:rsidR="00420717" w:rsidRPr="00702A15" w:rsidTr="00D92384">
        <w:trPr>
          <w:trHeight w:val="300"/>
        </w:trPr>
        <w:tc>
          <w:tcPr>
            <w:tcW w:w="3600" w:type="dxa"/>
            <w:vMerge w:val="restart"/>
            <w:tcBorders>
              <w:top w:val="single" w:sz="4" w:space="0" w:color="auto"/>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Azota</w:t>
            </w:r>
            <w:r>
              <w:rPr>
                <w:rFonts w:ascii="Arial" w:hAnsi="Arial" w:cs="Arial"/>
                <w:sz w:val="24"/>
                <w:szCs w:val="24"/>
              </w:rPr>
              <w:t>ţ</w:t>
            </w:r>
            <w:r w:rsidRPr="00702A15">
              <w:rPr>
                <w:rFonts w:ascii="Arial" w:hAnsi="Arial" w:cs="Arial"/>
                <w:sz w:val="24"/>
                <w:szCs w:val="24"/>
              </w:rPr>
              <w:t>i</w:t>
            </w:r>
          </w:p>
          <w:p w:rsidR="00420717" w:rsidRPr="00702A15" w:rsidRDefault="00420717" w:rsidP="00D92384">
            <w:pPr>
              <w:spacing w:after="0" w:line="240" w:lineRule="auto"/>
              <w:jc w:val="center"/>
              <w:rPr>
                <w:rFonts w:ascii="Arial" w:hAnsi="Arial" w:cs="Arial"/>
                <w:sz w:val="24"/>
                <w:szCs w:val="24"/>
              </w:rPr>
            </w:pPr>
          </w:p>
          <w:p w:rsidR="00420717" w:rsidRPr="00702A15" w:rsidRDefault="00420717" w:rsidP="00D92384">
            <w:pPr>
              <w:spacing w:after="0" w:line="240" w:lineRule="auto"/>
              <w:jc w:val="center"/>
              <w:rPr>
                <w:rFonts w:ascii="Arial" w:hAnsi="Arial" w:cs="Arial"/>
                <w:sz w:val="24"/>
                <w:szCs w:val="24"/>
              </w:rPr>
            </w:pPr>
          </w:p>
          <w:p w:rsidR="00420717" w:rsidRPr="00702A15" w:rsidRDefault="00420717" w:rsidP="00D92384">
            <w:pPr>
              <w:spacing w:after="0" w:line="240" w:lineRule="auto"/>
              <w:jc w:val="center"/>
              <w:rPr>
                <w:rFonts w:ascii="Arial" w:hAnsi="Arial" w:cs="Arial"/>
                <w:sz w:val="24"/>
                <w:szCs w:val="24"/>
              </w:rPr>
            </w:pP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BUDA-PALANCA</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F3</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ULMENI (BUZAU) ORD.II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GĂGENI ORD.II</w:t>
            </w:r>
          </w:p>
        </w:tc>
        <w:tc>
          <w:tcPr>
            <w:tcW w:w="116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STÎLPU ORD.II</w:t>
            </w:r>
          </w:p>
        </w:tc>
        <w:tc>
          <w:tcPr>
            <w:tcW w:w="116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SĂHĂTENI ORD.II</w:t>
            </w:r>
          </w:p>
        </w:tc>
        <w:tc>
          <w:tcPr>
            <w:tcW w:w="116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tcBorders>
              <w:left w:val="single" w:sz="4" w:space="0" w:color="auto"/>
              <w:bottom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BĂLENI ORD.II</w:t>
            </w:r>
          </w:p>
        </w:tc>
        <w:tc>
          <w:tcPr>
            <w:tcW w:w="116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val="restart"/>
            <w:tcBorders>
              <w:top w:val="single" w:sz="4" w:space="0" w:color="auto"/>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Cloruri</w:t>
            </w:r>
          </w:p>
          <w:p w:rsidR="00420717" w:rsidRPr="00702A15" w:rsidRDefault="00420717" w:rsidP="00D92384">
            <w:pPr>
              <w:spacing w:after="0" w:line="240" w:lineRule="auto"/>
              <w:jc w:val="center"/>
              <w:rPr>
                <w:rFonts w:ascii="Arial" w:hAnsi="Arial" w:cs="Arial"/>
                <w:sz w:val="24"/>
                <w:szCs w:val="24"/>
              </w:rPr>
            </w:pPr>
          </w:p>
          <w:p w:rsidR="00420717" w:rsidRPr="00702A15" w:rsidRDefault="00420717" w:rsidP="00D92384">
            <w:pPr>
              <w:spacing w:after="0" w:line="240" w:lineRule="auto"/>
              <w:jc w:val="center"/>
              <w:rPr>
                <w:rFonts w:ascii="Arial" w:hAnsi="Arial" w:cs="Arial"/>
                <w:sz w:val="24"/>
                <w:szCs w:val="24"/>
              </w:rPr>
            </w:pPr>
          </w:p>
        </w:tc>
        <w:tc>
          <w:tcPr>
            <w:tcW w:w="235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BURIA</w:t>
            </w:r>
            <w:r>
              <w:rPr>
                <w:rFonts w:ascii="Arial" w:hAnsi="Arial" w:cs="Arial"/>
                <w:bCs/>
                <w:sz w:val="24"/>
                <w:szCs w:val="24"/>
              </w:rPr>
              <w:t>Ş</w:t>
            </w:r>
            <w:r w:rsidRPr="00702A15">
              <w:rPr>
                <w:rFonts w:ascii="Arial" w:hAnsi="Arial" w:cs="Arial"/>
                <w:bCs/>
                <w:sz w:val="24"/>
                <w:szCs w:val="24"/>
              </w:rPr>
              <w:t>-PREDE</w:t>
            </w:r>
            <w:r>
              <w:rPr>
                <w:rFonts w:ascii="Arial" w:hAnsi="Arial" w:cs="Arial"/>
                <w:bCs/>
                <w:sz w:val="24"/>
                <w:szCs w:val="24"/>
              </w:rPr>
              <w:t>Ş</w:t>
            </w:r>
            <w:r w:rsidRPr="00702A15">
              <w:rPr>
                <w:rFonts w:ascii="Arial" w:hAnsi="Arial" w:cs="Arial"/>
                <w:bCs/>
                <w:sz w:val="24"/>
                <w:szCs w:val="24"/>
              </w:rPr>
              <w:t>TI</w:t>
            </w:r>
          </w:p>
        </w:tc>
        <w:tc>
          <w:tcPr>
            <w:tcW w:w="1160" w:type="dxa"/>
            <w:tcBorders>
              <w:top w:val="nil"/>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F2</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ADÎNCATA-FIERBIN</w:t>
            </w:r>
            <w:r>
              <w:rPr>
                <w:rFonts w:ascii="Arial" w:hAnsi="Arial" w:cs="Arial"/>
                <w:bCs/>
                <w:sz w:val="24"/>
                <w:szCs w:val="24"/>
              </w:rPr>
              <w:t>Ţ</w:t>
            </w:r>
            <w:r w:rsidRPr="00702A15">
              <w:rPr>
                <w:rFonts w:ascii="Arial" w:hAnsi="Arial" w:cs="Arial"/>
                <w:bCs/>
                <w:sz w:val="24"/>
                <w:szCs w:val="24"/>
              </w:rPr>
              <w:t>I</w:t>
            </w:r>
          </w:p>
        </w:tc>
        <w:tc>
          <w:tcPr>
            <w:tcW w:w="116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F4</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MĂNE</w:t>
            </w:r>
            <w:r>
              <w:rPr>
                <w:rFonts w:ascii="Arial" w:hAnsi="Arial" w:cs="Arial"/>
                <w:bCs/>
                <w:sz w:val="24"/>
                <w:szCs w:val="24"/>
              </w:rPr>
              <w:t>Ş</w:t>
            </w:r>
            <w:r w:rsidRPr="00702A15">
              <w:rPr>
                <w:rFonts w:ascii="Arial" w:hAnsi="Arial" w:cs="Arial"/>
                <w:bCs/>
                <w:sz w:val="24"/>
                <w:szCs w:val="24"/>
              </w:rPr>
              <w:t xml:space="preserve">TI </w:t>
            </w:r>
          </w:p>
        </w:tc>
        <w:tc>
          <w:tcPr>
            <w:tcW w:w="1160" w:type="dxa"/>
            <w:tcBorders>
              <w:top w:val="nil"/>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F8</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STĂLPU ORD.II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GURA OCNI</w:t>
            </w:r>
            <w:r>
              <w:rPr>
                <w:rFonts w:ascii="Arial" w:hAnsi="Arial" w:cs="Arial"/>
                <w:bCs/>
                <w:sz w:val="24"/>
                <w:szCs w:val="24"/>
              </w:rPr>
              <w:t>Ţ</w:t>
            </w:r>
            <w:r w:rsidRPr="00702A15">
              <w:rPr>
                <w:rFonts w:ascii="Arial" w:hAnsi="Arial" w:cs="Arial"/>
                <w:bCs/>
                <w:sz w:val="24"/>
                <w:szCs w:val="24"/>
              </w:rPr>
              <w:t>EI ORD.II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tcBorders>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ULMENI (BUZAU) ORD.II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tcBorders>
              <w:left w:val="single" w:sz="4" w:space="0" w:color="auto"/>
              <w:bottom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BUC</w:t>
            </w:r>
            <w:r>
              <w:rPr>
                <w:rFonts w:ascii="Arial" w:hAnsi="Arial" w:cs="Arial"/>
                <w:bCs/>
                <w:sz w:val="24"/>
                <w:szCs w:val="24"/>
              </w:rPr>
              <w:t>Ş</w:t>
            </w:r>
            <w:r w:rsidRPr="00702A15">
              <w:rPr>
                <w:rFonts w:ascii="Arial" w:hAnsi="Arial" w:cs="Arial"/>
                <w:bCs/>
                <w:sz w:val="24"/>
                <w:szCs w:val="24"/>
              </w:rPr>
              <w:t>ANI ORD.II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r w:rsidR="00420717" w:rsidRPr="00702A15" w:rsidTr="00D92384">
        <w:trPr>
          <w:trHeight w:val="300"/>
        </w:trPr>
        <w:tc>
          <w:tcPr>
            <w:tcW w:w="3600" w:type="dxa"/>
            <w:vMerge w:val="restart"/>
            <w:tcBorders>
              <w:top w:val="single" w:sz="4" w:space="0" w:color="auto"/>
              <w:left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Amoniu</w:t>
            </w: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PUCHENI-MO</w:t>
            </w:r>
            <w:r>
              <w:rPr>
                <w:rFonts w:ascii="Arial" w:hAnsi="Arial" w:cs="Arial"/>
                <w:bCs/>
                <w:sz w:val="24"/>
                <w:szCs w:val="24"/>
              </w:rPr>
              <w:t>Ş</w:t>
            </w:r>
            <w:r w:rsidRPr="00702A15">
              <w:rPr>
                <w:rFonts w:ascii="Arial" w:hAnsi="Arial" w:cs="Arial"/>
                <w:bCs/>
                <w:sz w:val="24"/>
                <w:szCs w:val="24"/>
              </w:rPr>
              <w:t>NENI ORD.II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F1A</w:t>
            </w:r>
          </w:p>
        </w:tc>
      </w:tr>
      <w:tr w:rsidR="00420717" w:rsidRPr="00702A15" w:rsidTr="00D92384">
        <w:trPr>
          <w:trHeight w:val="300"/>
        </w:trPr>
        <w:tc>
          <w:tcPr>
            <w:tcW w:w="3600" w:type="dxa"/>
            <w:vMerge/>
            <w:tcBorders>
              <w:left w:val="single" w:sz="4" w:space="0" w:color="auto"/>
              <w:bottom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ADÎNCATA-FIERBIN</w:t>
            </w:r>
            <w:r>
              <w:rPr>
                <w:rFonts w:ascii="Arial" w:hAnsi="Arial" w:cs="Arial"/>
                <w:bCs/>
                <w:sz w:val="24"/>
                <w:szCs w:val="24"/>
              </w:rPr>
              <w:t>Ţ</w:t>
            </w:r>
            <w:r w:rsidRPr="00702A15">
              <w:rPr>
                <w:rFonts w:ascii="Arial" w:hAnsi="Arial" w:cs="Arial"/>
                <w:bCs/>
                <w:sz w:val="24"/>
                <w:szCs w:val="24"/>
              </w:rPr>
              <w:t>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F4</w:t>
            </w:r>
          </w:p>
        </w:tc>
      </w:tr>
      <w:tr w:rsidR="00420717" w:rsidRPr="00702A15" w:rsidTr="00D92384">
        <w:trPr>
          <w:trHeight w:val="300"/>
        </w:trPr>
        <w:tc>
          <w:tcPr>
            <w:tcW w:w="36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Azoti</w:t>
            </w:r>
            <w:r>
              <w:rPr>
                <w:rFonts w:ascii="Arial" w:hAnsi="Arial" w:cs="Arial"/>
                <w:sz w:val="24"/>
                <w:szCs w:val="24"/>
              </w:rPr>
              <w:t>ţ</w:t>
            </w:r>
            <w:r w:rsidRPr="00702A15">
              <w:rPr>
                <w:rFonts w:ascii="Arial" w:hAnsi="Arial" w:cs="Arial"/>
                <w:sz w:val="24"/>
                <w:szCs w:val="24"/>
              </w:rPr>
              <w:t>i</w:t>
            </w: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ADÎNCATA-FIERBIN</w:t>
            </w:r>
            <w:r>
              <w:rPr>
                <w:rFonts w:ascii="Arial" w:hAnsi="Arial" w:cs="Arial"/>
                <w:bCs/>
                <w:sz w:val="24"/>
                <w:szCs w:val="24"/>
              </w:rPr>
              <w:t>Ţ</w:t>
            </w:r>
            <w:r w:rsidRPr="00702A15">
              <w:rPr>
                <w:rFonts w:ascii="Arial" w:hAnsi="Arial" w:cs="Arial"/>
                <w:bCs/>
                <w:sz w:val="24"/>
                <w:szCs w:val="24"/>
              </w:rPr>
              <w:t>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F4</w:t>
            </w:r>
          </w:p>
        </w:tc>
      </w:tr>
      <w:tr w:rsidR="00420717" w:rsidRPr="00702A15" w:rsidTr="00D92384">
        <w:trPr>
          <w:trHeight w:val="300"/>
        </w:trPr>
        <w:tc>
          <w:tcPr>
            <w:tcW w:w="36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Fosfa</w:t>
            </w:r>
            <w:r>
              <w:rPr>
                <w:rFonts w:ascii="Arial" w:hAnsi="Arial" w:cs="Arial"/>
                <w:sz w:val="24"/>
                <w:szCs w:val="24"/>
              </w:rPr>
              <w:t>ţ</w:t>
            </w:r>
            <w:r w:rsidRPr="00702A15">
              <w:rPr>
                <w:rFonts w:ascii="Arial" w:hAnsi="Arial" w:cs="Arial"/>
                <w:sz w:val="24"/>
                <w:szCs w:val="24"/>
              </w:rPr>
              <w:t>i</w:t>
            </w:r>
          </w:p>
        </w:tc>
        <w:tc>
          <w:tcPr>
            <w:tcW w:w="235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CONDURATU ORD.II</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bottom"/>
          </w:tcPr>
          <w:p w:rsidR="00420717" w:rsidRPr="00702A15" w:rsidRDefault="00420717" w:rsidP="00D92384">
            <w:pPr>
              <w:spacing w:after="0" w:line="240" w:lineRule="auto"/>
              <w:jc w:val="center"/>
              <w:rPr>
                <w:rFonts w:ascii="Arial" w:hAnsi="Arial" w:cs="Arial"/>
                <w:bCs/>
                <w:sz w:val="24"/>
                <w:szCs w:val="24"/>
              </w:rPr>
            </w:pPr>
            <w:r w:rsidRPr="00702A15">
              <w:rPr>
                <w:rFonts w:ascii="Arial" w:hAnsi="Arial" w:cs="Arial"/>
                <w:bCs/>
                <w:sz w:val="24"/>
                <w:szCs w:val="24"/>
              </w:rPr>
              <w:t>F1</w:t>
            </w:r>
          </w:p>
        </w:tc>
      </w:tr>
    </w:tbl>
    <w:p w:rsidR="00420717" w:rsidRPr="00702A15" w:rsidRDefault="00420717" w:rsidP="00420717">
      <w:pPr>
        <w:spacing w:after="0" w:line="240" w:lineRule="auto"/>
        <w:jc w:val="both"/>
        <w:rPr>
          <w:rFonts w:ascii="Arial" w:hAnsi="Arial" w:cs="Arial"/>
          <w:sz w:val="24"/>
          <w:szCs w:val="24"/>
          <w:lang w:val="pt-BR"/>
        </w:rPr>
      </w:pPr>
      <w:r w:rsidRPr="00702A15">
        <w:rPr>
          <w:rFonts w:ascii="Arial" w:hAnsi="Arial" w:cs="Arial"/>
          <w:sz w:val="24"/>
          <w:szCs w:val="24"/>
          <w:lang w:val="pt-BR"/>
        </w:rPr>
        <w:t xml:space="preserve">Corpul de apă subterană este în </w:t>
      </w:r>
      <w:r w:rsidRPr="00702A15">
        <w:rPr>
          <w:rFonts w:ascii="Arial" w:hAnsi="Arial" w:cs="Arial"/>
          <w:b/>
          <w:sz w:val="24"/>
          <w:szCs w:val="24"/>
          <w:lang w:val="pt-BR"/>
        </w:rPr>
        <w:t xml:space="preserve">starea calitativă (chimică) </w:t>
      </w:r>
      <w:r w:rsidRPr="00702A15">
        <w:rPr>
          <w:rFonts w:ascii="Arial" w:hAnsi="Arial" w:cs="Arial"/>
          <w:b/>
          <w:bCs/>
          <w:iCs/>
          <w:sz w:val="24"/>
          <w:szCs w:val="24"/>
          <w:lang w:val="pt-BR"/>
        </w:rPr>
        <w:t>slabă.</w:t>
      </w:r>
    </w:p>
    <w:p w:rsidR="00420717" w:rsidRPr="00702A15" w:rsidRDefault="00420717" w:rsidP="00420717">
      <w:pPr>
        <w:spacing w:after="0" w:line="240" w:lineRule="auto"/>
        <w:jc w:val="both"/>
        <w:rPr>
          <w:rFonts w:ascii="Arial" w:hAnsi="Arial" w:cs="Arial"/>
          <w:sz w:val="24"/>
          <w:szCs w:val="24"/>
          <w:lang w:val="pt-BR"/>
        </w:rPr>
      </w:pPr>
      <w:r w:rsidRPr="00702A15">
        <w:rPr>
          <w:rFonts w:ascii="Arial" w:hAnsi="Arial" w:cs="Arial"/>
          <w:sz w:val="24"/>
          <w:szCs w:val="24"/>
          <w:lang w:val="pt-BR"/>
        </w:rPr>
        <w:t>Prezentarea altor indicatori monitoriza</w:t>
      </w:r>
      <w:r>
        <w:rPr>
          <w:rFonts w:ascii="Arial" w:hAnsi="Arial" w:cs="Arial"/>
          <w:sz w:val="24"/>
          <w:szCs w:val="24"/>
          <w:lang w:val="pt-BR"/>
        </w:rPr>
        <w:t>ţ</w:t>
      </w:r>
      <w:r w:rsidRPr="00702A15">
        <w:rPr>
          <w:rFonts w:ascii="Arial" w:hAnsi="Arial" w:cs="Arial"/>
          <w:sz w:val="24"/>
          <w:szCs w:val="24"/>
          <w:lang w:val="pt-BR"/>
        </w:rPr>
        <w:t>i.</w:t>
      </w:r>
    </w:p>
    <w:p w:rsidR="00420717" w:rsidRPr="00702A15" w:rsidRDefault="00420717" w:rsidP="00420717">
      <w:pPr>
        <w:pStyle w:val="BodyText3"/>
        <w:spacing w:after="0"/>
        <w:jc w:val="both"/>
        <w:rPr>
          <w:rFonts w:ascii="Arial" w:hAnsi="Arial" w:cs="Arial"/>
          <w:sz w:val="24"/>
          <w:szCs w:val="24"/>
          <w:lang w:val="pt-BR"/>
        </w:rPr>
      </w:pPr>
      <w:r>
        <w:rPr>
          <w:rFonts w:ascii="Arial" w:hAnsi="Arial" w:cs="Arial"/>
          <w:sz w:val="24"/>
          <w:szCs w:val="24"/>
          <w:lang w:val="pt-BR"/>
        </w:rPr>
        <w:t>Ş</w:t>
      </w:r>
      <w:r w:rsidRPr="00702A15">
        <w:rPr>
          <w:rFonts w:ascii="Arial" w:hAnsi="Arial" w:cs="Arial"/>
          <w:sz w:val="24"/>
          <w:szCs w:val="24"/>
          <w:lang w:val="pt-BR"/>
        </w:rPr>
        <w:t>i în acest corp de apă au mai fost monitoriza</w:t>
      </w:r>
      <w:r>
        <w:rPr>
          <w:rFonts w:ascii="Arial" w:hAnsi="Arial" w:cs="Arial"/>
          <w:sz w:val="24"/>
          <w:szCs w:val="24"/>
          <w:lang w:val="pt-BR"/>
        </w:rPr>
        <w:t>ţ</w:t>
      </w:r>
      <w:r w:rsidRPr="00702A15">
        <w:rPr>
          <w:rFonts w:ascii="Arial" w:hAnsi="Arial" w:cs="Arial"/>
          <w:sz w:val="24"/>
          <w:szCs w:val="24"/>
          <w:lang w:val="pt-BR"/>
        </w:rPr>
        <w:t>i parametri fizico-chimici, care nu intră în evaluarea stării chimice. Acestia sunt:</w:t>
      </w:r>
      <w:r w:rsidRPr="00702A15">
        <w:rPr>
          <w:rFonts w:ascii="Arial" w:hAnsi="Arial" w:cs="Arial"/>
          <w:b/>
          <w:i/>
          <w:sz w:val="24"/>
          <w:szCs w:val="24"/>
          <w:lang w:val="pt-BR"/>
        </w:rPr>
        <w:t xml:space="preserve"> </w:t>
      </w:r>
      <w:r w:rsidRPr="00702A15">
        <w:rPr>
          <w:rFonts w:ascii="Arial" w:hAnsi="Arial" w:cs="Arial"/>
          <w:sz w:val="24"/>
          <w:szCs w:val="24"/>
          <w:lang w:val="pt-BR"/>
        </w:rPr>
        <w:t>pH, oxigen dizolvat (OD), conductivitate, alcalinitate totală, bicarbona</w:t>
      </w:r>
      <w:r>
        <w:rPr>
          <w:rFonts w:ascii="Arial" w:hAnsi="Arial" w:cs="Arial"/>
          <w:sz w:val="24"/>
          <w:szCs w:val="24"/>
          <w:lang w:val="pt-BR"/>
        </w:rPr>
        <w:t>ţ</w:t>
      </w:r>
      <w:r w:rsidRPr="00702A15">
        <w:rPr>
          <w:rFonts w:ascii="Arial" w:hAnsi="Arial" w:cs="Arial"/>
          <w:sz w:val="24"/>
          <w:szCs w:val="24"/>
          <w:lang w:val="pt-BR"/>
        </w:rPr>
        <w:t>i (HCO</w:t>
      </w:r>
      <w:r w:rsidRPr="00702A15">
        <w:rPr>
          <w:rFonts w:ascii="Arial" w:hAnsi="Arial" w:cs="Arial"/>
          <w:sz w:val="24"/>
          <w:szCs w:val="24"/>
          <w:vertAlign w:val="subscript"/>
          <w:lang w:val="pt-BR"/>
        </w:rPr>
        <w:t>3</w:t>
      </w:r>
      <w:r w:rsidRPr="00702A15">
        <w:rPr>
          <w:rFonts w:ascii="Arial" w:hAnsi="Arial" w:cs="Arial"/>
          <w:sz w:val="24"/>
          <w:szCs w:val="24"/>
          <w:vertAlign w:val="superscript"/>
          <w:lang w:val="pt-BR"/>
        </w:rPr>
        <w:t>-</w:t>
      </w:r>
      <w:r w:rsidRPr="00702A15">
        <w:rPr>
          <w:rFonts w:ascii="Arial" w:hAnsi="Arial" w:cs="Arial"/>
          <w:sz w:val="24"/>
          <w:szCs w:val="24"/>
          <w:lang w:val="pt-BR"/>
        </w:rPr>
        <w:t>), Sodiu (Na</w:t>
      </w:r>
      <w:r w:rsidRPr="00702A15">
        <w:rPr>
          <w:rFonts w:ascii="Arial" w:hAnsi="Arial" w:cs="Arial"/>
          <w:sz w:val="24"/>
          <w:szCs w:val="24"/>
          <w:vertAlign w:val="superscript"/>
          <w:lang w:val="pt-BR"/>
        </w:rPr>
        <w:t>+</w:t>
      </w:r>
      <w:r w:rsidRPr="00702A15">
        <w:rPr>
          <w:rFonts w:ascii="Arial" w:hAnsi="Arial" w:cs="Arial"/>
          <w:sz w:val="24"/>
          <w:szCs w:val="24"/>
          <w:lang w:val="pt-BR"/>
        </w:rPr>
        <w:t>), Potasiu (K</w:t>
      </w:r>
      <w:r w:rsidRPr="00702A15">
        <w:rPr>
          <w:rFonts w:ascii="Arial" w:hAnsi="Arial" w:cs="Arial"/>
          <w:sz w:val="24"/>
          <w:szCs w:val="24"/>
          <w:vertAlign w:val="superscript"/>
          <w:lang w:val="pt-BR"/>
        </w:rPr>
        <w:t>+</w:t>
      </w:r>
      <w:r w:rsidRPr="00702A15">
        <w:rPr>
          <w:rFonts w:ascii="Arial" w:hAnsi="Arial" w:cs="Arial"/>
          <w:sz w:val="24"/>
          <w:szCs w:val="24"/>
          <w:lang w:val="pt-BR"/>
        </w:rPr>
        <w:t>), Calciu (Ca</w:t>
      </w:r>
      <w:r w:rsidRPr="00702A15">
        <w:rPr>
          <w:rFonts w:ascii="Arial" w:hAnsi="Arial" w:cs="Arial"/>
          <w:sz w:val="24"/>
          <w:szCs w:val="24"/>
          <w:vertAlign w:val="superscript"/>
          <w:lang w:val="pt-BR"/>
        </w:rPr>
        <w:t>2+</w:t>
      </w:r>
      <w:r w:rsidRPr="00702A15">
        <w:rPr>
          <w:rFonts w:ascii="Arial" w:hAnsi="Arial" w:cs="Arial"/>
          <w:sz w:val="24"/>
          <w:szCs w:val="24"/>
          <w:lang w:val="pt-BR"/>
        </w:rPr>
        <w:t>), Magneziu (Mg</w:t>
      </w:r>
      <w:r w:rsidRPr="00702A15">
        <w:rPr>
          <w:rFonts w:ascii="Arial" w:hAnsi="Arial" w:cs="Arial"/>
          <w:sz w:val="24"/>
          <w:szCs w:val="24"/>
          <w:vertAlign w:val="superscript"/>
          <w:lang w:val="pt-BR"/>
        </w:rPr>
        <w:t>2+</w:t>
      </w:r>
      <w:r w:rsidRPr="00702A15">
        <w:rPr>
          <w:rFonts w:ascii="Arial" w:hAnsi="Arial" w:cs="Arial"/>
          <w:sz w:val="24"/>
          <w:szCs w:val="24"/>
          <w:lang w:val="pt-BR"/>
        </w:rPr>
        <w:t xml:space="preserve">), arsen, mercur </w:t>
      </w:r>
      <w:r>
        <w:rPr>
          <w:rFonts w:ascii="Arial" w:hAnsi="Arial" w:cs="Arial"/>
          <w:sz w:val="24"/>
          <w:szCs w:val="24"/>
          <w:lang w:val="pt-BR"/>
        </w:rPr>
        <w:t>ş</w:t>
      </w:r>
      <w:r w:rsidRPr="00702A15">
        <w:rPr>
          <w:rFonts w:ascii="Arial" w:hAnsi="Arial" w:cs="Arial"/>
          <w:sz w:val="24"/>
          <w:szCs w:val="24"/>
          <w:lang w:val="pt-BR"/>
        </w:rPr>
        <w:t>i cadmiu.</w:t>
      </w:r>
    </w:p>
    <w:p w:rsidR="00420717" w:rsidRPr="00702A15" w:rsidRDefault="00420717" w:rsidP="00420717">
      <w:pPr>
        <w:pStyle w:val="BodyText3"/>
        <w:spacing w:after="0"/>
        <w:jc w:val="both"/>
        <w:rPr>
          <w:rFonts w:ascii="Arial" w:hAnsi="Arial" w:cs="Arial"/>
          <w:sz w:val="24"/>
          <w:szCs w:val="24"/>
          <w:lang w:val="pt-BR"/>
        </w:rPr>
      </w:pPr>
    </w:p>
    <w:p w:rsidR="00420717" w:rsidRPr="00702A15" w:rsidRDefault="00420717" w:rsidP="00420717">
      <w:pPr>
        <w:pStyle w:val="BodyText"/>
        <w:spacing w:after="0" w:line="240" w:lineRule="auto"/>
        <w:jc w:val="both"/>
        <w:rPr>
          <w:rFonts w:ascii="Arial" w:hAnsi="Arial" w:cs="Arial"/>
          <w:sz w:val="24"/>
          <w:szCs w:val="24"/>
          <w:lang w:val="pt-BR"/>
        </w:rPr>
      </w:pPr>
      <w:r w:rsidRPr="00702A15">
        <w:rPr>
          <w:rFonts w:ascii="Arial" w:hAnsi="Arial" w:cs="Arial"/>
          <w:sz w:val="24"/>
          <w:szCs w:val="24"/>
          <w:lang w:val="pt-BR"/>
        </w:rPr>
        <w:t>Pe parcursul anului 2014, în bazinul hidrografic Râmnicu Sărat, a fost monitorizat un singur foraj de observaţie, de pe teritoriul judeţului Buzău (Nicoleşti F1), care face parte din corpul de apă RO SCI 05.</w:t>
      </w:r>
    </w:p>
    <w:p w:rsidR="00420717" w:rsidRPr="00702A15" w:rsidRDefault="00420717" w:rsidP="00420717">
      <w:pPr>
        <w:pStyle w:val="BodyText"/>
        <w:spacing w:after="0" w:line="240" w:lineRule="auto"/>
        <w:jc w:val="both"/>
        <w:rPr>
          <w:rFonts w:ascii="Arial" w:hAnsi="Arial" w:cs="Arial"/>
          <w:sz w:val="24"/>
          <w:szCs w:val="24"/>
          <w:lang w:val="pt-BR"/>
        </w:rPr>
      </w:pPr>
      <w:r w:rsidRPr="00702A15">
        <w:rPr>
          <w:rFonts w:ascii="Arial" w:hAnsi="Arial" w:cs="Arial"/>
          <w:sz w:val="24"/>
          <w:szCs w:val="24"/>
          <w:lang w:val="pt-BR"/>
        </w:rPr>
        <w:t>Evaluarea stării chimice a corpurilor de apă subterană s-a făcut cu Ordinul 621/2014 privind aprobarea valorilor de prag pentru apele subterane.</w:t>
      </w:r>
    </w:p>
    <w:p w:rsidR="00420717" w:rsidRPr="00702A15" w:rsidRDefault="00420717" w:rsidP="00420717">
      <w:pPr>
        <w:pStyle w:val="BodyText"/>
        <w:spacing w:after="0" w:line="240" w:lineRule="auto"/>
        <w:jc w:val="both"/>
        <w:rPr>
          <w:rFonts w:ascii="Arial" w:hAnsi="Arial" w:cs="Arial"/>
          <w:sz w:val="24"/>
          <w:szCs w:val="24"/>
          <w:lang w:val="pt-BR"/>
        </w:rPr>
      </w:pP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r w:rsidRPr="00702A15">
        <w:rPr>
          <w:rFonts w:ascii="Arial" w:hAnsi="Arial" w:cs="Arial"/>
          <w:b/>
          <w:sz w:val="24"/>
          <w:szCs w:val="24"/>
        </w:rPr>
        <w:t>A. Calitatea apelor subterane din jude</w:t>
      </w:r>
      <w:r>
        <w:rPr>
          <w:rFonts w:ascii="Arial" w:hAnsi="Arial" w:cs="Arial"/>
          <w:b/>
          <w:sz w:val="24"/>
          <w:szCs w:val="24"/>
        </w:rPr>
        <w:t>ţ</w:t>
      </w:r>
      <w:r w:rsidRPr="00702A15">
        <w:rPr>
          <w:rFonts w:ascii="Arial" w:hAnsi="Arial" w:cs="Arial"/>
          <w:b/>
          <w:sz w:val="24"/>
          <w:szCs w:val="24"/>
        </w:rPr>
        <w:t>ul Buzău din punct de vedere al concentra</w:t>
      </w:r>
      <w:r>
        <w:rPr>
          <w:rFonts w:ascii="Arial" w:hAnsi="Arial" w:cs="Arial"/>
          <w:b/>
          <w:sz w:val="24"/>
          <w:szCs w:val="24"/>
        </w:rPr>
        <w:t>ţ</w:t>
      </w:r>
      <w:r w:rsidRPr="00702A15">
        <w:rPr>
          <w:rFonts w:ascii="Arial" w:hAnsi="Arial" w:cs="Arial"/>
          <w:b/>
          <w:sz w:val="24"/>
          <w:szCs w:val="24"/>
        </w:rPr>
        <w:t>iei  azota</w:t>
      </w:r>
      <w:r>
        <w:rPr>
          <w:rFonts w:ascii="Arial" w:hAnsi="Arial" w:cs="Arial"/>
          <w:b/>
          <w:sz w:val="24"/>
          <w:szCs w:val="24"/>
        </w:rPr>
        <w:t>ţ</w:t>
      </w:r>
      <w:r w:rsidRPr="00702A15">
        <w:rPr>
          <w:rFonts w:ascii="Arial" w:hAnsi="Arial" w:cs="Arial"/>
          <w:b/>
          <w:sz w:val="24"/>
          <w:szCs w:val="24"/>
        </w:rPr>
        <w:t>ilor</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Concentraţiile medii anuale ale azota</w:t>
      </w:r>
      <w:r>
        <w:rPr>
          <w:rFonts w:ascii="Arial" w:hAnsi="Arial" w:cs="Arial"/>
          <w:sz w:val="24"/>
          <w:szCs w:val="24"/>
        </w:rPr>
        <w:t>ţ</w:t>
      </w:r>
      <w:r w:rsidRPr="00702A15">
        <w:rPr>
          <w:rFonts w:ascii="Arial" w:hAnsi="Arial" w:cs="Arial"/>
          <w:sz w:val="24"/>
          <w:szCs w:val="24"/>
        </w:rPr>
        <w:t>ilor (NO</w:t>
      </w:r>
      <w:r w:rsidRPr="00702A15">
        <w:rPr>
          <w:rFonts w:ascii="Arial" w:hAnsi="Arial" w:cs="Arial"/>
          <w:sz w:val="24"/>
          <w:szCs w:val="24"/>
          <w:vertAlign w:val="subscript"/>
        </w:rPr>
        <w:t>3</w:t>
      </w:r>
      <w:r w:rsidRPr="00702A15">
        <w:rPr>
          <w:rFonts w:ascii="Arial" w:hAnsi="Arial" w:cs="Arial"/>
          <w:sz w:val="24"/>
          <w:szCs w:val="24"/>
          <w:vertAlign w:val="superscript"/>
        </w:rPr>
        <w:t>-</w:t>
      </w:r>
      <w:r w:rsidRPr="00702A15">
        <w:rPr>
          <w:rFonts w:ascii="Arial" w:hAnsi="Arial" w:cs="Arial"/>
          <w:sz w:val="24"/>
          <w:szCs w:val="24"/>
        </w:rPr>
        <w:t>) determinate în apele subterane din jude</w:t>
      </w:r>
      <w:r>
        <w:rPr>
          <w:rFonts w:ascii="Arial" w:hAnsi="Arial" w:cs="Arial"/>
          <w:sz w:val="24"/>
          <w:szCs w:val="24"/>
        </w:rPr>
        <w:t>ţ</w:t>
      </w:r>
      <w:r w:rsidRPr="00702A15">
        <w:rPr>
          <w:rFonts w:ascii="Arial" w:hAnsi="Arial" w:cs="Arial"/>
          <w:sz w:val="24"/>
          <w:szCs w:val="24"/>
        </w:rPr>
        <w:t xml:space="preserve">ul Buzău, în anul 2014, este redată în tabelul următor. </w:t>
      </w:r>
    </w:p>
    <w:p w:rsidR="005864AC" w:rsidRPr="00702A15" w:rsidRDefault="005864AC" w:rsidP="00420717">
      <w:pPr>
        <w:tabs>
          <w:tab w:val="left" w:pos="1204"/>
          <w:tab w:val="left" w:leader="dot" w:pos="9356"/>
        </w:tabs>
        <w:spacing w:after="0" w:line="240" w:lineRule="auto"/>
        <w:jc w:val="both"/>
        <w:rPr>
          <w:rFonts w:ascii="Arial" w:hAnsi="Arial" w:cs="Arial"/>
          <w:sz w:val="24"/>
          <w:szCs w:val="24"/>
        </w:rPr>
      </w:pPr>
    </w:p>
    <w:tbl>
      <w:tblPr>
        <w:tblStyle w:val="TableGrid"/>
        <w:tblW w:w="0" w:type="auto"/>
        <w:tblInd w:w="250" w:type="dxa"/>
        <w:tblLook w:val="04A0"/>
      </w:tblPr>
      <w:tblGrid>
        <w:gridCol w:w="3672"/>
        <w:gridCol w:w="2122"/>
        <w:gridCol w:w="3810"/>
      </w:tblGrid>
      <w:tr w:rsidR="00420717" w:rsidRPr="00702A15" w:rsidTr="00D92384">
        <w:tc>
          <w:tcPr>
            <w:tcW w:w="3686" w:type="dxa"/>
            <w:vAlign w:val="center"/>
          </w:tcPr>
          <w:p w:rsidR="00420717" w:rsidRPr="00702A15" w:rsidRDefault="00420717" w:rsidP="00D92384">
            <w:pPr>
              <w:pStyle w:val="Default"/>
              <w:jc w:val="center"/>
              <w:rPr>
                <w:color w:val="auto"/>
              </w:rPr>
            </w:pPr>
            <w:r w:rsidRPr="00702A15">
              <w:rPr>
                <w:b/>
                <w:bCs/>
                <w:color w:val="auto"/>
              </w:rPr>
              <w:lastRenderedPageBreak/>
              <w:t>Administra</w:t>
            </w:r>
            <w:r>
              <w:rPr>
                <w:b/>
                <w:bCs/>
                <w:color w:val="auto"/>
              </w:rPr>
              <w:t>ţ</w:t>
            </w:r>
            <w:r w:rsidRPr="00702A15">
              <w:rPr>
                <w:b/>
                <w:bCs/>
                <w:color w:val="auto"/>
              </w:rPr>
              <w:t>ia Bazinală de Apă (ABA)</w:t>
            </w:r>
          </w:p>
        </w:tc>
        <w:tc>
          <w:tcPr>
            <w:tcW w:w="2126" w:type="dxa"/>
            <w:vAlign w:val="center"/>
          </w:tcPr>
          <w:p w:rsidR="00420717" w:rsidRPr="00702A15" w:rsidRDefault="00420717" w:rsidP="00D92384">
            <w:pPr>
              <w:pStyle w:val="Default"/>
              <w:jc w:val="center"/>
              <w:rPr>
                <w:color w:val="auto"/>
              </w:rPr>
            </w:pPr>
            <w:r w:rsidRPr="00702A15">
              <w:rPr>
                <w:b/>
                <w:bCs/>
                <w:color w:val="auto"/>
              </w:rPr>
              <w:t>Număr puncte de monitorizare</w:t>
            </w:r>
          </w:p>
        </w:tc>
        <w:tc>
          <w:tcPr>
            <w:tcW w:w="3827" w:type="dxa"/>
            <w:vAlign w:val="center"/>
          </w:tcPr>
          <w:p w:rsidR="00420717" w:rsidRPr="00702A15" w:rsidRDefault="00420717" w:rsidP="00D92384">
            <w:pPr>
              <w:pStyle w:val="Default"/>
              <w:jc w:val="center"/>
              <w:rPr>
                <w:color w:val="auto"/>
                <w:vertAlign w:val="superscript"/>
              </w:rPr>
            </w:pPr>
            <w:r w:rsidRPr="00702A15">
              <w:rPr>
                <w:b/>
                <w:bCs/>
                <w:color w:val="auto"/>
              </w:rPr>
              <w:t>Concentraţii medii anuale NO</w:t>
            </w:r>
            <w:r w:rsidRPr="00702A15">
              <w:rPr>
                <w:b/>
                <w:bCs/>
                <w:color w:val="auto"/>
                <w:vertAlign w:val="subscript"/>
              </w:rPr>
              <w:t>3</w:t>
            </w:r>
            <w:r w:rsidRPr="00702A15">
              <w:rPr>
                <w:b/>
                <w:bCs/>
                <w:color w:val="auto"/>
                <w:vertAlign w:val="superscript"/>
              </w:rPr>
              <w:t>-</w:t>
            </w:r>
          </w:p>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b/>
                <w:bCs/>
                <w:sz w:val="24"/>
                <w:szCs w:val="24"/>
              </w:rPr>
              <w:t>(mg NO</w:t>
            </w:r>
            <w:r w:rsidRPr="00702A15">
              <w:rPr>
                <w:rFonts w:ascii="Arial" w:hAnsi="Arial" w:cs="Arial"/>
                <w:b/>
                <w:bCs/>
                <w:sz w:val="24"/>
                <w:szCs w:val="24"/>
                <w:vertAlign w:val="subscript"/>
              </w:rPr>
              <w:t>3</w:t>
            </w:r>
            <w:r w:rsidRPr="00702A15">
              <w:rPr>
                <w:rFonts w:ascii="Arial" w:hAnsi="Arial" w:cs="Arial"/>
                <w:b/>
                <w:bCs/>
                <w:sz w:val="24"/>
                <w:szCs w:val="24"/>
                <w:vertAlign w:val="superscript"/>
              </w:rPr>
              <w:t>-</w:t>
            </w:r>
            <w:r w:rsidRPr="00702A15">
              <w:rPr>
                <w:rFonts w:ascii="Arial" w:hAnsi="Arial" w:cs="Arial"/>
                <w:b/>
                <w:bCs/>
                <w:sz w:val="24"/>
                <w:szCs w:val="24"/>
              </w:rPr>
              <w:t>/L)</w:t>
            </w:r>
          </w:p>
        </w:tc>
      </w:tr>
      <w:tr w:rsidR="00420717" w:rsidRPr="00702A15" w:rsidTr="00D92384">
        <w:tc>
          <w:tcPr>
            <w:tcW w:w="3686"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Buzău - Ialomi</w:t>
            </w:r>
            <w:r>
              <w:rPr>
                <w:rFonts w:ascii="Arial" w:hAnsi="Arial" w:cs="Arial"/>
                <w:sz w:val="24"/>
                <w:szCs w:val="24"/>
              </w:rPr>
              <w:t>ţ</w:t>
            </w:r>
            <w:r w:rsidRPr="00702A15">
              <w:rPr>
                <w:rFonts w:ascii="Arial" w:hAnsi="Arial" w:cs="Arial"/>
                <w:sz w:val="24"/>
                <w:szCs w:val="24"/>
              </w:rPr>
              <w:t>a</w:t>
            </w:r>
          </w:p>
        </w:tc>
        <w:tc>
          <w:tcPr>
            <w:tcW w:w="2126"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64</w:t>
            </w:r>
          </w:p>
        </w:tc>
        <w:tc>
          <w:tcPr>
            <w:tcW w:w="3827"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19,8</w:t>
            </w:r>
          </w:p>
        </w:tc>
      </w:tr>
      <w:tr w:rsidR="00420717" w:rsidRPr="00702A15" w:rsidTr="00D92384">
        <w:tc>
          <w:tcPr>
            <w:tcW w:w="3686"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Vrancea</w:t>
            </w:r>
          </w:p>
        </w:tc>
        <w:tc>
          <w:tcPr>
            <w:tcW w:w="2126"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1</w:t>
            </w:r>
          </w:p>
        </w:tc>
        <w:tc>
          <w:tcPr>
            <w:tcW w:w="3827"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3,00</w:t>
            </w:r>
          </w:p>
        </w:tc>
      </w:tr>
      <w:tr w:rsidR="00420717" w:rsidRPr="00702A15" w:rsidTr="00D92384">
        <w:tc>
          <w:tcPr>
            <w:tcW w:w="3686"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Total</w:t>
            </w:r>
          </w:p>
        </w:tc>
        <w:tc>
          <w:tcPr>
            <w:tcW w:w="2126"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65</w:t>
            </w:r>
          </w:p>
        </w:tc>
        <w:tc>
          <w:tcPr>
            <w:tcW w:w="3827"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bl>
    <w:p w:rsidR="00420717" w:rsidRPr="00702A15" w:rsidRDefault="00420717" w:rsidP="00420717">
      <w:pPr>
        <w:pStyle w:val="Default"/>
        <w:jc w:val="both"/>
        <w:rPr>
          <w:bCs/>
          <w:color w:val="auto"/>
        </w:rPr>
      </w:pPr>
      <w:r w:rsidRPr="00702A15">
        <w:rPr>
          <w:color w:val="auto"/>
        </w:rPr>
        <w:t>Tabel II.2.1.3.1. Concentraţiile medii anuale ale azota</w:t>
      </w:r>
      <w:r>
        <w:rPr>
          <w:color w:val="auto"/>
        </w:rPr>
        <w:t>ţ</w:t>
      </w:r>
      <w:r w:rsidRPr="00702A15">
        <w:rPr>
          <w:color w:val="auto"/>
        </w:rPr>
        <w:t>ilor (NO</w:t>
      </w:r>
      <w:r w:rsidRPr="00702A15">
        <w:rPr>
          <w:color w:val="auto"/>
          <w:vertAlign w:val="subscript"/>
        </w:rPr>
        <w:t>3</w:t>
      </w:r>
      <w:r w:rsidRPr="00702A15">
        <w:rPr>
          <w:color w:val="auto"/>
          <w:vertAlign w:val="superscript"/>
        </w:rPr>
        <w:t>-</w:t>
      </w:r>
      <w:r w:rsidRPr="00702A15">
        <w:rPr>
          <w:color w:val="auto"/>
        </w:rPr>
        <w:t>) determinate în apele subterane din jude</w:t>
      </w:r>
      <w:r>
        <w:rPr>
          <w:color w:val="auto"/>
        </w:rPr>
        <w:t>ţ</w:t>
      </w:r>
      <w:r w:rsidRPr="00702A15">
        <w:rPr>
          <w:color w:val="auto"/>
        </w:rPr>
        <w:t>ul Buzău, în anul 2014</w:t>
      </w:r>
    </w:p>
    <w:p w:rsidR="00420717" w:rsidRPr="00702A15" w:rsidRDefault="00420717" w:rsidP="00420717">
      <w:pPr>
        <w:pStyle w:val="Default"/>
        <w:jc w:val="both"/>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p>
    <w:p w:rsidR="00420717" w:rsidRPr="00702A15" w:rsidRDefault="00420717" w:rsidP="00420717">
      <w:pPr>
        <w:tabs>
          <w:tab w:val="left" w:pos="1204"/>
          <w:tab w:val="left" w:leader="dot" w:pos="9356"/>
        </w:tabs>
        <w:spacing w:after="0" w:line="240" w:lineRule="auto"/>
        <w:ind w:left="993"/>
        <w:rPr>
          <w:rFonts w:ascii="Arial" w:hAnsi="Arial" w:cs="Arial"/>
          <w:b/>
          <w:sz w:val="24"/>
          <w:szCs w:val="24"/>
        </w:rPr>
      </w:pPr>
      <w:r w:rsidRPr="00702A15">
        <w:rPr>
          <w:rFonts w:ascii="Arial" w:hAnsi="Arial" w:cs="Arial"/>
          <w:b/>
          <w:noProof/>
          <w:sz w:val="24"/>
          <w:szCs w:val="24"/>
          <w:lang w:val="ro-RO" w:eastAsia="ro-RO"/>
        </w:rPr>
        <w:drawing>
          <wp:inline distT="0" distB="0" distL="0" distR="0">
            <wp:extent cx="4572000" cy="2743200"/>
            <wp:effectExtent l="19050" t="0" r="19050" b="0"/>
            <wp:docPr id="10"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20717" w:rsidRPr="00AA0E3F" w:rsidRDefault="00420717" w:rsidP="00420717">
      <w:pPr>
        <w:pStyle w:val="Default"/>
        <w:spacing w:before="120" w:after="120"/>
        <w:jc w:val="both"/>
        <w:rPr>
          <w:b/>
          <w:color w:val="auto"/>
        </w:rPr>
      </w:pPr>
      <w:r w:rsidRPr="00AA0E3F">
        <w:rPr>
          <w:b/>
          <w:bCs/>
          <w:color w:val="auto"/>
        </w:rPr>
        <w:t>Figura</w:t>
      </w:r>
      <w:r w:rsidRPr="00AA0E3F">
        <w:rPr>
          <w:b/>
          <w:color w:val="auto"/>
        </w:rPr>
        <w:t xml:space="preserve"> II.2.1.3.1. Variaţia concentraţiilor de azotaţi în apele subterane, în anul 2014,</w:t>
      </w:r>
      <w:r>
        <w:rPr>
          <w:b/>
          <w:color w:val="auto"/>
        </w:rPr>
        <w:t xml:space="preserve"> </w:t>
      </w:r>
      <w:r w:rsidRPr="00AA0E3F">
        <w:rPr>
          <w:b/>
          <w:color w:val="auto"/>
        </w:rPr>
        <w:t>în judeţul Buzău, pe administraţii bazinale</w:t>
      </w:r>
    </w:p>
    <w:p w:rsidR="00420717" w:rsidRPr="00702A15" w:rsidRDefault="00420717" w:rsidP="00420717">
      <w:pPr>
        <w:tabs>
          <w:tab w:val="left" w:pos="315"/>
        </w:tabs>
        <w:spacing w:after="0" w:line="240" w:lineRule="auto"/>
        <w:jc w:val="both"/>
        <w:rPr>
          <w:rFonts w:ascii="Arial" w:hAnsi="Arial" w:cs="Arial"/>
          <w:bCs/>
          <w:sz w:val="24"/>
          <w:szCs w:val="24"/>
          <w:lang w:val="it-IT"/>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bCs/>
          <w:sz w:val="24"/>
          <w:szCs w:val="24"/>
        </w:rPr>
        <w:t>Evolu</w:t>
      </w:r>
      <w:r>
        <w:rPr>
          <w:rFonts w:ascii="Arial" w:hAnsi="Arial" w:cs="Arial"/>
          <w:bCs/>
          <w:sz w:val="24"/>
          <w:szCs w:val="24"/>
        </w:rPr>
        <w:t>ţ</w:t>
      </w:r>
      <w:r w:rsidRPr="00702A15">
        <w:rPr>
          <w:rFonts w:ascii="Arial" w:hAnsi="Arial" w:cs="Arial"/>
          <w:bCs/>
          <w:sz w:val="24"/>
          <w:szCs w:val="24"/>
        </w:rPr>
        <w:t>ia c</w:t>
      </w:r>
      <w:r w:rsidRPr="00702A15">
        <w:rPr>
          <w:rFonts w:ascii="Arial" w:hAnsi="Arial" w:cs="Arial"/>
          <w:sz w:val="24"/>
          <w:szCs w:val="24"/>
        </w:rPr>
        <w:t>oncentraţiilor medii anuale ale azota</w:t>
      </w:r>
      <w:r>
        <w:rPr>
          <w:rFonts w:ascii="Arial" w:hAnsi="Arial" w:cs="Arial"/>
          <w:sz w:val="24"/>
          <w:szCs w:val="24"/>
        </w:rPr>
        <w:t>ţ</w:t>
      </w:r>
      <w:r w:rsidRPr="00702A15">
        <w:rPr>
          <w:rFonts w:ascii="Arial" w:hAnsi="Arial" w:cs="Arial"/>
          <w:sz w:val="24"/>
          <w:szCs w:val="24"/>
        </w:rPr>
        <w:t>ilor (NO</w:t>
      </w:r>
      <w:r w:rsidRPr="00702A15">
        <w:rPr>
          <w:rFonts w:ascii="Arial" w:hAnsi="Arial" w:cs="Arial"/>
          <w:sz w:val="24"/>
          <w:szCs w:val="24"/>
          <w:vertAlign w:val="subscript"/>
        </w:rPr>
        <w:t>3</w:t>
      </w:r>
      <w:r w:rsidRPr="00702A15">
        <w:rPr>
          <w:rFonts w:ascii="Arial" w:hAnsi="Arial" w:cs="Arial"/>
          <w:sz w:val="24"/>
          <w:szCs w:val="24"/>
          <w:vertAlign w:val="superscript"/>
        </w:rPr>
        <w:t>-</w:t>
      </w:r>
      <w:r w:rsidRPr="00702A15">
        <w:rPr>
          <w:rFonts w:ascii="Arial" w:hAnsi="Arial" w:cs="Arial"/>
          <w:sz w:val="24"/>
          <w:szCs w:val="24"/>
        </w:rPr>
        <w:t>) determinate în apele subterane din jude</w:t>
      </w:r>
      <w:r>
        <w:rPr>
          <w:rFonts w:ascii="Arial" w:hAnsi="Arial" w:cs="Arial"/>
          <w:sz w:val="24"/>
          <w:szCs w:val="24"/>
        </w:rPr>
        <w:t>ţ</w:t>
      </w:r>
      <w:r w:rsidRPr="00702A15">
        <w:rPr>
          <w:rFonts w:ascii="Arial" w:hAnsi="Arial" w:cs="Arial"/>
          <w:sz w:val="24"/>
          <w:szCs w:val="24"/>
        </w:rPr>
        <w:t xml:space="preserve">ul Buzău, în perioda 2010-2014, este redată în tabelul următor. </w:t>
      </w:r>
    </w:p>
    <w:tbl>
      <w:tblPr>
        <w:tblStyle w:val="TableGrid"/>
        <w:tblW w:w="10065" w:type="dxa"/>
        <w:jc w:val="center"/>
        <w:tblInd w:w="108" w:type="dxa"/>
        <w:tblLayout w:type="fixed"/>
        <w:tblLook w:val="04A0"/>
      </w:tblPr>
      <w:tblGrid>
        <w:gridCol w:w="1418"/>
        <w:gridCol w:w="850"/>
        <w:gridCol w:w="993"/>
        <w:gridCol w:w="850"/>
        <w:gridCol w:w="851"/>
        <w:gridCol w:w="850"/>
        <w:gridCol w:w="851"/>
        <w:gridCol w:w="850"/>
        <w:gridCol w:w="851"/>
        <w:gridCol w:w="850"/>
        <w:gridCol w:w="851"/>
      </w:tblGrid>
      <w:tr w:rsidR="00420717" w:rsidRPr="00702A15" w:rsidTr="00D92384">
        <w:trPr>
          <w:jc w:val="center"/>
        </w:trPr>
        <w:tc>
          <w:tcPr>
            <w:tcW w:w="1418" w:type="dxa"/>
            <w:vMerge w:val="restart"/>
            <w:vAlign w:val="center"/>
          </w:tcPr>
          <w:p w:rsidR="00420717" w:rsidRPr="00702A15" w:rsidRDefault="00420717" w:rsidP="00D92384">
            <w:pPr>
              <w:pStyle w:val="Default"/>
              <w:jc w:val="center"/>
              <w:rPr>
                <w:color w:val="auto"/>
              </w:rPr>
            </w:pPr>
            <w:r w:rsidRPr="00702A15">
              <w:rPr>
                <w:bCs/>
                <w:color w:val="auto"/>
              </w:rPr>
              <w:t>Administra</w:t>
            </w:r>
            <w:r>
              <w:rPr>
                <w:bCs/>
                <w:color w:val="auto"/>
              </w:rPr>
              <w:t>ţ</w:t>
            </w:r>
            <w:r w:rsidRPr="00702A15">
              <w:rPr>
                <w:bCs/>
                <w:color w:val="auto"/>
              </w:rPr>
              <w:t>ia Bazinală de Apă (ABA)</w:t>
            </w:r>
          </w:p>
        </w:tc>
        <w:tc>
          <w:tcPr>
            <w:tcW w:w="1843" w:type="dxa"/>
            <w:gridSpan w:val="2"/>
            <w:vAlign w:val="center"/>
          </w:tcPr>
          <w:p w:rsidR="00420717" w:rsidRPr="00702A15" w:rsidRDefault="00420717" w:rsidP="00D92384">
            <w:pPr>
              <w:tabs>
                <w:tab w:val="left" w:pos="1204"/>
                <w:tab w:val="left" w:leader="dot" w:pos="9356"/>
              </w:tabs>
              <w:jc w:val="center"/>
              <w:rPr>
                <w:rFonts w:ascii="Arial" w:hAnsi="Arial" w:cs="Arial"/>
                <w:b/>
                <w:sz w:val="20"/>
                <w:szCs w:val="20"/>
              </w:rPr>
            </w:pPr>
            <w:r w:rsidRPr="00702A15">
              <w:rPr>
                <w:rFonts w:ascii="Arial" w:hAnsi="Arial" w:cs="Arial"/>
                <w:b/>
                <w:sz w:val="20"/>
                <w:szCs w:val="20"/>
              </w:rPr>
              <w:t>2010</w:t>
            </w:r>
          </w:p>
        </w:tc>
        <w:tc>
          <w:tcPr>
            <w:tcW w:w="1701" w:type="dxa"/>
            <w:gridSpan w:val="2"/>
          </w:tcPr>
          <w:p w:rsidR="00420717" w:rsidRPr="00702A15" w:rsidRDefault="00420717" w:rsidP="00D92384">
            <w:pPr>
              <w:pStyle w:val="Default"/>
              <w:jc w:val="center"/>
              <w:rPr>
                <w:b/>
                <w:bCs/>
                <w:color w:val="auto"/>
                <w:sz w:val="20"/>
                <w:szCs w:val="20"/>
              </w:rPr>
            </w:pPr>
            <w:r w:rsidRPr="00702A15">
              <w:rPr>
                <w:b/>
                <w:bCs/>
                <w:color w:val="auto"/>
                <w:sz w:val="20"/>
                <w:szCs w:val="20"/>
              </w:rPr>
              <w:t>2011</w:t>
            </w:r>
          </w:p>
        </w:tc>
        <w:tc>
          <w:tcPr>
            <w:tcW w:w="1701" w:type="dxa"/>
            <w:gridSpan w:val="2"/>
          </w:tcPr>
          <w:p w:rsidR="00420717" w:rsidRPr="00702A15" w:rsidRDefault="00420717" w:rsidP="00D92384">
            <w:pPr>
              <w:pStyle w:val="Default"/>
              <w:jc w:val="center"/>
              <w:rPr>
                <w:b/>
                <w:bCs/>
                <w:color w:val="auto"/>
                <w:sz w:val="20"/>
                <w:szCs w:val="20"/>
              </w:rPr>
            </w:pPr>
            <w:r w:rsidRPr="00702A15">
              <w:rPr>
                <w:b/>
                <w:bCs/>
                <w:color w:val="auto"/>
                <w:sz w:val="20"/>
                <w:szCs w:val="20"/>
              </w:rPr>
              <w:t>2012</w:t>
            </w:r>
          </w:p>
        </w:tc>
        <w:tc>
          <w:tcPr>
            <w:tcW w:w="1701" w:type="dxa"/>
            <w:gridSpan w:val="2"/>
          </w:tcPr>
          <w:p w:rsidR="00420717" w:rsidRPr="00702A15" w:rsidRDefault="00420717" w:rsidP="00D92384">
            <w:pPr>
              <w:pStyle w:val="Default"/>
              <w:jc w:val="center"/>
              <w:rPr>
                <w:b/>
                <w:bCs/>
                <w:color w:val="auto"/>
                <w:sz w:val="20"/>
                <w:szCs w:val="20"/>
              </w:rPr>
            </w:pPr>
            <w:r w:rsidRPr="00702A15">
              <w:rPr>
                <w:b/>
                <w:bCs/>
                <w:color w:val="auto"/>
                <w:sz w:val="20"/>
                <w:szCs w:val="20"/>
              </w:rPr>
              <w:t>2013</w:t>
            </w:r>
          </w:p>
        </w:tc>
        <w:tc>
          <w:tcPr>
            <w:tcW w:w="1701" w:type="dxa"/>
            <w:gridSpan w:val="2"/>
          </w:tcPr>
          <w:p w:rsidR="00420717" w:rsidRPr="00702A15" w:rsidRDefault="00420717" w:rsidP="00D92384">
            <w:pPr>
              <w:pStyle w:val="Default"/>
              <w:jc w:val="center"/>
              <w:rPr>
                <w:b/>
                <w:bCs/>
                <w:color w:val="auto"/>
                <w:sz w:val="20"/>
                <w:szCs w:val="20"/>
              </w:rPr>
            </w:pPr>
            <w:r w:rsidRPr="00702A15">
              <w:rPr>
                <w:b/>
                <w:bCs/>
                <w:color w:val="auto"/>
                <w:sz w:val="20"/>
                <w:szCs w:val="20"/>
              </w:rPr>
              <w:t>2014</w:t>
            </w:r>
          </w:p>
        </w:tc>
      </w:tr>
      <w:tr w:rsidR="00420717" w:rsidRPr="00702A15" w:rsidTr="00D92384">
        <w:trPr>
          <w:jc w:val="center"/>
        </w:trPr>
        <w:tc>
          <w:tcPr>
            <w:tcW w:w="1418" w:type="dxa"/>
            <w:vMerge/>
            <w:vAlign w:val="center"/>
          </w:tcPr>
          <w:p w:rsidR="00420717" w:rsidRPr="00702A15" w:rsidRDefault="00420717" w:rsidP="00D92384">
            <w:pPr>
              <w:pStyle w:val="Default"/>
              <w:jc w:val="center"/>
              <w:rPr>
                <w:b/>
                <w:bCs/>
                <w:color w:val="auto"/>
              </w:rPr>
            </w:pPr>
          </w:p>
        </w:tc>
        <w:tc>
          <w:tcPr>
            <w:tcW w:w="850" w:type="dxa"/>
            <w:vAlign w:val="center"/>
          </w:tcPr>
          <w:p w:rsidR="00420717" w:rsidRPr="00702A15" w:rsidRDefault="00420717" w:rsidP="00D92384">
            <w:pPr>
              <w:pStyle w:val="Default"/>
              <w:jc w:val="center"/>
              <w:rPr>
                <w:b/>
                <w:bCs/>
                <w:color w:val="auto"/>
                <w:sz w:val="16"/>
                <w:szCs w:val="16"/>
              </w:rPr>
            </w:pPr>
            <w:r w:rsidRPr="00702A15">
              <w:rPr>
                <w:b/>
                <w:bCs/>
                <w:color w:val="auto"/>
                <w:sz w:val="16"/>
                <w:szCs w:val="16"/>
              </w:rPr>
              <w:t>Nr. puncte</w:t>
            </w:r>
          </w:p>
          <w:p w:rsidR="00420717" w:rsidRPr="00702A15" w:rsidRDefault="00420717" w:rsidP="00D92384">
            <w:pPr>
              <w:pStyle w:val="Default"/>
              <w:jc w:val="center"/>
              <w:rPr>
                <w:color w:val="auto"/>
                <w:sz w:val="16"/>
                <w:szCs w:val="16"/>
              </w:rPr>
            </w:pPr>
            <w:r w:rsidRPr="00702A15">
              <w:rPr>
                <w:b/>
                <w:bCs/>
                <w:color w:val="auto"/>
                <w:sz w:val="16"/>
                <w:szCs w:val="16"/>
              </w:rPr>
              <w:t>de monitorizare</w:t>
            </w:r>
          </w:p>
        </w:tc>
        <w:tc>
          <w:tcPr>
            <w:tcW w:w="993" w:type="dxa"/>
            <w:vAlign w:val="center"/>
          </w:tcPr>
          <w:p w:rsidR="00420717" w:rsidRPr="00702A15" w:rsidRDefault="00420717" w:rsidP="00D92384">
            <w:pPr>
              <w:pStyle w:val="Default"/>
              <w:jc w:val="center"/>
              <w:rPr>
                <w:color w:val="auto"/>
                <w:sz w:val="16"/>
                <w:szCs w:val="16"/>
                <w:vertAlign w:val="superscript"/>
              </w:rPr>
            </w:pPr>
            <w:r w:rsidRPr="00702A15">
              <w:rPr>
                <w:b/>
                <w:bCs/>
                <w:color w:val="auto"/>
                <w:sz w:val="16"/>
                <w:szCs w:val="16"/>
              </w:rPr>
              <w:t>Conc. medii anuale NO</w:t>
            </w:r>
            <w:r w:rsidRPr="00702A15">
              <w:rPr>
                <w:b/>
                <w:bCs/>
                <w:color w:val="auto"/>
                <w:sz w:val="16"/>
                <w:szCs w:val="16"/>
                <w:vertAlign w:val="subscript"/>
              </w:rPr>
              <w:t>3</w:t>
            </w:r>
            <w:r w:rsidRPr="00702A15">
              <w:rPr>
                <w:b/>
                <w:bCs/>
                <w:color w:val="auto"/>
                <w:sz w:val="16"/>
                <w:szCs w:val="16"/>
                <w:vertAlign w:val="superscript"/>
              </w:rPr>
              <w:t>-</w:t>
            </w:r>
          </w:p>
          <w:p w:rsidR="00420717" w:rsidRPr="00702A15" w:rsidRDefault="00420717" w:rsidP="00D92384">
            <w:pPr>
              <w:tabs>
                <w:tab w:val="left" w:pos="1204"/>
                <w:tab w:val="left" w:leader="dot" w:pos="9356"/>
              </w:tabs>
              <w:jc w:val="center"/>
              <w:rPr>
                <w:rFonts w:ascii="Arial" w:hAnsi="Arial" w:cs="Arial"/>
                <w:sz w:val="16"/>
                <w:szCs w:val="16"/>
              </w:rPr>
            </w:pPr>
            <w:r w:rsidRPr="00702A15">
              <w:rPr>
                <w:rFonts w:ascii="Arial" w:hAnsi="Arial" w:cs="Arial"/>
                <w:b/>
                <w:bCs/>
                <w:sz w:val="16"/>
                <w:szCs w:val="16"/>
              </w:rPr>
              <w:t>(mg/l)</w:t>
            </w:r>
          </w:p>
        </w:tc>
        <w:tc>
          <w:tcPr>
            <w:tcW w:w="850" w:type="dxa"/>
            <w:vAlign w:val="center"/>
          </w:tcPr>
          <w:p w:rsidR="00420717" w:rsidRPr="00702A15" w:rsidRDefault="00420717" w:rsidP="00D92384">
            <w:pPr>
              <w:pStyle w:val="Default"/>
              <w:jc w:val="center"/>
              <w:rPr>
                <w:b/>
                <w:bCs/>
                <w:color w:val="auto"/>
                <w:sz w:val="16"/>
                <w:szCs w:val="16"/>
              </w:rPr>
            </w:pPr>
            <w:r w:rsidRPr="00702A15">
              <w:rPr>
                <w:b/>
                <w:bCs/>
                <w:color w:val="auto"/>
                <w:sz w:val="16"/>
                <w:szCs w:val="16"/>
              </w:rPr>
              <w:t>Nr. puncte</w:t>
            </w:r>
          </w:p>
          <w:p w:rsidR="00420717" w:rsidRPr="00702A15" w:rsidRDefault="00420717" w:rsidP="00D92384">
            <w:pPr>
              <w:pStyle w:val="Default"/>
              <w:jc w:val="center"/>
              <w:rPr>
                <w:color w:val="auto"/>
                <w:sz w:val="16"/>
                <w:szCs w:val="16"/>
              </w:rPr>
            </w:pPr>
            <w:r w:rsidRPr="00702A15">
              <w:rPr>
                <w:b/>
                <w:bCs/>
                <w:color w:val="auto"/>
                <w:sz w:val="16"/>
                <w:szCs w:val="16"/>
              </w:rPr>
              <w:t>de monitorizare</w:t>
            </w:r>
          </w:p>
        </w:tc>
        <w:tc>
          <w:tcPr>
            <w:tcW w:w="851" w:type="dxa"/>
            <w:vAlign w:val="center"/>
          </w:tcPr>
          <w:p w:rsidR="00420717" w:rsidRPr="00702A15" w:rsidRDefault="00420717" w:rsidP="00D92384">
            <w:pPr>
              <w:pStyle w:val="Default"/>
              <w:jc w:val="center"/>
              <w:rPr>
                <w:color w:val="auto"/>
                <w:sz w:val="16"/>
                <w:szCs w:val="16"/>
                <w:vertAlign w:val="superscript"/>
              </w:rPr>
            </w:pPr>
            <w:r w:rsidRPr="00702A15">
              <w:rPr>
                <w:b/>
                <w:bCs/>
                <w:color w:val="auto"/>
                <w:sz w:val="16"/>
                <w:szCs w:val="16"/>
              </w:rPr>
              <w:t>Conc. medii anuale NO</w:t>
            </w:r>
            <w:r w:rsidRPr="00702A15">
              <w:rPr>
                <w:b/>
                <w:bCs/>
                <w:color w:val="auto"/>
                <w:sz w:val="16"/>
                <w:szCs w:val="16"/>
                <w:vertAlign w:val="subscript"/>
              </w:rPr>
              <w:t>3</w:t>
            </w:r>
            <w:r w:rsidRPr="00702A15">
              <w:rPr>
                <w:b/>
                <w:bCs/>
                <w:color w:val="auto"/>
                <w:sz w:val="16"/>
                <w:szCs w:val="16"/>
                <w:vertAlign w:val="superscript"/>
              </w:rPr>
              <w:t>-</w:t>
            </w:r>
          </w:p>
          <w:p w:rsidR="00420717" w:rsidRPr="00702A15" w:rsidRDefault="00420717" w:rsidP="00D92384">
            <w:pPr>
              <w:tabs>
                <w:tab w:val="left" w:pos="1204"/>
                <w:tab w:val="left" w:leader="dot" w:pos="9356"/>
              </w:tabs>
              <w:jc w:val="center"/>
              <w:rPr>
                <w:rFonts w:ascii="Arial" w:hAnsi="Arial" w:cs="Arial"/>
                <w:sz w:val="16"/>
                <w:szCs w:val="16"/>
              </w:rPr>
            </w:pPr>
            <w:r w:rsidRPr="00702A15">
              <w:rPr>
                <w:rFonts w:ascii="Arial" w:hAnsi="Arial" w:cs="Arial"/>
                <w:b/>
                <w:bCs/>
                <w:sz w:val="16"/>
                <w:szCs w:val="16"/>
              </w:rPr>
              <w:t>(mg/l)</w:t>
            </w:r>
          </w:p>
        </w:tc>
        <w:tc>
          <w:tcPr>
            <w:tcW w:w="850" w:type="dxa"/>
            <w:vAlign w:val="center"/>
          </w:tcPr>
          <w:p w:rsidR="00420717" w:rsidRPr="00702A15" w:rsidRDefault="00420717" w:rsidP="00D92384">
            <w:pPr>
              <w:pStyle w:val="Default"/>
              <w:jc w:val="center"/>
              <w:rPr>
                <w:b/>
                <w:bCs/>
                <w:color w:val="auto"/>
                <w:sz w:val="16"/>
                <w:szCs w:val="16"/>
              </w:rPr>
            </w:pPr>
            <w:r w:rsidRPr="00702A15">
              <w:rPr>
                <w:b/>
                <w:bCs/>
                <w:color w:val="auto"/>
                <w:sz w:val="16"/>
                <w:szCs w:val="16"/>
              </w:rPr>
              <w:t>Nr. puncte</w:t>
            </w:r>
          </w:p>
          <w:p w:rsidR="00420717" w:rsidRPr="00702A15" w:rsidRDefault="00420717" w:rsidP="00D92384">
            <w:pPr>
              <w:pStyle w:val="Default"/>
              <w:jc w:val="center"/>
              <w:rPr>
                <w:color w:val="auto"/>
                <w:sz w:val="16"/>
                <w:szCs w:val="16"/>
              </w:rPr>
            </w:pPr>
            <w:r w:rsidRPr="00702A15">
              <w:rPr>
                <w:b/>
                <w:bCs/>
                <w:color w:val="auto"/>
                <w:sz w:val="16"/>
                <w:szCs w:val="16"/>
              </w:rPr>
              <w:t>de monitorizare</w:t>
            </w:r>
          </w:p>
        </w:tc>
        <w:tc>
          <w:tcPr>
            <w:tcW w:w="851" w:type="dxa"/>
            <w:vAlign w:val="center"/>
          </w:tcPr>
          <w:p w:rsidR="00420717" w:rsidRPr="00702A15" w:rsidRDefault="00420717" w:rsidP="00D92384">
            <w:pPr>
              <w:pStyle w:val="Default"/>
              <w:jc w:val="center"/>
              <w:rPr>
                <w:color w:val="auto"/>
                <w:sz w:val="16"/>
                <w:szCs w:val="16"/>
                <w:vertAlign w:val="superscript"/>
              </w:rPr>
            </w:pPr>
            <w:r w:rsidRPr="00702A15">
              <w:rPr>
                <w:b/>
                <w:bCs/>
                <w:color w:val="auto"/>
                <w:sz w:val="16"/>
                <w:szCs w:val="16"/>
              </w:rPr>
              <w:t>Conc. medii anuale NO</w:t>
            </w:r>
            <w:r w:rsidRPr="00702A15">
              <w:rPr>
                <w:b/>
                <w:bCs/>
                <w:color w:val="auto"/>
                <w:sz w:val="16"/>
                <w:szCs w:val="16"/>
                <w:vertAlign w:val="subscript"/>
              </w:rPr>
              <w:t>3</w:t>
            </w:r>
            <w:r w:rsidRPr="00702A15">
              <w:rPr>
                <w:b/>
                <w:bCs/>
                <w:color w:val="auto"/>
                <w:sz w:val="16"/>
                <w:szCs w:val="16"/>
                <w:vertAlign w:val="superscript"/>
              </w:rPr>
              <w:t>-</w:t>
            </w:r>
          </w:p>
          <w:p w:rsidR="00420717" w:rsidRPr="00702A15" w:rsidRDefault="00420717" w:rsidP="00D92384">
            <w:pPr>
              <w:tabs>
                <w:tab w:val="left" w:pos="1204"/>
                <w:tab w:val="left" w:leader="dot" w:pos="9356"/>
              </w:tabs>
              <w:jc w:val="center"/>
              <w:rPr>
                <w:rFonts w:ascii="Arial" w:hAnsi="Arial" w:cs="Arial"/>
                <w:sz w:val="16"/>
                <w:szCs w:val="16"/>
              </w:rPr>
            </w:pPr>
            <w:r w:rsidRPr="00702A15">
              <w:rPr>
                <w:rFonts w:ascii="Arial" w:hAnsi="Arial" w:cs="Arial"/>
                <w:b/>
                <w:bCs/>
                <w:sz w:val="16"/>
                <w:szCs w:val="16"/>
              </w:rPr>
              <w:t>(mg/l)</w:t>
            </w:r>
          </w:p>
        </w:tc>
        <w:tc>
          <w:tcPr>
            <w:tcW w:w="850" w:type="dxa"/>
            <w:vAlign w:val="center"/>
          </w:tcPr>
          <w:p w:rsidR="00420717" w:rsidRPr="00702A15" w:rsidRDefault="00420717" w:rsidP="00D92384">
            <w:pPr>
              <w:pStyle w:val="Default"/>
              <w:jc w:val="center"/>
              <w:rPr>
                <w:b/>
                <w:bCs/>
                <w:color w:val="auto"/>
                <w:sz w:val="16"/>
                <w:szCs w:val="16"/>
              </w:rPr>
            </w:pPr>
            <w:r w:rsidRPr="00702A15">
              <w:rPr>
                <w:b/>
                <w:bCs/>
                <w:color w:val="auto"/>
                <w:sz w:val="16"/>
                <w:szCs w:val="16"/>
              </w:rPr>
              <w:t>Nr. puncte</w:t>
            </w:r>
          </w:p>
          <w:p w:rsidR="00420717" w:rsidRPr="00702A15" w:rsidRDefault="00420717" w:rsidP="00D92384">
            <w:pPr>
              <w:pStyle w:val="Default"/>
              <w:jc w:val="center"/>
              <w:rPr>
                <w:color w:val="auto"/>
                <w:sz w:val="16"/>
                <w:szCs w:val="16"/>
              </w:rPr>
            </w:pPr>
            <w:r w:rsidRPr="00702A15">
              <w:rPr>
                <w:b/>
                <w:bCs/>
                <w:color w:val="auto"/>
                <w:sz w:val="16"/>
                <w:szCs w:val="16"/>
              </w:rPr>
              <w:t>de monitorizare</w:t>
            </w:r>
          </w:p>
        </w:tc>
        <w:tc>
          <w:tcPr>
            <w:tcW w:w="851" w:type="dxa"/>
            <w:vAlign w:val="center"/>
          </w:tcPr>
          <w:p w:rsidR="00420717" w:rsidRPr="00702A15" w:rsidRDefault="00420717" w:rsidP="00D92384">
            <w:pPr>
              <w:pStyle w:val="Default"/>
              <w:jc w:val="center"/>
              <w:rPr>
                <w:color w:val="auto"/>
                <w:sz w:val="16"/>
                <w:szCs w:val="16"/>
                <w:vertAlign w:val="superscript"/>
              </w:rPr>
            </w:pPr>
            <w:r w:rsidRPr="00702A15">
              <w:rPr>
                <w:b/>
                <w:bCs/>
                <w:color w:val="auto"/>
                <w:sz w:val="16"/>
                <w:szCs w:val="16"/>
              </w:rPr>
              <w:t>Conc. medii anuale NO</w:t>
            </w:r>
            <w:r w:rsidRPr="00702A15">
              <w:rPr>
                <w:b/>
                <w:bCs/>
                <w:color w:val="auto"/>
                <w:sz w:val="16"/>
                <w:szCs w:val="16"/>
                <w:vertAlign w:val="subscript"/>
              </w:rPr>
              <w:t>3</w:t>
            </w:r>
            <w:r w:rsidRPr="00702A15">
              <w:rPr>
                <w:b/>
                <w:bCs/>
                <w:color w:val="auto"/>
                <w:sz w:val="16"/>
                <w:szCs w:val="16"/>
                <w:vertAlign w:val="superscript"/>
              </w:rPr>
              <w:t>-</w:t>
            </w:r>
          </w:p>
          <w:p w:rsidR="00420717" w:rsidRPr="00702A15" w:rsidRDefault="00420717" w:rsidP="00D92384">
            <w:pPr>
              <w:tabs>
                <w:tab w:val="left" w:pos="1204"/>
                <w:tab w:val="left" w:leader="dot" w:pos="9356"/>
              </w:tabs>
              <w:jc w:val="center"/>
              <w:rPr>
                <w:rFonts w:ascii="Arial" w:hAnsi="Arial" w:cs="Arial"/>
                <w:sz w:val="16"/>
                <w:szCs w:val="16"/>
              </w:rPr>
            </w:pPr>
            <w:r w:rsidRPr="00702A15">
              <w:rPr>
                <w:rFonts w:ascii="Arial" w:hAnsi="Arial" w:cs="Arial"/>
                <w:b/>
                <w:bCs/>
                <w:sz w:val="16"/>
                <w:szCs w:val="16"/>
              </w:rPr>
              <w:t>(mg/l)</w:t>
            </w:r>
          </w:p>
        </w:tc>
        <w:tc>
          <w:tcPr>
            <w:tcW w:w="850" w:type="dxa"/>
            <w:vAlign w:val="center"/>
          </w:tcPr>
          <w:p w:rsidR="00420717" w:rsidRPr="00702A15" w:rsidRDefault="00420717" w:rsidP="00D92384">
            <w:pPr>
              <w:pStyle w:val="Default"/>
              <w:jc w:val="center"/>
              <w:rPr>
                <w:b/>
                <w:bCs/>
                <w:color w:val="auto"/>
                <w:sz w:val="16"/>
                <w:szCs w:val="16"/>
              </w:rPr>
            </w:pPr>
            <w:r w:rsidRPr="00702A15">
              <w:rPr>
                <w:b/>
                <w:bCs/>
                <w:color w:val="auto"/>
                <w:sz w:val="16"/>
                <w:szCs w:val="16"/>
              </w:rPr>
              <w:t>Nr. puncte</w:t>
            </w:r>
          </w:p>
          <w:p w:rsidR="00420717" w:rsidRPr="00702A15" w:rsidRDefault="00420717" w:rsidP="00D92384">
            <w:pPr>
              <w:pStyle w:val="Default"/>
              <w:jc w:val="center"/>
              <w:rPr>
                <w:color w:val="auto"/>
                <w:sz w:val="16"/>
                <w:szCs w:val="16"/>
              </w:rPr>
            </w:pPr>
            <w:r w:rsidRPr="00702A15">
              <w:rPr>
                <w:b/>
                <w:bCs/>
                <w:color w:val="auto"/>
                <w:sz w:val="16"/>
                <w:szCs w:val="16"/>
              </w:rPr>
              <w:t>de monitorizare</w:t>
            </w:r>
          </w:p>
        </w:tc>
        <w:tc>
          <w:tcPr>
            <w:tcW w:w="851" w:type="dxa"/>
            <w:vAlign w:val="center"/>
          </w:tcPr>
          <w:p w:rsidR="00420717" w:rsidRPr="00702A15" w:rsidRDefault="00420717" w:rsidP="00D92384">
            <w:pPr>
              <w:pStyle w:val="Default"/>
              <w:jc w:val="center"/>
              <w:rPr>
                <w:color w:val="auto"/>
                <w:sz w:val="16"/>
                <w:szCs w:val="16"/>
                <w:vertAlign w:val="superscript"/>
              </w:rPr>
            </w:pPr>
            <w:r w:rsidRPr="00702A15">
              <w:rPr>
                <w:b/>
                <w:bCs/>
                <w:color w:val="auto"/>
                <w:sz w:val="16"/>
                <w:szCs w:val="16"/>
              </w:rPr>
              <w:t>Conc. medii anuale NO</w:t>
            </w:r>
            <w:r w:rsidRPr="00702A15">
              <w:rPr>
                <w:b/>
                <w:bCs/>
                <w:color w:val="auto"/>
                <w:sz w:val="16"/>
                <w:szCs w:val="16"/>
                <w:vertAlign w:val="subscript"/>
              </w:rPr>
              <w:t>3</w:t>
            </w:r>
            <w:r w:rsidRPr="00702A15">
              <w:rPr>
                <w:b/>
                <w:bCs/>
                <w:color w:val="auto"/>
                <w:sz w:val="16"/>
                <w:szCs w:val="16"/>
                <w:vertAlign w:val="superscript"/>
              </w:rPr>
              <w:t>-</w:t>
            </w:r>
          </w:p>
          <w:p w:rsidR="00420717" w:rsidRPr="00702A15" w:rsidRDefault="00420717" w:rsidP="00D92384">
            <w:pPr>
              <w:tabs>
                <w:tab w:val="left" w:pos="1204"/>
                <w:tab w:val="left" w:leader="dot" w:pos="9356"/>
              </w:tabs>
              <w:jc w:val="center"/>
              <w:rPr>
                <w:rFonts w:ascii="Arial" w:hAnsi="Arial" w:cs="Arial"/>
                <w:sz w:val="16"/>
                <w:szCs w:val="16"/>
              </w:rPr>
            </w:pPr>
            <w:r w:rsidRPr="00702A15">
              <w:rPr>
                <w:rFonts w:ascii="Arial" w:hAnsi="Arial" w:cs="Arial"/>
                <w:b/>
                <w:bCs/>
                <w:sz w:val="16"/>
                <w:szCs w:val="16"/>
              </w:rPr>
              <w:t>(mg/l)</w:t>
            </w:r>
          </w:p>
        </w:tc>
      </w:tr>
      <w:tr w:rsidR="00420717" w:rsidRPr="00702A15" w:rsidTr="00D92384">
        <w:trPr>
          <w:jc w:val="center"/>
        </w:trPr>
        <w:tc>
          <w:tcPr>
            <w:tcW w:w="1418"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Buzău - Ialomi</w:t>
            </w:r>
            <w:r>
              <w:rPr>
                <w:rFonts w:ascii="Arial" w:hAnsi="Arial" w:cs="Arial"/>
                <w:sz w:val="24"/>
                <w:szCs w:val="24"/>
              </w:rPr>
              <w:t>ţ</w:t>
            </w:r>
            <w:r w:rsidRPr="00702A15">
              <w:rPr>
                <w:rFonts w:ascii="Arial" w:hAnsi="Arial" w:cs="Arial"/>
                <w:sz w:val="24"/>
                <w:szCs w:val="24"/>
              </w:rPr>
              <w:t>a</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993"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59</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23,0</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56</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17,9</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64</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15,0</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64</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19,8</w:t>
            </w:r>
          </w:p>
        </w:tc>
      </w:tr>
      <w:tr w:rsidR="00420717" w:rsidRPr="00702A15" w:rsidTr="00D92384">
        <w:trPr>
          <w:jc w:val="center"/>
        </w:trPr>
        <w:tc>
          <w:tcPr>
            <w:tcW w:w="1418"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Siret (Rm. Sărat)</w:t>
            </w:r>
          </w:p>
        </w:tc>
        <w:tc>
          <w:tcPr>
            <w:tcW w:w="850"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1</w:t>
            </w:r>
          </w:p>
        </w:tc>
        <w:tc>
          <w:tcPr>
            <w:tcW w:w="993"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w:t>
            </w:r>
          </w:p>
        </w:tc>
        <w:tc>
          <w:tcPr>
            <w:tcW w:w="850"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1</w:t>
            </w:r>
          </w:p>
        </w:tc>
        <w:tc>
          <w:tcPr>
            <w:tcW w:w="851"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6,92</w:t>
            </w:r>
          </w:p>
        </w:tc>
        <w:tc>
          <w:tcPr>
            <w:tcW w:w="850"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1</w:t>
            </w:r>
          </w:p>
        </w:tc>
        <w:tc>
          <w:tcPr>
            <w:tcW w:w="851"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7,19</w:t>
            </w:r>
          </w:p>
        </w:tc>
        <w:tc>
          <w:tcPr>
            <w:tcW w:w="850"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1</w:t>
            </w:r>
          </w:p>
        </w:tc>
        <w:tc>
          <w:tcPr>
            <w:tcW w:w="851"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5,33</w:t>
            </w:r>
          </w:p>
        </w:tc>
        <w:tc>
          <w:tcPr>
            <w:tcW w:w="850"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1</w:t>
            </w:r>
          </w:p>
        </w:tc>
        <w:tc>
          <w:tcPr>
            <w:tcW w:w="851" w:type="dxa"/>
            <w:vAlign w:val="center"/>
          </w:tcPr>
          <w:p w:rsidR="00420717" w:rsidRPr="00702A15" w:rsidRDefault="00420717" w:rsidP="00D92384">
            <w:pPr>
              <w:pStyle w:val="BodyText"/>
              <w:spacing w:after="0"/>
              <w:jc w:val="center"/>
              <w:rPr>
                <w:rFonts w:ascii="Arial" w:hAnsi="Arial" w:cs="Arial"/>
                <w:sz w:val="24"/>
                <w:szCs w:val="24"/>
              </w:rPr>
            </w:pPr>
            <w:r w:rsidRPr="00702A15">
              <w:rPr>
                <w:rFonts w:ascii="Arial" w:hAnsi="Arial" w:cs="Arial"/>
                <w:sz w:val="24"/>
                <w:szCs w:val="24"/>
              </w:rPr>
              <w:t>3,00</w:t>
            </w:r>
          </w:p>
        </w:tc>
      </w:tr>
      <w:tr w:rsidR="00420717" w:rsidRPr="00702A15" w:rsidTr="00D92384">
        <w:trPr>
          <w:jc w:val="center"/>
        </w:trPr>
        <w:tc>
          <w:tcPr>
            <w:tcW w:w="1418"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Total</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1</w:t>
            </w:r>
          </w:p>
        </w:tc>
        <w:tc>
          <w:tcPr>
            <w:tcW w:w="993"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60</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57</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65</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65</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w:t>
            </w:r>
          </w:p>
        </w:tc>
      </w:tr>
    </w:tbl>
    <w:p w:rsidR="00420717" w:rsidRPr="00AA0E3F" w:rsidRDefault="00420717" w:rsidP="00420717">
      <w:pPr>
        <w:pStyle w:val="Default"/>
        <w:jc w:val="both"/>
        <w:rPr>
          <w:b/>
          <w:bCs/>
          <w:color w:val="auto"/>
        </w:rPr>
      </w:pPr>
      <w:r w:rsidRPr="00AA0E3F">
        <w:rPr>
          <w:b/>
          <w:color w:val="auto"/>
        </w:rPr>
        <w:t>Tabel II.2.1.3.2. Concentraţiile medii anuale ale azotaţilor (NO</w:t>
      </w:r>
      <w:r w:rsidRPr="00AA0E3F">
        <w:rPr>
          <w:b/>
          <w:color w:val="auto"/>
          <w:vertAlign w:val="subscript"/>
        </w:rPr>
        <w:t>3</w:t>
      </w:r>
      <w:r w:rsidRPr="00AA0E3F">
        <w:rPr>
          <w:b/>
          <w:color w:val="auto"/>
          <w:vertAlign w:val="superscript"/>
        </w:rPr>
        <w:t>-</w:t>
      </w:r>
      <w:r w:rsidRPr="00AA0E3F">
        <w:rPr>
          <w:b/>
          <w:color w:val="auto"/>
        </w:rPr>
        <w:t>) determinate în apele subterane din judeţul Buzău, în anul 2014</w:t>
      </w:r>
    </w:p>
    <w:p w:rsidR="00420717" w:rsidRPr="00702A15" w:rsidRDefault="00420717" w:rsidP="00420717">
      <w:pPr>
        <w:pStyle w:val="Default"/>
        <w:jc w:val="right"/>
        <w:rPr>
          <w:bCs/>
          <w:color w:val="auto"/>
        </w:rPr>
      </w:pPr>
      <w:r w:rsidRPr="00702A15">
        <w:rPr>
          <w:bCs/>
          <w:color w:val="auto"/>
        </w:rPr>
        <w:t>Sursa datelor: ABA Buzău-Ialomi</w:t>
      </w:r>
      <w:r>
        <w:rPr>
          <w:bCs/>
          <w:color w:val="auto"/>
        </w:rPr>
        <w:t>ţ</w:t>
      </w:r>
      <w:r w:rsidRPr="00702A15">
        <w:rPr>
          <w:bCs/>
          <w:color w:val="auto"/>
        </w:rPr>
        <w:t xml:space="preserve">a </w:t>
      </w:r>
      <w:r>
        <w:rPr>
          <w:bCs/>
          <w:color w:val="auto"/>
        </w:rPr>
        <w:t>ş</w:t>
      </w:r>
      <w:r w:rsidRPr="00702A15">
        <w:rPr>
          <w:bCs/>
          <w:color w:val="auto"/>
        </w:rPr>
        <w:t>i SGA Vrancea</w:t>
      </w:r>
    </w:p>
    <w:p w:rsidR="00420717" w:rsidRPr="00702A15" w:rsidRDefault="00420717" w:rsidP="00420717">
      <w:pPr>
        <w:pStyle w:val="Default"/>
        <w:jc w:val="both"/>
        <w:rPr>
          <w:bCs/>
          <w:color w:val="auto"/>
        </w:rPr>
      </w:pPr>
    </w:p>
    <w:p w:rsidR="00420717" w:rsidRPr="00702A15" w:rsidRDefault="00420717" w:rsidP="00420717">
      <w:pPr>
        <w:pStyle w:val="Default"/>
        <w:rPr>
          <w:bCs/>
          <w:color w:val="auto"/>
        </w:rPr>
      </w:pPr>
    </w:p>
    <w:p w:rsidR="00420717" w:rsidRPr="00702A15" w:rsidRDefault="00420717" w:rsidP="00420717">
      <w:pPr>
        <w:pStyle w:val="Default"/>
        <w:jc w:val="center"/>
        <w:rPr>
          <w:bCs/>
          <w:color w:val="auto"/>
        </w:rPr>
      </w:pPr>
      <w:r w:rsidRPr="00702A15">
        <w:rPr>
          <w:bCs/>
          <w:noProof/>
          <w:color w:val="auto"/>
          <w:lang w:eastAsia="ro-RO"/>
        </w:rPr>
        <w:lastRenderedPageBreak/>
        <w:drawing>
          <wp:inline distT="0" distB="0" distL="0" distR="0">
            <wp:extent cx="5293741" cy="2743200"/>
            <wp:effectExtent l="19050" t="0" r="21209" b="0"/>
            <wp:docPr id="15"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20717" w:rsidRPr="00AA0E3F" w:rsidRDefault="00420717" w:rsidP="00420717">
      <w:pPr>
        <w:tabs>
          <w:tab w:val="left" w:pos="1204"/>
          <w:tab w:val="left" w:leader="dot" w:pos="9356"/>
        </w:tabs>
        <w:spacing w:before="120" w:after="120" w:line="240" w:lineRule="auto"/>
        <w:jc w:val="both"/>
        <w:rPr>
          <w:rFonts w:ascii="Arial" w:hAnsi="Arial" w:cs="Arial"/>
          <w:b/>
          <w:sz w:val="24"/>
          <w:szCs w:val="24"/>
        </w:rPr>
      </w:pPr>
      <w:r w:rsidRPr="00AA0E3F">
        <w:rPr>
          <w:rFonts w:ascii="Arial" w:hAnsi="Arial" w:cs="Arial"/>
          <w:b/>
          <w:bCs/>
          <w:sz w:val="24"/>
          <w:szCs w:val="24"/>
        </w:rPr>
        <w:t xml:space="preserve">Figura </w:t>
      </w:r>
      <w:r w:rsidRPr="00AA0E3F">
        <w:rPr>
          <w:rFonts w:ascii="Arial" w:hAnsi="Arial" w:cs="Arial"/>
          <w:b/>
          <w:sz w:val="24"/>
          <w:szCs w:val="24"/>
        </w:rPr>
        <w:t>II.2.1.3.2. Evoluţia indicatorului azotaţi în apele subterane, la nivelul ABA Buzău-Ialomiţa, pe teritoriul judeţului Buzău, în perioada anilor 2011-2014</w:t>
      </w:r>
    </w:p>
    <w:p w:rsidR="00420717" w:rsidRPr="00702A15" w:rsidRDefault="00420717" w:rsidP="00420717">
      <w:pPr>
        <w:tabs>
          <w:tab w:val="left" w:pos="315"/>
        </w:tabs>
        <w:spacing w:after="0" w:line="240" w:lineRule="auto"/>
        <w:jc w:val="both"/>
        <w:rPr>
          <w:rFonts w:ascii="Arial" w:hAnsi="Arial" w:cs="Arial"/>
          <w:bCs/>
          <w:sz w:val="24"/>
          <w:szCs w:val="24"/>
          <w:lang w:val="it-IT"/>
        </w:rPr>
      </w:pPr>
    </w:p>
    <w:p w:rsidR="00420717" w:rsidRPr="00702A15" w:rsidRDefault="00420717" w:rsidP="00420717">
      <w:pPr>
        <w:tabs>
          <w:tab w:val="left" w:pos="315"/>
        </w:tabs>
        <w:spacing w:after="0" w:line="240" w:lineRule="auto"/>
        <w:jc w:val="center"/>
        <w:rPr>
          <w:rFonts w:ascii="Arial" w:hAnsi="Arial" w:cs="Arial"/>
          <w:bCs/>
          <w:sz w:val="24"/>
          <w:szCs w:val="24"/>
          <w:lang w:val="it-IT"/>
        </w:rPr>
      </w:pPr>
      <w:r w:rsidRPr="00702A15">
        <w:rPr>
          <w:rFonts w:ascii="Arial" w:hAnsi="Arial" w:cs="Arial"/>
          <w:bCs/>
          <w:noProof/>
          <w:sz w:val="24"/>
          <w:szCs w:val="24"/>
          <w:lang w:val="ro-RO" w:eastAsia="ro-RO"/>
        </w:rPr>
        <w:drawing>
          <wp:inline distT="0" distB="0" distL="0" distR="0">
            <wp:extent cx="5313730" cy="2743200"/>
            <wp:effectExtent l="19050" t="0" r="20270" b="0"/>
            <wp:docPr id="1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20717" w:rsidRPr="00AA0E3F" w:rsidRDefault="00420717" w:rsidP="00420717">
      <w:pPr>
        <w:tabs>
          <w:tab w:val="left" w:pos="1204"/>
          <w:tab w:val="left" w:leader="dot" w:pos="9356"/>
        </w:tabs>
        <w:spacing w:before="120" w:after="120" w:line="240" w:lineRule="auto"/>
        <w:jc w:val="both"/>
        <w:rPr>
          <w:rFonts w:ascii="Arial" w:hAnsi="Arial" w:cs="Arial"/>
          <w:b/>
          <w:sz w:val="24"/>
          <w:szCs w:val="24"/>
        </w:rPr>
      </w:pPr>
      <w:r w:rsidRPr="00AA0E3F">
        <w:rPr>
          <w:rFonts w:ascii="Arial" w:hAnsi="Arial" w:cs="Arial"/>
          <w:b/>
          <w:bCs/>
          <w:sz w:val="24"/>
          <w:szCs w:val="24"/>
        </w:rPr>
        <w:t xml:space="preserve">Figura </w:t>
      </w:r>
      <w:r w:rsidRPr="00AA0E3F">
        <w:rPr>
          <w:rFonts w:ascii="Arial" w:hAnsi="Arial" w:cs="Arial"/>
          <w:b/>
          <w:sz w:val="24"/>
          <w:szCs w:val="24"/>
        </w:rPr>
        <w:t>II.2.1.3.3. Evoluţia indicatorului azotaţi în apele subterane, la nivelul SGA Vrancea, pe teritoriul judeţului Buzău , în perioada anilor 2011-2014</w:t>
      </w:r>
    </w:p>
    <w:p w:rsidR="00420717" w:rsidRPr="00702A15" w:rsidRDefault="00420717" w:rsidP="00420717">
      <w:pPr>
        <w:tabs>
          <w:tab w:val="left" w:pos="315"/>
        </w:tabs>
        <w:spacing w:after="0" w:line="240" w:lineRule="auto"/>
        <w:jc w:val="both"/>
        <w:rPr>
          <w:rFonts w:ascii="Arial" w:hAnsi="Arial" w:cs="Arial"/>
          <w:bCs/>
          <w:sz w:val="24"/>
          <w:szCs w:val="24"/>
          <w:lang w:val="it-IT"/>
        </w:rPr>
      </w:pPr>
    </w:p>
    <w:p w:rsidR="00420717" w:rsidRPr="00702A15" w:rsidRDefault="00420717" w:rsidP="00420717">
      <w:pPr>
        <w:tabs>
          <w:tab w:val="left" w:pos="315"/>
        </w:tabs>
        <w:spacing w:after="0" w:line="240" w:lineRule="auto"/>
        <w:jc w:val="both"/>
        <w:rPr>
          <w:rFonts w:ascii="Arial" w:hAnsi="Arial" w:cs="Arial"/>
          <w:bCs/>
          <w:sz w:val="24"/>
          <w:szCs w:val="24"/>
          <w:lang w:val="it-IT"/>
        </w:rPr>
      </w:pPr>
      <w:r w:rsidRPr="00702A15">
        <w:rPr>
          <w:rFonts w:ascii="Arial" w:hAnsi="Arial" w:cs="Arial"/>
          <w:bCs/>
          <w:sz w:val="24"/>
          <w:szCs w:val="24"/>
          <w:lang w:val="it-IT"/>
        </w:rPr>
        <w:t>Numărul cazurilor de persoane intoxicate cu NO2, din apa subterană, în jude</w:t>
      </w:r>
      <w:r>
        <w:rPr>
          <w:rFonts w:ascii="Arial" w:hAnsi="Arial" w:cs="Arial"/>
          <w:bCs/>
          <w:sz w:val="24"/>
          <w:szCs w:val="24"/>
          <w:lang w:val="it-IT"/>
        </w:rPr>
        <w:t>ţ</w:t>
      </w:r>
      <w:r w:rsidRPr="00702A15">
        <w:rPr>
          <w:rFonts w:ascii="Arial" w:hAnsi="Arial" w:cs="Arial"/>
          <w:bCs/>
          <w:sz w:val="24"/>
          <w:szCs w:val="24"/>
          <w:lang w:val="it-IT"/>
        </w:rPr>
        <w:t>ul Buzău pe perioda 2010-2014, este prezentat în tabelul următor.</w:t>
      </w:r>
    </w:p>
    <w:tbl>
      <w:tblPr>
        <w:tblStyle w:val="TableGrid"/>
        <w:tblW w:w="0" w:type="auto"/>
        <w:tblInd w:w="1101" w:type="dxa"/>
        <w:tblLook w:val="04A0"/>
      </w:tblPr>
      <w:tblGrid>
        <w:gridCol w:w="3685"/>
        <w:gridCol w:w="851"/>
        <w:gridCol w:w="850"/>
        <w:gridCol w:w="851"/>
        <w:gridCol w:w="992"/>
        <w:gridCol w:w="992"/>
      </w:tblGrid>
      <w:tr w:rsidR="00420717" w:rsidRPr="00702A15" w:rsidTr="00D92384">
        <w:tc>
          <w:tcPr>
            <w:tcW w:w="3685"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Anul</w:t>
            </w:r>
          </w:p>
        </w:tc>
        <w:tc>
          <w:tcPr>
            <w:tcW w:w="851"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2010</w:t>
            </w:r>
          </w:p>
        </w:tc>
        <w:tc>
          <w:tcPr>
            <w:tcW w:w="850"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2011</w:t>
            </w:r>
          </w:p>
        </w:tc>
        <w:tc>
          <w:tcPr>
            <w:tcW w:w="851"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2012</w:t>
            </w:r>
          </w:p>
        </w:tc>
        <w:tc>
          <w:tcPr>
            <w:tcW w:w="992"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2013</w:t>
            </w:r>
          </w:p>
        </w:tc>
        <w:tc>
          <w:tcPr>
            <w:tcW w:w="992" w:type="dxa"/>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2014</w:t>
            </w:r>
          </w:p>
        </w:tc>
      </w:tr>
      <w:tr w:rsidR="00420717" w:rsidRPr="00702A15" w:rsidTr="00D92384">
        <w:tc>
          <w:tcPr>
            <w:tcW w:w="3685" w:type="dxa"/>
            <w:vAlign w:val="center"/>
          </w:tcPr>
          <w:p w:rsidR="00420717" w:rsidRPr="00702A15" w:rsidRDefault="00420717" w:rsidP="00D92384">
            <w:pPr>
              <w:tabs>
                <w:tab w:val="left" w:pos="1204"/>
                <w:tab w:val="left" w:leader="dot" w:pos="9356"/>
              </w:tabs>
              <w:rPr>
                <w:rFonts w:ascii="Arial" w:hAnsi="Arial" w:cs="Arial"/>
                <w:sz w:val="24"/>
                <w:szCs w:val="24"/>
              </w:rPr>
            </w:pPr>
            <w:r w:rsidRPr="00702A15">
              <w:rPr>
                <w:rFonts w:ascii="Arial" w:hAnsi="Arial" w:cs="Arial"/>
                <w:sz w:val="24"/>
                <w:szCs w:val="24"/>
              </w:rPr>
              <w:t>Nr. cazuri de intoxicare cu NO2</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7</w:t>
            </w:r>
          </w:p>
        </w:tc>
        <w:tc>
          <w:tcPr>
            <w:tcW w:w="850"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7</w:t>
            </w:r>
          </w:p>
        </w:tc>
        <w:tc>
          <w:tcPr>
            <w:tcW w:w="851"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6</w:t>
            </w:r>
          </w:p>
        </w:tc>
        <w:tc>
          <w:tcPr>
            <w:tcW w:w="992" w:type="dxa"/>
            <w:vAlign w:val="center"/>
          </w:tcPr>
          <w:p w:rsidR="00420717" w:rsidRPr="00702A15" w:rsidRDefault="00420717" w:rsidP="00D92384">
            <w:pPr>
              <w:tabs>
                <w:tab w:val="left" w:pos="1204"/>
                <w:tab w:val="left" w:leader="dot" w:pos="9356"/>
              </w:tabs>
              <w:jc w:val="center"/>
              <w:rPr>
                <w:rFonts w:ascii="Arial" w:hAnsi="Arial" w:cs="Arial"/>
                <w:sz w:val="24"/>
                <w:szCs w:val="24"/>
              </w:rPr>
            </w:pPr>
            <w:r w:rsidRPr="00702A15">
              <w:rPr>
                <w:rFonts w:ascii="Arial" w:hAnsi="Arial" w:cs="Arial"/>
                <w:sz w:val="24"/>
                <w:szCs w:val="24"/>
              </w:rPr>
              <w:t>3</w:t>
            </w:r>
          </w:p>
        </w:tc>
      </w:tr>
    </w:tbl>
    <w:p w:rsidR="00420717" w:rsidRPr="00AA0E3F" w:rsidRDefault="00420717" w:rsidP="00420717">
      <w:pPr>
        <w:pStyle w:val="Default"/>
        <w:jc w:val="both"/>
        <w:rPr>
          <w:b/>
          <w:bCs/>
          <w:color w:val="auto"/>
        </w:rPr>
      </w:pPr>
      <w:r w:rsidRPr="00AA0E3F">
        <w:rPr>
          <w:b/>
          <w:color w:val="auto"/>
        </w:rPr>
        <w:t xml:space="preserve">Tabel II.2.1.3.3. </w:t>
      </w:r>
      <w:r w:rsidRPr="00AA0E3F">
        <w:rPr>
          <w:b/>
          <w:bCs/>
          <w:color w:val="auto"/>
          <w:lang w:val="it-IT"/>
        </w:rPr>
        <w:t>Numărul cazurilor de persoane intoxicate cu NO2, din apa subterană, în judeţul Buzău pe perioda 2010-2014</w:t>
      </w:r>
    </w:p>
    <w:p w:rsidR="00420717" w:rsidRPr="00702A15" w:rsidRDefault="00420717" w:rsidP="00420717">
      <w:pPr>
        <w:pStyle w:val="Default"/>
        <w:jc w:val="right"/>
        <w:rPr>
          <w:bCs/>
          <w:color w:val="auto"/>
        </w:rPr>
      </w:pPr>
      <w:r w:rsidRPr="00702A15">
        <w:rPr>
          <w:bCs/>
          <w:color w:val="auto"/>
        </w:rPr>
        <w:t>Sursa datelor: DSP Buzău</w:t>
      </w: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r w:rsidRPr="00702A15">
        <w:rPr>
          <w:rFonts w:ascii="Arial" w:hAnsi="Arial" w:cs="Arial"/>
          <w:b/>
          <w:sz w:val="24"/>
          <w:szCs w:val="24"/>
        </w:rPr>
        <w:t>B. Calitatea apelor subterane din jude</w:t>
      </w:r>
      <w:r>
        <w:rPr>
          <w:rFonts w:ascii="Arial" w:hAnsi="Arial" w:cs="Arial"/>
          <w:b/>
          <w:sz w:val="24"/>
          <w:szCs w:val="24"/>
        </w:rPr>
        <w:t>ţ</w:t>
      </w:r>
      <w:r w:rsidRPr="00702A15">
        <w:rPr>
          <w:rFonts w:ascii="Arial" w:hAnsi="Arial" w:cs="Arial"/>
          <w:b/>
          <w:sz w:val="24"/>
          <w:szCs w:val="24"/>
        </w:rPr>
        <w:t xml:space="preserve">ul Buzău din punct de vedere al pesticidelor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ABA Buzău-Ialomi</w:t>
      </w:r>
      <w:r>
        <w:rPr>
          <w:rFonts w:ascii="Arial" w:hAnsi="Arial" w:cs="Arial"/>
          <w:sz w:val="24"/>
          <w:szCs w:val="24"/>
        </w:rPr>
        <w:t>ţ</w:t>
      </w:r>
      <w:r w:rsidRPr="00702A15">
        <w:rPr>
          <w:rFonts w:ascii="Arial" w:hAnsi="Arial" w:cs="Arial"/>
          <w:sz w:val="24"/>
          <w:szCs w:val="24"/>
        </w:rPr>
        <w:t xml:space="preserve">a </w:t>
      </w:r>
      <w:r>
        <w:rPr>
          <w:rFonts w:ascii="Arial" w:hAnsi="Arial" w:cs="Arial"/>
          <w:sz w:val="24"/>
          <w:szCs w:val="24"/>
        </w:rPr>
        <w:t>ş</w:t>
      </w:r>
      <w:r w:rsidRPr="00702A15">
        <w:rPr>
          <w:rFonts w:ascii="Arial" w:hAnsi="Arial" w:cs="Arial"/>
          <w:sz w:val="24"/>
          <w:szCs w:val="24"/>
        </w:rPr>
        <w:t>i SGA Vrancea nu au furnizat date referitoare la acest subcapitol.</w:t>
      </w:r>
    </w:p>
    <w:p w:rsidR="00420717" w:rsidRPr="00702A15" w:rsidRDefault="00420717" w:rsidP="00420717">
      <w:pPr>
        <w:pStyle w:val="Default"/>
        <w:jc w:val="both"/>
        <w:rPr>
          <w:bCs/>
          <w:color w:val="auto"/>
        </w:rPr>
      </w:pPr>
    </w:p>
    <w:p w:rsidR="00420717" w:rsidRDefault="00420717" w:rsidP="00420717">
      <w:pPr>
        <w:pStyle w:val="Default"/>
        <w:jc w:val="both"/>
        <w:rPr>
          <w:bCs/>
          <w:color w:val="auto"/>
        </w:rPr>
      </w:pPr>
      <w:r w:rsidRPr="00702A15">
        <w:rPr>
          <w:bCs/>
          <w:color w:val="auto"/>
        </w:rPr>
        <w:lastRenderedPageBreak/>
        <w:t>Tendinţe de poluare cu pesticide a apelor subterane, în perioda 2010-2014, în jude</w:t>
      </w:r>
      <w:r>
        <w:rPr>
          <w:bCs/>
          <w:color w:val="auto"/>
        </w:rPr>
        <w:t>ţ</w:t>
      </w:r>
      <w:r w:rsidRPr="00702A15">
        <w:rPr>
          <w:bCs/>
          <w:color w:val="auto"/>
        </w:rPr>
        <w:t>ul Buzău, este redată în tabelul următor (RO 64).</w:t>
      </w:r>
    </w:p>
    <w:p w:rsidR="00420717" w:rsidRPr="00702A15" w:rsidRDefault="00420717" w:rsidP="00420717">
      <w:pPr>
        <w:pStyle w:val="Default"/>
        <w:jc w:val="both"/>
        <w:rPr>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992"/>
        <w:gridCol w:w="992"/>
        <w:gridCol w:w="993"/>
        <w:gridCol w:w="992"/>
        <w:gridCol w:w="992"/>
      </w:tblGrid>
      <w:tr w:rsidR="00420717" w:rsidRPr="00702A15" w:rsidTr="00D92384">
        <w:trPr>
          <w:jc w:val="center"/>
        </w:trPr>
        <w:tc>
          <w:tcPr>
            <w:tcW w:w="4361"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Anul</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2010</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2011</w:t>
            </w:r>
          </w:p>
        </w:tc>
        <w:tc>
          <w:tcPr>
            <w:tcW w:w="993"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2012</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2013</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2014</w:t>
            </w:r>
          </w:p>
        </w:tc>
      </w:tr>
      <w:tr w:rsidR="00420717" w:rsidRPr="00702A15" w:rsidTr="00D92384">
        <w:trPr>
          <w:jc w:val="center"/>
        </w:trPr>
        <w:tc>
          <w:tcPr>
            <w:tcW w:w="4361"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Număr de pesticide monitorizate</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22</w:t>
            </w:r>
          </w:p>
        </w:tc>
        <w:tc>
          <w:tcPr>
            <w:tcW w:w="993"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22</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22</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22</w:t>
            </w:r>
          </w:p>
        </w:tc>
      </w:tr>
      <w:tr w:rsidR="00420717" w:rsidRPr="00702A15" w:rsidTr="00D92384">
        <w:trPr>
          <w:jc w:val="center"/>
        </w:trPr>
        <w:tc>
          <w:tcPr>
            <w:tcW w:w="4361"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Număr puncte de monitorizare</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221</w:t>
            </w:r>
          </w:p>
        </w:tc>
        <w:tc>
          <w:tcPr>
            <w:tcW w:w="993"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48</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102</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66</w:t>
            </w:r>
          </w:p>
        </w:tc>
      </w:tr>
      <w:tr w:rsidR="00420717" w:rsidRPr="00702A15" w:rsidTr="00D92384">
        <w:trPr>
          <w:jc w:val="center"/>
        </w:trPr>
        <w:tc>
          <w:tcPr>
            <w:tcW w:w="4361"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Ponderea punctelor cu concentra</w:t>
            </w:r>
            <w:r>
              <w:rPr>
                <w:rFonts w:ascii="Arial" w:hAnsi="Arial" w:cs="Arial"/>
                <w:sz w:val="24"/>
                <w:szCs w:val="24"/>
              </w:rPr>
              <w:t>ţ</w:t>
            </w:r>
            <w:r w:rsidRPr="00702A15">
              <w:rPr>
                <w:rFonts w:ascii="Arial" w:hAnsi="Arial" w:cs="Arial"/>
                <w:sz w:val="24"/>
                <w:szCs w:val="24"/>
              </w:rPr>
              <w:t>ie mai mare de 0,1µg/l %</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c>
          <w:tcPr>
            <w:tcW w:w="993"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r>
    </w:tbl>
    <w:p w:rsidR="00420717" w:rsidRPr="00AA0E3F" w:rsidRDefault="00420717" w:rsidP="00420717">
      <w:pPr>
        <w:pStyle w:val="Default"/>
        <w:jc w:val="both"/>
        <w:rPr>
          <w:b/>
          <w:bCs/>
          <w:color w:val="auto"/>
        </w:rPr>
      </w:pPr>
      <w:r w:rsidRPr="00AA0E3F">
        <w:rPr>
          <w:b/>
          <w:color w:val="auto"/>
        </w:rPr>
        <w:t>Tabel II.2.1.3.4.</w:t>
      </w:r>
      <w:r w:rsidRPr="00AA0E3F">
        <w:rPr>
          <w:b/>
          <w:bCs/>
          <w:color w:val="auto"/>
        </w:rPr>
        <w:t xml:space="preserve"> Tendinţe de poluare cu pesticide a apelor subterane, în perioda 2010-2014, în judeţul Buzău</w:t>
      </w:r>
    </w:p>
    <w:p w:rsidR="00420717" w:rsidRPr="00702A15" w:rsidRDefault="00420717" w:rsidP="00420717">
      <w:pPr>
        <w:pStyle w:val="Default"/>
        <w:jc w:val="right"/>
        <w:rPr>
          <w:bCs/>
          <w:color w:val="auto"/>
        </w:rPr>
      </w:pPr>
      <w:r w:rsidRPr="00702A15">
        <w:rPr>
          <w:bCs/>
          <w:color w:val="auto"/>
        </w:rPr>
        <w:t>Sursa datelor. DSP Buzău</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t>II.2.1.4. Calitatea apelor de îmbăiere</w:t>
      </w:r>
      <w:r>
        <w:rPr>
          <w:rFonts w:ascii="Arial" w:hAnsi="Arial" w:cs="Arial"/>
          <w:b/>
          <w:sz w:val="24"/>
          <w:szCs w:val="24"/>
        </w:rPr>
        <w:t xml:space="preserve">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Situa</w:t>
      </w:r>
      <w:r>
        <w:rPr>
          <w:rFonts w:ascii="Arial" w:hAnsi="Arial" w:cs="Arial"/>
          <w:sz w:val="24"/>
          <w:szCs w:val="24"/>
        </w:rPr>
        <w:t>ţ</w:t>
      </w:r>
      <w:r w:rsidRPr="00702A15">
        <w:rPr>
          <w:rFonts w:ascii="Arial" w:hAnsi="Arial" w:cs="Arial"/>
          <w:sz w:val="24"/>
          <w:szCs w:val="24"/>
        </w:rPr>
        <w:t>ia privind numărul probelor care au vizat monitorizarea calită</w:t>
      </w:r>
      <w:r>
        <w:rPr>
          <w:rFonts w:ascii="Arial" w:hAnsi="Arial" w:cs="Arial"/>
          <w:sz w:val="24"/>
          <w:szCs w:val="24"/>
        </w:rPr>
        <w:t>ţ</w:t>
      </w:r>
      <w:r w:rsidRPr="00702A15">
        <w:rPr>
          <w:rFonts w:ascii="Arial" w:hAnsi="Arial" w:cs="Arial"/>
          <w:sz w:val="24"/>
          <w:szCs w:val="24"/>
        </w:rPr>
        <w:t>ii apelor de îmbăiere din judeţul Buzău, (pentru zonele amenajate special acestui scop) în perioada 2010-2014, este redată în tabelul tabelul II.2.1.4.1.</w:t>
      </w:r>
    </w:p>
    <w:p w:rsidR="005864AC" w:rsidRPr="00702A15" w:rsidRDefault="005864AC" w:rsidP="00420717">
      <w:pPr>
        <w:spacing w:after="0" w:line="240" w:lineRule="auto"/>
        <w:jc w:val="both"/>
        <w:rPr>
          <w:rFonts w:ascii="Arial" w:hAnsi="Arial" w:cs="Arial"/>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846"/>
        <w:gridCol w:w="817"/>
        <w:gridCol w:w="750"/>
        <w:gridCol w:w="750"/>
        <w:gridCol w:w="750"/>
        <w:gridCol w:w="817"/>
      </w:tblGrid>
      <w:tr w:rsidR="00420717" w:rsidRPr="00702A15" w:rsidTr="00D92384">
        <w:trPr>
          <w:jc w:val="center"/>
        </w:trPr>
        <w:tc>
          <w:tcPr>
            <w:tcW w:w="0" w:type="auto"/>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Anul</w:t>
            </w:r>
          </w:p>
        </w:tc>
        <w:tc>
          <w:tcPr>
            <w:tcW w:w="0" w:type="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2010</w:t>
            </w:r>
          </w:p>
        </w:tc>
        <w:tc>
          <w:tcPr>
            <w:tcW w:w="0" w:type="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2011</w:t>
            </w:r>
          </w:p>
        </w:tc>
        <w:tc>
          <w:tcPr>
            <w:tcW w:w="0" w:type="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2012</w:t>
            </w:r>
          </w:p>
        </w:tc>
        <w:tc>
          <w:tcPr>
            <w:tcW w:w="0" w:type="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2013</w:t>
            </w:r>
          </w:p>
        </w:tc>
        <w:tc>
          <w:tcPr>
            <w:tcW w:w="0" w:type="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2014</w:t>
            </w:r>
          </w:p>
        </w:tc>
      </w:tr>
      <w:tr w:rsidR="00420717" w:rsidRPr="00702A15" w:rsidTr="00D92384">
        <w:trPr>
          <w:jc w:val="center"/>
        </w:trPr>
        <w:tc>
          <w:tcPr>
            <w:tcW w:w="0" w:type="auto"/>
            <w:shd w:val="clear" w:color="auto" w:fill="auto"/>
            <w:vAlign w:val="center"/>
          </w:tcPr>
          <w:p w:rsidR="00420717" w:rsidRPr="00702A15" w:rsidRDefault="00420717" w:rsidP="00D92384">
            <w:pPr>
              <w:pStyle w:val="Header"/>
              <w:rPr>
                <w:rFonts w:ascii="Arial" w:hAnsi="Arial" w:cs="Arial"/>
                <w:sz w:val="24"/>
                <w:szCs w:val="24"/>
              </w:rPr>
            </w:pPr>
            <w:r w:rsidRPr="00702A15">
              <w:rPr>
                <w:rFonts w:ascii="Arial" w:hAnsi="Arial" w:cs="Arial"/>
                <w:sz w:val="24"/>
                <w:szCs w:val="24"/>
              </w:rPr>
              <w:t>Nr. probe recoltate</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46</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38</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52</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71</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38</w:t>
            </w:r>
          </w:p>
        </w:tc>
      </w:tr>
      <w:tr w:rsidR="00420717" w:rsidRPr="00702A15" w:rsidTr="00D92384">
        <w:trPr>
          <w:jc w:val="center"/>
        </w:trPr>
        <w:tc>
          <w:tcPr>
            <w:tcW w:w="0" w:type="auto"/>
            <w:shd w:val="clear" w:color="auto" w:fill="auto"/>
            <w:vAlign w:val="center"/>
          </w:tcPr>
          <w:p w:rsidR="00420717" w:rsidRPr="00702A15" w:rsidRDefault="00420717" w:rsidP="00D92384">
            <w:pPr>
              <w:pStyle w:val="Header"/>
              <w:rPr>
                <w:rFonts w:ascii="Arial" w:hAnsi="Arial" w:cs="Arial"/>
                <w:sz w:val="24"/>
                <w:szCs w:val="24"/>
              </w:rPr>
            </w:pPr>
            <w:r w:rsidRPr="00702A15">
              <w:rPr>
                <w:rFonts w:ascii="Arial" w:hAnsi="Arial" w:cs="Arial"/>
                <w:sz w:val="24"/>
                <w:szCs w:val="24"/>
              </w:rPr>
              <w:t>Nr.probe necorespunzătoare</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9</w:t>
            </w:r>
          </w:p>
        </w:tc>
      </w:tr>
      <w:tr w:rsidR="00420717" w:rsidRPr="00702A15" w:rsidTr="00D92384">
        <w:trPr>
          <w:jc w:val="center"/>
        </w:trPr>
        <w:tc>
          <w:tcPr>
            <w:tcW w:w="0" w:type="auto"/>
            <w:shd w:val="clear" w:color="auto" w:fill="auto"/>
            <w:vAlign w:val="center"/>
          </w:tcPr>
          <w:p w:rsidR="00420717" w:rsidRPr="00702A15" w:rsidRDefault="00420717" w:rsidP="00D92384">
            <w:pPr>
              <w:pStyle w:val="Header"/>
              <w:rPr>
                <w:rFonts w:ascii="Arial" w:hAnsi="Arial" w:cs="Arial"/>
                <w:sz w:val="24"/>
                <w:szCs w:val="24"/>
              </w:rPr>
            </w:pPr>
            <w:r w:rsidRPr="00702A15">
              <w:rPr>
                <w:rFonts w:ascii="Arial" w:hAnsi="Arial" w:cs="Arial"/>
                <w:sz w:val="24"/>
                <w:szCs w:val="24"/>
              </w:rPr>
              <w:t>Procent probe necorespunzătoare</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19,57</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7,89</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7,69</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0</w:t>
            </w:r>
          </w:p>
        </w:tc>
        <w:tc>
          <w:tcPr>
            <w:tcW w:w="0" w:type="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23,68</w:t>
            </w:r>
          </w:p>
        </w:tc>
      </w:tr>
    </w:tbl>
    <w:p w:rsidR="005864AC" w:rsidRDefault="005864AC" w:rsidP="00420717">
      <w:pPr>
        <w:spacing w:after="0" w:line="240" w:lineRule="auto"/>
        <w:jc w:val="both"/>
        <w:rPr>
          <w:rFonts w:ascii="Arial" w:hAnsi="Arial" w:cs="Arial"/>
          <w:sz w:val="24"/>
          <w:szCs w:val="24"/>
        </w:rPr>
      </w:pP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Tabel II 2.1.4.1. Situa</w:t>
      </w:r>
      <w:r>
        <w:rPr>
          <w:rFonts w:ascii="Arial" w:hAnsi="Arial" w:cs="Arial"/>
          <w:sz w:val="24"/>
          <w:szCs w:val="24"/>
        </w:rPr>
        <w:t>ţ</w:t>
      </w:r>
      <w:r w:rsidRPr="00702A15">
        <w:rPr>
          <w:rFonts w:ascii="Arial" w:hAnsi="Arial" w:cs="Arial"/>
          <w:sz w:val="24"/>
          <w:szCs w:val="24"/>
        </w:rPr>
        <w:t>ia privind numărul probelor care au vizat monitorizarea calită</w:t>
      </w:r>
      <w:r>
        <w:rPr>
          <w:rFonts w:ascii="Arial" w:hAnsi="Arial" w:cs="Arial"/>
          <w:sz w:val="24"/>
          <w:szCs w:val="24"/>
        </w:rPr>
        <w:t>ţ</w:t>
      </w:r>
      <w:r w:rsidRPr="00702A15">
        <w:rPr>
          <w:rFonts w:ascii="Arial" w:hAnsi="Arial" w:cs="Arial"/>
          <w:sz w:val="24"/>
          <w:szCs w:val="24"/>
        </w:rPr>
        <w:t>ii ap</w:t>
      </w:r>
      <w:r w:rsidRPr="00702A15">
        <w:rPr>
          <w:rFonts w:ascii="Arial" w:hAnsi="Arial" w:cs="Arial"/>
          <w:sz w:val="24"/>
          <w:szCs w:val="24"/>
        </w:rPr>
        <w:t>e</w:t>
      </w:r>
      <w:r w:rsidRPr="00702A15">
        <w:rPr>
          <w:rFonts w:ascii="Arial" w:hAnsi="Arial" w:cs="Arial"/>
          <w:sz w:val="24"/>
          <w:szCs w:val="24"/>
        </w:rPr>
        <w:t>lor de îmbăiere, în judeţul Buzău, în perioada 2010-2014</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Sursa datelor: DSP Buzău</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Jude</w:t>
      </w:r>
      <w:r>
        <w:rPr>
          <w:rFonts w:ascii="Arial" w:hAnsi="Arial" w:cs="Arial"/>
          <w:sz w:val="24"/>
          <w:szCs w:val="24"/>
        </w:rPr>
        <w:t>ţ</w:t>
      </w:r>
      <w:r w:rsidRPr="00702A15">
        <w:rPr>
          <w:rFonts w:ascii="Arial" w:hAnsi="Arial" w:cs="Arial"/>
          <w:sz w:val="24"/>
          <w:szCs w:val="24"/>
        </w:rPr>
        <w:t>ul Buzău nu are zone naturale amenajate pentru îmbaiere care să necesite monitor</w:t>
      </w:r>
      <w:r w:rsidRPr="00702A15">
        <w:rPr>
          <w:rFonts w:ascii="Arial" w:hAnsi="Arial" w:cs="Arial"/>
          <w:sz w:val="24"/>
          <w:szCs w:val="24"/>
        </w:rPr>
        <w:t>i</w:t>
      </w:r>
      <w:r w:rsidRPr="00702A15">
        <w:rPr>
          <w:rFonts w:ascii="Arial" w:hAnsi="Arial" w:cs="Arial"/>
          <w:sz w:val="24"/>
          <w:szCs w:val="24"/>
        </w:rPr>
        <w:t>zarea conform prevederilor HG nr. 546/2008.</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t>II.2.2. Factorii determinanţi şi presiunile care afectează starea de calitate a apelor</w:t>
      </w: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t>II.2.2.1. Presiuni semnificative asupra resurselor de apă din judeţ</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A</w:t>
      </w:r>
      <w:r>
        <w:rPr>
          <w:rFonts w:ascii="Arial" w:hAnsi="Arial" w:cs="Arial"/>
          <w:sz w:val="24"/>
          <w:szCs w:val="24"/>
        </w:rPr>
        <w:t>ş</w:t>
      </w:r>
      <w:r w:rsidRPr="00702A15">
        <w:rPr>
          <w:rFonts w:ascii="Arial" w:hAnsi="Arial" w:cs="Arial"/>
          <w:sz w:val="24"/>
          <w:szCs w:val="24"/>
        </w:rPr>
        <w:t>a cum este prezentat în Planul de Management al Spa</w:t>
      </w:r>
      <w:r>
        <w:rPr>
          <w:rFonts w:ascii="Arial" w:hAnsi="Arial" w:cs="Arial"/>
          <w:sz w:val="24"/>
          <w:szCs w:val="24"/>
        </w:rPr>
        <w:t>ţ</w:t>
      </w:r>
      <w:r w:rsidRPr="00702A15">
        <w:rPr>
          <w:rFonts w:ascii="Arial" w:hAnsi="Arial" w:cs="Arial"/>
          <w:sz w:val="24"/>
          <w:szCs w:val="24"/>
        </w:rPr>
        <w:t>iilor hidrografice Buzău-Ialomi</w:t>
      </w:r>
      <w:r>
        <w:rPr>
          <w:rFonts w:ascii="Arial" w:hAnsi="Arial" w:cs="Arial"/>
          <w:sz w:val="24"/>
          <w:szCs w:val="24"/>
        </w:rPr>
        <w:t>ţ</w:t>
      </w:r>
      <w:r w:rsidRPr="00702A15">
        <w:rPr>
          <w:rFonts w:ascii="Arial" w:hAnsi="Arial" w:cs="Arial"/>
          <w:sz w:val="24"/>
          <w:szCs w:val="24"/>
        </w:rPr>
        <w:t xml:space="preserve">a </w:t>
      </w:r>
      <w:r>
        <w:rPr>
          <w:rFonts w:ascii="Arial" w:hAnsi="Arial" w:cs="Arial"/>
          <w:sz w:val="24"/>
          <w:szCs w:val="24"/>
        </w:rPr>
        <w:t>ş</w:t>
      </w:r>
      <w:r w:rsidRPr="00702A15">
        <w:rPr>
          <w:rFonts w:ascii="Arial" w:hAnsi="Arial" w:cs="Arial"/>
          <w:sz w:val="24"/>
          <w:szCs w:val="24"/>
        </w:rPr>
        <w:t>i Siret principalele presiuni asupra surselor de apă din jude</w:t>
      </w:r>
      <w:r>
        <w:rPr>
          <w:rFonts w:ascii="Arial" w:hAnsi="Arial" w:cs="Arial"/>
          <w:sz w:val="24"/>
          <w:szCs w:val="24"/>
        </w:rPr>
        <w:t>ţ</w:t>
      </w:r>
      <w:r w:rsidRPr="00702A15">
        <w:rPr>
          <w:rFonts w:ascii="Arial" w:hAnsi="Arial" w:cs="Arial"/>
          <w:sz w:val="24"/>
          <w:szCs w:val="24"/>
        </w:rPr>
        <w:t xml:space="preserve">ul Buzău sunt constituite de presiunile de natură chimică punctiforme </w:t>
      </w:r>
      <w:r>
        <w:rPr>
          <w:rFonts w:ascii="Arial" w:hAnsi="Arial" w:cs="Arial"/>
          <w:sz w:val="24"/>
          <w:szCs w:val="24"/>
        </w:rPr>
        <w:t>ş</w:t>
      </w:r>
      <w:r w:rsidRPr="00702A15">
        <w:rPr>
          <w:rFonts w:ascii="Arial" w:hAnsi="Arial" w:cs="Arial"/>
          <w:sz w:val="24"/>
          <w:szCs w:val="24"/>
        </w:rPr>
        <w:t>i difuze (exercitate de aglomerările umane, i</w:t>
      </w:r>
      <w:r w:rsidRPr="00702A15">
        <w:rPr>
          <w:rFonts w:ascii="Arial" w:hAnsi="Arial" w:cs="Arial"/>
          <w:sz w:val="24"/>
          <w:szCs w:val="24"/>
        </w:rPr>
        <w:t>n</w:t>
      </w:r>
      <w:r w:rsidRPr="00702A15">
        <w:rPr>
          <w:rFonts w:ascii="Arial" w:hAnsi="Arial" w:cs="Arial"/>
          <w:sz w:val="24"/>
          <w:szCs w:val="24"/>
        </w:rPr>
        <w:t xml:space="preserve">dustie </w:t>
      </w:r>
      <w:r>
        <w:rPr>
          <w:rFonts w:ascii="Arial" w:hAnsi="Arial" w:cs="Arial"/>
          <w:sz w:val="24"/>
          <w:szCs w:val="24"/>
        </w:rPr>
        <w:t>ş</w:t>
      </w:r>
      <w:r w:rsidRPr="00702A15">
        <w:rPr>
          <w:rFonts w:ascii="Arial" w:hAnsi="Arial" w:cs="Arial"/>
          <w:sz w:val="24"/>
          <w:szCs w:val="24"/>
        </w:rPr>
        <w:t xml:space="preserve">i agricultură) </w:t>
      </w:r>
      <w:r>
        <w:rPr>
          <w:rFonts w:ascii="Arial" w:hAnsi="Arial" w:cs="Arial"/>
          <w:sz w:val="24"/>
          <w:szCs w:val="24"/>
        </w:rPr>
        <w:t>ş</w:t>
      </w:r>
      <w:r w:rsidRPr="00702A15">
        <w:rPr>
          <w:rFonts w:ascii="Arial" w:hAnsi="Arial" w:cs="Arial"/>
          <w:sz w:val="24"/>
          <w:szCs w:val="24"/>
        </w:rPr>
        <w:t>i presiuni hidromorfologice-construc</w:t>
      </w:r>
      <w:r>
        <w:rPr>
          <w:rFonts w:ascii="Arial" w:hAnsi="Arial" w:cs="Arial"/>
          <w:sz w:val="24"/>
          <w:szCs w:val="24"/>
        </w:rPr>
        <w:t>ţ</w:t>
      </w:r>
      <w:r w:rsidRPr="00702A15">
        <w:rPr>
          <w:rFonts w:ascii="Arial" w:hAnsi="Arial" w:cs="Arial"/>
          <w:sz w:val="24"/>
          <w:szCs w:val="24"/>
        </w:rPr>
        <w:t xml:space="preserve">ii hidrotehnice (lucrări de barare transversale, lucrări de regularizare </w:t>
      </w:r>
      <w:r>
        <w:rPr>
          <w:rFonts w:ascii="Arial" w:hAnsi="Arial" w:cs="Arial"/>
          <w:sz w:val="24"/>
          <w:szCs w:val="24"/>
        </w:rPr>
        <w:t>ş</w:t>
      </w:r>
      <w:r w:rsidRPr="00702A15">
        <w:rPr>
          <w:rFonts w:ascii="Arial" w:hAnsi="Arial" w:cs="Arial"/>
          <w:sz w:val="24"/>
          <w:szCs w:val="24"/>
        </w:rPr>
        <w:t>i consolidări de maluri, prize de apă, restitu</w:t>
      </w:r>
      <w:r>
        <w:rPr>
          <w:rFonts w:ascii="Arial" w:hAnsi="Arial" w:cs="Arial"/>
          <w:sz w:val="24"/>
          <w:szCs w:val="24"/>
        </w:rPr>
        <w:t>ţ</w:t>
      </w:r>
      <w:r w:rsidRPr="00702A15">
        <w:rPr>
          <w:rFonts w:ascii="Arial" w:hAnsi="Arial" w:cs="Arial"/>
          <w:sz w:val="24"/>
          <w:szCs w:val="24"/>
        </w:rPr>
        <w:t>ii, deriva</w:t>
      </w:r>
      <w:r>
        <w:rPr>
          <w:rFonts w:ascii="Arial" w:hAnsi="Arial" w:cs="Arial"/>
          <w:sz w:val="24"/>
          <w:szCs w:val="24"/>
        </w:rPr>
        <w:t>ţ</w:t>
      </w:r>
      <w:r w:rsidRPr="00702A15">
        <w:rPr>
          <w:rFonts w:ascii="Arial" w:hAnsi="Arial" w:cs="Arial"/>
          <w:sz w:val="24"/>
          <w:szCs w:val="24"/>
        </w:rPr>
        <w:t>ii praguri etc).</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Aceste surse sunt identificate în cadrul planurilor de management al spa</w:t>
      </w:r>
      <w:r>
        <w:rPr>
          <w:rFonts w:ascii="Arial" w:hAnsi="Arial" w:cs="Arial"/>
          <w:sz w:val="24"/>
          <w:szCs w:val="24"/>
        </w:rPr>
        <w:t>ţ</w:t>
      </w:r>
      <w:r w:rsidRPr="00702A15">
        <w:rPr>
          <w:rFonts w:ascii="Arial" w:hAnsi="Arial" w:cs="Arial"/>
          <w:sz w:val="24"/>
          <w:szCs w:val="24"/>
        </w:rPr>
        <w:t xml:space="preserve">iilor hidrografice pe bazine hidrografice, ele putând fi identificate </w:t>
      </w:r>
      <w:r>
        <w:rPr>
          <w:rFonts w:ascii="Arial" w:hAnsi="Arial" w:cs="Arial"/>
          <w:sz w:val="24"/>
          <w:szCs w:val="24"/>
        </w:rPr>
        <w:t>ş</w:t>
      </w:r>
      <w:r w:rsidRPr="00702A15">
        <w:rPr>
          <w:rFonts w:ascii="Arial" w:hAnsi="Arial" w:cs="Arial"/>
          <w:sz w:val="24"/>
          <w:szCs w:val="24"/>
        </w:rPr>
        <w:t>i pe jude</w:t>
      </w:r>
      <w:r>
        <w:rPr>
          <w:rFonts w:ascii="Arial" w:hAnsi="Arial" w:cs="Arial"/>
          <w:sz w:val="24"/>
          <w:szCs w:val="24"/>
        </w:rPr>
        <w:t>ţ</w:t>
      </w:r>
      <w:r w:rsidRPr="00702A15">
        <w:rPr>
          <w:rFonts w:ascii="Arial" w:hAnsi="Arial" w:cs="Arial"/>
          <w:sz w:val="24"/>
          <w:szCs w:val="24"/>
        </w:rPr>
        <w:t>e, a</w:t>
      </w:r>
      <w:r>
        <w:rPr>
          <w:rFonts w:ascii="Arial" w:hAnsi="Arial" w:cs="Arial"/>
          <w:sz w:val="24"/>
          <w:szCs w:val="24"/>
        </w:rPr>
        <w:t>ş</w:t>
      </w:r>
      <w:r w:rsidRPr="00702A15">
        <w:rPr>
          <w:rFonts w:ascii="Arial" w:hAnsi="Arial" w:cs="Arial"/>
          <w:sz w:val="24"/>
          <w:szCs w:val="24"/>
        </w:rPr>
        <w:t>a cum este arătat mai sus în cadrul raportului. Dintre presiunile de natuă chimică punctiforme, pentru jude</w:t>
      </w:r>
      <w:r>
        <w:rPr>
          <w:rFonts w:ascii="Arial" w:hAnsi="Arial" w:cs="Arial"/>
          <w:sz w:val="24"/>
          <w:szCs w:val="24"/>
        </w:rPr>
        <w:t>ţ</w:t>
      </w:r>
      <w:r w:rsidRPr="00702A15">
        <w:rPr>
          <w:rFonts w:ascii="Arial" w:hAnsi="Arial" w:cs="Arial"/>
          <w:sz w:val="24"/>
          <w:szCs w:val="24"/>
        </w:rPr>
        <w:t xml:space="preserve">ul Buzău sunt nominalizate mai jos la punctul II.2.2.2.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Sursele difuze de poluare chimică sunt mai greu de cuantificat. Totu</w:t>
      </w:r>
      <w:r>
        <w:rPr>
          <w:rFonts w:ascii="Arial" w:hAnsi="Arial" w:cs="Arial"/>
          <w:sz w:val="24"/>
          <w:szCs w:val="24"/>
        </w:rPr>
        <w:t>ş</w:t>
      </w:r>
      <w:r w:rsidRPr="00702A15">
        <w:rPr>
          <w:rFonts w:ascii="Arial" w:hAnsi="Arial" w:cs="Arial"/>
          <w:sz w:val="24"/>
          <w:szCs w:val="24"/>
        </w:rPr>
        <w:t xml:space="preserve">i impactul acestora a fost stabilit </w:t>
      </w:r>
      <w:r>
        <w:rPr>
          <w:rFonts w:ascii="Arial" w:hAnsi="Arial" w:cs="Arial"/>
          <w:sz w:val="24"/>
          <w:szCs w:val="24"/>
        </w:rPr>
        <w:t>ş</w:t>
      </w:r>
      <w:r w:rsidRPr="00702A15">
        <w:rPr>
          <w:rFonts w:ascii="Arial" w:hAnsi="Arial" w:cs="Arial"/>
          <w:sz w:val="24"/>
          <w:szCs w:val="24"/>
        </w:rPr>
        <w:t>i luat în considerare atât în procedurile de reglementare ale autorită</w:t>
      </w:r>
      <w:r>
        <w:rPr>
          <w:rFonts w:ascii="Arial" w:hAnsi="Arial" w:cs="Arial"/>
          <w:sz w:val="24"/>
          <w:szCs w:val="24"/>
        </w:rPr>
        <w:t>ţ</w:t>
      </w:r>
      <w:r w:rsidRPr="00702A15">
        <w:rPr>
          <w:rFonts w:ascii="Arial" w:hAnsi="Arial" w:cs="Arial"/>
          <w:sz w:val="24"/>
          <w:szCs w:val="24"/>
        </w:rPr>
        <w:t>ilor co</w:t>
      </w:r>
      <w:r w:rsidRPr="00702A15">
        <w:rPr>
          <w:rFonts w:ascii="Arial" w:hAnsi="Arial" w:cs="Arial"/>
          <w:sz w:val="24"/>
          <w:szCs w:val="24"/>
        </w:rPr>
        <w:t>m</w:t>
      </w:r>
      <w:r w:rsidRPr="00702A15">
        <w:rPr>
          <w:rFonts w:ascii="Arial" w:hAnsi="Arial" w:cs="Arial"/>
          <w:sz w:val="24"/>
          <w:szCs w:val="24"/>
        </w:rPr>
        <w:t xml:space="preserve">petente de gospodărire a apelor (prin eliberarea avizelor de gospodărirea apelor </w:t>
      </w:r>
      <w:r>
        <w:rPr>
          <w:rFonts w:ascii="Arial" w:hAnsi="Arial" w:cs="Arial"/>
          <w:sz w:val="24"/>
          <w:szCs w:val="24"/>
        </w:rPr>
        <w:t>ş</w:t>
      </w:r>
      <w:r w:rsidRPr="00702A15">
        <w:rPr>
          <w:rFonts w:ascii="Arial" w:hAnsi="Arial" w:cs="Arial"/>
          <w:sz w:val="24"/>
          <w:szCs w:val="24"/>
        </w:rPr>
        <w:t>i autoriza</w:t>
      </w:r>
      <w:r>
        <w:rPr>
          <w:rFonts w:ascii="Arial" w:hAnsi="Arial" w:cs="Arial"/>
          <w:sz w:val="24"/>
          <w:szCs w:val="24"/>
        </w:rPr>
        <w:t>ţ</w:t>
      </w:r>
      <w:r w:rsidRPr="00702A15">
        <w:rPr>
          <w:rFonts w:ascii="Arial" w:hAnsi="Arial" w:cs="Arial"/>
          <w:sz w:val="24"/>
          <w:szCs w:val="24"/>
        </w:rPr>
        <w:t xml:space="preserve">iilor de gospodărire a apelor) cât </w:t>
      </w:r>
      <w:r>
        <w:rPr>
          <w:rFonts w:ascii="Arial" w:hAnsi="Arial" w:cs="Arial"/>
          <w:sz w:val="24"/>
          <w:szCs w:val="24"/>
        </w:rPr>
        <w:t>ş</w:t>
      </w:r>
      <w:r w:rsidRPr="00702A15">
        <w:rPr>
          <w:rFonts w:ascii="Arial" w:hAnsi="Arial" w:cs="Arial"/>
          <w:sz w:val="24"/>
          <w:szCs w:val="24"/>
        </w:rPr>
        <w:t>i al autorită</w:t>
      </w:r>
      <w:r>
        <w:rPr>
          <w:rFonts w:ascii="Arial" w:hAnsi="Arial" w:cs="Arial"/>
          <w:sz w:val="24"/>
          <w:szCs w:val="24"/>
        </w:rPr>
        <w:t>ţ</w:t>
      </w:r>
      <w:r w:rsidRPr="00702A15">
        <w:rPr>
          <w:rFonts w:ascii="Arial" w:hAnsi="Arial" w:cs="Arial"/>
          <w:sz w:val="24"/>
          <w:szCs w:val="24"/>
        </w:rPr>
        <w:t>ilor de reglementare competente din punct de vedere al protec</w:t>
      </w:r>
      <w:r>
        <w:rPr>
          <w:rFonts w:ascii="Arial" w:hAnsi="Arial" w:cs="Arial"/>
          <w:sz w:val="24"/>
          <w:szCs w:val="24"/>
        </w:rPr>
        <w:t>ţ</w:t>
      </w:r>
      <w:r w:rsidRPr="00702A15">
        <w:rPr>
          <w:rFonts w:ascii="Arial" w:hAnsi="Arial" w:cs="Arial"/>
          <w:sz w:val="24"/>
          <w:szCs w:val="24"/>
        </w:rPr>
        <w:t>iei mediului (prin eliberarea avizelor de mediu, acordurilor de mediu, notificărilor de mediu, autoriza</w:t>
      </w:r>
      <w:r>
        <w:rPr>
          <w:rFonts w:ascii="Arial" w:hAnsi="Arial" w:cs="Arial"/>
          <w:sz w:val="24"/>
          <w:szCs w:val="24"/>
        </w:rPr>
        <w:t>ţ</w:t>
      </w:r>
      <w:r w:rsidRPr="00702A15">
        <w:rPr>
          <w:rFonts w:ascii="Arial" w:hAnsi="Arial" w:cs="Arial"/>
          <w:sz w:val="24"/>
          <w:szCs w:val="24"/>
        </w:rPr>
        <w:t xml:space="preserve">iilor integrate de mediu </w:t>
      </w:r>
      <w:r>
        <w:rPr>
          <w:rFonts w:ascii="Arial" w:hAnsi="Arial" w:cs="Arial"/>
          <w:sz w:val="24"/>
          <w:szCs w:val="24"/>
        </w:rPr>
        <w:t>ş</w:t>
      </w:r>
      <w:r w:rsidRPr="00702A15">
        <w:rPr>
          <w:rFonts w:ascii="Arial" w:hAnsi="Arial" w:cs="Arial"/>
          <w:sz w:val="24"/>
          <w:szCs w:val="24"/>
        </w:rPr>
        <w:t>i autoriza</w:t>
      </w:r>
      <w:r>
        <w:rPr>
          <w:rFonts w:ascii="Arial" w:hAnsi="Arial" w:cs="Arial"/>
          <w:sz w:val="24"/>
          <w:szCs w:val="24"/>
        </w:rPr>
        <w:t>ţ</w:t>
      </w:r>
      <w:r w:rsidRPr="00702A15">
        <w:rPr>
          <w:rFonts w:ascii="Arial" w:hAnsi="Arial" w:cs="Arial"/>
          <w:sz w:val="24"/>
          <w:szCs w:val="24"/>
        </w:rPr>
        <w:t>iilor de mediu).</w:t>
      </w:r>
    </w:p>
    <w:p w:rsidR="00420717" w:rsidRPr="00702A15" w:rsidRDefault="00420717" w:rsidP="00420717">
      <w:pPr>
        <w:tabs>
          <w:tab w:val="left" w:pos="1204"/>
          <w:tab w:val="left" w:leader="dot" w:pos="9356"/>
        </w:tabs>
        <w:spacing w:after="0" w:line="240" w:lineRule="auto"/>
        <w:jc w:val="both"/>
        <w:rPr>
          <w:rFonts w:ascii="Arial" w:hAnsi="Arial" w:cs="Arial"/>
          <w:iCs/>
          <w:sz w:val="24"/>
          <w:szCs w:val="24"/>
        </w:rPr>
      </w:pPr>
      <w:r w:rsidRPr="00702A15">
        <w:rPr>
          <w:rFonts w:ascii="Arial" w:hAnsi="Arial" w:cs="Arial"/>
          <w:sz w:val="24"/>
          <w:szCs w:val="24"/>
        </w:rPr>
        <w:t>Presiuni de natură chimică (poluare cu substan</w:t>
      </w:r>
      <w:r>
        <w:rPr>
          <w:rFonts w:ascii="Arial" w:hAnsi="Arial" w:cs="Arial"/>
          <w:sz w:val="24"/>
          <w:szCs w:val="24"/>
        </w:rPr>
        <w:t>ţ</w:t>
      </w:r>
      <w:r w:rsidRPr="00702A15">
        <w:rPr>
          <w:rFonts w:ascii="Arial" w:hAnsi="Arial" w:cs="Arial"/>
          <w:sz w:val="24"/>
          <w:szCs w:val="24"/>
        </w:rPr>
        <w:t>e organice, nutrien</w:t>
      </w:r>
      <w:r>
        <w:rPr>
          <w:rFonts w:ascii="Arial" w:hAnsi="Arial" w:cs="Arial"/>
          <w:sz w:val="24"/>
          <w:szCs w:val="24"/>
        </w:rPr>
        <w:t>ţ</w:t>
      </w:r>
      <w:r w:rsidRPr="00702A15">
        <w:rPr>
          <w:rFonts w:ascii="Arial" w:hAnsi="Arial" w:cs="Arial"/>
          <w:sz w:val="24"/>
          <w:szCs w:val="24"/>
        </w:rPr>
        <w:t xml:space="preserve">i </w:t>
      </w:r>
      <w:r>
        <w:rPr>
          <w:rFonts w:ascii="Arial" w:hAnsi="Arial" w:cs="Arial"/>
          <w:sz w:val="24"/>
          <w:szCs w:val="24"/>
        </w:rPr>
        <w:t>ş</w:t>
      </w:r>
      <w:r w:rsidRPr="00702A15">
        <w:rPr>
          <w:rFonts w:ascii="Arial" w:hAnsi="Arial" w:cs="Arial"/>
          <w:sz w:val="24"/>
          <w:szCs w:val="24"/>
        </w:rPr>
        <w:t>i substan</w:t>
      </w:r>
      <w:r>
        <w:rPr>
          <w:rFonts w:ascii="Arial" w:hAnsi="Arial" w:cs="Arial"/>
          <w:sz w:val="24"/>
          <w:szCs w:val="24"/>
        </w:rPr>
        <w:t>ţ</w:t>
      </w:r>
      <w:r w:rsidRPr="00702A15">
        <w:rPr>
          <w:rFonts w:ascii="Arial" w:hAnsi="Arial" w:cs="Arial"/>
          <w:sz w:val="24"/>
          <w:szCs w:val="24"/>
        </w:rPr>
        <w:t>e peric</w:t>
      </w:r>
      <w:r w:rsidRPr="00702A15">
        <w:rPr>
          <w:rFonts w:ascii="Arial" w:hAnsi="Arial" w:cs="Arial"/>
          <w:sz w:val="24"/>
          <w:szCs w:val="24"/>
        </w:rPr>
        <w:t>u</w:t>
      </w:r>
      <w:r w:rsidRPr="00702A15">
        <w:rPr>
          <w:rFonts w:ascii="Arial" w:hAnsi="Arial" w:cs="Arial"/>
          <w:sz w:val="24"/>
          <w:szCs w:val="24"/>
        </w:rPr>
        <w:t>loase) asupra resurselor de apă sunt exercitate de surse punctiforme de poluare (aglomerări umane -sta</w:t>
      </w:r>
      <w:r>
        <w:rPr>
          <w:rFonts w:ascii="Arial" w:hAnsi="Arial" w:cs="Arial"/>
          <w:sz w:val="24"/>
          <w:szCs w:val="24"/>
        </w:rPr>
        <w:t>ţ</w:t>
      </w:r>
      <w:r w:rsidRPr="00702A15">
        <w:rPr>
          <w:rFonts w:ascii="Arial" w:hAnsi="Arial" w:cs="Arial"/>
          <w:sz w:val="24"/>
          <w:szCs w:val="24"/>
        </w:rPr>
        <w:t xml:space="preserve">ii de epurare, surse industriale, surse din agricultură, alte surse) </w:t>
      </w:r>
      <w:r>
        <w:rPr>
          <w:rFonts w:ascii="Arial" w:hAnsi="Arial" w:cs="Arial"/>
          <w:sz w:val="24"/>
          <w:szCs w:val="24"/>
        </w:rPr>
        <w:t>ş</w:t>
      </w:r>
      <w:r w:rsidRPr="00702A15">
        <w:rPr>
          <w:rFonts w:ascii="Arial" w:hAnsi="Arial" w:cs="Arial"/>
          <w:sz w:val="24"/>
          <w:szCs w:val="24"/>
        </w:rPr>
        <w:t>i  surse difuze de poluare ( din agricultură - pesticide, ferme cu sisteme necorespunzătoare de stocare/utilizarea a dejec</w:t>
      </w:r>
      <w:r>
        <w:rPr>
          <w:rFonts w:ascii="Arial" w:hAnsi="Arial" w:cs="Arial"/>
          <w:sz w:val="24"/>
          <w:szCs w:val="24"/>
        </w:rPr>
        <w:t>ţ</w:t>
      </w:r>
      <w:r w:rsidRPr="00702A15">
        <w:rPr>
          <w:rFonts w:ascii="Arial" w:hAnsi="Arial" w:cs="Arial"/>
          <w:sz w:val="24"/>
          <w:szCs w:val="24"/>
        </w:rPr>
        <w:t>iilor, aglomerări umane - localită</w:t>
      </w:r>
      <w:r>
        <w:rPr>
          <w:rFonts w:ascii="Arial" w:hAnsi="Arial" w:cs="Arial"/>
          <w:sz w:val="24"/>
          <w:szCs w:val="24"/>
        </w:rPr>
        <w:t>ţ</w:t>
      </w:r>
      <w:r w:rsidRPr="00702A15">
        <w:rPr>
          <w:rFonts w:ascii="Arial" w:hAnsi="Arial" w:cs="Arial"/>
          <w:sz w:val="24"/>
          <w:szCs w:val="24"/>
        </w:rPr>
        <w:t xml:space="preserve">i fără siteme de colectare ape uzate sau sisteme necorespunzătoare de colectare </w:t>
      </w:r>
      <w:r>
        <w:rPr>
          <w:rFonts w:ascii="Arial" w:hAnsi="Arial" w:cs="Arial"/>
          <w:sz w:val="24"/>
          <w:szCs w:val="24"/>
        </w:rPr>
        <w:t>ş</w:t>
      </w:r>
      <w:r w:rsidRPr="00702A15">
        <w:rPr>
          <w:rFonts w:ascii="Arial" w:hAnsi="Arial" w:cs="Arial"/>
          <w:sz w:val="24"/>
          <w:szCs w:val="24"/>
        </w:rPr>
        <w:t>i eliminare a nămolului din sta</w:t>
      </w:r>
      <w:r>
        <w:rPr>
          <w:rFonts w:ascii="Arial" w:hAnsi="Arial" w:cs="Arial"/>
          <w:sz w:val="24"/>
          <w:szCs w:val="24"/>
        </w:rPr>
        <w:t>ţ</w:t>
      </w:r>
      <w:r w:rsidRPr="00702A15">
        <w:rPr>
          <w:rFonts w:ascii="Arial" w:hAnsi="Arial" w:cs="Arial"/>
          <w:sz w:val="24"/>
          <w:szCs w:val="24"/>
        </w:rPr>
        <w:t>iile de epurare, management necorespunzător pentru de</w:t>
      </w:r>
      <w:r>
        <w:rPr>
          <w:rFonts w:ascii="Arial" w:hAnsi="Arial" w:cs="Arial"/>
          <w:sz w:val="24"/>
          <w:szCs w:val="24"/>
        </w:rPr>
        <w:t>ş</w:t>
      </w:r>
      <w:r w:rsidRPr="00702A15">
        <w:rPr>
          <w:rFonts w:ascii="Arial" w:hAnsi="Arial" w:cs="Arial"/>
          <w:sz w:val="24"/>
          <w:szCs w:val="24"/>
        </w:rPr>
        <w:t xml:space="preserve">eurile menajere, industrie - depozite </w:t>
      </w:r>
      <w:r w:rsidRPr="00702A15">
        <w:rPr>
          <w:rFonts w:ascii="Arial" w:hAnsi="Arial" w:cs="Arial"/>
          <w:sz w:val="24"/>
          <w:szCs w:val="24"/>
        </w:rPr>
        <w:lastRenderedPageBreak/>
        <w:t>de materii prime, stocare de de</w:t>
      </w:r>
      <w:r>
        <w:rPr>
          <w:rFonts w:ascii="Arial" w:hAnsi="Arial" w:cs="Arial"/>
          <w:sz w:val="24"/>
          <w:szCs w:val="24"/>
        </w:rPr>
        <w:t>ş</w:t>
      </w:r>
      <w:r w:rsidRPr="00702A15">
        <w:rPr>
          <w:rFonts w:ascii="Arial" w:hAnsi="Arial" w:cs="Arial"/>
          <w:sz w:val="24"/>
          <w:szCs w:val="24"/>
        </w:rPr>
        <w:t xml:space="preserve">euri necorespunzătoare, situri industriale abandonate). Pot fi luate în considerare </w:t>
      </w:r>
      <w:r>
        <w:rPr>
          <w:rFonts w:ascii="Arial" w:hAnsi="Arial" w:cs="Arial"/>
          <w:sz w:val="24"/>
          <w:szCs w:val="24"/>
        </w:rPr>
        <w:t>ş</w:t>
      </w:r>
      <w:r w:rsidRPr="00702A15">
        <w:rPr>
          <w:rFonts w:ascii="Arial" w:hAnsi="Arial" w:cs="Arial"/>
          <w:sz w:val="24"/>
          <w:szCs w:val="24"/>
        </w:rPr>
        <w:t>ase căi de producere a poluării resurselor de apă: scurgerea apei din precipita</w:t>
      </w:r>
      <w:r>
        <w:rPr>
          <w:rFonts w:ascii="Arial" w:hAnsi="Arial" w:cs="Arial"/>
          <w:sz w:val="24"/>
          <w:szCs w:val="24"/>
        </w:rPr>
        <w:t>ţ</w:t>
      </w:r>
      <w:r w:rsidRPr="00702A15">
        <w:rPr>
          <w:rFonts w:ascii="Arial" w:hAnsi="Arial" w:cs="Arial"/>
          <w:sz w:val="24"/>
          <w:szCs w:val="24"/>
        </w:rPr>
        <w:t>ii pe suprafe</w:t>
      </w:r>
      <w:r>
        <w:rPr>
          <w:rFonts w:ascii="Arial" w:hAnsi="Arial" w:cs="Arial"/>
          <w:sz w:val="24"/>
          <w:szCs w:val="24"/>
        </w:rPr>
        <w:t>ţ</w:t>
      </w:r>
      <w:r w:rsidRPr="00702A15">
        <w:rPr>
          <w:rFonts w:ascii="Arial" w:hAnsi="Arial" w:cs="Arial"/>
          <w:sz w:val="24"/>
          <w:szCs w:val="24"/>
        </w:rPr>
        <w:t>ele agricole pe care s-au aplicat îngră</w:t>
      </w:r>
      <w:r>
        <w:rPr>
          <w:rFonts w:ascii="Arial" w:hAnsi="Arial" w:cs="Arial"/>
          <w:sz w:val="24"/>
          <w:szCs w:val="24"/>
        </w:rPr>
        <w:t>ş</w:t>
      </w:r>
      <w:r w:rsidRPr="00702A15">
        <w:rPr>
          <w:rFonts w:ascii="Arial" w:hAnsi="Arial" w:cs="Arial"/>
          <w:sz w:val="24"/>
          <w:szCs w:val="24"/>
        </w:rPr>
        <w:t xml:space="preserve">ăminte chimice </w:t>
      </w:r>
      <w:r>
        <w:rPr>
          <w:rFonts w:ascii="Arial" w:hAnsi="Arial" w:cs="Arial"/>
          <w:sz w:val="24"/>
          <w:szCs w:val="24"/>
        </w:rPr>
        <w:t>ş</w:t>
      </w:r>
      <w:r w:rsidRPr="00702A15">
        <w:rPr>
          <w:rFonts w:ascii="Arial" w:hAnsi="Arial" w:cs="Arial"/>
          <w:sz w:val="24"/>
          <w:szCs w:val="24"/>
        </w:rPr>
        <w:t>i naturale, scurgerea apei din reţele de drenaje, scurgerea apei subterane, scurgerea apei din zonele impermeabile orăşeneşti, depuneri din atmosferă şi eroziunea solului.</w:t>
      </w:r>
      <w:r w:rsidRPr="00702A15">
        <w:rPr>
          <w:rFonts w:ascii="Arial" w:hAnsi="Arial" w:cs="Arial"/>
          <w:iCs/>
          <w:sz w:val="24"/>
          <w:szCs w:val="24"/>
        </w:rPr>
        <w:t xml:space="preserve">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Presiunile de natură hidromorfologică au fost identificate în planurile de management la spa</w:t>
      </w:r>
      <w:r>
        <w:rPr>
          <w:rFonts w:ascii="Arial" w:hAnsi="Arial" w:cs="Arial"/>
          <w:sz w:val="24"/>
          <w:szCs w:val="24"/>
        </w:rPr>
        <w:t>ţ</w:t>
      </w:r>
      <w:r w:rsidRPr="00702A15">
        <w:rPr>
          <w:rFonts w:ascii="Arial" w:hAnsi="Arial" w:cs="Arial"/>
          <w:sz w:val="24"/>
          <w:szCs w:val="24"/>
        </w:rPr>
        <w:t>iile hidrografice Buzău-Ialomi</w:t>
      </w:r>
      <w:r>
        <w:rPr>
          <w:rFonts w:ascii="Arial" w:hAnsi="Arial" w:cs="Arial"/>
          <w:sz w:val="24"/>
          <w:szCs w:val="24"/>
        </w:rPr>
        <w:t>ţ</w:t>
      </w:r>
      <w:r w:rsidRPr="00702A15">
        <w:rPr>
          <w:rFonts w:ascii="Arial" w:hAnsi="Arial" w:cs="Arial"/>
          <w:sz w:val="24"/>
          <w:szCs w:val="24"/>
        </w:rPr>
        <w:t xml:space="preserve">a </w:t>
      </w:r>
      <w:r>
        <w:rPr>
          <w:rFonts w:ascii="Arial" w:hAnsi="Arial" w:cs="Arial"/>
          <w:sz w:val="24"/>
          <w:szCs w:val="24"/>
        </w:rPr>
        <w:t>ş</w:t>
      </w:r>
      <w:r w:rsidRPr="00702A15">
        <w:rPr>
          <w:rFonts w:ascii="Arial" w:hAnsi="Arial" w:cs="Arial"/>
          <w:sz w:val="24"/>
          <w:szCs w:val="24"/>
        </w:rPr>
        <w:t>i Siret iar pentru jude</w:t>
      </w:r>
      <w:r>
        <w:rPr>
          <w:rFonts w:ascii="Arial" w:hAnsi="Arial" w:cs="Arial"/>
          <w:sz w:val="24"/>
          <w:szCs w:val="24"/>
        </w:rPr>
        <w:t>ţ</w:t>
      </w:r>
      <w:r w:rsidRPr="00702A15">
        <w:rPr>
          <w:rFonts w:ascii="Arial" w:hAnsi="Arial" w:cs="Arial"/>
          <w:sz w:val="24"/>
          <w:szCs w:val="24"/>
        </w:rPr>
        <w:t>ul Buzău sunt prezentate la c</w:t>
      </w:r>
      <w:r w:rsidRPr="00702A15">
        <w:rPr>
          <w:rFonts w:ascii="Arial" w:hAnsi="Arial" w:cs="Arial"/>
          <w:sz w:val="24"/>
          <w:szCs w:val="24"/>
        </w:rPr>
        <w:t>a</w:t>
      </w:r>
      <w:r w:rsidRPr="00702A15">
        <w:rPr>
          <w:rFonts w:ascii="Arial" w:hAnsi="Arial" w:cs="Arial"/>
          <w:sz w:val="24"/>
          <w:szCs w:val="24"/>
        </w:rPr>
        <w:t>pitolul II.1.1.4. Acestea exercită presiuni asupra cursurilor de apă prin întreruperea conectivită</w:t>
      </w:r>
      <w:r>
        <w:rPr>
          <w:rFonts w:ascii="Arial" w:hAnsi="Arial" w:cs="Arial"/>
          <w:sz w:val="24"/>
          <w:szCs w:val="24"/>
        </w:rPr>
        <w:t>ţ</w:t>
      </w:r>
      <w:r w:rsidRPr="00702A15">
        <w:rPr>
          <w:rFonts w:ascii="Arial" w:hAnsi="Arial" w:cs="Arial"/>
          <w:sz w:val="24"/>
          <w:szCs w:val="24"/>
        </w:rPr>
        <w:t xml:space="preserve">ii longitudinale </w:t>
      </w:r>
      <w:r>
        <w:rPr>
          <w:rFonts w:ascii="Arial" w:hAnsi="Arial" w:cs="Arial"/>
          <w:sz w:val="24"/>
          <w:szCs w:val="24"/>
        </w:rPr>
        <w:t>ş</w:t>
      </w:r>
      <w:r w:rsidRPr="00702A15">
        <w:rPr>
          <w:rFonts w:ascii="Arial" w:hAnsi="Arial" w:cs="Arial"/>
          <w:sz w:val="24"/>
          <w:szCs w:val="24"/>
        </w:rPr>
        <w:t xml:space="preserve">i laterale </w:t>
      </w:r>
      <w:r>
        <w:rPr>
          <w:rFonts w:ascii="Arial" w:hAnsi="Arial" w:cs="Arial"/>
          <w:sz w:val="24"/>
          <w:szCs w:val="24"/>
        </w:rPr>
        <w:t>ş</w:t>
      </w:r>
      <w:r w:rsidRPr="00702A15">
        <w:rPr>
          <w:rFonts w:ascii="Arial" w:hAnsi="Arial" w:cs="Arial"/>
          <w:sz w:val="24"/>
          <w:szCs w:val="24"/>
        </w:rPr>
        <w:t>i modificări ale regimului hidrologic.</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Pesiuni semnificative asupra resurselor de apă în jude</w:t>
      </w:r>
      <w:r>
        <w:rPr>
          <w:rFonts w:ascii="Arial" w:hAnsi="Arial" w:cs="Arial"/>
          <w:sz w:val="24"/>
          <w:szCs w:val="24"/>
        </w:rPr>
        <w:t>ţ</w:t>
      </w:r>
      <w:r w:rsidRPr="00702A15">
        <w:rPr>
          <w:rFonts w:ascii="Arial" w:hAnsi="Arial" w:cs="Arial"/>
          <w:sz w:val="24"/>
          <w:szCs w:val="24"/>
        </w:rPr>
        <w:t xml:space="preserve">ul Buzău pot să apară în principal de la emisiile de azot </w:t>
      </w:r>
      <w:r>
        <w:rPr>
          <w:rFonts w:ascii="Arial" w:hAnsi="Arial" w:cs="Arial"/>
          <w:sz w:val="24"/>
          <w:szCs w:val="24"/>
        </w:rPr>
        <w:t>ş</w:t>
      </w:r>
      <w:r w:rsidRPr="00702A15">
        <w:rPr>
          <w:rFonts w:ascii="Arial" w:hAnsi="Arial" w:cs="Arial"/>
          <w:sz w:val="24"/>
          <w:szCs w:val="24"/>
        </w:rPr>
        <w:t>i fosfor din diferite surse difuze de poluare. Surse difuze de poluare pentru resursele de apă în jude</w:t>
      </w:r>
      <w:r>
        <w:rPr>
          <w:rFonts w:ascii="Arial" w:hAnsi="Arial" w:cs="Arial"/>
          <w:sz w:val="24"/>
          <w:szCs w:val="24"/>
        </w:rPr>
        <w:t>ţ</w:t>
      </w:r>
      <w:r w:rsidRPr="00702A15">
        <w:rPr>
          <w:rFonts w:ascii="Arial" w:hAnsi="Arial" w:cs="Arial"/>
          <w:sz w:val="24"/>
          <w:szCs w:val="24"/>
        </w:rPr>
        <w:t>ul Buzău pot fi considerate activită</w:t>
      </w:r>
      <w:r>
        <w:rPr>
          <w:rFonts w:ascii="Arial" w:hAnsi="Arial" w:cs="Arial"/>
          <w:sz w:val="24"/>
          <w:szCs w:val="24"/>
        </w:rPr>
        <w:t>ţ</w:t>
      </w:r>
      <w:r w:rsidRPr="00702A15">
        <w:rPr>
          <w:rFonts w:ascii="Arial" w:hAnsi="Arial" w:cs="Arial"/>
          <w:sz w:val="24"/>
          <w:szCs w:val="24"/>
        </w:rPr>
        <w:t>ile din agricultură desfă</w:t>
      </w:r>
      <w:r>
        <w:rPr>
          <w:rFonts w:ascii="Arial" w:hAnsi="Arial" w:cs="Arial"/>
          <w:sz w:val="24"/>
          <w:szCs w:val="24"/>
        </w:rPr>
        <w:t>ş</w:t>
      </w:r>
      <w:r w:rsidRPr="00702A15">
        <w:rPr>
          <w:rFonts w:ascii="Arial" w:hAnsi="Arial" w:cs="Arial"/>
          <w:sz w:val="24"/>
          <w:szCs w:val="24"/>
        </w:rPr>
        <w:t>urate pe terenurile arabile care însă sunt foarte greu de cuatificat, activită</w:t>
      </w:r>
      <w:r>
        <w:rPr>
          <w:rFonts w:ascii="Arial" w:hAnsi="Arial" w:cs="Arial"/>
          <w:sz w:val="24"/>
          <w:szCs w:val="24"/>
        </w:rPr>
        <w:t>ţ</w:t>
      </w:r>
      <w:r w:rsidRPr="00702A15">
        <w:rPr>
          <w:rFonts w:ascii="Arial" w:hAnsi="Arial" w:cs="Arial"/>
          <w:sz w:val="24"/>
          <w:szCs w:val="24"/>
        </w:rPr>
        <w:t>ile de cre</w:t>
      </w:r>
      <w:r>
        <w:rPr>
          <w:rFonts w:ascii="Arial" w:hAnsi="Arial" w:cs="Arial"/>
          <w:sz w:val="24"/>
          <w:szCs w:val="24"/>
        </w:rPr>
        <w:t>ş</w:t>
      </w:r>
      <w:r w:rsidRPr="00702A15">
        <w:rPr>
          <w:rFonts w:ascii="Arial" w:hAnsi="Arial" w:cs="Arial"/>
          <w:sz w:val="24"/>
          <w:szCs w:val="24"/>
        </w:rPr>
        <w:t>tere a animalelor, alte activită</w:t>
      </w:r>
      <w:r>
        <w:rPr>
          <w:rFonts w:ascii="Arial" w:hAnsi="Arial" w:cs="Arial"/>
          <w:sz w:val="24"/>
          <w:szCs w:val="24"/>
        </w:rPr>
        <w:t>ţ</w:t>
      </w:r>
      <w:r w:rsidRPr="00702A15">
        <w:rPr>
          <w:rFonts w:ascii="Arial" w:hAnsi="Arial" w:cs="Arial"/>
          <w:sz w:val="24"/>
          <w:szCs w:val="24"/>
        </w:rPr>
        <w:t>i desfă</w:t>
      </w:r>
      <w:r>
        <w:rPr>
          <w:rFonts w:ascii="Arial" w:hAnsi="Arial" w:cs="Arial"/>
          <w:sz w:val="24"/>
          <w:szCs w:val="24"/>
        </w:rPr>
        <w:t>ş</w:t>
      </w:r>
      <w:r w:rsidRPr="00702A15">
        <w:rPr>
          <w:rFonts w:ascii="Arial" w:hAnsi="Arial" w:cs="Arial"/>
          <w:sz w:val="24"/>
          <w:szCs w:val="24"/>
        </w:rPr>
        <w:t>urate în zonele oră</w:t>
      </w:r>
      <w:r>
        <w:rPr>
          <w:rFonts w:ascii="Arial" w:hAnsi="Arial" w:cs="Arial"/>
          <w:sz w:val="24"/>
          <w:szCs w:val="24"/>
        </w:rPr>
        <w:t>ş</w:t>
      </w:r>
      <w:r w:rsidRPr="00702A15">
        <w:rPr>
          <w:rFonts w:ascii="Arial" w:hAnsi="Arial" w:cs="Arial"/>
          <w:sz w:val="24"/>
          <w:szCs w:val="24"/>
        </w:rPr>
        <w:t>ene</w:t>
      </w:r>
      <w:r>
        <w:rPr>
          <w:rFonts w:ascii="Arial" w:hAnsi="Arial" w:cs="Arial"/>
          <w:sz w:val="24"/>
          <w:szCs w:val="24"/>
        </w:rPr>
        <w:t>ş</w:t>
      </w:r>
      <w:r w:rsidRPr="00702A15">
        <w:rPr>
          <w:rFonts w:ascii="Arial" w:hAnsi="Arial" w:cs="Arial"/>
          <w:sz w:val="24"/>
          <w:szCs w:val="24"/>
        </w:rPr>
        <w:t xml:space="preserve">ti. </w:t>
      </w:r>
    </w:p>
    <w:p w:rsidR="00420717" w:rsidRPr="00702A15" w:rsidRDefault="00420717" w:rsidP="00420717">
      <w:pPr>
        <w:spacing w:after="0" w:line="240" w:lineRule="auto"/>
        <w:jc w:val="both"/>
        <w:rPr>
          <w:rFonts w:ascii="Arial" w:eastAsia="Times New Roman" w:hAnsi="Arial" w:cs="Arial"/>
          <w:sz w:val="24"/>
          <w:szCs w:val="24"/>
        </w:rPr>
      </w:pPr>
      <w:r w:rsidRPr="00702A15">
        <w:rPr>
          <w:rFonts w:ascii="Arial" w:eastAsia="Times New Roman" w:hAnsi="Arial" w:cs="Arial"/>
          <w:sz w:val="24"/>
          <w:szCs w:val="24"/>
        </w:rPr>
        <w:t>Corpul de apă Rm. Sărat (Izvoare-Tulburea) a înregistrat pe parcursul anului 2014 o stare ecologică moderată datorită grupelor de indicatori fizico-chimici: condiţii de salinitate (co</w:t>
      </w:r>
      <w:r w:rsidRPr="00702A15">
        <w:rPr>
          <w:rFonts w:ascii="Arial" w:eastAsia="Times New Roman" w:hAnsi="Arial" w:cs="Arial"/>
          <w:sz w:val="24"/>
          <w:szCs w:val="24"/>
        </w:rPr>
        <w:t>n</w:t>
      </w:r>
      <w:r w:rsidRPr="00702A15">
        <w:rPr>
          <w:rFonts w:ascii="Arial" w:eastAsia="Times New Roman" w:hAnsi="Arial" w:cs="Arial"/>
          <w:sz w:val="24"/>
          <w:szCs w:val="24"/>
        </w:rPr>
        <w:t>ductivitate) şi nutrienţi (N-NH</w:t>
      </w:r>
      <w:r w:rsidRPr="00702A15">
        <w:rPr>
          <w:rFonts w:ascii="Arial" w:eastAsia="Times New Roman" w:hAnsi="Arial" w:cs="Arial"/>
          <w:sz w:val="24"/>
          <w:szCs w:val="24"/>
          <w:vertAlign w:val="subscript"/>
        </w:rPr>
        <w:t>4</w:t>
      </w:r>
      <w:r w:rsidRPr="00702A15">
        <w:rPr>
          <w:rFonts w:ascii="Arial" w:eastAsia="Times New Roman" w:hAnsi="Arial" w:cs="Arial"/>
          <w:sz w:val="24"/>
          <w:szCs w:val="24"/>
          <w:vertAlign w:val="superscript"/>
        </w:rPr>
        <w:t>+</w:t>
      </w:r>
      <w:r w:rsidRPr="00702A15">
        <w:rPr>
          <w:rFonts w:ascii="Arial" w:eastAsia="Times New Roman" w:hAnsi="Arial" w:cs="Arial"/>
          <w:sz w:val="24"/>
          <w:szCs w:val="24"/>
        </w:rPr>
        <w:t>).</w:t>
      </w:r>
    </w:p>
    <w:p w:rsidR="00420717" w:rsidRPr="00702A15" w:rsidRDefault="00420717" w:rsidP="00420717">
      <w:pPr>
        <w:spacing w:after="0" w:line="240" w:lineRule="auto"/>
        <w:jc w:val="both"/>
        <w:rPr>
          <w:rFonts w:ascii="Arial" w:eastAsia="Times New Roman" w:hAnsi="Arial" w:cs="Arial"/>
          <w:sz w:val="24"/>
          <w:szCs w:val="24"/>
        </w:rPr>
      </w:pPr>
      <w:r w:rsidRPr="00702A15">
        <w:rPr>
          <w:rFonts w:ascii="Arial" w:eastAsia="Times New Roman" w:hAnsi="Arial" w:cs="Arial"/>
          <w:sz w:val="24"/>
          <w:szCs w:val="24"/>
        </w:rPr>
        <w:t>Corpul de apă Rm. Sărat (Tulburea-Nicoleşti-Măicăneşti) a înregistrat pe parcursul anului 2014 o stare ecologică moderată după grupa de indicatori nutrienţi (N-NH</w:t>
      </w:r>
      <w:r w:rsidRPr="00702A15">
        <w:rPr>
          <w:rFonts w:ascii="Arial" w:eastAsia="Times New Roman" w:hAnsi="Arial" w:cs="Arial"/>
          <w:sz w:val="24"/>
          <w:szCs w:val="24"/>
          <w:vertAlign w:val="subscript"/>
        </w:rPr>
        <w:t>4</w:t>
      </w:r>
      <w:r w:rsidRPr="00702A15">
        <w:rPr>
          <w:rFonts w:ascii="Arial" w:eastAsia="Times New Roman" w:hAnsi="Arial" w:cs="Arial"/>
          <w:sz w:val="24"/>
          <w:szCs w:val="24"/>
          <w:vertAlign w:val="superscript"/>
        </w:rPr>
        <w:t>+</w:t>
      </w:r>
      <w:r w:rsidRPr="00702A15">
        <w:rPr>
          <w:rFonts w:ascii="Arial" w:eastAsia="Times New Roman" w:hAnsi="Arial" w:cs="Arial"/>
          <w:sz w:val="24"/>
          <w:szCs w:val="24"/>
        </w:rPr>
        <w:t>) şi salinitate (conductivitate).</w:t>
      </w:r>
    </w:p>
    <w:p w:rsidR="00420717" w:rsidRDefault="00420717" w:rsidP="00420717">
      <w:pPr>
        <w:tabs>
          <w:tab w:val="left" w:pos="1204"/>
          <w:tab w:val="left" w:leader="dot" w:pos="9356"/>
        </w:tabs>
        <w:spacing w:after="0" w:line="240" w:lineRule="auto"/>
        <w:rPr>
          <w:rFonts w:ascii="Arial" w:hAnsi="Arial" w:cs="Arial"/>
          <w:iCs/>
          <w:sz w:val="24"/>
          <w:szCs w:val="24"/>
        </w:rPr>
      </w:pP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t>II.2.2.2. Apele uzate şi reţelele de canalizare</w:t>
      </w:r>
    </w:p>
    <w:p w:rsidR="00420717" w:rsidRPr="00702A15" w:rsidRDefault="00420717" w:rsidP="00420717">
      <w:pPr>
        <w:pStyle w:val="Default"/>
        <w:jc w:val="both"/>
        <w:rPr>
          <w:b/>
          <w:bCs/>
          <w:color w:val="auto"/>
        </w:rPr>
      </w:pPr>
      <w:r w:rsidRPr="00702A15">
        <w:rPr>
          <w:b/>
          <w:bCs/>
          <w:color w:val="auto"/>
        </w:rPr>
        <w:t>A. Situa</w:t>
      </w:r>
      <w:r>
        <w:rPr>
          <w:b/>
          <w:bCs/>
          <w:color w:val="auto"/>
        </w:rPr>
        <w:t>ţ</w:t>
      </w:r>
      <w:r w:rsidRPr="00702A15">
        <w:rPr>
          <w:b/>
          <w:bCs/>
          <w:color w:val="auto"/>
        </w:rPr>
        <w:t>ia privind racordarea popula</w:t>
      </w:r>
      <w:r>
        <w:rPr>
          <w:b/>
          <w:bCs/>
          <w:color w:val="auto"/>
        </w:rPr>
        <w:t>ţ</w:t>
      </w:r>
      <w:r w:rsidRPr="00702A15">
        <w:rPr>
          <w:b/>
          <w:bCs/>
          <w:color w:val="auto"/>
        </w:rPr>
        <w:t xml:space="preserve">iei la sistemele de colectare </w:t>
      </w:r>
      <w:r>
        <w:rPr>
          <w:b/>
          <w:bCs/>
          <w:color w:val="auto"/>
        </w:rPr>
        <w:t>ş</w:t>
      </w:r>
      <w:r w:rsidRPr="00702A15">
        <w:rPr>
          <w:b/>
          <w:bCs/>
          <w:color w:val="auto"/>
        </w:rPr>
        <w:t>i epurare a apelor uzate</w:t>
      </w:r>
    </w:p>
    <w:p w:rsidR="00420717" w:rsidRDefault="00420717" w:rsidP="00420717">
      <w:pPr>
        <w:pStyle w:val="Default"/>
        <w:jc w:val="both"/>
        <w:rPr>
          <w:bCs/>
          <w:color w:val="auto"/>
        </w:rPr>
      </w:pPr>
      <w:r w:rsidRPr="00702A15">
        <w:rPr>
          <w:bCs/>
          <w:color w:val="auto"/>
        </w:rPr>
        <w:t>Termenele de conformare ale României cu cerintele Directivei 91/271/CEE privind epurarea apelor uzate urbane, pentru spa</w:t>
      </w:r>
      <w:r>
        <w:rPr>
          <w:bCs/>
          <w:color w:val="auto"/>
        </w:rPr>
        <w:t>ţ</w:t>
      </w:r>
      <w:r w:rsidRPr="00702A15">
        <w:rPr>
          <w:bCs/>
          <w:color w:val="auto"/>
        </w:rPr>
        <w:t>iul hidrografic Buzău-Ialomi</w:t>
      </w:r>
      <w:r>
        <w:rPr>
          <w:bCs/>
          <w:color w:val="auto"/>
        </w:rPr>
        <w:t>ţ</w:t>
      </w:r>
      <w:r w:rsidRPr="00702A15">
        <w:rPr>
          <w:bCs/>
          <w:color w:val="auto"/>
        </w:rPr>
        <w:t>a aferent jude</w:t>
      </w:r>
      <w:r>
        <w:rPr>
          <w:bCs/>
          <w:color w:val="auto"/>
        </w:rPr>
        <w:t>ţ</w:t>
      </w:r>
      <w:r w:rsidRPr="00702A15">
        <w:rPr>
          <w:bCs/>
          <w:color w:val="auto"/>
        </w:rPr>
        <w:t>ului Buzău, sunt redate în tabelul următor (RO 24)</w:t>
      </w:r>
    </w:p>
    <w:p w:rsidR="005864AC" w:rsidRPr="00702A15" w:rsidRDefault="005864AC" w:rsidP="00420717">
      <w:pPr>
        <w:pStyle w:val="Default"/>
        <w:jc w:val="both"/>
        <w:rPr>
          <w:bCs/>
          <w:color w:val="auto"/>
        </w:rPr>
      </w:pPr>
    </w:p>
    <w:tbl>
      <w:tblPr>
        <w:tblW w:w="0" w:type="auto"/>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552"/>
        <w:gridCol w:w="992"/>
        <w:gridCol w:w="1843"/>
        <w:gridCol w:w="1843"/>
        <w:gridCol w:w="1701"/>
      </w:tblGrid>
      <w:tr w:rsidR="00420717" w:rsidRPr="00702A15" w:rsidTr="00D92384">
        <w:trPr>
          <w:trHeight w:val="437"/>
          <w:jc w:val="center"/>
        </w:trPr>
        <w:tc>
          <w:tcPr>
            <w:tcW w:w="2552" w:type="dxa"/>
            <w:vAlign w:val="center"/>
          </w:tcPr>
          <w:p w:rsidR="00420717" w:rsidRPr="00702A15" w:rsidRDefault="00420717" w:rsidP="00D92384">
            <w:pPr>
              <w:pStyle w:val="Default"/>
              <w:spacing w:line="276" w:lineRule="auto"/>
              <w:jc w:val="center"/>
              <w:rPr>
                <w:color w:val="auto"/>
              </w:rPr>
            </w:pPr>
            <w:r w:rsidRPr="00702A15">
              <w:rPr>
                <w:b/>
                <w:bCs/>
                <w:color w:val="auto"/>
              </w:rPr>
              <w:t>Tip de</w:t>
            </w:r>
          </w:p>
          <w:p w:rsidR="00420717" w:rsidRPr="00702A15" w:rsidRDefault="00420717" w:rsidP="00D92384">
            <w:pPr>
              <w:pStyle w:val="Default"/>
              <w:spacing w:line="276" w:lineRule="auto"/>
              <w:jc w:val="center"/>
              <w:rPr>
                <w:color w:val="auto"/>
              </w:rPr>
            </w:pPr>
            <w:r w:rsidRPr="00702A15">
              <w:rPr>
                <w:b/>
                <w:bCs/>
                <w:color w:val="auto"/>
              </w:rPr>
              <w:t>aglomerare</w:t>
            </w:r>
          </w:p>
        </w:tc>
        <w:tc>
          <w:tcPr>
            <w:tcW w:w="992" w:type="dxa"/>
            <w:vAlign w:val="center"/>
          </w:tcPr>
          <w:p w:rsidR="00420717" w:rsidRPr="00702A15" w:rsidRDefault="00420717" w:rsidP="00D92384">
            <w:pPr>
              <w:pStyle w:val="Default"/>
              <w:spacing w:line="276" w:lineRule="auto"/>
              <w:jc w:val="center"/>
              <w:rPr>
                <w:color w:val="auto"/>
              </w:rPr>
            </w:pPr>
            <w:r w:rsidRPr="00702A15">
              <w:rPr>
                <w:b/>
                <w:bCs/>
                <w:color w:val="auto"/>
              </w:rPr>
              <w:t>Număr localităţi</w:t>
            </w:r>
          </w:p>
        </w:tc>
        <w:tc>
          <w:tcPr>
            <w:tcW w:w="1843" w:type="dxa"/>
            <w:vAlign w:val="center"/>
          </w:tcPr>
          <w:p w:rsidR="00420717" w:rsidRPr="00702A15" w:rsidRDefault="00420717" w:rsidP="00D92384">
            <w:pPr>
              <w:pStyle w:val="Default"/>
              <w:spacing w:line="276" w:lineRule="auto"/>
              <w:jc w:val="center"/>
              <w:rPr>
                <w:color w:val="auto"/>
              </w:rPr>
            </w:pPr>
            <w:r w:rsidRPr="00702A15">
              <w:rPr>
                <w:b/>
                <w:bCs/>
                <w:color w:val="auto"/>
              </w:rPr>
              <w:t>Număr locuitori echivalenţi</w:t>
            </w:r>
          </w:p>
        </w:tc>
        <w:tc>
          <w:tcPr>
            <w:tcW w:w="1843" w:type="dxa"/>
            <w:vAlign w:val="center"/>
          </w:tcPr>
          <w:p w:rsidR="00420717" w:rsidRPr="00702A15" w:rsidRDefault="00420717" w:rsidP="00D92384">
            <w:pPr>
              <w:pStyle w:val="Default"/>
              <w:spacing w:line="276" w:lineRule="auto"/>
              <w:jc w:val="center"/>
              <w:rPr>
                <w:color w:val="auto"/>
              </w:rPr>
            </w:pPr>
            <w:r w:rsidRPr="00702A15">
              <w:rPr>
                <w:b/>
                <w:bCs/>
                <w:color w:val="auto"/>
              </w:rPr>
              <w:t>Grad de racordare la staţii de epurare (%)</w:t>
            </w:r>
          </w:p>
        </w:tc>
        <w:tc>
          <w:tcPr>
            <w:tcW w:w="1701" w:type="dxa"/>
            <w:vAlign w:val="center"/>
          </w:tcPr>
          <w:p w:rsidR="00420717" w:rsidRPr="00702A15" w:rsidRDefault="00420717" w:rsidP="00D92384">
            <w:pPr>
              <w:pStyle w:val="Default"/>
              <w:spacing w:line="276" w:lineRule="auto"/>
              <w:jc w:val="center"/>
              <w:rPr>
                <w:color w:val="auto"/>
              </w:rPr>
            </w:pPr>
            <w:r w:rsidRPr="00702A15">
              <w:rPr>
                <w:b/>
                <w:bCs/>
                <w:color w:val="auto"/>
              </w:rPr>
              <w:t>Termen de conformare</w:t>
            </w:r>
          </w:p>
        </w:tc>
      </w:tr>
      <w:tr w:rsidR="00420717" w:rsidRPr="00702A15" w:rsidTr="00D92384">
        <w:trPr>
          <w:trHeight w:val="93"/>
          <w:jc w:val="center"/>
        </w:trPr>
        <w:tc>
          <w:tcPr>
            <w:tcW w:w="2552" w:type="dxa"/>
            <w:vAlign w:val="center"/>
          </w:tcPr>
          <w:p w:rsidR="00420717" w:rsidRPr="00702A15" w:rsidRDefault="00420717" w:rsidP="00D92384">
            <w:pPr>
              <w:pStyle w:val="Default"/>
              <w:spacing w:line="276" w:lineRule="auto"/>
              <w:jc w:val="center"/>
              <w:rPr>
                <w:color w:val="auto"/>
              </w:rPr>
            </w:pPr>
            <w:r w:rsidRPr="00702A15">
              <w:rPr>
                <w:color w:val="auto"/>
              </w:rPr>
              <w:t>2.000 - 10.000 l.e.</w:t>
            </w:r>
          </w:p>
        </w:tc>
        <w:tc>
          <w:tcPr>
            <w:tcW w:w="992" w:type="dxa"/>
            <w:vAlign w:val="center"/>
          </w:tcPr>
          <w:p w:rsidR="00420717" w:rsidRPr="00702A15" w:rsidRDefault="00420717" w:rsidP="00D92384">
            <w:pPr>
              <w:pStyle w:val="Default"/>
              <w:spacing w:line="276" w:lineRule="auto"/>
              <w:jc w:val="center"/>
              <w:rPr>
                <w:color w:val="auto"/>
              </w:rPr>
            </w:pPr>
            <w:r w:rsidRPr="00702A15">
              <w:rPr>
                <w:color w:val="auto"/>
              </w:rPr>
              <w:t>58</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239.033</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3</w:t>
            </w:r>
          </w:p>
        </w:tc>
        <w:tc>
          <w:tcPr>
            <w:tcW w:w="1701" w:type="dxa"/>
            <w:vAlign w:val="center"/>
          </w:tcPr>
          <w:p w:rsidR="00420717" w:rsidRPr="00702A15" w:rsidRDefault="00420717" w:rsidP="00D92384">
            <w:pPr>
              <w:pStyle w:val="Default"/>
              <w:spacing w:line="276" w:lineRule="auto"/>
              <w:jc w:val="center"/>
              <w:rPr>
                <w:color w:val="auto"/>
              </w:rPr>
            </w:pPr>
            <w:r w:rsidRPr="00702A15">
              <w:rPr>
                <w:color w:val="auto"/>
              </w:rPr>
              <w:t>31.12.2018</w:t>
            </w:r>
          </w:p>
        </w:tc>
      </w:tr>
      <w:tr w:rsidR="00420717" w:rsidRPr="00702A15" w:rsidTr="00D92384">
        <w:trPr>
          <w:trHeight w:val="93"/>
          <w:jc w:val="center"/>
        </w:trPr>
        <w:tc>
          <w:tcPr>
            <w:tcW w:w="2552" w:type="dxa"/>
            <w:vAlign w:val="center"/>
          </w:tcPr>
          <w:p w:rsidR="00420717" w:rsidRPr="00702A15" w:rsidRDefault="00420717" w:rsidP="00D92384">
            <w:pPr>
              <w:pStyle w:val="Default"/>
              <w:spacing w:line="276" w:lineRule="auto"/>
              <w:jc w:val="center"/>
              <w:rPr>
                <w:color w:val="auto"/>
              </w:rPr>
            </w:pPr>
            <w:r w:rsidRPr="00702A15">
              <w:rPr>
                <w:color w:val="auto"/>
              </w:rPr>
              <w:t>10.000 - 150.000 l.e.</w:t>
            </w:r>
          </w:p>
        </w:tc>
        <w:tc>
          <w:tcPr>
            <w:tcW w:w="992" w:type="dxa"/>
            <w:vAlign w:val="center"/>
          </w:tcPr>
          <w:p w:rsidR="00420717" w:rsidRPr="00702A15" w:rsidRDefault="00420717" w:rsidP="00D92384">
            <w:pPr>
              <w:pStyle w:val="Default"/>
              <w:spacing w:line="276" w:lineRule="auto"/>
              <w:jc w:val="center"/>
              <w:rPr>
                <w:color w:val="auto"/>
              </w:rPr>
            </w:pPr>
            <w:r w:rsidRPr="00702A15">
              <w:rPr>
                <w:color w:val="auto"/>
              </w:rPr>
              <w:t>2</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133.374</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94</w:t>
            </w:r>
          </w:p>
        </w:tc>
        <w:tc>
          <w:tcPr>
            <w:tcW w:w="1701" w:type="dxa"/>
            <w:vAlign w:val="center"/>
          </w:tcPr>
          <w:p w:rsidR="00420717" w:rsidRPr="00702A15" w:rsidRDefault="00420717" w:rsidP="00D92384">
            <w:pPr>
              <w:pStyle w:val="Default"/>
              <w:spacing w:line="276" w:lineRule="auto"/>
              <w:jc w:val="center"/>
              <w:rPr>
                <w:color w:val="auto"/>
              </w:rPr>
            </w:pPr>
            <w:r w:rsidRPr="00702A15">
              <w:rPr>
                <w:color w:val="auto"/>
              </w:rPr>
              <w:t>31.12.2015</w:t>
            </w:r>
          </w:p>
        </w:tc>
      </w:tr>
      <w:tr w:rsidR="00420717" w:rsidRPr="00702A15" w:rsidTr="00D92384">
        <w:trPr>
          <w:trHeight w:val="93"/>
          <w:jc w:val="center"/>
        </w:trPr>
        <w:tc>
          <w:tcPr>
            <w:tcW w:w="2552" w:type="dxa"/>
            <w:vAlign w:val="center"/>
          </w:tcPr>
          <w:p w:rsidR="00420717" w:rsidRPr="00702A15" w:rsidRDefault="00420717" w:rsidP="00D92384">
            <w:pPr>
              <w:pStyle w:val="Default"/>
              <w:spacing w:line="276" w:lineRule="auto"/>
              <w:jc w:val="center"/>
              <w:rPr>
                <w:color w:val="auto"/>
              </w:rPr>
            </w:pPr>
            <w:r w:rsidRPr="00702A15">
              <w:rPr>
                <w:color w:val="auto"/>
              </w:rPr>
              <w:t>&gt; 150.000 l.e.</w:t>
            </w:r>
          </w:p>
        </w:tc>
        <w:tc>
          <w:tcPr>
            <w:tcW w:w="992" w:type="dxa"/>
            <w:vAlign w:val="center"/>
          </w:tcPr>
          <w:p w:rsidR="00420717" w:rsidRPr="00702A15" w:rsidRDefault="00420717" w:rsidP="00D92384">
            <w:pPr>
              <w:pStyle w:val="Default"/>
              <w:spacing w:line="276" w:lineRule="auto"/>
              <w:jc w:val="center"/>
              <w:rPr>
                <w:color w:val="auto"/>
              </w:rPr>
            </w:pPr>
            <w:r w:rsidRPr="00702A15">
              <w:rPr>
                <w:color w:val="auto"/>
              </w:rPr>
              <w:t>0</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0</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0</w:t>
            </w:r>
          </w:p>
        </w:tc>
        <w:tc>
          <w:tcPr>
            <w:tcW w:w="1701" w:type="dxa"/>
            <w:vAlign w:val="center"/>
          </w:tcPr>
          <w:p w:rsidR="00420717" w:rsidRPr="00702A15" w:rsidRDefault="00420717" w:rsidP="00D92384">
            <w:pPr>
              <w:pStyle w:val="Default"/>
              <w:spacing w:line="276" w:lineRule="auto"/>
              <w:jc w:val="center"/>
              <w:rPr>
                <w:color w:val="auto"/>
              </w:rPr>
            </w:pPr>
            <w:r w:rsidRPr="00702A15">
              <w:rPr>
                <w:color w:val="auto"/>
              </w:rPr>
              <w:t>31.12.2015</w:t>
            </w:r>
          </w:p>
        </w:tc>
      </w:tr>
      <w:tr w:rsidR="00420717" w:rsidRPr="00702A15" w:rsidTr="00D92384">
        <w:trPr>
          <w:trHeight w:val="93"/>
          <w:jc w:val="center"/>
        </w:trPr>
        <w:tc>
          <w:tcPr>
            <w:tcW w:w="2552" w:type="dxa"/>
            <w:vAlign w:val="center"/>
          </w:tcPr>
          <w:p w:rsidR="00420717" w:rsidRPr="00702A15" w:rsidRDefault="00420717" w:rsidP="00D92384">
            <w:pPr>
              <w:pStyle w:val="Default"/>
              <w:spacing w:line="276" w:lineRule="auto"/>
              <w:jc w:val="center"/>
              <w:rPr>
                <w:color w:val="auto"/>
              </w:rPr>
            </w:pPr>
            <w:r w:rsidRPr="00702A15">
              <w:rPr>
                <w:b/>
                <w:bCs/>
                <w:color w:val="auto"/>
              </w:rPr>
              <w:t>Inventar total</w:t>
            </w:r>
          </w:p>
        </w:tc>
        <w:tc>
          <w:tcPr>
            <w:tcW w:w="992" w:type="dxa"/>
            <w:vAlign w:val="center"/>
          </w:tcPr>
          <w:p w:rsidR="00420717" w:rsidRPr="00702A15" w:rsidRDefault="00420717" w:rsidP="00D92384">
            <w:pPr>
              <w:pStyle w:val="Default"/>
              <w:spacing w:line="276" w:lineRule="auto"/>
              <w:jc w:val="center"/>
              <w:rPr>
                <w:color w:val="auto"/>
              </w:rPr>
            </w:pPr>
            <w:r w:rsidRPr="00702A15">
              <w:rPr>
                <w:color w:val="auto"/>
              </w:rPr>
              <w:t>60</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372.407</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36</w:t>
            </w:r>
          </w:p>
        </w:tc>
        <w:tc>
          <w:tcPr>
            <w:tcW w:w="1701" w:type="dxa"/>
            <w:vAlign w:val="center"/>
          </w:tcPr>
          <w:p w:rsidR="00420717" w:rsidRPr="00702A15" w:rsidRDefault="00420717" w:rsidP="00D92384">
            <w:pPr>
              <w:pStyle w:val="Default"/>
              <w:spacing w:line="276" w:lineRule="auto"/>
              <w:jc w:val="center"/>
              <w:rPr>
                <w:color w:val="auto"/>
              </w:rPr>
            </w:pPr>
            <w:r w:rsidRPr="00702A15">
              <w:rPr>
                <w:bCs/>
                <w:color w:val="auto"/>
              </w:rPr>
              <w:t>31.12.2018</w:t>
            </w:r>
          </w:p>
        </w:tc>
      </w:tr>
    </w:tbl>
    <w:p w:rsidR="00420717" w:rsidRPr="00AA0E3F" w:rsidRDefault="00420717" w:rsidP="00420717">
      <w:pPr>
        <w:pStyle w:val="Default"/>
        <w:jc w:val="both"/>
        <w:rPr>
          <w:b/>
          <w:bCs/>
          <w:color w:val="auto"/>
        </w:rPr>
      </w:pPr>
      <w:r w:rsidRPr="00AA0E3F">
        <w:rPr>
          <w:b/>
          <w:color w:val="auto"/>
        </w:rPr>
        <w:t xml:space="preserve">Tabel II.2.2.2.1. </w:t>
      </w:r>
      <w:r w:rsidRPr="00AA0E3F">
        <w:rPr>
          <w:b/>
          <w:bCs/>
          <w:color w:val="auto"/>
        </w:rPr>
        <w:t>Termene de conformare ale României cu cerintele Directivei 91/271/CEE privind epurarea apelor uzate urbane, pentru spaţiul hidrografic Buzău-Ialomiţa aferent judeţului Buzău</w:t>
      </w:r>
    </w:p>
    <w:p w:rsidR="00420717" w:rsidRPr="00702A15" w:rsidRDefault="00420717" w:rsidP="00420717">
      <w:pPr>
        <w:pStyle w:val="Default"/>
        <w:jc w:val="right"/>
        <w:rPr>
          <w:color w:val="auto"/>
        </w:rPr>
      </w:pPr>
      <w:r w:rsidRPr="00702A15">
        <w:rPr>
          <w:color w:val="auto"/>
        </w:rPr>
        <w:t>Sursa datelor: ABA Buzău-Ialomi</w:t>
      </w:r>
      <w:r>
        <w:rPr>
          <w:color w:val="auto"/>
        </w:rPr>
        <w:t>ţ</w:t>
      </w:r>
      <w:r w:rsidRPr="00702A15">
        <w:rPr>
          <w:color w:val="auto"/>
        </w:rPr>
        <w:t xml:space="preserve">a </w:t>
      </w:r>
    </w:p>
    <w:p w:rsidR="005864AC" w:rsidRDefault="005864AC" w:rsidP="00420717">
      <w:pPr>
        <w:pStyle w:val="Default"/>
        <w:jc w:val="both"/>
        <w:rPr>
          <w:color w:val="auto"/>
        </w:rPr>
      </w:pPr>
    </w:p>
    <w:p w:rsidR="00420717" w:rsidRPr="00702A15" w:rsidRDefault="00420717" w:rsidP="00420717">
      <w:pPr>
        <w:pStyle w:val="Default"/>
        <w:jc w:val="both"/>
        <w:rPr>
          <w:color w:val="auto"/>
        </w:rPr>
      </w:pPr>
      <w:r w:rsidRPr="00702A15">
        <w:rPr>
          <w:color w:val="auto"/>
        </w:rPr>
        <w:t>SGA Vrancea nu a furnizat date pentru acest tabel.</w:t>
      </w: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În tabelul II.2.2.2.2. este prezentat nivelul de colectare al apelor uzate în mediul urban, în judeţul Buzău, în anul 2014</w:t>
      </w:r>
    </w:p>
    <w:p w:rsidR="005864AC" w:rsidRPr="00702A15" w:rsidRDefault="005864AC" w:rsidP="00420717">
      <w:pPr>
        <w:spacing w:after="0" w:line="240" w:lineRule="auto"/>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1"/>
        <w:gridCol w:w="1545"/>
        <w:gridCol w:w="1217"/>
        <w:gridCol w:w="1234"/>
        <w:gridCol w:w="1321"/>
        <w:gridCol w:w="1249"/>
        <w:gridCol w:w="1897"/>
      </w:tblGrid>
      <w:tr w:rsidR="00420717" w:rsidRPr="00702A15" w:rsidTr="00D92384">
        <w:trPr>
          <w:jc w:val="center"/>
        </w:trPr>
        <w:tc>
          <w:tcPr>
            <w:tcW w:w="1596" w:type="dxa"/>
          </w:tcPr>
          <w:p w:rsidR="00420717" w:rsidRPr="00702A15" w:rsidRDefault="00420717" w:rsidP="00D92384">
            <w:pPr>
              <w:spacing w:after="0" w:line="240" w:lineRule="auto"/>
              <w:jc w:val="center"/>
              <w:rPr>
                <w:rFonts w:ascii="Arial" w:eastAsia="Times New Roman" w:hAnsi="Arial" w:cs="Arial"/>
                <w:b/>
                <w:sz w:val="24"/>
                <w:szCs w:val="24"/>
              </w:rPr>
            </w:pPr>
          </w:p>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Jude</w:t>
            </w:r>
            <w:r>
              <w:rPr>
                <w:rFonts w:ascii="Arial" w:eastAsia="Times New Roman" w:hAnsi="Arial" w:cs="Arial"/>
                <w:b/>
                <w:sz w:val="24"/>
                <w:szCs w:val="24"/>
              </w:rPr>
              <w:t>ţ</w:t>
            </w:r>
          </w:p>
        </w:tc>
        <w:tc>
          <w:tcPr>
            <w:tcW w:w="1596" w:type="dxa"/>
          </w:tcPr>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Primaria sau Age</w:t>
            </w:r>
            <w:r w:rsidRPr="00702A15">
              <w:rPr>
                <w:rFonts w:ascii="Arial" w:eastAsia="Times New Roman" w:hAnsi="Arial" w:cs="Arial"/>
                <w:b/>
                <w:sz w:val="24"/>
                <w:szCs w:val="24"/>
              </w:rPr>
              <w:t>n</w:t>
            </w:r>
            <w:r w:rsidRPr="00702A15">
              <w:rPr>
                <w:rFonts w:ascii="Arial" w:eastAsia="Times New Roman" w:hAnsi="Arial" w:cs="Arial"/>
                <w:b/>
                <w:sz w:val="24"/>
                <w:szCs w:val="24"/>
              </w:rPr>
              <w:t>tul  Ec</w:t>
            </w:r>
            <w:r w:rsidRPr="00702A15">
              <w:rPr>
                <w:rFonts w:ascii="Arial" w:eastAsia="Times New Roman" w:hAnsi="Arial" w:cs="Arial"/>
                <w:b/>
                <w:sz w:val="24"/>
                <w:szCs w:val="24"/>
              </w:rPr>
              <w:t>o</w:t>
            </w:r>
            <w:r w:rsidRPr="00702A15">
              <w:rPr>
                <w:rFonts w:ascii="Arial" w:eastAsia="Times New Roman" w:hAnsi="Arial" w:cs="Arial"/>
                <w:b/>
                <w:sz w:val="24"/>
                <w:szCs w:val="24"/>
              </w:rPr>
              <w:t>nomic O</w:t>
            </w:r>
            <w:r w:rsidRPr="00702A15">
              <w:rPr>
                <w:rFonts w:ascii="Arial" w:eastAsia="Times New Roman" w:hAnsi="Arial" w:cs="Arial"/>
                <w:b/>
                <w:sz w:val="24"/>
                <w:szCs w:val="24"/>
              </w:rPr>
              <w:t>p</w:t>
            </w:r>
            <w:r w:rsidRPr="00702A15">
              <w:rPr>
                <w:rFonts w:ascii="Arial" w:eastAsia="Times New Roman" w:hAnsi="Arial" w:cs="Arial"/>
                <w:b/>
                <w:sz w:val="24"/>
                <w:szCs w:val="24"/>
              </w:rPr>
              <w:t>erator</w:t>
            </w:r>
          </w:p>
        </w:tc>
        <w:tc>
          <w:tcPr>
            <w:tcW w:w="1242" w:type="dxa"/>
          </w:tcPr>
          <w:p w:rsidR="00420717" w:rsidRPr="00702A15" w:rsidRDefault="00420717" w:rsidP="00D92384">
            <w:pPr>
              <w:spacing w:after="0" w:line="240" w:lineRule="auto"/>
              <w:rPr>
                <w:rFonts w:ascii="Arial" w:eastAsia="Times New Roman" w:hAnsi="Arial" w:cs="Arial"/>
                <w:b/>
                <w:sz w:val="24"/>
                <w:szCs w:val="24"/>
              </w:rPr>
            </w:pPr>
            <w:r w:rsidRPr="00702A15">
              <w:rPr>
                <w:rFonts w:ascii="Arial" w:eastAsia="Times New Roman" w:hAnsi="Arial" w:cs="Arial"/>
                <w:b/>
                <w:sz w:val="24"/>
                <w:szCs w:val="24"/>
              </w:rPr>
              <w:t>Nr. total locuitori</w:t>
            </w:r>
          </w:p>
        </w:tc>
        <w:tc>
          <w:tcPr>
            <w:tcW w:w="1242" w:type="dxa"/>
          </w:tcPr>
          <w:p w:rsidR="00420717" w:rsidRPr="00702A15" w:rsidRDefault="00420717" w:rsidP="00D92384">
            <w:pPr>
              <w:spacing w:after="0" w:line="240" w:lineRule="auto"/>
              <w:rPr>
                <w:rFonts w:ascii="Arial" w:eastAsia="Times New Roman" w:hAnsi="Arial" w:cs="Arial"/>
                <w:b/>
                <w:sz w:val="24"/>
                <w:szCs w:val="24"/>
              </w:rPr>
            </w:pPr>
          </w:p>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Lungime</w:t>
            </w:r>
          </w:p>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(km)</w:t>
            </w:r>
          </w:p>
        </w:tc>
        <w:tc>
          <w:tcPr>
            <w:tcW w:w="1416" w:type="dxa"/>
          </w:tcPr>
          <w:p w:rsidR="00420717" w:rsidRPr="00702A15" w:rsidRDefault="00420717" w:rsidP="00D92384">
            <w:pPr>
              <w:spacing w:after="0" w:line="240" w:lineRule="auto"/>
              <w:jc w:val="center"/>
              <w:rPr>
                <w:rFonts w:ascii="Arial" w:eastAsia="Times New Roman" w:hAnsi="Arial" w:cs="Arial"/>
                <w:b/>
                <w:sz w:val="24"/>
                <w:szCs w:val="24"/>
              </w:rPr>
            </w:pPr>
          </w:p>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Volum evacuat</w:t>
            </w:r>
          </w:p>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(mii mc)</w:t>
            </w:r>
          </w:p>
        </w:tc>
        <w:tc>
          <w:tcPr>
            <w:tcW w:w="1275" w:type="dxa"/>
          </w:tcPr>
          <w:p w:rsidR="00420717" w:rsidRPr="00702A15" w:rsidRDefault="00420717" w:rsidP="00D92384">
            <w:pPr>
              <w:spacing w:after="0" w:line="240" w:lineRule="auto"/>
              <w:jc w:val="center"/>
              <w:rPr>
                <w:rFonts w:ascii="Arial" w:eastAsia="Times New Roman" w:hAnsi="Arial" w:cs="Arial"/>
                <w:b/>
                <w:sz w:val="24"/>
                <w:szCs w:val="24"/>
              </w:rPr>
            </w:pPr>
          </w:p>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Număr</w:t>
            </w:r>
          </w:p>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localită</w:t>
            </w:r>
            <w:r>
              <w:rPr>
                <w:rFonts w:ascii="Arial" w:eastAsia="Times New Roman" w:hAnsi="Arial" w:cs="Arial"/>
                <w:b/>
                <w:sz w:val="24"/>
                <w:szCs w:val="24"/>
              </w:rPr>
              <w:t>ţ</w:t>
            </w:r>
            <w:r w:rsidRPr="00702A15">
              <w:rPr>
                <w:rFonts w:ascii="Arial" w:eastAsia="Times New Roman" w:hAnsi="Arial" w:cs="Arial"/>
                <w:b/>
                <w:sz w:val="24"/>
                <w:szCs w:val="24"/>
              </w:rPr>
              <w:t>i</w:t>
            </w:r>
          </w:p>
        </w:tc>
        <w:tc>
          <w:tcPr>
            <w:tcW w:w="1733" w:type="dxa"/>
          </w:tcPr>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Popula</w:t>
            </w:r>
            <w:r>
              <w:rPr>
                <w:rFonts w:ascii="Arial" w:eastAsia="Times New Roman" w:hAnsi="Arial" w:cs="Arial"/>
                <w:b/>
                <w:sz w:val="24"/>
                <w:szCs w:val="24"/>
              </w:rPr>
              <w:t>ţ</w:t>
            </w:r>
            <w:r w:rsidRPr="00702A15">
              <w:rPr>
                <w:rFonts w:ascii="Arial" w:eastAsia="Times New Roman" w:hAnsi="Arial" w:cs="Arial"/>
                <w:b/>
                <w:sz w:val="24"/>
                <w:szCs w:val="24"/>
              </w:rPr>
              <w:t>ie racordată/grad de racordare (nr.pers./%)</w:t>
            </w:r>
          </w:p>
        </w:tc>
      </w:tr>
      <w:tr w:rsidR="00420717" w:rsidRPr="00702A15" w:rsidTr="00D92384">
        <w:trPr>
          <w:jc w:val="center"/>
        </w:trPr>
        <w:tc>
          <w:tcPr>
            <w:tcW w:w="1596" w:type="dxa"/>
            <w:vMerge w:val="restart"/>
          </w:tcPr>
          <w:p w:rsidR="00420717" w:rsidRPr="00702A15" w:rsidRDefault="00420717" w:rsidP="00D92384">
            <w:pPr>
              <w:spacing w:after="0" w:line="240" w:lineRule="auto"/>
              <w:rPr>
                <w:rFonts w:ascii="Arial" w:eastAsia="Times New Roman" w:hAnsi="Arial" w:cs="Arial"/>
                <w:sz w:val="24"/>
                <w:szCs w:val="24"/>
              </w:rPr>
            </w:pPr>
          </w:p>
          <w:p w:rsidR="00420717" w:rsidRPr="00702A15" w:rsidRDefault="00420717" w:rsidP="00D92384">
            <w:pPr>
              <w:spacing w:after="0" w:line="240" w:lineRule="auto"/>
              <w:rPr>
                <w:rFonts w:ascii="Arial" w:eastAsia="Times New Roman" w:hAnsi="Arial" w:cs="Arial"/>
                <w:b/>
                <w:sz w:val="24"/>
                <w:szCs w:val="24"/>
              </w:rPr>
            </w:pPr>
          </w:p>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b/>
                <w:sz w:val="24"/>
                <w:szCs w:val="24"/>
              </w:rPr>
              <w:t>Buzău</w:t>
            </w:r>
          </w:p>
        </w:tc>
        <w:tc>
          <w:tcPr>
            <w:tcW w:w="1596" w:type="dxa"/>
          </w:tcPr>
          <w:p w:rsidR="00420717" w:rsidRPr="00702A15" w:rsidRDefault="00420717" w:rsidP="00D92384">
            <w:pPr>
              <w:spacing w:after="0" w:line="240" w:lineRule="auto"/>
              <w:rPr>
                <w:rFonts w:ascii="Arial" w:eastAsia="Times New Roman" w:hAnsi="Arial" w:cs="Arial"/>
                <w:sz w:val="24"/>
                <w:szCs w:val="24"/>
              </w:rPr>
            </w:pPr>
            <w:r w:rsidRPr="00702A15">
              <w:rPr>
                <w:rFonts w:ascii="Arial" w:eastAsia="Times New Roman" w:hAnsi="Arial" w:cs="Arial"/>
                <w:sz w:val="24"/>
                <w:szCs w:val="24"/>
              </w:rPr>
              <w:t>Buzău</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137.200</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152,36</w:t>
            </w:r>
          </w:p>
        </w:tc>
        <w:tc>
          <w:tcPr>
            <w:tcW w:w="1416"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8.100</w:t>
            </w:r>
          </w:p>
        </w:tc>
        <w:tc>
          <w:tcPr>
            <w:tcW w:w="1275"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w:t>
            </w:r>
          </w:p>
        </w:tc>
        <w:tc>
          <w:tcPr>
            <w:tcW w:w="1733"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114.355/83,3</w:t>
            </w:r>
          </w:p>
        </w:tc>
      </w:tr>
      <w:tr w:rsidR="00420717" w:rsidRPr="00702A15" w:rsidTr="00D92384">
        <w:trPr>
          <w:jc w:val="center"/>
        </w:trPr>
        <w:tc>
          <w:tcPr>
            <w:tcW w:w="1596" w:type="dxa"/>
            <w:vMerge/>
          </w:tcPr>
          <w:p w:rsidR="00420717" w:rsidRPr="00702A15" w:rsidRDefault="00420717" w:rsidP="00D92384">
            <w:pPr>
              <w:spacing w:after="0" w:line="240" w:lineRule="auto"/>
              <w:rPr>
                <w:rFonts w:ascii="Arial" w:eastAsia="Times New Roman" w:hAnsi="Arial" w:cs="Arial"/>
                <w:sz w:val="24"/>
                <w:szCs w:val="24"/>
              </w:rPr>
            </w:pPr>
          </w:p>
        </w:tc>
        <w:tc>
          <w:tcPr>
            <w:tcW w:w="1596" w:type="dxa"/>
          </w:tcPr>
          <w:p w:rsidR="00420717" w:rsidRPr="00702A15" w:rsidRDefault="00420717" w:rsidP="00D92384">
            <w:pPr>
              <w:spacing w:after="0" w:line="240" w:lineRule="auto"/>
              <w:rPr>
                <w:rFonts w:ascii="Arial" w:eastAsia="Times New Roman" w:hAnsi="Arial" w:cs="Arial"/>
                <w:sz w:val="24"/>
                <w:szCs w:val="24"/>
              </w:rPr>
            </w:pPr>
            <w:r w:rsidRPr="00702A15">
              <w:rPr>
                <w:rFonts w:ascii="Arial" w:eastAsia="Times New Roman" w:hAnsi="Arial" w:cs="Arial"/>
                <w:sz w:val="24"/>
                <w:szCs w:val="24"/>
              </w:rPr>
              <w:t>Rm.Sărat</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41.375</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71,29</w:t>
            </w:r>
          </w:p>
        </w:tc>
        <w:tc>
          <w:tcPr>
            <w:tcW w:w="1416"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6.502</w:t>
            </w:r>
          </w:p>
        </w:tc>
        <w:tc>
          <w:tcPr>
            <w:tcW w:w="1275"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w:t>
            </w:r>
          </w:p>
        </w:tc>
        <w:tc>
          <w:tcPr>
            <w:tcW w:w="1733"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27.588/66,7</w:t>
            </w:r>
          </w:p>
        </w:tc>
      </w:tr>
      <w:tr w:rsidR="00420717" w:rsidRPr="00702A15" w:rsidTr="00D92384">
        <w:trPr>
          <w:jc w:val="center"/>
        </w:trPr>
        <w:tc>
          <w:tcPr>
            <w:tcW w:w="1596" w:type="dxa"/>
            <w:vMerge/>
          </w:tcPr>
          <w:p w:rsidR="00420717" w:rsidRPr="00702A15" w:rsidRDefault="00420717" w:rsidP="00D92384">
            <w:pPr>
              <w:spacing w:after="0" w:line="240" w:lineRule="auto"/>
              <w:rPr>
                <w:rFonts w:ascii="Arial" w:eastAsia="Times New Roman" w:hAnsi="Arial" w:cs="Arial"/>
                <w:sz w:val="24"/>
                <w:szCs w:val="24"/>
              </w:rPr>
            </w:pPr>
          </w:p>
        </w:tc>
        <w:tc>
          <w:tcPr>
            <w:tcW w:w="1596" w:type="dxa"/>
          </w:tcPr>
          <w:p w:rsidR="00420717" w:rsidRPr="00702A15" w:rsidRDefault="00420717" w:rsidP="00D92384">
            <w:pPr>
              <w:spacing w:after="0" w:line="240" w:lineRule="auto"/>
              <w:rPr>
                <w:rFonts w:ascii="Arial" w:eastAsia="Times New Roman" w:hAnsi="Arial" w:cs="Arial"/>
                <w:sz w:val="24"/>
                <w:szCs w:val="24"/>
              </w:rPr>
            </w:pPr>
            <w:r w:rsidRPr="00702A15">
              <w:rPr>
                <w:rFonts w:ascii="Arial" w:eastAsia="Times New Roman" w:hAnsi="Arial" w:cs="Arial"/>
                <w:sz w:val="24"/>
                <w:szCs w:val="24"/>
              </w:rPr>
              <w:t>Nehoiu</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11.383</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16,72</w:t>
            </w:r>
          </w:p>
        </w:tc>
        <w:tc>
          <w:tcPr>
            <w:tcW w:w="1416"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168</w:t>
            </w:r>
          </w:p>
        </w:tc>
        <w:tc>
          <w:tcPr>
            <w:tcW w:w="1275"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w:t>
            </w:r>
          </w:p>
        </w:tc>
        <w:tc>
          <w:tcPr>
            <w:tcW w:w="1733"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3.693/32,4</w:t>
            </w:r>
          </w:p>
        </w:tc>
      </w:tr>
      <w:tr w:rsidR="00420717" w:rsidRPr="00702A15" w:rsidTr="00D92384">
        <w:trPr>
          <w:jc w:val="center"/>
        </w:trPr>
        <w:tc>
          <w:tcPr>
            <w:tcW w:w="1596" w:type="dxa"/>
            <w:vMerge/>
          </w:tcPr>
          <w:p w:rsidR="00420717" w:rsidRPr="00702A15" w:rsidRDefault="00420717" w:rsidP="00D92384">
            <w:pPr>
              <w:spacing w:after="0" w:line="240" w:lineRule="auto"/>
              <w:rPr>
                <w:rFonts w:ascii="Arial" w:eastAsia="Times New Roman" w:hAnsi="Arial" w:cs="Arial"/>
                <w:sz w:val="24"/>
                <w:szCs w:val="24"/>
              </w:rPr>
            </w:pPr>
          </w:p>
        </w:tc>
        <w:tc>
          <w:tcPr>
            <w:tcW w:w="1596" w:type="dxa"/>
          </w:tcPr>
          <w:p w:rsidR="00420717" w:rsidRPr="00702A15" w:rsidRDefault="00420717" w:rsidP="00D92384">
            <w:pPr>
              <w:spacing w:after="0" w:line="240" w:lineRule="auto"/>
              <w:rPr>
                <w:rFonts w:ascii="Arial" w:eastAsia="Times New Roman" w:hAnsi="Arial" w:cs="Arial"/>
                <w:sz w:val="24"/>
                <w:szCs w:val="24"/>
              </w:rPr>
            </w:pPr>
            <w:r w:rsidRPr="00702A15">
              <w:rPr>
                <w:rFonts w:ascii="Arial" w:eastAsia="Times New Roman" w:hAnsi="Arial" w:cs="Arial"/>
                <w:sz w:val="24"/>
                <w:szCs w:val="24"/>
              </w:rPr>
              <w:t>Pogoanele</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7.670</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5,81</w:t>
            </w:r>
          </w:p>
        </w:tc>
        <w:tc>
          <w:tcPr>
            <w:tcW w:w="1416"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16</w:t>
            </w:r>
          </w:p>
        </w:tc>
        <w:tc>
          <w:tcPr>
            <w:tcW w:w="1275"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w:t>
            </w:r>
          </w:p>
        </w:tc>
        <w:tc>
          <w:tcPr>
            <w:tcW w:w="1733"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508/6,6</w:t>
            </w:r>
          </w:p>
        </w:tc>
      </w:tr>
      <w:tr w:rsidR="00420717" w:rsidRPr="00702A15" w:rsidTr="00D92384">
        <w:trPr>
          <w:jc w:val="center"/>
        </w:trPr>
        <w:tc>
          <w:tcPr>
            <w:tcW w:w="1596" w:type="dxa"/>
            <w:vMerge/>
          </w:tcPr>
          <w:p w:rsidR="00420717" w:rsidRPr="00702A15" w:rsidRDefault="00420717" w:rsidP="00D92384">
            <w:pPr>
              <w:spacing w:after="0" w:line="240" w:lineRule="auto"/>
              <w:rPr>
                <w:rFonts w:ascii="Arial" w:eastAsia="Times New Roman" w:hAnsi="Arial" w:cs="Arial"/>
                <w:sz w:val="24"/>
                <w:szCs w:val="24"/>
              </w:rPr>
            </w:pPr>
          </w:p>
        </w:tc>
        <w:tc>
          <w:tcPr>
            <w:tcW w:w="1596" w:type="dxa"/>
          </w:tcPr>
          <w:p w:rsidR="00420717" w:rsidRPr="00702A15" w:rsidRDefault="00420717" w:rsidP="00D92384">
            <w:pPr>
              <w:spacing w:after="0" w:line="240" w:lineRule="auto"/>
              <w:rPr>
                <w:rFonts w:ascii="Arial" w:eastAsia="Times New Roman" w:hAnsi="Arial" w:cs="Arial"/>
                <w:sz w:val="24"/>
                <w:szCs w:val="24"/>
              </w:rPr>
            </w:pPr>
            <w:r w:rsidRPr="00702A15">
              <w:rPr>
                <w:rFonts w:ascii="Arial" w:eastAsia="Times New Roman" w:hAnsi="Arial" w:cs="Arial"/>
                <w:sz w:val="24"/>
                <w:szCs w:val="24"/>
              </w:rPr>
              <w:t>Pătârlagele</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7.917</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3,42</w:t>
            </w:r>
          </w:p>
        </w:tc>
        <w:tc>
          <w:tcPr>
            <w:tcW w:w="1416"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39</w:t>
            </w:r>
          </w:p>
        </w:tc>
        <w:tc>
          <w:tcPr>
            <w:tcW w:w="1275"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w:t>
            </w:r>
          </w:p>
        </w:tc>
        <w:tc>
          <w:tcPr>
            <w:tcW w:w="1733"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726/9,2</w:t>
            </w:r>
          </w:p>
        </w:tc>
      </w:tr>
      <w:tr w:rsidR="00420717" w:rsidRPr="00702A15" w:rsidTr="00D92384">
        <w:trPr>
          <w:jc w:val="center"/>
        </w:trPr>
        <w:tc>
          <w:tcPr>
            <w:tcW w:w="3192" w:type="dxa"/>
            <w:gridSpan w:val="2"/>
          </w:tcPr>
          <w:p w:rsidR="00420717" w:rsidRPr="00702A15" w:rsidRDefault="00420717" w:rsidP="00D92384">
            <w:pPr>
              <w:spacing w:after="0" w:line="240" w:lineRule="auto"/>
              <w:jc w:val="center"/>
              <w:rPr>
                <w:rFonts w:ascii="Arial" w:eastAsia="Times New Roman" w:hAnsi="Arial" w:cs="Arial"/>
                <w:b/>
                <w:sz w:val="24"/>
                <w:szCs w:val="24"/>
              </w:rPr>
            </w:pPr>
            <w:r w:rsidRPr="00702A15">
              <w:rPr>
                <w:rFonts w:ascii="Arial" w:eastAsia="Times New Roman" w:hAnsi="Arial" w:cs="Arial"/>
                <w:b/>
                <w:sz w:val="24"/>
                <w:szCs w:val="24"/>
              </w:rPr>
              <w:t>Total</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205.545</w:t>
            </w:r>
          </w:p>
        </w:tc>
        <w:tc>
          <w:tcPr>
            <w:tcW w:w="1242"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249,6</w:t>
            </w:r>
          </w:p>
        </w:tc>
        <w:tc>
          <w:tcPr>
            <w:tcW w:w="1416"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14.825</w:t>
            </w:r>
          </w:p>
        </w:tc>
        <w:tc>
          <w:tcPr>
            <w:tcW w:w="1275" w:type="dxa"/>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7</w:t>
            </w:r>
          </w:p>
        </w:tc>
        <w:tc>
          <w:tcPr>
            <w:tcW w:w="1733" w:type="dxa"/>
          </w:tcPr>
          <w:p w:rsidR="00420717" w:rsidRPr="00702A15" w:rsidRDefault="00420717" w:rsidP="00D92384">
            <w:pPr>
              <w:spacing w:after="0" w:line="240" w:lineRule="auto"/>
              <w:rPr>
                <w:rFonts w:ascii="Arial" w:eastAsia="Times New Roman" w:hAnsi="Arial" w:cs="Arial"/>
                <w:sz w:val="24"/>
                <w:szCs w:val="24"/>
              </w:rPr>
            </w:pPr>
            <w:r w:rsidRPr="00702A15">
              <w:rPr>
                <w:rFonts w:ascii="Arial" w:eastAsia="Times New Roman" w:hAnsi="Arial" w:cs="Arial"/>
                <w:sz w:val="24"/>
                <w:szCs w:val="24"/>
              </w:rPr>
              <w:t>146.870/71,5</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sz w:val="24"/>
          <w:szCs w:val="24"/>
        </w:rPr>
        <w:t>Tabel II.2.2.2.2. Nivelul de colectare al apelor uzate în mediul urban, în judeţul Buzău, în anul 2014</w:t>
      </w:r>
    </w:p>
    <w:p w:rsidR="00420717" w:rsidRPr="00702A15" w:rsidRDefault="00420717" w:rsidP="00420717">
      <w:pPr>
        <w:tabs>
          <w:tab w:val="left" w:pos="1204"/>
          <w:tab w:val="left" w:leader="dot" w:pos="9356"/>
        </w:tabs>
        <w:spacing w:after="0" w:line="240" w:lineRule="auto"/>
        <w:jc w:val="right"/>
        <w:rPr>
          <w:rFonts w:ascii="Arial" w:hAnsi="Arial" w:cs="Arial"/>
          <w:sz w:val="24"/>
          <w:szCs w:val="24"/>
        </w:rPr>
      </w:pPr>
      <w:r w:rsidRPr="00702A15">
        <w:rPr>
          <w:rFonts w:ascii="Arial" w:hAnsi="Arial" w:cs="Arial"/>
          <w:sz w:val="24"/>
          <w:szCs w:val="24"/>
        </w:rPr>
        <w:t>Sursa datelor: CA Buzău</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În tabelul II.2.2.2.3. este prezentat nivelul de colectare al apelor uzate în mediul rural, în judeţul Buzău, în anul 2014</w:t>
      </w: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74"/>
        <w:gridCol w:w="1640"/>
        <w:gridCol w:w="1191"/>
        <w:gridCol w:w="1216"/>
        <w:gridCol w:w="1296"/>
        <w:gridCol w:w="1190"/>
        <w:gridCol w:w="1897"/>
      </w:tblGrid>
      <w:tr w:rsidR="00420717" w:rsidRPr="00702A15" w:rsidTr="00D92384">
        <w:trPr>
          <w:jc w:val="center"/>
        </w:trPr>
        <w:tc>
          <w:tcPr>
            <w:tcW w:w="1264"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Judeţul</w:t>
            </w:r>
          </w:p>
        </w:tc>
        <w:tc>
          <w:tcPr>
            <w:tcW w:w="1857"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Primăria sau Agentul Economic Operator</w:t>
            </w:r>
          </w:p>
        </w:tc>
        <w:tc>
          <w:tcPr>
            <w:tcW w:w="1216" w:type="dxa"/>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Nr. total de l</w:t>
            </w:r>
            <w:r w:rsidRPr="00702A15">
              <w:rPr>
                <w:rFonts w:ascii="Arial" w:hAnsi="Arial" w:cs="Arial"/>
                <w:b/>
                <w:sz w:val="24"/>
                <w:szCs w:val="24"/>
              </w:rPr>
              <w:t>o</w:t>
            </w:r>
            <w:r w:rsidRPr="00702A15">
              <w:rPr>
                <w:rFonts w:ascii="Arial" w:hAnsi="Arial" w:cs="Arial"/>
                <w:b/>
                <w:sz w:val="24"/>
                <w:szCs w:val="24"/>
              </w:rPr>
              <w:t>cuitori</w:t>
            </w:r>
          </w:p>
        </w:tc>
        <w:tc>
          <w:tcPr>
            <w:tcW w:w="1216"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Lungime (km)</w:t>
            </w:r>
          </w:p>
        </w:tc>
        <w:tc>
          <w:tcPr>
            <w:tcW w:w="1457"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Volum evacuat</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(mii mc)</w:t>
            </w:r>
          </w:p>
        </w:tc>
        <w:tc>
          <w:tcPr>
            <w:tcW w:w="1190"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Număr localităţi</w:t>
            </w:r>
          </w:p>
        </w:tc>
        <w:tc>
          <w:tcPr>
            <w:tcW w:w="1897"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Populaţie racordată/grad de racordare</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(nr. pers./ %)</w:t>
            </w:r>
          </w:p>
        </w:tc>
      </w:tr>
      <w:tr w:rsidR="00420717" w:rsidRPr="00702A15" w:rsidTr="00D92384">
        <w:trPr>
          <w:jc w:val="center"/>
        </w:trPr>
        <w:tc>
          <w:tcPr>
            <w:tcW w:w="1264" w:type="dxa"/>
            <w:vMerge w:val="restart"/>
            <w:shd w:val="clear" w:color="auto" w:fill="auto"/>
            <w:vAlign w:val="center"/>
          </w:tcPr>
          <w:p w:rsidR="00420717" w:rsidRPr="00702A15" w:rsidRDefault="00420717" w:rsidP="00D92384">
            <w:pPr>
              <w:spacing w:after="0" w:line="240" w:lineRule="auto"/>
              <w:jc w:val="both"/>
              <w:rPr>
                <w:rFonts w:ascii="Arial" w:hAnsi="Arial" w:cs="Arial"/>
                <w:sz w:val="24"/>
                <w:szCs w:val="24"/>
              </w:rPr>
            </w:pPr>
            <w:r w:rsidRPr="00702A15">
              <w:rPr>
                <w:rFonts w:ascii="Arial" w:hAnsi="Arial" w:cs="Arial"/>
                <w:sz w:val="24"/>
                <w:szCs w:val="24"/>
              </w:rPr>
              <w:t>Buzău</w:t>
            </w:r>
          </w:p>
        </w:tc>
        <w:tc>
          <w:tcPr>
            <w:tcW w:w="1857" w:type="dxa"/>
            <w:shd w:val="clear" w:color="auto" w:fill="auto"/>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 Comp</w:t>
            </w:r>
            <w:r w:rsidRPr="00702A15">
              <w:rPr>
                <w:rFonts w:ascii="Arial" w:hAnsi="Arial" w:cs="Arial"/>
                <w:sz w:val="24"/>
                <w:szCs w:val="24"/>
              </w:rPr>
              <w:t>a</w:t>
            </w:r>
            <w:r w:rsidRPr="00702A15">
              <w:rPr>
                <w:rFonts w:ascii="Arial" w:hAnsi="Arial" w:cs="Arial"/>
                <w:sz w:val="24"/>
                <w:szCs w:val="24"/>
              </w:rPr>
              <w:t>nia de Apă Buzău - C.O. Beceni</w:t>
            </w:r>
          </w:p>
        </w:tc>
        <w:tc>
          <w:tcPr>
            <w:tcW w:w="1216" w:type="dxa"/>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4.207</w:t>
            </w:r>
          </w:p>
        </w:tc>
        <w:tc>
          <w:tcPr>
            <w:tcW w:w="1216"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3</w:t>
            </w:r>
          </w:p>
        </w:tc>
        <w:tc>
          <w:tcPr>
            <w:tcW w:w="145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29,3</w:t>
            </w:r>
          </w:p>
        </w:tc>
        <w:tc>
          <w:tcPr>
            <w:tcW w:w="1190"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w:t>
            </w:r>
          </w:p>
        </w:tc>
        <w:tc>
          <w:tcPr>
            <w:tcW w:w="189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290/6,9</w:t>
            </w:r>
          </w:p>
        </w:tc>
      </w:tr>
      <w:tr w:rsidR="00420717" w:rsidRPr="00702A15" w:rsidTr="00D92384">
        <w:trPr>
          <w:jc w:val="center"/>
        </w:trPr>
        <w:tc>
          <w:tcPr>
            <w:tcW w:w="1264" w:type="dxa"/>
            <w:vMerge/>
            <w:shd w:val="clear" w:color="auto" w:fill="auto"/>
          </w:tcPr>
          <w:p w:rsidR="00420717" w:rsidRPr="00702A15" w:rsidRDefault="00420717" w:rsidP="00D92384">
            <w:pPr>
              <w:spacing w:after="0" w:line="240" w:lineRule="auto"/>
              <w:jc w:val="both"/>
              <w:rPr>
                <w:rFonts w:ascii="Arial" w:hAnsi="Arial" w:cs="Arial"/>
                <w:sz w:val="24"/>
                <w:szCs w:val="24"/>
              </w:rPr>
            </w:pPr>
          </w:p>
        </w:tc>
        <w:tc>
          <w:tcPr>
            <w:tcW w:w="1857" w:type="dxa"/>
            <w:shd w:val="clear" w:color="auto" w:fill="auto"/>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 Comp</w:t>
            </w:r>
            <w:r w:rsidRPr="00702A15">
              <w:rPr>
                <w:rFonts w:ascii="Arial" w:hAnsi="Arial" w:cs="Arial"/>
                <w:sz w:val="24"/>
                <w:szCs w:val="24"/>
              </w:rPr>
              <w:t>a</w:t>
            </w:r>
            <w:r w:rsidRPr="00702A15">
              <w:rPr>
                <w:rFonts w:ascii="Arial" w:hAnsi="Arial" w:cs="Arial"/>
                <w:sz w:val="24"/>
                <w:szCs w:val="24"/>
              </w:rPr>
              <w:t>nia de Apă Buzău - C.O. Cernăteşti</w:t>
            </w:r>
          </w:p>
        </w:tc>
        <w:tc>
          <w:tcPr>
            <w:tcW w:w="1216" w:type="dxa"/>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3.760</w:t>
            </w:r>
          </w:p>
        </w:tc>
        <w:tc>
          <w:tcPr>
            <w:tcW w:w="1216"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p>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6,44</w:t>
            </w:r>
          </w:p>
          <w:p w:rsidR="00420717" w:rsidRPr="00702A15" w:rsidRDefault="00420717" w:rsidP="00D92384">
            <w:pPr>
              <w:spacing w:after="0" w:line="240" w:lineRule="auto"/>
              <w:jc w:val="center"/>
              <w:rPr>
                <w:rFonts w:ascii="Arial" w:eastAsia="Times New Roman" w:hAnsi="Arial" w:cs="Arial"/>
                <w:sz w:val="24"/>
                <w:szCs w:val="24"/>
              </w:rPr>
            </w:pPr>
          </w:p>
        </w:tc>
        <w:tc>
          <w:tcPr>
            <w:tcW w:w="145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1,0</w:t>
            </w:r>
          </w:p>
        </w:tc>
        <w:tc>
          <w:tcPr>
            <w:tcW w:w="1190"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w:t>
            </w:r>
          </w:p>
        </w:tc>
        <w:tc>
          <w:tcPr>
            <w:tcW w:w="189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161/4,3</w:t>
            </w:r>
          </w:p>
        </w:tc>
      </w:tr>
      <w:tr w:rsidR="00420717" w:rsidRPr="00702A15" w:rsidTr="00D92384">
        <w:trPr>
          <w:jc w:val="center"/>
        </w:trPr>
        <w:tc>
          <w:tcPr>
            <w:tcW w:w="1264" w:type="dxa"/>
            <w:vMerge/>
            <w:shd w:val="clear" w:color="auto" w:fill="auto"/>
          </w:tcPr>
          <w:p w:rsidR="00420717" w:rsidRPr="00702A15" w:rsidRDefault="00420717" w:rsidP="00D92384">
            <w:pPr>
              <w:spacing w:after="0" w:line="240" w:lineRule="auto"/>
              <w:jc w:val="both"/>
              <w:rPr>
                <w:rFonts w:ascii="Arial" w:hAnsi="Arial" w:cs="Arial"/>
                <w:sz w:val="24"/>
                <w:szCs w:val="24"/>
              </w:rPr>
            </w:pPr>
          </w:p>
        </w:tc>
        <w:tc>
          <w:tcPr>
            <w:tcW w:w="1857" w:type="dxa"/>
            <w:shd w:val="clear" w:color="auto" w:fill="auto"/>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 Comp</w:t>
            </w:r>
            <w:r w:rsidRPr="00702A15">
              <w:rPr>
                <w:rFonts w:ascii="Arial" w:hAnsi="Arial" w:cs="Arial"/>
                <w:sz w:val="24"/>
                <w:szCs w:val="24"/>
              </w:rPr>
              <w:t>a</w:t>
            </w:r>
            <w:r w:rsidRPr="00702A15">
              <w:rPr>
                <w:rFonts w:ascii="Arial" w:hAnsi="Arial" w:cs="Arial"/>
                <w:sz w:val="24"/>
                <w:szCs w:val="24"/>
              </w:rPr>
              <w:t>nia de Apă Buzău - C.O. Chiojdu</w:t>
            </w:r>
          </w:p>
        </w:tc>
        <w:tc>
          <w:tcPr>
            <w:tcW w:w="1216" w:type="dxa"/>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3.420</w:t>
            </w:r>
          </w:p>
        </w:tc>
        <w:tc>
          <w:tcPr>
            <w:tcW w:w="1216"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10,65</w:t>
            </w:r>
          </w:p>
        </w:tc>
        <w:tc>
          <w:tcPr>
            <w:tcW w:w="145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1,9</w:t>
            </w:r>
          </w:p>
        </w:tc>
        <w:tc>
          <w:tcPr>
            <w:tcW w:w="1190"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3</w:t>
            </w:r>
          </w:p>
        </w:tc>
        <w:tc>
          <w:tcPr>
            <w:tcW w:w="189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446/13,0</w:t>
            </w:r>
          </w:p>
        </w:tc>
      </w:tr>
      <w:tr w:rsidR="00420717" w:rsidRPr="00702A15" w:rsidTr="00D92384">
        <w:trPr>
          <w:jc w:val="center"/>
        </w:trPr>
        <w:tc>
          <w:tcPr>
            <w:tcW w:w="1264" w:type="dxa"/>
            <w:vMerge/>
            <w:shd w:val="clear" w:color="auto" w:fill="auto"/>
          </w:tcPr>
          <w:p w:rsidR="00420717" w:rsidRPr="00702A15" w:rsidRDefault="00420717" w:rsidP="00D92384">
            <w:pPr>
              <w:spacing w:after="0" w:line="240" w:lineRule="auto"/>
              <w:jc w:val="both"/>
              <w:rPr>
                <w:rFonts w:ascii="Arial" w:hAnsi="Arial" w:cs="Arial"/>
                <w:sz w:val="24"/>
                <w:szCs w:val="24"/>
              </w:rPr>
            </w:pPr>
          </w:p>
        </w:tc>
        <w:tc>
          <w:tcPr>
            <w:tcW w:w="1857" w:type="dxa"/>
            <w:shd w:val="clear" w:color="auto" w:fill="auto"/>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 Comp</w:t>
            </w:r>
            <w:r w:rsidRPr="00702A15">
              <w:rPr>
                <w:rFonts w:ascii="Arial" w:hAnsi="Arial" w:cs="Arial"/>
                <w:sz w:val="24"/>
                <w:szCs w:val="24"/>
              </w:rPr>
              <w:t>a</w:t>
            </w:r>
            <w:r w:rsidRPr="00702A15">
              <w:rPr>
                <w:rFonts w:ascii="Arial" w:hAnsi="Arial" w:cs="Arial"/>
                <w:sz w:val="24"/>
                <w:szCs w:val="24"/>
              </w:rPr>
              <w:t>nia de Apă Buzău - C.O. Merei</w:t>
            </w:r>
          </w:p>
        </w:tc>
        <w:tc>
          <w:tcPr>
            <w:tcW w:w="1216" w:type="dxa"/>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6.464</w:t>
            </w:r>
          </w:p>
        </w:tc>
        <w:tc>
          <w:tcPr>
            <w:tcW w:w="1216"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4,44</w:t>
            </w:r>
          </w:p>
        </w:tc>
        <w:tc>
          <w:tcPr>
            <w:tcW w:w="145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19,3</w:t>
            </w:r>
          </w:p>
        </w:tc>
        <w:tc>
          <w:tcPr>
            <w:tcW w:w="1190"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1</w:t>
            </w:r>
          </w:p>
        </w:tc>
        <w:tc>
          <w:tcPr>
            <w:tcW w:w="1897" w:type="dxa"/>
            <w:shd w:val="clear" w:color="auto" w:fill="auto"/>
            <w:vAlign w:val="center"/>
          </w:tcPr>
          <w:p w:rsidR="00420717" w:rsidRPr="00702A15" w:rsidRDefault="00420717" w:rsidP="00D92384">
            <w:pPr>
              <w:spacing w:after="0" w:line="240" w:lineRule="auto"/>
              <w:jc w:val="center"/>
              <w:rPr>
                <w:rFonts w:ascii="Arial" w:eastAsia="Times New Roman" w:hAnsi="Arial" w:cs="Arial"/>
                <w:sz w:val="24"/>
                <w:szCs w:val="24"/>
              </w:rPr>
            </w:pPr>
            <w:r w:rsidRPr="00702A15">
              <w:rPr>
                <w:rFonts w:ascii="Arial" w:eastAsia="Times New Roman" w:hAnsi="Arial" w:cs="Arial"/>
                <w:sz w:val="24"/>
                <w:szCs w:val="24"/>
              </w:rPr>
              <w:t>207/3,0</w:t>
            </w:r>
          </w:p>
        </w:tc>
      </w:tr>
      <w:tr w:rsidR="00420717" w:rsidRPr="00702A15" w:rsidTr="00D92384">
        <w:trPr>
          <w:jc w:val="center"/>
        </w:trPr>
        <w:tc>
          <w:tcPr>
            <w:tcW w:w="1264" w:type="dxa"/>
            <w:vMerge/>
            <w:shd w:val="clear" w:color="auto" w:fill="auto"/>
          </w:tcPr>
          <w:p w:rsidR="00420717" w:rsidRPr="00702A15" w:rsidRDefault="00420717" w:rsidP="00D92384">
            <w:pPr>
              <w:spacing w:after="0" w:line="240" w:lineRule="auto"/>
              <w:jc w:val="both"/>
              <w:rPr>
                <w:rFonts w:ascii="Arial" w:hAnsi="Arial" w:cs="Arial"/>
                <w:sz w:val="24"/>
                <w:szCs w:val="24"/>
              </w:rPr>
            </w:pPr>
          </w:p>
        </w:tc>
        <w:tc>
          <w:tcPr>
            <w:tcW w:w="1857" w:type="dxa"/>
            <w:shd w:val="clear" w:color="auto" w:fill="auto"/>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 Apa Pr</w:t>
            </w:r>
            <w:r w:rsidRPr="00702A15">
              <w:rPr>
                <w:rFonts w:ascii="Arial" w:hAnsi="Arial" w:cs="Arial"/>
                <w:sz w:val="24"/>
                <w:szCs w:val="24"/>
              </w:rPr>
              <w:t>i</w:t>
            </w:r>
            <w:r w:rsidRPr="00702A15">
              <w:rPr>
                <w:rFonts w:ascii="Arial" w:hAnsi="Arial" w:cs="Arial"/>
                <w:sz w:val="24"/>
                <w:szCs w:val="24"/>
              </w:rPr>
              <w:t>ma SRL Berca</w:t>
            </w:r>
          </w:p>
        </w:tc>
        <w:tc>
          <w:tcPr>
            <w:tcW w:w="1216"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8.288</w:t>
            </w:r>
          </w:p>
        </w:tc>
        <w:tc>
          <w:tcPr>
            <w:tcW w:w="1216"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7,5</w:t>
            </w:r>
          </w:p>
        </w:tc>
        <w:tc>
          <w:tcPr>
            <w:tcW w:w="145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66</w:t>
            </w:r>
          </w:p>
        </w:tc>
        <w:tc>
          <w:tcPr>
            <w:tcW w:w="1190"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89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2.511/30</w:t>
            </w:r>
          </w:p>
        </w:tc>
      </w:tr>
      <w:tr w:rsidR="00420717" w:rsidRPr="00702A15" w:rsidTr="00D92384">
        <w:trPr>
          <w:jc w:val="center"/>
        </w:trPr>
        <w:tc>
          <w:tcPr>
            <w:tcW w:w="1264" w:type="dxa"/>
            <w:vMerge/>
            <w:shd w:val="clear" w:color="auto" w:fill="auto"/>
          </w:tcPr>
          <w:p w:rsidR="00420717" w:rsidRPr="00702A15" w:rsidRDefault="00420717" w:rsidP="00D92384">
            <w:pPr>
              <w:spacing w:after="0" w:line="240" w:lineRule="auto"/>
              <w:jc w:val="both"/>
              <w:rPr>
                <w:rFonts w:ascii="Arial" w:hAnsi="Arial" w:cs="Arial"/>
                <w:sz w:val="24"/>
                <w:szCs w:val="24"/>
              </w:rPr>
            </w:pPr>
          </w:p>
        </w:tc>
        <w:tc>
          <w:tcPr>
            <w:tcW w:w="1857" w:type="dxa"/>
            <w:shd w:val="clear" w:color="auto" w:fill="auto"/>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Comuna G</w:t>
            </w:r>
            <w:r w:rsidRPr="00702A15">
              <w:rPr>
                <w:rFonts w:ascii="Arial" w:hAnsi="Arial" w:cs="Arial"/>
                <w:sz w:val="24"/>
                <w:szCs w:val="24"/>
              </w:rPr>
              <w:t>u</w:t>
            </w:r>
            <w:r w:rsidRPr="00702A15">
              <w:rPr>
                <w:rFonts w:ascii="Arial" w:hAnsi="Arial" w:cs="Arial"/>
                <w:sz w:val="24"/>
                <w:szCs w:val="24"/>
              </w:rPr>
              <w:t>ra Teghii</w:t>
            </w:r>
          </w:p>
        </w:tc>
        <w:tc>
          <w:tcPr>
            <w:tcW w:w="1216"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3.374</w:t>
            </w:r>
          </w:p>
        </w:tc>
        <w:tc>
          <w:tcPr>
            <w:tcW w:w="1216"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3,7</w:t>
            </w:r>
          </w:p>
        </w:tc>
        <w:tc>
          <w:tcPr>
            <w:tcW w:w="145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25</w:t>
            </w:r>
          </w:p>
        </w:tc>
        <w:tc>
          <w:tcPr>
            <w:tcW w:w="1190"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89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206/6,1</w:t>
            </w:r>
          </w:p>
        </w:tc>
      </w:tr>
      <w:tr w:rsidR="00420717" w:rsidRPr="00702A15" w:rsidTr="00D92384">
        <w:trPr>
          <w:jc w:val="center"/>
        </w:trPr>
        <w:tc>
          <w:tcPr>
            <w:tcW w:w="1264" w:type="dxa"/>
            <w:vMerge/>
            <w:shd w:val="clear" w:color="auto" w:fill="auto"/>
          </w:tcPr>
          <w:p w:rsidR="00420717" w:rsidRPr="00702A15" w:rsidRDefault="00420717" w:rsidP="00D92384">
            <w:pPr>
              <w:spacing w:after="0" w:line="240" w:lineRule="auto"/>
              <w:jc w:val="both"/>
              <w:rPr>
                <w:rFonts w:ascii="Arial" w:hAnsi="Arial" w:cs="Arial"/>
                <w:sz w:val="24"/>
                <w:szCs w:val="24"/>
              </w:rPr>
            </w:pPr>
          </w:p>
        </w:tc>
        <w:tc>
          <w:tcPr>
            <w:tcW w:w="1857" w:type="dxa"/>
            <w:shd w:val="clear" w:color="auto" w:fill="auto"/>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Comuna Mărăcineni</w:t>
            </w:r>
          </w:p>
        </w:tc>
        <w:tc>
          <w:tcPr>
            <w:tcW w:w="1216"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10.345</w:t>
            </w:r>
          </w:p>
        </w:tc>
        <w:tc>
          <w:tcPr>
            <w:tcW w:w="1216"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41</w:t>
            </w:r>
          </w:p>
        </w:tc>
        <w:tc>
          <w:tcPr>
            <w:tcW w:w="145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117,4</w:t>
            </w:r>
          </w:p>
        </w:tc>
        <w:tc>
          <w:tcPr>
            <w:tcW w:w="1190"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89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7.241/70,0</w:t>
            </w:r>
          </w:p>
        </w:tc>
      </w:tr>
      <w:tr w:rsidR="00420717" w:rsidRPr="00702A15" w:rsidTr="00D92384">
        <w:trPr>
          <w:jc w:val="center"/>
        </w:trPr>
        <w:tc>
          <w:tcPr>
            <w:tcW w:w="1264" w:type="dxa"/>
            <w:vMerge/>
            <w:shd w:val="clear" w:color="auto" w:fill="auto"/>
          </w:tcPr>
          <w:p w:rsidR="00420717" w:rsidRPr="00702A15" w:rsidRDefault="00420717" w:rsidP="00D92384">
            <w:pPr>
              <w:spacing w:after="0" w:line="240" w:lineRule="auto"/>
              <w:jc w:val="both"/>
              <w:rPr>
                <w:rFonts w:ascii="Arial" w:hAnsi="Arial" w:cs="Arial"/>
                <w:sz w:val="24"/>
                <w:szCs w:val="24"/>
              </w:rPr>
            </w:pPr>
          </w:p>
        </w:tc>
        <w:tc>
          <w:tcPr>
            <w:tcW w:w="1857" w:type="dxa"/>
            <w:shd w:val="clear" w:color="auto" w:fill="auto"/>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Comuna Pîrscov</w:t>
            </w:r>
          </w:p>
        </w:tc>
        <w:tc>
          <w:tcPr>
            <w:tcW w:w="1216"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6.171</w:t>
            </w:r>
          </w:p>
        </w:tc>
        <w:tc>
          <w:tcPr>
            <w:tcW w:w="1216"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1,5</w:t>
            </w:r>
          </w:p>
        </w:tc>
        <w:tc>
          <w:tcPr>
            <w:tcW w:w="145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190"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w:t>
            </w:r>
          </w:p>
        </w:tc>
        <w:tc>
          <w:tcPr>
            <w:tcW w:w="1897" w:type="dxa"/>
            <w:shd w:val="clear" w:color="auto" w:fill="auto"/>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265/4,2</w:t>
            </w:r>
          </w:p>
        </w:tc>
      </w:tr>
      <w:tr w:rsidR="00420717" w:rsidRPr="00702A15" w:rsidTr="00D92384">
        <w:trPr>
          <w:jc w:val="center"/>
        </w:trPr>
        <w:tc>
          <w:tcPr>
            <w:tcW w:w="3121" w:type="dxa"/>
            <w:gridSpan w:val="2"/>
            <w:shd w:val="clear" w:color="auto" w:fill="auto"/>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Total</w:t>
            </w:r>
          </w:p>
        </w:tc>
        <w:tc>
          <w:tcPr>
            <w:tcW w:w="1216" w:type="dxa"/>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46.029</w:t>
            </w:r>
          </w:p>
        </w:tc>
        <w:tc>
          <w:tcPr>
            <w:tcW w:w="1216"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78,2</w:t>
            </w:r>
          </w:p>
        </w:tc>
        <w:tc>
          <w:tcPr>
            <w:tcW w:w="1457"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259,9</w:t>
            </w:r>
          </w:p>
        </w:tc>
        <w:tc>
          <w:tcPr>
            <w:tcW w:w="1190"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10</w:t>
            </w:r>
          </w:p>
        </w:tc>
        <w:tc>
          <w:tcPr>
            <w:tcW w:w="1897" w:type="dxa"/>
            <w:shd w:val="clear" w:color="auto" w:fill="auto"/>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11.327/24,6</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sz w:val="24"/>
          <w:szCs w:val="24"/>
        </w:rPr>
        <w:t>Tabel II.2.2.2.3. Nivelul de colectare al apelor uzate în mediul rural, în judeţul Buzău, în anul 2014</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Sursa datelor: Compania de Apă Buzău, primăria Gura Teghii, primăria Mărăcineni, primăria Berca, primăria Pîrscov</w:t>
      </w:r>
    </w:p>
    <w:p w:rsidR="00420717" w:rsidRPr="00702A15" w:rsidRDefault="00420717" w:rsidP="00420717">
      <w:pPr>
        <w:tabs>
          <w:tab w:val="left" w:pos="1204"/>
          <w:tab w:val="left" w:leader="dot" w:pos="9356"/>
        </w:tabs>
        <w:spacing w:after="0" w:line="240" w:lineRule="auto"/>
        <w:jc w:val="both"/>
        <w:rPr>
          <w:rFonts w:ascii="Arial" w:hAnsi="Arial" w:cs="Arial"/>
          <w:b/>
          <w:bCs/>
          <w:sz w:val="24"/>
          <w:szCs w:val="24"/>
        </w:rPr>
      </w:pPr>
    </w:p>
    <w:p w:rsidR="00420717" w:rsidRDefault="00420717" w:rsidP="00420717">
      <w:pPr>
        <w:pStyle w:val="Default"/>
        <w:jc w:val="both"/>
        <w:rPr>
          <w:bCs/>
          <w:color w:val="auto"/>
        </w:rPr>
      </w:pPr>
      <w:r w:rsidRPr="00702A15">
        <w:rPr>
          <w:color w:val="auto"/>
        </w:rPr>
        <w:t>Situa</w:t>
      </w:r>
      <w:r>
        <w:rPr>
          <w:color w:val="auto"/>
        </w:rPr>
        <w:t>ţ</w:t>
      </w:r>
      <w:r w:rsidRPr="00702A15">
        <w:rPr>
          <w:color w:val="auto"/>
        </w:rPr>
        <w:t>ia privind racordarea aglomerărilor umane la sistemele de colectare a apelor uzate, din jude</w:t>
      </w:r>
      <w:r>
        <w:rPr>
          <w:color w:val="auto"/>
        </w:rPr>
        <w:t>ţ</w:t>
      </w:r>
      <w:r w:rsidRPr="00702A15">
        <w:rPr>
          <w:color w:val="auto"/>
        </w:rPr>
        <w:t xml:space="preserve">ul Buzău, </w:t>
      </w:r>
      <w:r w:rsidRPr="00702A15">
        <w:rPr>
          <w:bCs/>
          <w:color w:val="auto"/>
        </w:rPr>
        <w:t>la sfâr</w:t>
      </w:r>
      <w:r>
        <w:rPr>
          <w:bCs/>
          <w:color w:val="auto"/>
        </w:rPr>
        <w:t>ş</w:t>
      </w:r>
      <w:r w:rsidRPr="00702A15">
        <w:rPr>
          <w:bCs/>
          <w:color w:val="auto"/>
        </w:rPr>
        <w:t>itul anului 2014 este redată în tabelul următor (RO 24).</w:t>
      </w:r>
    </w:p>
    <w:p w:rsidR="005864AC" w:rsidRDefault="005864AC" w:rsidP="00420717">
      <w:pPr>
        <w:pStyle w:val="Default"/>
        <w:jc w:val="both"/>
        <w:rPr>
          <w:bCs/>
          <w:color w:val="auto"/>
        </w:rPr>
      </w:pPr>
    </w:p>
    <w:p w:rsidR="005864AC" w:rsidRPr="00702A15" w:rsidRDefault="005864AC" w:rsidP="00420717">
      <w:pPr>
        <w:pStyle w:val="Default"/>
        <w:jc w:val="both"/>
        <w:rPr>
          <w:bCs/>
          <w:color w:val="auto"/>
        </w:rPr>
      </w:pP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48"/>
        <w:gridCol w:w="1444"/>
        <w:gridCol w:w="1695"/>
        <w:gridCol w:w="1710"/>
        <w:gridCol w:w="1834"/>
      </w:tblGrid>
      <w:tr w:rsidR="00420717" w:rsidRPr="00702A15" w:rsidTr="00D92384">
        <w:trPr>
          <w:jc w:val="center"/>
        </w:trPr>
        <w:tc>
          <w:tcPr>
            <w:tcW w:w="2248" w:type="dxa"/>
            <w:vAlign w:val="center"/>
          </w:tcPr>
          <w:p w:rsidR="00420717" w:rsidRPr="00702A15" w:rsidRDefault="00420717" w:rsidP="00D92384">
            <w:pPr>
              <w:pStyle w:val="Default"/>
              <w:jc w:val="center"/>
              <w:rPr>
                <w:b/>
                <w:bCs/>
                <w:color w:val="auto"/>
              </w:rPr>
            </w:pPr>
            <w:r w:rsidRPr="00702A15">
              <w:rPr>
                <w:b/>
                <w:bCs/>
                <w:color w:val="auto"/>
              </w:rPr>
              <w:t>Dimensiune aglomerări (l.e.)</w:t>
            </w:r>
          </w:p>
        </w:tc>
        <w:tc>
          <w:tcPr>
            <w:tcW w:w="1444" w:type="dxa"/>
            <w:vAlign w:val="center"/>
          </w:tcPr>
          <w:p w:rsidR="00420717" w:rsidRPr="00702A15" w:rsidRDefault="00420717" w:rsidP="00D92384">
            <w:pPr>
              <w:pStyle w:val="Default"/>
              <w:jc w:val="center"/>
              <w:rPr>
                <w:b/>
                <w:bCs/>
                <w:color w:val="auto"/>
              </w:rPr>
            </w:pPr>
            <w:r w:rsidRPr="00702A15">
              <w:rPr>
                <w:b/>
                <w:bCs/>
                <w:color w:val="auto"/>
              </w:rPr>
              <w:t>Număr aglomerări</w:t>
            </w:r>
          </w:p>
        </w:tc>
        <w:tc>
          <w:tcPr>
            <w:tcW w:w="1695" w:type="dxa"/>
            <w:vAlign w:val="center"/>
          </w:tcPr>
          <w:p w:rsidR="00420717" w:rsidRPr="00702A15" w:rsidRDefault="00420717" w:rsidP="00D92384">
            <w:pPr>
              <w:pStyle w:val="Default"/>
              <w:jc w:val="center"/>
              <w:rPr>
                <w:b/>
                <w:bCs/>
                <w:color w:val="auto"/>
              </w:rPr>
            </w:pPr>
            <w:r w:rsidRPr="00702A15">
              <w:rPr>
                <w:b/>
                <w:bCs/>
                <w:color w:val="auto"/>
              </w:rPr>
              <w:t>% din total număr aglomerări</w:t>
            </w:r>
          </w:p>
        </w:tc>
        <w:tc>
          <w:tcPr>
            <w:tcW w:w="1710" w:type="dxa"/>
            <w:vAlign w:val="center"/>
          </w:tcPr>
          <w:p w:rsidR="00420717" w:rsidRPr="00702A15" w:rsidRDefault="00420717" w:rsidP="00D92384">
            <w:pPr>
              <w:pStyle w:val="Default"/>
              <w:jc w:val="center"/>
              <w:rPr>
                <w:b/>
                <w:bCs/>
                <w:color w:val="auto"/>
              </w:rPr>
            </w:pPr>
            <w:r w:rsidRPr="00702A15">
              <w:rPr>
                <w:b/>
                <w:bCs/>
                <w:color w:val="auto"/>
              </w:rPr>
              <w:t>Încărcare totală (l.e.)</w:t>
            </w:r>
          </w:p>
        </w:tc>
        <w:tc>
          <w:tcPr>
            <w:tcW w:w="1834" w:type="dxa"/>
            <w:vAlign w:val="center"/>
          </w:tcPr>
          <w:p w:rsidR="00420717" w:rsidRPr="00702A15" w:rsidRDefault="00420717" w:rsidP="00D92384">
            <w:pPr>
              <w:pStyle w:val="Default"/>
              <w:jc w:val="center"/>
              <w:rPr>
                <w:b/>
                <w:bCs/>
                <w:color w:val="auto"/>
                <w:lang w:val="en-US"/>
              </w:rPr>
            </w:pPr>
            <w:r w:rsidRPr="00702A15">
              <w:rPr>
                <w:b/>
                <w:bCs/>
                <w:color w:val="auto"/>
              </w:rPr>
              <w:t>% din total l.e.</w:t>
            </w:r>
          </w:p>
        </w:tc>
      </w:tr>
      <w:tr w:rsidR="00420717" w:rsidRPr="00702A15" w:rsidTr="00D92384">
        <w:trPr>
          <w:jc w:val="center"/>
        </w:trPr>
        <w:tc>
          <w:tcPr>
            <w:tcW w:w="2248" w:type="dxa"/>
            <w:vAlign w:val="center"/>
          </w:tcPr>
          <w:p w:rsidR="00420717" w:rsidRPr="00702A15" w:rsidRDefault="00420717" w:rsidP="00D92384">
            <w:pPr>
              <w:pStyle w:val="Default"/>
              <w:jc w:val="center"/>
              <w:rPr>
                <w:bCs/>
                <w:color w:val="auto"/>
              </w:rPr>
            </w:pPr>
            <w:r w:rsidRPr="00702A15">
              <w:rPr>
                <w:bCs/>
                <w:color w:val="auto"/>
              </w:rPr>
              <w:t>&gt;150.000</w:t>
            </w:r>
          </w:p>
        </w:tc>
        <w:tc>
          <w:tcPr>
            <w:tcW w:w="1444" w:type="dxa"/>
            <w:vAlign w:val="center"/>
          </w:tcPr>
          <w:p w:rsidR="00420717" w:rsidRPr="00702A15" w:rsidRDefault="00420717" w:rsidP="00D92384">
            <w:pPr>
              <w:pStyle w:val="Default"/>
              <w:jc w:val="center"/>
              <w:rPr>
                <w:bCs/>
                <w:color w:val="auto"/>
              </w:rPr>
            </w:pPr>
            <w:r w:rsidRPr="00702A15">
              <w:rPr>
                <w:bCs/>
                <w:color w:val="auto"/>
              </w:rPr>
              <w:t>0</w:t>
            </w:r>
          </w:p>
        </w:tc>
        <w:tc>
          <w:tcPr>
            <w:tcW w:w="1695" w:type="dxa"/>
            <w:vAlign w:val="center"/>
          </w:tcPr>
          <w:p w:rsidR="00420717" w:rsidRPr="00702A15" w:rsidRDefault="00420717" w:rsidP="00D92384">
            <w:pPr>
              <w:pStyle w:val="Default"/>
              <w:jc w:val="center"/>
              <w:rPr>
                <w:bCs/>
                <w:color w:val="auto"/>
              </w:rPr>
            </w:pPr>
            <w:r w:rsidRPr="00702A15">
              <w:rPr>
                <w:bCs/>
                <w:color w:val="auto"/>
              </w:rPr>
              <w:t>0</w:t>
            </w:r>
          </w:p>
        </w:tc>
        <w:tc>
          <w:tcPr>
            <w:tcW w:w="1710" w:type="dxa"/>
            <w:vAlign w:val="center"/>
          </w:tcPr>
          <w:p w:rsidR="00420717" w:rsidRPr="00702A15" w:rsidRDefault="00420717" w:rsidP="00D92384">
            <w:pPr>
              <w:pStyle w:val="Default"/>
              <w:jc w:val="center"/>
              <w:rPr>
                <w:bCs/>
                <w:color w:val="auto"/>
              </w:rPr>
            </w:pPr>
            <w:r w:rsidRPr="00702A15">
              <w:rPr>
                <w:bCs/>
                <w:color w:val="auto"/>
              </w:rPr>
              <w:t>0</w:t>
            </w:r>
          </w:p>
        </w:tc>
        <w:tc>
          <w:tcPr>
            <w:tcW w:w="1834" w:type="dxa"/>
            <w:vAlign w:val="center"/>
          </w:tcPr>
          <w:p w:rsidR="00420717" w:rsidRPr="00702A15" w:rsidRDefault="00420717" w:rsidP="00D92384">
            <w:pPr>
              <w:pStyle w:val="Default"/>
              <w:jc w:val="center"/>
              <w:rPr>
                <w:bCs/>
                <w:color w:val="auto"/>
              </w:rPr>
            </w:pPr>
            <w:r w:rsidRPr="00702A15">
              <w:rPr>
                <w:bCs/>
                <w:color w:val="auto"/>
              </w:rPr>
              <w:t>0</w:t>
            </w:r>
          </w:p>
        </w:tc>
      </w:tr>
      <w:tr w:rsidR="00420717" w:rsidRPr="00702A15" w:rsidTr="00D92384">
        <w:trPr>
          <w:jc w:val="center"/>
        </w:trPr>
        <w:tc>
          <w:tcPr>
            <w:tcW w:w="2248" w:type="dxa"/>
            <w:vAlign w:val="center"/>
          </w:tcPr>
          <w:p w:rsidR="00420717" w:rsidRPr="00702A15" w:rsidRDefault="00420717" w:rsidP="00D92384">
            <w:pPr>
              <w:pStyle w:val="Default"/>
              <w:jc w:val="center"/>
              <w:rPr>
                <w:bCs/>
                <w:color w:val="auto"/>
              </w:rPr>
            </w:pPr>
            <w:r w:rsidRPr="00702A15">
              <w:rPr>
                <w:bCs/>
                <w:color w:val="auto"/>
              </w:rPr>
              <w:t>15.000 - 150.000</w:t>
            </w:r>
          </w:p>
        </w:tc>
        <w:tc>
          <w:tcPr>
            <w:tcW w:w="1444" w:type="dxa"/>
            <w:vAlign w:val="center"/>
          </w:tcPr>
          <w:p w:rsidR="00420717" w:rsidRPr="00702A15" w:rsidRDefault="00420717" w:rsidP="00D92384">
            <w:pPr>
              <w:pStyle w:val="Default"/>
              <w:jc w:val="center"/>
              <w:rPr>
                <w:bCs/>
                <w:color w:val="auto"/>
              </w:rPr>
            </w:pPr>
            <w:r w:rsidRPr="00702A15">
              <w:rPr>
                <w:bCs/>
                <w:color w:val="auto"/>
              </w:rPr>
              <w:t>1</w:t>
            </w:r>
          </w:p>
        </w:tc>
        <w:tc>
          <w:tcPr>
            <w:tcW w:w="1695" w:type="dxa"/>
            <w:vAlign w:val="center"/>
          </w:tcPr>
          <w:p w:rsidR="00420717" w:rsidRPr="00702A15" w:rsidRDefault="00420717" w:rsidP="00D92384">
            <w:pPr>
              <w:pStyle w:val="Default"/>
              <w:jc w:val="center"/>
              <w:rPr>
                <w:bCs/>
                <w:color w:val="auto"/>
              </w:rPr>
            </w:pPr>
            <w:r w:rsidRPr="00702A15">
              <w:rPr>
                <w:bCs/>
                <w:color w:val="auto"/>
              </w:rPr>
              <w:t>2</w:t>
            </w:r>
          </w:p>
        </w:tc>
        <w:tc>
          <w:tcPr>
            <w:tcW w:w="1710" w:type="dxa"/>
            <w:vAlign w:val="center"/>
          </w:tcPr>
          <w:p w:rsidR="00420717" w:rsidRPr="00702A15" w:rsidRDefault="00420717" w:rsidP="00D92384">
            <w:pPr>
              <w:pStyle w:val="Default"/>
              <w:jc w:val="center"/>
              <w:rPr>
                <w:bCs/>
                <w:color w:val="auto"/>
              </w:rPr>
            </w:pPr>
            <w:r w:rsidRPr="00702A15">
              <w:rPr>
                <w:bCs/>
                <w:color w:val="auto"/>
              </w:rPr>
              <w:t>123.163</w:t>
            </w:r>
          </w:p>
        </w:tc>
        <w:tc>
          <w:tcPr>
            <w:tcW w:w="1834" w:type="dxa"/>
            <w:vAlign w:val="center"/>
          </w:tcPr>
          <w:p w:rsidR="00420717" w:rsidRPr="00702A15" w:rsidRDefault="00420717" w:rsidP="00D92384">
            <w:pPr>
              <w:pStyle w:val="Default"/>
              <w:jc w:val="center"/>
              <w:rPr>
                <w:bCs/>
                <w:color w:val="auto"/>
              </w:rPr>
            </w:pPr>
            <w:r w:rsidRPr="00702A15">
              <w:rPr>
                <w:bCs/>
                <w:color w:val="auto"/>
              </w:rPr>
              <w:t>33</w:t>
            </w:r>
          </w:p>
        </w:tc>
      </w:tr>
      <w:tr w:rsidR="00420717" w:rsidRPr="00702A15" w:rsidTr="00D92384">
        <w:trPr>
          <w:jc w:val="center"/>
        </w:trPr>
        <w:tc>
          <w:tcPr>
            <w:tcW w:w="2248" w:type="dxa"/>
            <w:vAlign w:val="center"/>
          </w:tcPr>
          <w:p w:rsidR="00420717" w:rsidRPr="00702A15" w:rsidRDefault="00420717" w:rsidP="00D92384">
            <w:pPr>
              <w:pStyle w:val="Default"/>
              <w:jc w:val="center"/>
              <w:rPr>
                <w:bCs/>
                <w:color w:val="auto"/>
              </w:rPr>
            </w:pPr>
            <w:r w:rsidRPr="00702A15">
              <w:rPr>
                <w:bCs/>
                <w:color w:val="auto"/>
              </w:rPr>
              <w:t>10.000 - 15.000</w:t>
            </w:r>
          </w:p>
        </w:tc>
        <w:tc>
          <w:tcPr>
            <w:tcW w:w="1444" w:type="dxa"/>
            <w:vAlign w:val="center"/>
          </w:tcPr>
          <w:p w:rsidR="00420717" w:rsidRPr="00702A15" w:rsidRDefault="00420717" w:rsidP="00D92384">
            <w:pPr>
              <w:pStyle w:val="Default"/>
              <w:jc w:val="center"/>
              <w:rPr>
                <w:bCs/>
                <w:color w:val="auto"/>
              </w:rPr>
            </w:pPr>
            <w:r w:rsidRPr="00702A15">
              <w:rPr>
                <w:bCs/>
                <w:color w:val="auto"/>
              </w:rPr>
              <w:t>1</w:t>
            </w:r>
          </w:p>
        </w:tc>
        <w:tc>
          <w:tcPr>
            <w:tcW w:w="1695" w:type="dxa"/>
            <w:vAlign w:val="center"/>
          </w:tcPr>
          <w:p w:rsidR="00420717" w:rsidRPr="00702A15" w:rsidRDefault="00420717" w:rsidP="00D92384">
            <w:pPr>
              <w:pStyle w:val="Default"/>
              <w:jc w:val="center"/>
              <w:rPr>
                <w:bCs/>
                <w:color w:val="auto"/>
              </w:rPr>
            </w:pPr>
            <w:r w:rsidRPr="00702A15">
              <w:rPr>
                <w:bCs/>
                <w:color w:val="auto"/>
              </w:rPr>
              <w:t>2</w:t>
            </w:r>
          </w:p>
        </w:tc>
        <w:tc>
          <w:tcPr>
            <w:tcW w:w="1710" w:type="dxa"/>
            <w:vAlign w:val="center"/>
          </w:tcPr>
          <w:p w:rsidR="00420717" w:rsidRPr="00702A15" w:rsidRDefault="00420717" w:rsidP="00D92384">
            <w:pPr>
              <w:pStyle w:val="Default"/>
              <w:jc w:val="center"/>
              <w:rPr>
                <w:bCs/>
                <w:color w:val="auto"/>
              </w:rPr>
            </w:pPr>
            <w:r w:rsidRPr="00702A15">
              <w:rPr>
                <w:bCs/>
                <w:color w:val="auto"/>
              </w:rPr>
              <w:t>10.211</w:t>
            </w:r>
          </w:p>
        </w:tc>
        <w:tc>
          <w:tcPr>
            <w:tcW w:w="1834" w:type="dxa"/>
            <w:vAlign w:val="center"/>
          </w:tcPr>
          <w:p w:rsidR="00420717" w:rsidRPr="00702A15" w:rsidRDefault="00420717" w:rsidP="00D92384">
            <w:pPr>
              <w:pStyle w:val="Default"/>
              <w:jc w:val="center"/>
              <w:rPr>
                <w:bCs/>
                <w:color w:val="auto"/>
              </w:rPr>
            </w:pPr>
            <w:r w:rsidRPr="00702A15">
              <w:rPr>
                <w:bCs/>
                <w:color w:val="auto"/>
              </w:rPr>
              <w:t>3</w:t>
            </w:r>
          </w:p>
        </w:tc>
      </w:tr>
      <w:tr w:rsidR="00420717" w:rsidRPr="00702A15" w:rsidTr="00D92384">
        <w:trPr>
          <w:jc w:val="center"/>
        </w:trPr>
        <w:tc>
          <w:tcPr>
            <w:tcW w:w="2248" w:type="dxa"/>
            <w:vAlign w:val="center"/>
          </w:tcPr>
          <w:p w:rsidR="00420717" w:rsidRPr="00702A15" w:rsidRDefault="00420717" w:rsidP="00D92384">
            <w:pPr>
              <w:pStyle w:val="Default"/>
              <w:jc w:val="center"/>
              <w:rPr>
                <w:bCs/>
                <w:color w:val="auto"/>
              </w:rPr>
            </w:pPr>
            <w:r w:rsidRPr="00702A15">
              <w:rPr>
                <w:bCs/>
                <w:color w:val="auto"/>
              </w:rPr>
              <w:lastRenderedPageBreak/>
              <w:t>2.000 - 10.000</w:t>
            </w:r>
          </w:p>
        </w:tc>
        <w:tc>
          <w:tcPr>
            <w:tcW w:w="1444" w:type="dxa"/>
            <w:vAlign w:val="center"/>
          </w:tcPr>
          <w:p w:rsidR="00420717" w:rsidRPr="00702A15" w:rsidRDefault="00420717" w:rsidP="00D92384">
            <w:pPr>
              <w:pStyle w:val="Default"/>
              <w:jc w:val="center"/>
              <w:rPr>
                <w:bCs/>
                <w:color w:val="auto"/>
              </w:rPr>
            </w:pPr>
            <w:r w:rsidRPr="00702A15">
              <w:rPr>
                <w:bCs/>
                <w:color w:val="auto"/>
              </w:rPr>
              <w:t>58</w:t>
            </w:r>
          </w:p>
        </w:tc>
        <w:tc>
          <w:tcPr>
            <w:tcW w:w="1695" w:type="dxa"/>
            <w:vAlign w:val="center"/>
          </w:tcPr>
          <w:p w:rsidR="00420717" w:rsidRPr="00702A15" w:rsidRDefault="00420717" w:rsidP="00D92384">
            <w:pPr>
              <w:pStyle w:val="Default"/>
              <w:jc w:val="center"/>
              <w:rPr>
                <w:bCs/>
                <w:color w:val="auto"/>
              </w:rPr>
            </w:pPr>
            <w:r w:rsidRPr="00702A15">
              <w:rPr>
                <w:bCs/>
                <w:color w:val="auto"/>
              </w:rPr>
              <w:t>96</w:t>
            </w:r>
          </w:p>
        </w:tc>
        <w:tc>
          <w:tcPr>
            <w:tcW w:w="1710" w:type="dxa"/>
            <w:vAlign w:val="center"/>
          </w:tcPr>
          <w:p w:rsidR="00420717" w:rsidRPr="00702A15" w:rsidRDefault="00420717" w:rsidP="00D92384">
            <w:pPr>
              <w:pStyle w:val="Default"/>
              <w:jc w:val="center"/>
              <w:rPr>
                <w:bCs/>
                <w:color w:val="auto"/>
              </w:rPr>
            </w:pPr>
            <w:r w:rsidRPr="00702A15">
              <w:rPr>
                <w:bCs/>
                <w:color w:val="auto"/>
              </w:rPr>
              <w:t>239.033</w:t>
            </w:r>
          </w:p>
        </w:tc>
        <w:tc>
          <w:tcPr>
            <w:tcW w:w="1834" w:type="dxa"/>
            <w:vAlign w:val="center"/>
          </w:tcPr>
          <w:p w:rsidR="00420717" w:rsidRPr="00702A15" w:rsidRDefault="00420717" w:rsidP="00D92384">
            <w:pPr>
              <w:pStyle w:val="Default"/>
              <w:jc w:val="center"/>
              <w:rPr>
                <w:bCs/>
                <w:color w:val="auto"/>
              </w:rPr>
            </w:pPr>
            <w:r w:rsidRPr="00702A15">
              <w:rPr>
                <w:bCs/>
                <w:color w:val="auto"/>
              </w:rPr>
              <w:t>64</w:t>
            </w:r>
          </w:p>
        </w:tc>
      </w:tr>
      <w:tr w:rsidR="00420717" w:rsidRPr="00702A15" w:rsidTr="00D92384">
        <w:trPr>
          <w:jc w:val="center"/>
        </w:trPr>
        <w:tc>
          <w:tcPr>
            <w:tcW w:w="2248" w:type="dxa"/>
            <w:vAlign w:val="center"/>
          </w:tcPr>
          <w:p w:rsidR="00420717" w:rsidRPr="00702A15" w:rsidRDefault="00420717" w:rsidP="00D92384">
            <w:pPr>
              <w:pStyle w:val="Default"/>
              <w:jc w:val="center"/>
              <w:rPr>
                <w:bCs/>
                <w:color w:val="auto"/>
              </w:rPr>
            </w:pPr>
            <w:r w:rsidRPr="00702A15">
              <w:rPr>
                <w:bCs/>
                <w:color w:val="auto"/>
              </w:rPr>
              <w:t>Total</w:t>
            </w:r>
          </w:p>
        </w:tc>
        <w:tc>
          <w:tcPr>
            <w:tcW w:w="1444" w:type="dxa"/>
            <w:vAlign w:val="center"/>
          </w:tcPr>
          <w:p w:rsidR="00420717" w:rsidRPr="00702A15" w:rsidRDefault="00420717" w:rsidP="00D92384">
            <w:pPr>
              <w:pStyle w:val="Default"/>
              <w:jc w:val="center"/>
              <w:rPr>
                <w:bCs/>
                <w:color w:val="auto"/>
              </w:rPr>
            </w:pPr>
            <w:r w:rsidRPr="00702A15">
              <w:rPr>
                <w:bCs/>
                <w:color w:val="auto"/>
              </w:rPr>
              <w:t>60</w:t>
            </w:r>
          </w:p>
        </w:tc>
        <w:tc>
          <w:tcPr>
            <w:tcW w:w="1695" w:type="dxa"/>
            <w:vAlign w:val="center"/>
          </w:tcPr>
          <w:p w:rsidR="00420717" w:rsidRPr="00702A15" w:rsidRDefault="00420717" w:rsidP="00D92384">
            <w:pPr>
              <w:pStyle w:val="Default"/>
              <w:jc w:val="center"/>
              <w:rPr>
                <w:bCs/>
                <w:color w:val="auto"/>
              </w:rPr>
            </w:pPr>
            <w:r w:rsidRPr="00702A15">
              <w:rPr>
                <w:bCs/>
                <w:color w:val="auto"/>
              </w:rPr>
              <w:t>100</w:t>
            </w:r>
          </w:p>
        </w:tc>
        <w:tc>
          <w:tcPr>
            <w:tcW w:w="1710" w:type="dxa"/>
            <w:vAlign w:val="center"/>
          </w:tcPr>
          <w:p w:rsidR="00420717" w:rsidRPr="00702A15" w:rsidRDefault="00420717" w:rsidP="00D92384">
            <w:pPr>
              <w:pStyle w:val="Default"/>
              <w:jc w:val="center"/>
              <w:rPr>
                <w:bCs/>
                <w:color w:val="auto"/>
              </w:rPr>
            </w:pPr>
            <w:r w:rsidRPr="00702A15">
              <w:rPr>
                <w:bCs/>
                <w:color w:val="auto"/>
              </w:rPr>
              <w:t>372.407</w:t>
            </w:r>
          </w:p>
        </w:tc>
        <w:tc>
          <w:tcPr>
            <w:tcW w:w="1834" w:type="dxa"/>
            <w:vAlign w:val="center"/>
          </w:tcPr>
          <w:p w:rsidR="00420717" w:rsidRPr="00702A15" w:rsidRDefault="00420717" w:rsidP="00D92384">
            <w:pPr>
              <w:pStyle w:val="Default"/>
              <w:jc w:val="center"/>
              <w:rPr>
                <w:bCs/>
                <w:color w:val="auto"/>
              </w:rPr>
            </w:pPr>
            <w:r w:rsidRPr="00702A15">
              <w:rPr>
                <w:bCs/>
                <w:color w:val="auto"/>
              </w:rPr>
              <w:t>100</w:t>
            </w:r>
          </w:p>
        </w:tc>
      </w:tr>
    </w:tbl>
    <w:p w:rsidR="00420717" w:rsidRPr="00AA0E3F" w:rsidRDefault="00420717" w:rsidP="00420717">
      <w:pPr>
        <w:tabs>
          <w:tab w:val="left" w:pos="1204"/>
          <w:tab w:val="left" w:leader="dot" w:pos="9356"/>
        </w:tabs>
        <w:spacing w:after="0" w:line="240" w:lineRule="auto"/>
        <w:jc w:val="both"/>
        <w:rPr>
          <w:rFonts w:ascii="Arial" w:hAnsi="Arial" w:cs="Arial"/>
          <w:b/>
          <w:sz w:val="24"/>
          <w:szCs w:val="24"/>
        </w:rPr>
      </w:pPr>
      <w:r w:rsidRPr="00AA0E3F">
        <w:rPr>
          <w:rFonts w:ascii="Arial" w:hAnsi="Arial" w:cs="Arial"/>
          <w:b/>
          <w:sz w:val="24"/>
          <w:szCs w:val="24"/>
        </w:rPr>
        <w:t>Tabel II.2.2.2.4. Situaţia privind racordarea aglomerărilor umane la sistemele de c</w:t>
      </w:r>
      <w:r w:rsidRPr="00AA0E3F">
        <w:rPr>
          <w:rFonts w:ascii="Arial" w:hAnsi="Arial" w:cs="Arial"/>
          <w:b/>
          <w:sz w:val="24"/>
          <w:szCs w:val="24"/>
        </w:rPr>
        <w:t>o</w:t>
      </w:r>
      <w:r w:rsidRPr="00AA0E3F">
        <w:rPr>
          <w:rFonts w:ascii="Arial" w:hAnsi="Arial" w:cs="Arial"/>
          <w:b/>
          <w:sz w:val="24"/>
          <w:szCs w:val="24"/>
        </w:rPr>
        <w:t xml:space="preserve">lectare a apelor uzate, din judeţul Buzău, </w:t>
      </w:r>
      <w:r w:rsidRPr="00AA0E3F">
        <w:rPr>
          <w:rFonts w:ascii="Arial" w:hAnsi="Arial" w:cs="Arial"/>
          <w:b/>
          <w:bCs/>
          <w:sz w:val="24"/>
          <w:szCs w:val="24"/>
        </w:rPr>
        <w:t>la sfârşitul anului 2014</w:t>
      </w:r>
    </w:p>
    <w:p w:rsidR="00420717" w:rsidRPr="00702A15" w:rsidRDefault="00420717" w:rsidP="00420717">
      <w:pPr>
        <w:tabs>
          <w:tab w:val="left" w:pos="1204"/>
          <w:tab w:val="left" w:leader="dot" w:pos="9356"/>
        </w:tabs>
        <w:spacing w:after="0" w:line="240" w:lineRule="auto"/>
        <w:jc w:val="right"/>
        <w:rPr>
          <w:rFonts w:ascii="Arial" w:hAnsi="Arial" w:cs="Arial"/>
          <w:sz w:val="24"/>
          <w:szCs w:val="24"/>
        </w:rPr>
      </w:pPr>
      <w:r w:rsidRPr="00702A15">
        <w:rPr>
          <w:rFonts w:ascii="Arial" w:hAnsi="Arial" w:cs="Arial"/>
          <w:sz w:val="24"/>
          <w:szCs w:val="24"/>
        </w:rPr>
        <w:t>Sursa datelor: ABA Buzău-Ialomi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pStyle w:val="Default"/>
        <w:jc w:val="both"/>
        <w:rPr>
          <w:color w:val="auto"/>
        </w:rPr>
      </w:pPr>
      <w:r w:rsidRPr="00702A15">
        <w:rPr>
          <w:color w:val="auto"/>
        </w:rPr>
        <w:t>SGA Vrancea nu a furnizat date pentru acest tabel.</w:t>
      </w:r>
    </w:p>
    <w:p w:rsidR="00420717" w:rsidRPr="00702A15" w:rsidRDefault="00420717" w:rsidP="00420717">
      <w:pPr>
        <w:spacing w:after="0" w:line="240" w:lineRule="auto"/>
        <w:jc w:val="both"/>
        <w:rPr>
          <w:rFonts w:ascii="Arial" w:hAnsi="Arial" w:cs="Arial"/>
          <w:sz w:val="24"/>
          <w:szCs w:val="24"/>
        </w:rPr>
      </w:pP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Evolu</w:t>
      </w:r>
      <w:r>
        <w:rPr>
          <w:rFonts w:ascii="Arial" w:hAnsi="Arial" w:cs="Arial"/>
          <w:sz w:val="24"/>
          <w:szCs w:val="24"/>
        </w:rPr>
        <w:t>ţ</w:t>
      </w:r>
      <w:r w:rsidRPr="00702A15">
        <w:rPr>
          <w:rFonts w:ascii="Arial" w:hAnsi="Arial" w:cs="Arial"/>
          <w:sz w:val="24"/>
          <w:szCs w:val="24"/>
        </w:rPr>
        <w:t>ia gradului de racordare a popula</w:t>
      </w:r>
      <w:r>
        <w:rPr>
          <w:rFonts w:ascii="Arial" w:hAnsi="Arial" w:cs="Arial"/>
          <w:sz w:val="24"/>
          <w:szCs w:val="24"/>
        </w:rPr>
        <w:t>ţ</w:t>
      </w:r>
      <w:r w:rsidRPr="00702A15">
        <w:rPr>
          <w:rFonts w:ascii="Arial" w:hAnsi="Arial" w:cs="Arial"/>
          <w:sz w:val="24"/>
          <w:szCs w:val="24"/>
        </w:rPr>
        <w:t xml:space="preserve">iei la sistemele de colectare </w:t>
      </w:r>
      <w:r>
        <w:rPr>
          <w:rFonts w:ascii="Arial" w:hAnsi="Arial" w:cs="Arial"/>
          <w:sz w:val="24"/>
          <w:szCs w:val="24"/>
        </w:rPr>
        <w:t>ş</w:t>
      </w:r>
      <w:r w:rsidRPr="00702A15">
        <w:rPr>
          <w:rFonts w:ascii="Arial" w:hAnsi="Arial" w:cs="Arial"/>
          <w:sz w:val="24"/>
          <w:szCs w:val="24"/>
        </w:rPr>
        <w:t>i epurare a apelor uzate, în judeţul Buzău, în perioada 2010-2014, este redată în tabelul următor.</w:t>
      </w:r>
    </w:p>
    <w:p w:rsidR="005864AC" w:rsidRPr="00702A15" w:rsidRDefault="005864AC" w:rsidP="00420717">
      <w:pPr>
        <w:spacing w:after="0" w:line="240" w:lineRule="auto"/>
        <w:jc w:val="both"/>
        <w:rPr>
          <w:rFonts w:ascii="Arial" w:hAnsi="Arial" w:cs="Arial"/>
          <w:sz w:val="24"/>
          <w:szCs w:val="24"/>
        </w:rPr>
      </w:pPr>
    </w:p>
    <w:tbl>
      <w:tblPr>
        <w:tblW w:w="0" w:type="auto"/>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163"/>
        <w:gridCol w:w="993"/>
        <w:gridCol w:w="992"/>
        <w:gridCol w:w="992"/>
        <w:gridCol w:w="992"/>
        <w:gridCol w:w="1084"/>
      </w:tblGrid>
      <w:tr w:rsidR="00420717" w:rsidRPr="00702A15" w:rsidTr="00D92384">
        <w:trPr>
          <w:jc w:val="center"/>
        </w:trPr>
        <w:tc>
          <w:tcPr>
            <w:tcW w:w="4163" w:type="dxa"/>
            <w:vMerge w:val="restart"/>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Specifica</w:t>
            </w:r>
            <w:r>
              <w:rPr>
                <w:rFonts w:ascii="Tahoma" w:hAnsi="Tahoma" w:cs="Tahoma"/>
                <w:b/>
                <w:sz w:val="24"/>
                <w:szCs w:val="24"/>
              </w:rPr>
              <w:t>ţ</w:t>
            </w:r>
            <w:r w:rsidRPr="00702A15">
              <w:rPr>
                <w:rFonts w:ascii="Arial" w:hAnsi="Arial" w:cs="Arial"/>
                <w:b/>
                <w:sz w:val="24"/>
                <w:szCs w:val="24"/>
              </w:rPr>
              <w:t>ia</w:t>
            </w:r>
          </w:p>
        </w:tc>
        <w:tc>
          <w:tcPr>
            <w:tcW w:w="5053" w:type="dxa"/>
            <w:gridSpan w:val="5"/>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Anul</w:t>
            </w:r>
          </w:p>
        </w:tc>
      </w:tr>
      <w:tr w:rsidR="00420717" w:rsidRPr="00702A15" w:rsidTr="00D92384">
        <w:trPr>
          <w:jc w:val="center"/>
        </w:trPr>
        <w:tc>
          <w:tcPr>
            <w:tcW w:w="0" w:type="auto"/>
            <w:vMerge/>
            <w:vAlign w:val="center"/>
          </w:tcPr>
          <w:p w:rsidR="00420717" w:rsidRPr="00702A15" w:rsidRDefault="00420717" w:rsidP="00D92384">
            <w:pPr>
              <w:spacing w:after="0" w:line="240" w:lineRule="auto"/>
              <w:rPr>
                <w:rFonts w:ascii="Arial" w:hAnsi="Arial" w:cs="Arial"/>
                <w:sz w:val="24"/>
                <w:szCs w:val="24"/>
              </w:rPr>
            </w:pPr>
          </w:p>
        </w:tc>
        <w:tc>
          <w:tcPr>
            <w:tcW w:w="993"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2010</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2011</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2012</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2013</w:t>
            </w:r>
          </w:p>
        </w:tc>
        <w:tc>
          <w:tcPr>
            <w:tcW w:w="108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2014</w:t>
            </w:r>
          </w:p>
        </w:tc>
      </w:tr>
      <w:tr w:rsidR="00420717" w:rsidRPr="00702A15" w:rsidTr="00D92384">
        <w:trPr>
          <w:jc w:val="center"/>
        </w:trPr>
        <w:tc>
          <w:tcPr>
            <w:tcW w:w="416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Popula</w:t>
            </w:r>
            <w:r>
              <w:rPr>
                <w:rFonts w:ascii="Tahoma" w:hAnsi="Tahoma" w:cs="Tahoma"/>
                <w:sz w:val="24"/>
                <w:szCs w:val="24"/>
              </w:rPr>
              <w:t>ţ</w:t>
            </w:r>
            <w:r w:rsidRPr="00702A15">
              <w:rPr>
                <w:rFonts w:ascii="Arial" w:hAnsi="Arial" w:cs="Arial"/>
                <w:sz w:val="24"/>
                <w:szCs w:val="24"/>
              </w:rPr>
              <w:t>ie racordată (număr)</w:t>
            </w:r>
          </w:p>
        </w:tc>
        <w:tc>
          <w:tcPr>
            <w:tcW w:w="993"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08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120.225</w:t>
            </w:r>
          </w:p>
        </w:tc>
      </w:tr>
      <w:tr w:rsidR="00420717" w:rsidRPr="00702A15" w:rsidTr="00D92384">
        <w:trPr>
          <w:jc w:val="center"/>
        </w:trPr>
        <w:tc>
          <w:tcPr>
            <w:tcW w:w="416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Grad de racordare (%)</w:t>
            </w:r>
          </w:p>
        </w:tc>
        <w:tc>
          <w:tcPr>
            <w:tcW w:w="993"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992"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1084" w:type="dxa"/>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31</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sz w:val="24"/>
          <w:szCs w:val="24"/>
        </w:rPr>
        <w:t xml:space="preserve">       Tabel II.2.2.2.5. Evoluţia gradului de racordare a populaţiei la sistemele de cole</w:t>
      </w:r>
      <w:r w:rsidRPr="00AA0E3F">
        <w:rPr>
          <w:rFonts w:ascii="Arial" w:hAnsi="Arial" w:cs="Arial"/>
          <w:b/>
          <w:sz w:val="24"/>
          <w:szCs w:val="24"/>
        </w:rPr>
        <w:t>c</w:t>
      </w:r>
      <w:r w:rsidRPr="00AA0E3F">
        <w:rPr>
          <w:rFonts w:ascii="Arial" w:hAnsi="Arial" w:cs="Arial"/>
          <w:b/>
          <w:sz w:val="24"/>
          <w:szCs w:val="24"/>
        </w:rPr>
        <w:t>tare şi epurare a apelor uzate, în judeţul Buzău, în perioada 2010-2014</w:t>
      </w:r>
    </w:p>
    <w:p w:rsidR="00420717" w:rsidRPr="00702A15" w:rsidRDefault="00420717" w:rsidP="00420717">
      <w:pPr>
        <w:tabs>
          <w:tab w:val="left" w:pos="1204"/>
          <w:tab w:val="left" w:leader="dot" w:pos="9356"/>
        </w:tabs>
        <w:spacing w:after="0" w:line="240" w:lineRule="auto"/>
        <w:jc w:val="right"/>
        <w:rPr>
          <w:rFonts w:ascii="Arial" w:hAnsi="Arial" w:cs="Arial"/>
          <w:sz w:val="24"/>
          <w:szCs w:val="24"/>
        </w:rPr>
      </w:pPr>
      <w:r w:rsidRPr="00702A15">
        <w:rPr>
          <w:rFonts w:ascii="Arial" w:hAnsi="Arial" w:cs="Arial"/>
          <w:sz w:val="24"/>
          <w:szCs w:val="24"/>
        </w:rPr>
        <w:t>Sursa datelor: ABA Buzău-Ialomi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pStyle w:val="Default"/>
        <w:jc w:val="both"/>
        <w:rPr>
          <w:color w:val="auto"/>
        </w:rPr>
      </w:pPr>
      <w:r w:rsidRPr="00702A15">
        <w:rPr>
          <w:color w:val="auto"/>
        </w:rPr>
        <w:t>SGA Vrancea nu a furnizat date pentru acest tabel.</w:t>
      </w:r>
    </w:p>
    <w:p w:rsidR="005864AC" w:rsidRDefault="005864AC" w:rsidP="00420717">
      <w:pPr>
        <w:pStyle w:val="Default"/>
        <w:jc w:val="both"/>
        <w:rPr>
          <w:bCs/>
          <w:color w:val="auto"/>
        </w:rPr>
      </w:pPr>
    </w:p>
    <w:p w:rsidR="00420717" w:rsidRPr="00702A15" w:rsidRDefault="00420717" w:rsidP="00420717">
      <w:pPr>
        <w:pStyle w:val="Default"/>
        <w:jc w:val="both"/>
        <w:rPr>
          <w:bCs/>
          <w:color w:val="auto"/>
        </w:rPr>
      </w:pPr>
      <w:r w:rsidRPr="00702A15">
        <w:rPr>
          <w:bCs/>
          <w:color w:val="auto"/>
        </w:rPr>
        <w:t xml:space="preserve">Pentru situaţia previzionată pentru sistemele de canalizare până la sfârşitul termenului de implementare al </w:t>
      </w:r>
      <w:r w:rsidRPr="00702A15">
        <w:rPr>
          <w:color w:val="auto"/>
        </w:rPr>
        <w:t xml:space="preserve">Directivelor privind epurarea apelor uzate (91/271/CEE şi 98/15/EC) la nivel naţional şi implicit, conformarea cu obiectivele acquis-ului comunitar privind colectarea, descărcarea şi epurarea apelor uzate municipale </w:t>
      </w:r>
      <w:r w:rsidRPr="00702A15">
        <w:rPr>
          <w:bCs/>
          <w:color w:val="auto"/>
        </w:rPr>
        <w:t>pentru jude</w:t>
      </w:r>
      <w:r>
        <w:rPr>
          <w:bCs/>
          <w:color w:val="auto"/>
        </w:rPr>
        <w:t>ţ</w:t>
      </w:r>
      <w:r w:rsidRPr="00702A15">
        <w:rPr>
          <w:bCs/>
          <w:color w:val="auto"/>
        </w:rPr>
        <w:t>ul Buzău nu au fost furnizate date.</w:t>
      </w:r>
    </w:p>
    <w:p w:rsidR="00420717" w:rsidRPr="00702A15" w:rsidRDefault="00420717" w:rsidP="00420717">
      <w:pPr>
        <w:spacing w:after="0" w:line="240" w:lineRule="auto"/>
        <w:jc w:val="both"/>
        <w:rPr>
          <w:rFonts w:ascii="Arial" w:hAnsi="Arial" w:cs="Arial"/>
          <w:b/>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r w:rsidRPr="00702A15">
        <w:rPr>
          <w:rFonts w:ascii="Arial" w:hAnsi="Arial" w:cs="Arial"/>
          <w:b/>
          <w:sz w:val="24"/>
          <w:szCs w:val="24"/>
        </w:rPr>
        <w:t>B. Situa</w:t>
      </w:r>
      <w:r>
        <w:rPr>
          <w:rFonts w:ascii="Arial" w:hAnsi="Arial" w:cs="Arial"/>
          <w:b/>
          <w:sz w:val="24"/>
          <w:szCs w:val="24"/>
        </w:rPr>
        <w:t>ţ</w:t>
      </w:r>
      <w:r w:rsidRPr="00702A15">
        <w:rPr>
          <w:rFonts w:ascii="Arial" w:hAnsi="Arial" w:cs="Arial"/>
          <w:b/>
          <w:sz w:val="24"/>
          <w:szCs w:val="24"/>
        </w:rPr>
        <w:t>ia privind gradul de epurare a apelor uzate evacuate provenite de la aglomerările umane, în receptori naturali</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În tabelul II.2.2.2.6. este prezentat nivelul de epurare a apelor uzate provenite din mediul urban, din judeţul Buzău, în anul 2014. </w:t>
      </w:r>
    </w:p>
    <w:p w:rsidR="005864AC" w:rsidRPr="00702A15" w:rsidRDefault="005864AC" w:rsidP="00420717">
      <w:pPr>
        <w:spacing w:after="0" w:line="240" w:lineRule="auto"/>
        <w:jc w:val="both"/>
        <w:rPr>
          <w:rFonts w:ascii="Arial" w:hAnsi="Arial" w:cs="Arial"/>
          <w:sz w:val="24"/>
          <w:szCs w:val="24"/>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1508"/>
        <w:gridCol w:w="992"/>
        <w:gridCol w:w="705"/>
        <w:gridCol w:w="724"/>
        <w:gridCol w:w="705"/>
        <w:gridCol w:w="850"/>
        <w:gridCol w:w="718"/>
        <w:gridCol w:w="700"/>
        <w:gridCol w:w="1275"/>
        <w:gridCol w:w="1087"/>
        <w:gridCol w:w="756"/>
      </w:tblGrid>
      <w:tr w:rsidR="00420717" w:rsidRPr="00702A15" w:rsidTr="00D92384">
        <w:trPr>
          <w:trHeight w:val="435"/>
          <w:jc w:val="center"/>
        </w:trPr>
        <w:tc>
          <w:tcPr>
            <w:tcW w:w="436"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Nr.</w:t>
            </w: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crt.</w:t>
            </w:r>
          </w:p>
        </w:tc>
        <w:tc>
          <w:tcPr>
            <w:tcW w:w="1508"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Sta</w:t>
            </w:r>
            <w:r>
              <w:rPr>
                <w:rFonts w:ascii="Arial" w:eastAsia="Times New Roman" w:hAnsi="Arial" w:cs="Arial"/>
                <w:sz w:val="16"/>
                <w:szCs w:val="16"/>
              </w:rPr>
              <w:t>ţ</w:t>
            </w:r>
            <w:r w:rsidRPr="00702A15">
              <w:rPr>
                <w:rFonts w:ascii="Arial" w:eastAsia="Times New Roman" w:hAnsi="Arial" w:cs="Arial"/>
                <w:sz w:val="16"/>
                <w:szCs w:val="16"/>
              </w:rPr>
              <w:t>ie de epurare urbană/locuitori echivalenti</w:t>
            </w:r>
          </w:p>
        </w:tc>
        <w:tc>
          <w:tcPr>
            <w:tcW w:w="992"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Volum total ape evacuate</w:t>
            </w: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(mii mc)</w:t>
            </w:r>
          </w:p>
        </w:tc>
        <w:tc>
          <w:tcPr>
            <w:tcW w:w="2134" w:type="dxa"/>
            <w:gridSpan w:val="3"/>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Volum suficient epurat</w:t>
            </w: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(mii mc)</w:t>
            </w:r>
          </w:p>
        </w:tc>
        <w:tc>
          <w:tcPr>
            <w:tcW w:w="2268" w:type="dxa"/>
            <w:gridSpan w:val="3"/>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Volum insuficient epurat</w:t>
            </w: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(mii mc)</w:t>
            </w:r>
          </w:p>
        </w:tc>
        <w:tc>
          <w:tcPr>
            <w:tcW w:w="1275"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Poluan</w:t>
            </w:r>
            <w:r>
              <w:rPr>
                <w:rFonts w:ascii="Arial" w:eastAsia="Times New Roman" w:hAnsi="Arial" w:cs="Arial"/>
                <w:sz w:val="16"/>
                <w:szCs w:val="16"/>
              </w:rPr>
              <w:t>ţ</w:t>
            </w:r>
            <w:r w:rsidRPr="00702A15">
              <w:rPr>
                <w:rFonts w:ascii="Arial" w:eastAsia="Times New Roman" w:hAnsi="Arial" w:cs="Arial"/>
                <w:sz w:val="16"/>
                <w:szCs w:val="16"/>
              </w:rPr>
              <w:t>i  specifici</w:t>
            </w:r>
          </w:p>
        </w:tc>
        <w:tc>
          <w:tcPr>
            <w:tcW w:w="1087"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Încărcare (to/an)</w:t>
            </w:r>
          </w:p>
        </w:tc>
        <w:tc>
          <w:tcPr>
            <w:tcW w:w="756"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Grad ep</w:t>
            </w:r>
            <w:r w:rsidRPr="00702A15">
              <w:rPr>
                <w:rFonts w:ascii="Arial" w:eastAsia="Times New Roman" w:hAnsi="Arial" w:cs="Arial"/>
                <w:sz w:val="16"/>
                <w:szCs w:val="16"/>
              </w:rPr>
              <w:t>u</w:t>
            </w:r>
            <w:r w:rsidRPr="00702A15">
              <w:rPr>
                <w:rFonts w:ascii="Arial" w:eastAsia="Times New Roman" w:hAnsi="Arial" w:cs="Arial"/>
                <w:sz w:val="16"/>
                <w:szCs w:val="16"/>
              </w:rPr>
              <w:t>rare</w:t>
            </w:r>
          </w:p>
        </w:tc>
      </w:tr>
      <w:tr w:rsidR="00420717" w:rsidRPr="00702A15" w:rsidTr="00D92384">
        <w:trPr>
          <w:trHeight w:val="285"/>
          <w:jc w:val="center"/>
        </w:trPr>
        <w:tc>
          <w:tcPr>
            <w:tcW w:w="436" w:type="dxa"/>
            <w:vMerge/>
          </w:tcPr>
          <w:p w:rsidR="00420717" w:rsidRPr="00702A15" w:rsidRDefault="00420717" w:rsidP="00D92384">
            <w:pPr>
              <w:spacing w:after="0" w:line="240" w:lineRule="auto"/>
              <w:rPr>
                <w:rFonts w:eastAsia="Times New Roman"/>
                <w:sz w:val="16"/>
                <w:szCs w:val="16"/>
              </w:rPr>
            </w:pPr>
          </w:p>
        </w:tc>
        <w:tc>
          <w:tcPr>
            <w:tcW w:w="1508" w:type="dxa"/>
            <w:vMerge/>
          </w:tcPr>
          <w:p w:rsidR="00420717" w:rsidRPr="00702A15" w:rsidRDefault="00420717" w:rsidP="00D92384">
            <w:pPr>
              <w:spacing w:after="0" w:line="240" w:lineRule="auto"/>
              <w:rPr>
                <w:rFonts w:eastAsia="Times New Roman"/>
                <w:sz w:val="16"/>
                <w:szCs w:val="16"/>
              </w:rPr>
            </w:pPr>
          </w:p>
        </w:tc>
        <w:tc>
          <w:tcPr>
            <w:tcW w:w="992" w:type="dxa"/>
            <w:vMerge/>
          </w:tcPr>
          <w:p w:rsidR="00420717" w:rsidRPr="00702A15" w:rsidRDefault="00420717" w:rsidP="00D92384">
            <w:pPr>
              <w:spacing w:after="0" w:line="240" w:lineRule="auto"/>
              <w:rPr>
                <w:rFonts w:eastAsia="Times New Roman"/>
                <w:sz w:val="16"/>
                <w:szCs w:val="16"/>
              </w:rPr>
            </w:pPr>
          </w:p>
        </w:tc>
        <w:tc>
          <w:tcPr>
            <w:tcW w:w="705" w:type="dxa"/>
            <w:vAlign w:val="center"/>
          </w:tcPr>
          <w:p w:rsidR="00420717" w:rsidRPr="00702A15" w:rsidRDefault="00420717" w:rsidP="00D92384">
            <w:pPr>
              <w:spacing w:after="0" w:line="240" w:lineRule="auto"/>
              <w:jc w:val="center"/>
              <w:rPr>
                <w:rFonts w:ascii="Arial" w:eastAsia="Times New Roman" w:hAnsi="Arial" w:cs="Arial"/>
                <w:sz w:val="12"/>
                <w:szCs w:val="12"/>
              </w:rPr>
            </w:pPr>
            <w:r w:rsidRPr="00702A15">
              <w:rPr>
                <w:rFonts w:ascii="Arial" w:eastAsia="Times New Roman" w:hAnsi="Arial" w:cs="Arial"/>
                <w:sz w:val="12"/>
                <w:szCs w:val="12"/>
              </w:rPr>
              <w:t>Epurare primară</w:t>
            </w:r>
          </w:p>
        </w:tc>
        <w:tc>
          <w:tcPr>
            <w:tcW w:w="724" w:type="dxa"/>
            <w:vAlign w:val="center"/>
          </w:tcPr>
          <w:p w:rsidR="00420717" w:rsidRPr="00702A15" w:rsidRDefault="00420717" w:rsidP="00D92384">
            <w:pPr>
              <w:spacing w:after="0" w:line="240" w:lineRule="auto"/>
              <w:jc w:val="center"/>
              <w:rPr>
                <w:rFonts w:ascii="Arial" w:eastAsia="Times New Roman" w:hAnsi="Arial" w:cs="Arial"/>
                <w:sz w:val="12"/>
                <w:szCs w:val="12"/>
              </w:rPr>
            </w:pPr>
            <w:r w:rsidRPr="00702A15">
              <w:rPr>
                <w:rFonts w:ascii="Arial" w:eastAsia="Times New Roman" w:hAnsi="Arial" w:cs="Arial"/>
                <w:sz w:val="12"/>
                <w:szCs w:val="12"/>
              </w:rPr>
              <w:t>Epurare secundară</w:t>
            </w:r>
          </w:p>
        </w:tc>
        <w:tc>
          <w:tcPr>
            <w:tcW w:w="705" w:type="dxa"/>
            <w:vAlign w:val="center"/>
          </w:tcPr>
          <w:p w:rsidR="00420717" w:rsidRPr="00702A15" w:rsidRDefault="00420717" w:rsidP="00D92384">
            <w:pPr>
              <w:spacing w:after="0" w:line="240" w:lineRule="auto"/>
              <w:jc w:val="center"/>
              <w:rPr>
                <w:rFonts w:ascii="Arial" w:eastAsia="Times New Roman" w:hAnsi="Arial" w:cs="Arial"/>
                <w:sz w:val="12"/>
                <w:szCs w:val="12"/>
              </w:rPr>
            </w:pPr>
            <w:r w:rsidRPr="00702A15">
              <w:rPr>
                <w:rFonts w:ascii="Arial" w:eastAsia="Times New Roman" w:hAnsi="Arial" w:cs="Arial"/>
                <w:sz w:val="12"/>
                <w:szCs w:val="12"/>
              </w:rPr>
              <w:t>Epurare ter</w:t>
            </w:r>
            <w:r>
              <w:rPr>
                <w:rFonts w:ascii="Arial" w:eastAsia="Times New Roman" w:hAnsi="Arial" w:cs="Arial"/>
                <w:sz w:val="12"/>
                <w:szCs w:val="12"/>
              </w:rPr>
              <w:t>ţ</w:t>
            </w:r>
            <w:r w:rsidRPr="00702A15">
              <w:rPr>
                <w:rFonts w:ascii="Arial" w:eastAsia="Times New Roman" w:hAnsi="Arial" w:cs="Arial"/>
                <w:sz w:val="12"/>
                <w:szCs w:val="12"/>
              </w:rPr>
              <w:t>iară</w:t>
            </w:r>
          </w:p>
        </w:tc>
        <w:tc>
          <w:tcPr>
            <w:tcW w:w="850" w:type="dxa"/>
            <w:vAlign w:val="center"/>
          </w:tcPr>
          <w:p w:rsidR="00420717" w:rsidRPr="00702A15" w:rsidRDefault="00420717" w:rsidP="00D92384">
            <w:pPr>
              <w:spacing w:after="0" w:line="240" w:lineRule="auto"/>
              <w:jc w:val="center"/>
              <w:rPr>
                <w:rFonts w:ascii="Arial" w:eastAsia="Times New Roman" w:hAnsi="Arial" w:cs="Arial"/>
                <w:sz w:val="12"/>
                <w:szCs w:val="12"/>
              </w:rPr>
            </w:pPr>
            <w:r w:rsidRPr="00702A15">
              <w:rPr>
                <w:rFonts w:ascii="Arial" w:eastAsia="Times New Roman" w:hAnsi="Arial" w:cs="Arial"/>
                <w:sz w:val="12"/>
                <w:szCs w:val="12"/>
              </w:rPr>
              <w:t>Epurare primară</w:t>
            </w:r>
          </w:p>
        </w:tc>
        <w:tc>
          <w:tcPr>
            <w:tcW w:w="718" w:type="dxa"/>
            <w:vAlign w:val="center"/>
          </w:tcPr>
          <w:p w:rsidR="00420717" w:rsidRPr="00702A15" w:rsidRDefault="00420717" w:rsidP="00D92384">
            <w:pPr>
              <w:spacing w:after="0" w:line="240" w:lineRule="auto"/>
              <w:jc w:val="center"/>
              <w:rPr>
                <w:rFonts w:ascii="Arial" w:eastAsia="Times New Roman" w:hAnsi="Arial" w:cs="Arial"/>
                <w:sz w:val="12"/>
                <w:szCs w:val="12"/>
              </w:rPr>
            </w:pPr>
            <w:r w:rsidRPr="00702A15">
              <w:rPr>
                <w:rFonts w:ascii="Arial" w:eastAsia="Times New Roman" w:hAnsi="Arial" w:cs="Arial"/>
                <w:sz w:val="12"/>
                <w:szCs w:val="12"/>
              </w:rPr>
              <w:t>Epurare secundară</w:t>
            </w:r>
          </w:p>
        </w:tc>
        <w:tc>
          <w:tcPr>
            <w:tcW w:w="700" w:type="dxa"/>
            <w:vAlign w:val="center"/>
          </w:tcPr>
          <w:p w:rsidR="00420717" w:rsidRPr="00702A15" w:rsidRDefault="00420717" w:rsidP="00D92384">
            <w:pPr>
              <w:spacing w:after="0" w:line="240" w:lineRule="auto"/>
              <w:jc w:val="center"/>
              <w:rPr>
                <w:rFonts w:ascii="Arial" w:eastAsia="Times New Roman" w:hAnsi="Arial" w:cs="Arial"/>
                <w:sz w:val="12"/>
                <w:szCs w:val="12"/>
              </w:rPr>
            </w:pPr>
            <w:r w:rsidRPr="00702A15">
              <w:rPr>
                <w:rFonts w:ascii="Arial" w:eastAsia="Times New Roman" w:hAnsi="Arial" w:cs="Arial"/>
                <w:sz w:val="12"/>
                <w:szCs w:val="12"/>
              </w:rPr>
              <w:t>Epurare ter</w:t>
            </w:r>
            <w:r>
              <w:rPr>
                <w:rFonts w:ascii="Arial" w:eastAsia="Times New Roman" w:hAnsi="Arial" w:cs="Arial"/>
                <w:sz w:val="12"/>
                <w:szCs w:val="12"/>
              </w:rPr>
              <w:t>ţ</w:t>
            </w:r>
            <w:r w:rsidRPr="00702A15">
              <w:rPr>
                <w:rFonts w:ascii="Arial" w:eastAsia="Times New Roman" w:hAnsi="Arial" w:cs="Arial"/>
                <w:sz w:val="12"/>
                <w:szCs w:val="12"/>
              </w:rPr>
              <w:t>iară</w:t>
            </w:r>
          </w:p>
        </w:tc>
        <w:tc>
          <w:tcPr>
            <w:tcW w:w="1275" w:type="dxa"/>
            <w:vMerge/>
          </w:tcPr>
          <w:p w:rsidR="00420717" w:rsidRPr="00702A15" w:rsidRDefault="00420717" w:rsidP="00D92384">
            <w:pPr>
              <w:spacing w:after="0" w:line="240" w:lineRule="auto"/>
              <w:rPr>
                <w:rFonts w:eastAsia="Times New Roman"/>
                <w:sz w:val="16"/>
                <w:szCs w:val="16"/>
              </w:rPr>
            </w:pPr>
          </w:p>
        </w:tc>
        <w:tc>
          <w:tcPr>
            <w:tcW w:w="1087" w:type="dxa"/>
            <w:vMerge/>
          </w:tcPr>
          <w:p w:rsidR="00420717" w:rsidRPr="00702A15" w:rsidRDefault="00420717" w:rsidP="00D92384">
            <w:pPr>
              <w:spacing w:after="0" w:line="240" w:lineRule="auto"/>
              <w:rPr>
                <w:rFonts w:eastAsia="Times New Roman"/>
                <w:sz w:val="16"/>
                <w:szCs w:val="16"/>
              </w:rPr>
            </w:pPr>
          </w:p>
        </w:tc>
        <w:tc>
          <w:tcPr>
            <w:tcW w:w="756" w:type="dxa"/>
            <w:vMerge/>
          </w:tcPr>
          <w:p w:rsidR="00420717" w:rsidRPr="00702A15" w:rsidRDefault="00420717" w:rsidP="00D92384">
            <w:pPr>
              <w:spacing w:after="0" w:line="240" w:lineRule="auto"/>
              <w:rPr>
                <w:rFonts w:eastAsia="Times New Roman"/>
                <w:sz w:val="16"/>
                <w:szCs w:val="16"/>
              </w:rPr>
            </w:pPr>
          </w:p>
        </w:tc>
      </w:tr>
      <w:tr w:rsidR="00420717" w:rsidRPr="00702A15" w:rsidTr="00D92384">
        <w:trPr>
          <w:jc w:val="center"/>
        </w:trPr>
        <w:tc>
          <w:tcPr>
            <w:tcW w:w="436"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w:t>
            </w:r>
          </w:p>
        </w:tc>
        <w:tc>
          <w:tcPr>
            <w:tcW w:w="1508" w:type="dxa"/>
            <w:vMerge w:val="restart"/>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Compania de apă-sta</w:t>
            </w:r>
            <w:r>
              <w:rPr>
                <w:rFonts w:ascii="Arial" w:eastAsia="Times New Roman" w:hAnsi="Arial" w:cs="Arial"/>
                <w:sz w:val="20"/>
                <w:szCs w:val="20"/>
              </w:rPr>
              <w:t>ţ</w:t>
            </w:r>
            <w:r w:rsidRPr="00702A15">
              <w:rPr>
                <w:rFonts w:ascii="Arial" w:eastAsia="Times New Roman" w:hAnsi="Arial" w:cs="Arial"/>
                <w:sz w:val="20"/>
                <w:szCs w:val="20"/>
              </w:rPr>
              <w:t>ia de epurare Nehoia</w:t>
            </w:r>
            <w:r>
              <w:rPr>
                <w:rFonts w:ascii="Arial" w:eastAsia="Times New Roman" w:hAnsi="Arial" w:cs="Arial"/>
                <w:sz w:val="20"/>
                <w:szCs w:val="20"/>
              </w:rPr>
              <w:t>ş</w:t>
            </w:r>
            <w:r w:rsidRPr="00702A15">
              <w:rPr>
                <w:rFonts w:ascii="Arial" w:eastAsia="Times New Roman" w:hAnsi="Arial" w:cs="Arial"/>
                <w:sz w:val="20"/>
                <w:szCs w:val="20"/>
              </w:rPr>
              <w:t>u</w:t>
            </w:r>
          </w:p>
        </w:tc>
        <w:tc>
          <w:tcPr>
            <w:tcW w:w="992"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24</w:t>
            </w:r>
          </w:p>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18</w:t>
            </w:r>
          </w:p>
        </w:tc>
        <w:tc>
          <w:tcPr>
            <w:tcW w:w="724"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w:t>
            </w:r>
          </w:p>
        </w:tc>
        <w:tc>
          <w:tcPr>
            <w:tcW w:w="718"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Materii în suspensie</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1,56</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49,6</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CBO5</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1,02</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48,8</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Azot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0,35</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7,0</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Fosfor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0,05</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1,5</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Reziduu fix</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5,53</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4,0</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Detergen</w:t>
            </w:r>
            <w:r>
              <w:rPr>
                <w:rFonts w:ascii="Arial" w:eastAsia="Times New Roman" w:hAnsi="Arial" w:cs="Arial"/>
                <w:sz w:val="20"/>
                <w:szCs w:val="20"/>
              </w:rPr>
              <w:t>ţ</w:t>
            </w:r>
            <w:r w:rsidRPr="00702A15">
              <w:rPr>
                <w:rFonts w:ascii="Arial" w:eastAsia="Times New Roman" w:hAnsi="Arial" w:cs="Arial"/>
                <w:sz w:val="20"/>
                <w:szCs w:val="20"/>
              </w:rPr>
              <w:t xml:space="preserve">i </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0,01</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83,5</w:t>
            </w:r>
          </w:p>
        </w:tc>
      </w:tr>
      <w:tr w:rsidR="00420717" w:rsidRPr="00702A15" w:rsidTr="00D92384">
        <w:trPr>
          <w:jc w:val="center"/>
        </w:trPr>
        <w:tc>
          <w:tcPr>
            <w:tcW w:w="436"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w:t>
            </w:r>
          </w:p>
        </w:tc>
        <w:tc>
          <w:tcPr>
            <w:tcW w:w="1508" w:type="dxa"/>
            <w:vMerge w:val="restart"/>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Compania de apa-statia de epurare Pătârlagele</w:t>
            </w:r>
          </w:p>
        </w:tc>
        <w:tc>
          <w:tcPr>
            <w:tcW w:w="992"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39</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10</w:t>
            </w:r>
          </w:p>
        </w:tc>
        <w:tc>
          <w:tcPr>
            <w:tcW w:w="724"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29</w:t>
            </w:r>
          </w:p>
        </w:tc>
        <w:tc>
          <w:tcPr>
            <w:tcW w:w="718"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Materii în suspensie</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2,34</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89,5</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CBO5</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2,31</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75,8</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Azot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1,89</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9,3</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Fosfor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0,18</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38,3</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Reziduu fix</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30,96</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9,2</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Detergen</w:t>
            </w:r>
            <w:r>
              <w:rPr>
                <w:rFonts w:ascii="Arial" w:eastAsia="Times New Roman" w:hAnsi="Arial" w:cs="Arial"/>
                <w:sz w:val="20"/>
                <w:szCs w:val="20"/>
              </w:rPr>
              <w:t>ţ</w:t>
            </w:r>
            <w:r w:rsidRPr="00702A15">
              <w:rPr>
                <w:rFonts w:ascii="Arial" w:eastAsia="Times New Roman" w:hAnsi="Arial" w:cs="Arial"/>
                <w:sz w:val="20"/>
                <w:szCs w:val="20"/>
              </w:rPr>
              <w:t xml:space="preserve">i </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0,07</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69,7</w:t>
            </w:r>
          </w:p>
        </w:tc>
      </w:tr>
      <w:tr w:rsidR="00420717" w:rsidRPr="00702A15" w:rsidTr="00D92384">
        <w:trPr>
          <w:jc w:val="center"/>
        </w:trPr>
        <w:tc>
          <w:tcPr>
            <w:tcW w:w="436"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w:t>
            </w:r>
          </w:p>
        </w:tc>
        <w:tc>
          <w:tcPr>
            <w:tcW w:w="1508" w:type="dxa"/>
            <w:vMerge w:val="restart"/>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Compania de apă-sta</w:t>
            </w:r>
            <w:r>
              <w:rPr>
                <w:rFonts w:ascii="Arial" w:eastAsia="Times New Roman" w:hAnsi="Arial" w:cs="Arial"/>
                <w:sz w:val="20"/>
                <w:szCs w:val="20"/>
              </w:rPr>
              <w:t>ţ</w:t>
            </w:r>
            <w:r w:rsidRPr="00702A15">
              <w:rPr>
                <w:rFonts w:ascii="Arial" w:eastAsia="Times New Roman" w:hAnsi="Arial" w:cs="Arial"/>
                <w:sz w:val="20"/>
                <w:szCs w:val="20"/>
              </w:rPr>
              <w:t>ia de epurare P</w:t>
            </w:r>
            <w:r w:rsidRPr="00702A15">
              <w:rPr>
                <w:rFonts w:ascii="Arial" w:eastAsia="Times New Roman" w:hAnsi="Arial" w:cs="Arial"/>
                <w:sz w:val="20"/>
                <w:szCs w:val="20"/>
              </w:rPr>
              <w:t>o</w:t>
            </w:r>
            <w:r w:rsidRPr="00702A15">
              <w:rPr>
                <w:rFonts w:ascii="Arial" w:eastAsia="Times New Roman" w:hAnsi="Arial" w:cs="Arial"/>
                <w:sz w:val="20"/>
                <w:szCs w:val="20"/>
              </w:rPr>
              <w:t>goanele</w:t>
            </w:r>
          </w:p>
        </w:tc>
        <w:tc>
          <w:tcPr>
            <w:tcW w:w="992"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16</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9</w:t>
            </w:r>
          </w:p>
        </w:tc>
        <w:tc>
          <w:tcPr>
            <w:tcW w:w="724"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7</w:t>
            </w:r>
          </w:p>
        </w:tc>
        <w:tc>
          <w:tcPr>
            <w:tcW w:w="718"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Materii în suspensie</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7,44</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56,6</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CBO5</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11,36</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19,9</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Azot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1,76</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15,9</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Fosfor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0,20</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30,5</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Reziduu fix</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30,04</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3,8</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Detergen</w:t>
            </w:r>
            <w:r>
              <w:rPr>
                <w:rFonts w:ascii="Arial" w:eastAsia="Times New Roman" w:hAnsi="Arial" w:cs="Arial"/>
                <w:sz w:val="20"/>
                <w:szCs w:val="20"/>
              </w:rPr>
              <w:t>ţ</w:t>
            </w:r>
            <w:r w:rsidRPr="00702A15">
              <w:rPr>
                <w:rFonts w:ascii="Arial" w:eastAsia="Times New Roman" w:hAnsi="Arial" w:cs="Arial"/>
                <w:sz w:val="20"/>
                <w:szCs w:val="20"/>
              </w:rPr>
              <w:t xml:space="preserve">i </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0,07</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37,9</w:t>
            </w:r>
          </w:p>
        </w:tc>
      </w:tr>
      <w:tr w:rsidR="00420717" w:rsidRPr="00702A15" w:rsidTr="00D92384">
        <w:trPr>
          <w:jc w:val="center"/>
        </w:trPr>
        <w:tc>
          <w:tcPr>
            <w:tcW w:w="436"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4.</w:t>
            </w:r>
          </w:p>
        </w:tc>
        <w:tc>
          <w:tcPr>
            <w:tcW w:w="1508" w:type="dxa"/>
            <w:vMerge w:val="restart"/>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 xml:space="preserve">Compania de </w:t>
            </w:r>
            <w:r w:rsidRPr="00702A15">
              <w:rPr>
                <w:rFonts w:ascii="Arial" w:eastAsia="Times New Roman" w:hAnsi="Arial" w:cs="Arial"/>
                <w:sz w:val="20"/>
                <w:szCs w:val="20"/>
              </w:rPr>
              <w:lastRenderedPageBreak/>
              <w:t>apă-sta</w:t>
            </w:r>
            <w:r>
              <w:rPr>
                <w:rFonts w:ascii="Arial" w:eastAsia="Times New Roman" w:hAnsi="Arial" w:cs="Arial"/>
                <w:sz w:val="20"/>
                <w:szCs w:val="20"/>
              </w:rPr>
              <w:t>ţ</w:t>
            </w:r>
            <w:r w:rsidRPr="00702A15">
              <w:rPr>
                <w:rFonts w:ascii="Arial" w:eastAsia="Times New Roman" w:hAnsi="Arial" w:cs="Arial"/>
                <w:sz w:val="20"/>
                <w:szCs w:val="20"/>
              </w:rPr>
              <w:t>ia de epurare Buzău</w:t>
            </w:r>
          </w:p>
        </w:tc>
        <w:tc>
          <w:tcPr>
            <w:tcW w:w="992"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8.100</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24"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5.459</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2.641</w:t>
            </w:r>
          </w:p>
        </w:tc>
        <w:tc>
          <w:tcPr>
            <w:tcW w:w="718"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p>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Materii în suspensie</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68,60</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96,0</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CBO5</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68,69</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95,3</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Azot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225,82</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52,1</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Fosfor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23,33</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66,9</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Reziduu fix</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7.922,48</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11,2</w:t>
            </w:r>
          </w:p>
        </w:tc>
      </w:tr>
      <w:tr w:rsidR="00420717" w:rsidRPr="00702A15" w:rsidTr="00D92384">
        <w:trPr>
          <w:jc w:val="center"/>
        </w:trPr>
        <w:tc>
          <w:tcPr>
            <w:tcW w:w="436"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508" w:type="dxa"/>
            <w:vMerge/>
          </w:tcPr>
          <w:p w:rsidR="00420717" w:rsidRPr="00702A15" w:rsidRDefault="00420717" w:rsidP="00D92384">
            <w:pPr>
              <w:spacing w:after="0" w:line="240" w:lineRule="auto"/>
              <w:rPr>
                <w:rFonts w:ascii="Arial" w:eastAsia="Times New Roman" w:hAnsi="Arial" w:cs="Arial"/>
                <w:sz w:val="20"/>
                <w:szCs w:val="20"/>
              </w:rPr>
            </w:pPr>
          </w:p>
        </w:tc>
        <w:tc>
          <w:tcPr>
            <w:tcW w:w="992"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24"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5"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85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18"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700" w:type="dxa"/>
            <w:vMerge/>
            <w:vAlign w:val="center"/>
          </w:tcPr>
          <w:p w:rsidR="00420717" w:rsidRPr="00702A15" w:rsidRDefault="00420717" w:rsidP="00D92384">
            <w:pPr>
              <w:spacing w:after="0" w:line="240" w:lineRule="auto"/>
              <w:jc w:val="center"/>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Detergen</w:t>
            </w:r>
            <w:r>
              <w:rPr>
                <w:rFonts w:ascii="Arial" w:eastAsia="Times New Roman" w:hAnsi="Arial" w:cs="Arial"/>
                <w:sz w:val="20"/>
                <w:szCs w:val="20"/>
              </w:rPr>
              <w:t>ţ</w:t>
            </w:r>
            <w:r w:rsidRPr="00702A15">
              <w:rPr>
                <w:rFonts w:ascii="Arial" w:eastAsia="Times New Roman" w:hAnsi="Arial" w:cs="Arial"/>
                <w:sz w:val="20"/>
                <w:szCs w:val="20"/>
              </w:rPr>
              <w:t xml:space="preserve">i </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1,62</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95,8</w:t>
            </w:r>
          </w:p>
        </w:tc>
      </w:tr>
      <w:tr w:rsidR="00420717" w:rsidRPr="00702A15" w:rsidTr="00D92384">
        <w:trPr>
          <w:jc w:val="center"/>
        </w:trPr>
        <w:tc>
          <w:tcPr>
            <w:tcW w:w="436"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5.</w:t>
            </w:r>
          </w:p>
        </w:tc>
        <w:tc>
          <w:tcPr>
            <w:tcW w:w="1508" w:type="dxa"/>
            <w:vMerge w:val="restart"/>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Compania de apă-sta</w:t>
            </w:r>
            <w:r>
              <w:rPr>
                <w:rFonts w:ascii="Arial" w:eastAsia="Times New Roman" w:hAnsi="Arial" w:cs="Arial"/>
                <w:sz w:val="20"/>
                <w:szCs w:val="20"/>
              </w:rPr>
              <w:t>ţ</w:t>
            </w:r>
            <w:r w:rsidRPr="00702A15">
              <w:rPr>
                <w:rFonts w:ascii="Arial" w:eastAsia="Times New Roman" w:hAnsi="Arial" w:cs="Arial"/>
                <w:sz w:val="20"/>
                <w:szCs w:val="20"/>
              </w:rPr>
              <w:t>ia de epurare</w:t>
            </w: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 xml:space="preserve"> Rm. Sărat</w:t>
            </w:r>
          </w:p>
        </w:tc>
        <w:tc>
          <w:tcPr>
            <w:tcW w:w="992"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6.502</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24"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5"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6.502</w:t>
            </w:r>
          </w:p>
        </w:tc>
        <w:tc>
          <w:tcPr>
            <w:tcW w:w="718"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700" w:type="dxa"/>
            <w:vMerge w:val="restart"/>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w:t>
            </w: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Materii în suspensie</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441,49</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77,8</w:t>
            </w:r>
          </w:p>
        </w:tc>
      </w:tr>
      <w:tr w:rsidR="00420717" w:rsidRPr="00702A15" w:rsidTr="00D92384">
        <w:trPr>
          <w:jc w:val="center"/>
        </w:trPr>
        <w:tc>
          <w:tcPr>
            <w:tcW w:w="436" w:type="dxa"/>
            <w:vMerge/>
          </w:tcPr>
          <w:p w:rsidR="00420717" w:rsidRPr="00702A15" w:rsidRDefault="00420717" w:rsidP="00D92384">
            <w:pPr>
              <w:spacing w:after="0" w:line="240" w:lineRule="auto"/>
              <w:rPr>
                <w:rFonts w:eastAsia="Times New Roman"/>
              </w:rPr>
            </w:pPr>
          </w:p>
        </w:tc>
        <w:tc>
          <w:tcPr>
            <w:tcW w:w="1508" w:type="dxa"/>
            <w:vMerge/>
          </w:tcPr>
          <w:p w:rsidR="00420717" w:rsidRPr="00702A15" w:rsidRDefault="00420717" w:rsidP="00D92384">
            <w:pPr>
              <w:spacing w:after="0" w:line="240" w:lineRule="auto"/>
              <w:rPr>
                <w:rFonts w:eastAsia="Times New Roman"/>
              </w:rPr>
            </w:pPr>
          </w:p>
        </w:tc>
        <w:tc>
          <w:tcPr>
            <w:tcW w:w="992"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724"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850" w:type="dxa"/>
            <w:vMerge/>
          </w:tcPr>
          <w:p w:rsidR="00420717" w:rsidRPr="00702A15" w:rsidRDefault="00420717" w:rsidP="00D92384">
            <w:pPr>
              <w:spacing w:after="0" w:line="240" w:lineRule="auto"/>
              <w:rPr>
                <w:rFonts w:ascii="Arial" w:eastAsia="Times New Roman" w:hAnsi="Arial" w:cs="Arial"/>
                <w:sz w:val="20"/>
                <w:szCs w:val="20"/>
              </w:rPr>
            </w:pPr>
          </w:p>
        </w:tc>
        <w:tc>
          <w:tcPr>
            <w:tcW w:w="718" w:type="dxa"/>
            <w:vMerge/>
          </w:tcPr>
          <w:p w:rsidR="00420717" w:rsidRPr="00702A15" w:rsidRDefault="00420717" w:rsidP="00D92384">
            <w:pPr>
              <w:spacing w:after="0" w:line="240" w:lineRule="auto"/>
              <w:rPr>
                <w:rFonts w:ascii="Arial" w:eastAsia="Times New Roman" w:hAnsi="Arial" w:cs="Arial"/>
                <w:sz w:val="20"/>
                <w:szCs w:val="20"/>
              </w:rPr>
            </w:pPr>
          </w:p>
        </w:tc>
        <w:tc>
          <w:tcPr>
            <w:tcW w:w="700" w:type="dxa"/>
            <w:vMerge/>
          </w:tcPr>
          <w:p w:rsidR="00420717" w:rsidRPr="00702A15" w:rsidRDefault="00420717" w:rsidP="00D92384">
            <w:pPr>
              <w:spacing w:after="0" w:line="240" w:lineRule="auto"/>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CBO5</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333,16</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82,5</w:t>
            </w:r>
          </w:p>
        </w:tc>
      </w:tr>
      <w:tr w:rsidR="00420717" w:rsidRPr="00702A15" w:rsidTr="00D92384">
        <w:trPr>
          <w:jc w:val="center"/>
        </w:trPr>
        <w:tc>
          <w:tcPr>
            <w:tcW w:w="436" w:type="dxa"/>
            <w:vMerge/>
          </w:tcPr>
          <w:p w:rsidR="00420717" w:rsidRPr="00702A15" w:rsidRDefault="00420717" w:rsidP="00D92384">
            <w:pPr>
              <w:spacing w:after="0" w:line="240" w:lineRule="auto"/>
              <w:rPr>
                <w:rFonts w:eastAsia="Times New Roman"/>
              </w:rPr>
            </w:pPr>
          </w:p>
        </w:tc>
        <w:tc>
          <w:tcPr>
            <w:tcW w:w="1508" w:type="dxa"/>
            <w:vMerge/>
          </w:tcPr>
          <w:p w:rsidR="00420717" w:rsidRPr="00702A15" w:rsidRDefault="00420717" w:rsidP="00D92384">
            <w:pPr>
              <w:spacing w:after="0" w:line="240" w:lineRule="auto"/>
              <w:rPr>
                <w:rFonts w:eastAsia="Times New Roman"/>
              </w:rPr>
            </w:pPr>
          </w:p>
        </w:tc>
        <w:tc>
          <w:tcPr>
            <w:tcW w:w="992"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724"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850" w:type="dxa"/>
            <w:vMerge/>
          </w:tcPr>
          <w:p w:rsidR="00420717" w:rsidRPr="00702A15" w:rsidRDefault="00420717" w:rsidP="00D92384">
            <w:pPr>
              <w:spacing w:after="0" w:line="240" w:lineRule="auto"/>
              <w:rPr>
                <w:rFonts w:ascii="Arial" w:eastAsia="Times New Roman" w:hAnsi="Arial" w:cs="Arial"/>
                <w:sz w:val="20"/>
                <w:szCs w:val="20"/>
              </w:rPr>
            </w:pPr>
          </w:p>
        </w:tc>
        <w:tc>
          <w:tcPr>
            <w:tcW w:w="718" w:type="dxa"/>
            <w:vMerge/>
          </w:tcPr>
          <w:p w:rsidR="00420717" w:rsidRPr="00702A15" w:rsidRDefault="00420717" w:rsidP="00D92384">
            <w:pPr>
              <w:spacing w:after="0" w:line="240" w:lineRule="auto"/>
              <w:rPr>
                <w:rFonts w:ascii="Arial" w:eastAsia="Times New Roman" w:hAnsi="Arial" w:cs="Arial"/>
                <w:sz w:val="20"/>
                <w:szCs w:val="20"/>
              </w:rPr>
            </w:pPr>
          </w:p>
        </w:tc>
        <w:tc>
          <w:tcPr>
            <w:tcW w:w="700" w:type="dxa"/>
            <w:vMerge/>
          </w:tcPr>
          <w:p w:rsidR="00420717" w:rsidRPr="00702A15" w:rsidRDefault="00420717" w:rsidP="00D92384">
            <w:pPr>
              <w:spacing w:after="0" w:line="240" w:lineRule="auto"/>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Azot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129,65</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60,7</w:t>
            </w:r>
          </w:p>
        </w:tc>
      </w:tr>
      <w:tr w:rsidR="00420717" w:rsidRPr="00702A15" w:rsidTr="00D92384">
        <w:trPr>
          <w:jc w:val="center"/>
        </w:trPr>
        <w:tc>
          <w:tcPr>
            <w:tcW w:w="436" w:type="dxa"/>
            <w:vMerge/>
          </w:tcPr>
          <w:p w:rsidR="00420717" w:rsidRPr="00702A15" w:rsidRDefault="00420717" w:rsidP="00D92384">
            <w:pPr>
              <w:spacing w:after="0" w:line="240" w:lineRule="auto"/>
              <w:rPr>
                <w:rFonts w:eastAsia="Times New Roman"/>
              </w:rPr>
            </w:pPr>
          </w:p>
        </w:tc>
        <w:tc>
          <w:tcPr>
            <w:tcW w:w="1508" w:type="dxa"/>
            <w:vMerge/>
          </w:tcPr>
          <w:p w:rsidR="00420717" w:rsidRPr="00702A15" w:rsidRDefault="00420717" w:rsidP="00D92384">
            <w:pPr>
              <w:spacing w:after="0" w:line="240" w:lineRule="auto"/>
              <w:rPr>
                <w:rFonts w:eastAsia="Times New Roman"/>
              </w:rPr>
            </w:pPr>
          </w:p>
        </w:tc>
        <w:tc>
          <w:tcPr>
            <w:tcW w:w="992"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724"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850" w:type="dxa"/>
            <w:vMerge/>
          </w:tcPr>
          <w:p w:rsidR="00420717" w:rsidRPr="00702A15" w:rsidRDefault="00420717" w:rsidP="00D92384">
            <w:pPr>
              <w:spacing w:after="0" w:line="240" w:lineRule="auto"/>
              <w:rPr>
                <w:rFonts w:ascii="Arial" w:eastAsia="Times New Roman" w:hAnsi="Arial" w:cs="Arial"/>
                <w:sz w:val="20"/>
                <w:szCs w:val="20"/>
              </w:rPr>
            </w:pPr>
          </w:p>
        </w:tc>
        <w:tc>
          <w:tcPr>
            <w:tcW w:w="718" w:type="dxa"/>
            <w:vMerge/>
          </w:tcPr>
          <w:p w:rsidR="00420717" w:rsidRPr="00702A15" w:rsidRDefault="00420717" w:rsidP="00D92384">
            <w:pPr>
              <w:spacing w:after="0" w:line="240" w:lineRule="auto"/>
              <w:rPr>
                <w:rFonts w:ascii="Arial" w:eastAsia="Times New Roman" w:hAnsi="Arial" w:cs="Arial"/>
                <w:sz w:val="20"/>
                <w:szCs w:val="20"/>
              </w:rPr>
            </w:pPr>
          </w:p>
        </w:tc>
        <w:tc>
          <w:tcPr>
            <w:tcW w:w="700" w:type="dxa"/>
            <w:vMerge/>
          </w:tcPr>
          <w:p w:rsidR="00420717" w:rsidRPr="00702A15" w:rsidRDefault="00420717" w:rsidP="00D92384">
            <w:pPr>
              <w:spacing w:after="0" w:line="240" w:lineRule="auto"/>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Fosfor total</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17,62</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65,4</w:t>
            </w:r>
          </w:p>
        </w:tc>
      </w:tr>
      <w:tr w:rsidR="00420717" w:rsidRPr="00702A15" w:rsidTr="00D92384">
        <w:trPr>
          <w:jc w:val="center"/>
        </w:trPr>
        <w:tc>
          <w:tcPr>
            <w:tcW w:w="436" w:type="dxa"/>
            <w:vMerge/>
          </w:tcPr>
          <w:p w:rsidR="00420717" w:rsidRPr="00702A15" w:rsidRDefault="00420717" w:rsidP="00D92384">
            <w:pPr>
              <w:spacing w:after="0" w:line="240" w:lineRule="auto"/>
              <w:rPr>
                <w:rFonts w:eastAsia="Times New Roman"/>
              </w:rPr>
            </w:pPr>
          </w:p>
        </w:tc>
        <w:tc>
          <w:tcPr>
            <w:tcW w:w="1508" w:type="dxa"/>
            <w:vMerge/>
          </w:tcPr>
          <w:p w:rsidR="00420717" w:rsidRPr="00702A15" w:rsidRDefault="00420717" w:rsidP="00D92384">
            <w:pPr>
              <w:spacing w:after="0" w:line="240" w:lineRule="auto"/>
              <w:rPr>
                <w:rFonts w:eastAsia="Times New Roman"/>
              </w:rPr>
            </w:pPr>
          </w:p>
        </w:tc>
        <w:tc>
          <w:tcPr>
            <w:tcW w:w="992"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724"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850" w:type="dxa"/>
            <w:vMerge/>
          </w:tcPr>
          <w:p w:rsidR="00420717" w:rsidRPr="00702A15" w:rsidRDefault="00420717" w:rsidP="00D92384">
            <w:pPr>
              <w:spacing w:after="0" w:line="240" w:lineRule="auto"/>
              <w:rPr>
                <w:rFonts w:ascii="Arial" w:eastAsia="Times New Roman" w:hAnsi="Arial" w:cs="Arial"/>
                <w:sz w:val="20"/>
                <w:szCs w:val="20"/>
              </w:rPr>
            </w:pPr>
          </w:p>
        </w:tc>
        <w:tc>
          <w:tcPr>
            <w:tcW w:w="718" w:type="dxa"/>
            <w:vMerge/>
          </w:tcPr>
          <w:p w:rsidR="00420717" w:rsidRPr="00702A15" w:rsidRDefault="00420717" w:rsidP="00D92384">
            <w:pPr>
              <w:spacing w:after="0" w:line="240" w:lineRule="auto"/>
              <w:rPr>
                <w:rFonts w:ascii="Arial" w:eastAsia="Times New Roman" w:hAnsi="Arial" w:cs="Arial"/>
                <w:sz w:val="20"/>
                <w:szCs w:val="20"/>
              </w:rPr>
            </w:pPr>
          </w:p>
        </w:tc>
        <w:tc>
          <w:tcPr>
            <w:tcW w:w="700" w:type="dxa"/>
            <w:vMerge/>
          </w:tcPr>
          <w:p w:rsidR="00420717" w:rsidRPr="00702A15" w:rsidRDefault="00420717" w:rsidP="00D92384">
            <w:pPr>
              <w:spacing w:after="0" w:line="240" w:lineRule="auto"/>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Reziduu fix</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6.435,10</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9,6</w:t>
            </w:r>
          </w:p>
        </w:tc>
      </w:tr>
      <w:tr w:rsidR="00420717" w:rsidRPr="00702A15" w:rsidTr="00D92384">
        <w:trPr>
          <w:jc w:val="center"/>
        </w:trPr>
        <w:tc>
          <w:tcPr>
            <w:tcW w:w="436" w:type="dxa"/>
            <w:vMerge/>
          </w:tcPr>
          <w:p w:rsidR="00420717" w:rsidRPr="00702A15" w:rsidRDefault="00420717" w:rsidP="00D92384">
            <w:pPr>
              <w:spacing w:after="0" w:line="240" w:lineRule="auto"/>
              <w:rPr>
                <w:rFonts w:eastAsia="Times New Roman"/>
              </w:rPr>
            </w:pPr>
          </w:p>
        </w:tc>
        <w:tc>
          <w:tcPr>
            <w:tcW w:w="1508" w:type="dxa"/>
            <w:vMerge/>
          </w:tcPr>
          <w:p w:rsidR="00420717" w:rsidRPr="00702A15" w:rsidRDefault="00420717" w:rsidP="00D92384">
            <w:pPr>
              <w:spacing w:after="0" w:line="240" w:lineRule="auto"/>
              <w:rPr>
                <w:rFonts w:eastAsia="Times New Roman"/>
              </w:rPr>
            </w:pPr>
          </w:p>
        </w:tc>
        <w:tc>
          <w:tcPr>
            <w:tcW w:w="992"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724" w:type="dxa"/>
            <w:vMerge/>
          </w:tcPr>
          <w:p w:rsidR="00420717" w:rsidRPr="00702A15" w:rsidRDefault="00420717" w:rsidP="00D92384">
            <w:pPr>
              <w:spacing w:after="0" w:line="240" w:lineRule="auto"/>
              <w:rPr>
                <w:rFonts w:ascii="Arial" w:eastAsia="Times New Roman" w:hAnsi="Arial" w:cs="Arial"/>
                <w:sz w:val="20"/>
                <w:szCs w:val="20"/>
              </w:rPr>
            </w:pPr>
          </w:p>
        </w:tc>
        <w:tc>
          <w:tcPr>
            <w:tcW w:w="705" w:type="dxa"/>
            <w:vMerge/>
          </w:tcPr>
          <w:p w:rsidR="00420717" w:rsidRPr="00702A15" w:rsidRDefault="00420717" w:rsidP="00D92384">
            <w:pPr>
              <w:spacing w:after="0" w:line="240" w:lineRule="auto"/>
              <w:rPr>
                <w:rFonts w:ascii="Arial" w:eastAsia="Times New Roman" w:hAnsi="Arial" w:cs="Arial"/>
                <w:sz w:val="20"/>
                <w:szCs w:val="20"/>
              </w:rPr>
            </w:pPr>
          </w:p>
        </w:tc>
        <w:tc>
          <w:tcPr>
            <w:tcW w:w="850" w:type="dxa"/>
            <w:vMerge/>
          </w:tcPr>
          <w:p w:rsidR="00420717" w:rsidRPr="00702A15" w:rsidRDefault="00420717" w:rsidP="00D92384">
            <w:pPr>
              <w:spacing w:after="0" w:line="240" w:lineRule="auto"/>
              <w:rPr>
                <w:rFonts w:ascii="Arial" w:eastAsia="Times New Roman" w:hAnsi="Arial" w:cs="Arial"/>
                <w:sz w:val="20"/>
                <w:szCs w:val="20"/>
              </w:rPr>
            </w:pPr>
          </w:p>
        </w:tc>
        <w:tc>
          <w:tcPr>
            <w:tcW w:w="718" w:type="dxa"/>
            <w:vMerge/>
          </w:tcPr>
          <w:p w:rsidR="00420717" w:rsidRPr="00702A15" w:rsidRDefault="00420717" w:rsidP="00D92384">
            <w:pPr>
              <w:spacing w:after="0" w:line="240" w:lineRule="auto"/>
              <w:rPr>
                <w:rFonts w:ascii="Arial" w:eastAsia="Times New Roman" w:hAnsi="Arial" w:cs="Arial"/>
                <w:sz w:val="20"/>
                <w:szCs w:val="20"/>
              </w:rPr>
            </w:pPr>
          </w:p>
        </w:tc>
        <w:tc>
          <w:tcPr>
            <w:tcW w:w="700" w:type="dxa"/>
            <w:vMerge/>
          </w:tcPr>
          <w:p w:rsidR="00420717" w:rsidRPr="00702A15" w:rsidRDefault="00420717" w:rsidP="00D92384">
            <w:pPr>
              <w:spacing w:after="0" w:line="240" w:lineRule="auto"/>
              <w:rPr>
                <w:rFonts w:ascii="Arial" w:eastAsia="Times New Roman" w:hAnsi="Arial" w:cs="Arial"/>
                <w:sz w:val="20"/>
                <w:szCs w:val="20"/>
              </w:rPr>
            </w:pPr>
          </w:p>
        </w:tc>
        <w:tc>
          <w:tcPr>
            <w:tcW w:w="1275" w:type="dxa"/>
          </w:tcPr>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Detergen</w:t>
            </w:r>
            <w:r>
              <w:rPr>
                <w:rFonts w:ascii="Arial" w:eastAsia="Times New Roman" w:hAnsi="Arial" w:cs="Arial"/>
                <w:sz w:val="20"/>
                <w:szCs w:val="20"/>
              </w:rPr>
              <w:t>ţ</w:t>
            </w:r>
            <w:r w:rsidRPr="00702A15">
              <w:rPr>
                <w:rFonts w:ascii="Arial" w:eastAsia="Times New Roman" w:hAnsi="Arial" w:cs="Arial"/>
                <w:sz w:val="20"/>
                <w:szCs w:val="20"/>
              </w:rPr>
              <w:t xml:space="preserve">i </w:t>
            </w:r>
          </w:p>
        </w:tc>
        <w:tc>
          <w:tcPr>
            <w:tcW w:w="1087"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6,57</w:t>
            </w:r>
          </w:p>
        </w:tc>
        <w:tc>
          <w:tcPr>
            <w:tcW w:w="756" w:type="dxa"/>
            <w:vAlign w:val="center"/>
          </w:tcPr>
          <w:p w:rsidR="00420717" w:rsidRPr="00702A15" w:rsidRDefault="00420717" w:rsidP="00D92384">
            <w:pPr>
              <w:spacing w:after="0" w:line="240" w:lineRule="auto"/>
              <w:jc w:val="center"/>
              <w:rPr>
                <w:rFonts w:ascii="Arial" w:eastAsia="Times New Roman" w:hAnsi="Arial" w:cs="Arial"/>
                <w:sz w:val="20"/>
                <w:szCs w:val="20"/>
              </w:rPr>
            </w:pPr>
            <w:r w:rsidRPr="00702A15">
              <w:rPr>
                <w:rFonts w:ascii="Arial" w:eastAsia="Times New Roman" w:hAnsi="Arial" w:cs="Arial"/>
                <w:sz w:val="20"/>
                <w:szCs w:val="20"/>
              </w:rPr>
              <w:t>80,6</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sz w:val="24"/>
          <w:szCs w:val="24"/>
        </w:rPr>
        <w:t xml:space="preserve">Tabel II.2.2.2.6. </w:t>
      </w:r>
      <w:r w:rsidRPr="00AA0E3F">
        <w:rPr>
          <w:rFonts w:ascii="Arial" w:hAnsi="Arial" w:cs="Arial"/>
          <w:b/>
          <w:sz w:val="24"/>
          <w:szCs w:val="24"/>
          <w:lang w:val="fr-FR"/>
        </w:rPr>
        <w:t xml:space="preserve">Nivelul de epurare a apelor uzate provenite din mediul urban, din judeţul Buzău, în anul 2014. </w:t>
      </w:r>
      <w:r w:rsidRPr="00AA0E3F">
        <w:rPr>
          <w:rFonts w:ascii="Arial" w:hAnsi="Arial" w:cs="Arial"/>
          <w:b/>
          <w:sz w:val="24"/>
          <w:szCs w:val="24"/>
        </w:rPr>
        <w:t xml:space="preserve">    </w:t>
      </w:r>
    </w:p>
    <w:p w:rsidR="00420717" w:rsidRPr="00702A15" w:rsidRDefault="00420717" w:rsidP="00420717">
      <w:pPr>
        <w:spacing w:after="0" w:line="240" w:lineRule="auto"/>
        <w:jc w:val="right"/>
        <w:rPr>
          <w:rFonts w:ascii="Arial" w:hAnsi="Arial" w:cs="Arial"/>
          <w:sz w:val="24"/>
          <w:szCs w:val="24"/>
          <w:lang w:val="fr-FR"/>
        </w:rPr>
      </w:pPr>
      <w:r w:rsidRPr="00702A15">
        <w:rPr>
          <w:rFonts w:ascii="Arial" w:hAnsi="Arial" w:cs="Arial"/>
          <w:sz w:val="24"/>
          <w:szCs w:val="24"/>
          <w:lang w:val="fr-FR"/>
        </w:rPr>
        <w:t>Sursa datelor. CA Buzău</w:t>
      </w:r>
    </w:p>
    <w:p w:rsidR="00420717" w:rsidRDefault="00420717" w:rsidP="00420717">
      <w:pPr>
        <w:spacing w:after="0" w:line="240" w:lineRule="auto"/>
        <w:jc w:val="both"/>
        <w:rPr>
          <w:rFonts w:ascii="Arial" w:hAnsi="Arial" w:cs="Arial"/>
          <w:sz w:val="24"/>
          <w:szCs w:val="24"/>
          <w:lang w:val="fr-FR"/>
        </w:rPr>
      </w:pPr>
      <w:r w:rsidRPr="00702A15">
        <w:rPr>
          <w:rFonts w:ascii="Arial" w:hAnsi="Arial" w:cs="Arial"/>
          <w:sz w:val="24"/>
          <w:szCs w:val="24"/>
          <w:lang w:val="fr-FR"/>
        </w:rPr>
        <w:t xml:space="preserve">În tabelul </w:t>
      </w:r>
      <w:r w:rsidRPr="00702A15">
        <w:rPr>
          <w:rFonts w:ascii="Arial" w:hAnsi="Arial" w:cs="Arial"/>
          <w:sz w:val="24"/>
          <w:szCs w:val="24"/>
        </w:rPr>
        <w:t xml:space="preserve">II.2.2.2.7. </w:t>
      </w:r>
      <w:r w:rsidRPr="00702A15">
        <w:rPr>
          <w:rFonts w:ascii="Arial" w:hAnsi="Arial" w:cs="Arial"/>
          <w:sz w:val="24"/>
          <w:szCs w:val="24"/>
          <w:lang w:val="fr-FR"/>
        </w:rPr>
        <w:t xml:space="preserve">este prezentat nivelul de epurare a apelor uzate provenite din mediul rural, din judeţul Buzău, în anul 2014. </w:t>
      </w:r>
    </w:p>
    <w:p w:rsidR="005864AC" w:rsidRPr="00702A15" w:rsidRDefault="005864AC" w:rsidP="00420717">
      <w:pPr>
        <w:spacing w:after="0" w:line="240" w:lineRule="auto"/>
        <w:jc w:val="both"/>
        <w:rPr>
          <w:rFonts w:ascii="Arial" w:hAnsi="Arial" w:cs="Arial"/>
          <w:sz w:val="24"/>
          <w:szCs w:val="24"/>
          <w:lang w:val="fr-FR"/>
        </w:rPr>
      </w:pP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843"/>
        <w:gridCol w:w="708"/>
        <w:gridCol w:w="851"/>
        <w:gridCol w:w="709"/>
        <w:gridCol w:w="850"/>
        <w:gridCol w:w="709"/>
        <w:gridCol w:w="709"/>
        <w:gridCol w:w="850"/>
        <w:gridCol w:w="992"/>
        <w:gridCol w:w="709"/>
        <w:gridCol w:w="709"/>
      </w:tblGrid>
      <w:tr w:rsidR="00420717" w:rsidRPr="00702A15" w:rsidTr="00D92384">
        <w:trPr>
          <w:trHeight w:val="1968"/>
          <w:jc w:val="center"/>
        </w:trPr>
        <w:tc>
          <w:tcPr>
            <w:tcW w:w="426" w:type="dxa"/>
            <w:vMerge w:val="restart"/>
            <w:vAlign w:val="center"/>
          </w:tcPr>
          <w:p w:rsidR="00420717" w:rsidRPr="00702A15" w:rsidRDefault="00420717" w:rsidP="00D92384">
            <w:pPr>
              <w:spacing w:after="0" w:line="240" w:lineRule="auto"/>
              <w:jc w:val="both"/>
              <w:rPr>
                <w:rFonts w:ascii="Arial" w:hAnsi="Arial" w:cs="Arial"/>
                <w:b/>
                <w:sz w:val="16"/>
                <w:szCs w:val="16"/>
                <w:lang w:val="fr-FR"/>
              </w:rPr>
            </w:pPr>
            <w:r w:rsidRPr="00702A15">
              <w:rPr>
                <w:rFonts w:ascii="Arial" w:hAnsi="Arial" w:cs="Arial"/>
                <w:b/>
                <w:sz w:val="16"/>
                <w:szCs w:val="16"/>
                <w:lang w:val="fr-FR"/>
              </w:rPr>
              <w:t>Nr.</w:t>
            </w:r>
          </w:p>
          <w:p w:rsidR="00420717" w:rsidRPr="00702A15" w:rsidRDefault="00420717" w:rsidP="00D92384">
            <w:pPr>
              <w:spacing w:after="0" w:line="240" w:lineRule="auto"/>
              <w:jc w:val="both"/>
              <w:rPr>
                <w:rFonts w:ascii="Arial" w:hAnsi="Arial" w:cs="Arial"/>
                <w:b/>
                <w:sz w:val="16"/>
                <w:szCs w:val="16"/>
                <w:lang w:val="fr-FR"/>
              </w:rPr>
            </w:pPr>
            <w:r w:rsidRPr="00702A15">
              <w:rPr>
                <w:rFonts w:ascii="Arial" w:hAnsi="Arial" w:cs="Arial"/>
                <w:b/>
                <w:sz w:val="16"/>
                <w:szCs w:val="16"/>
                <w:lang w:val="fr-FR"/>
              </w:rPr>
              <w:t>crt.</w:t>
            </w:r>
          </w:p>
        </w:tc>
        <w:tc>
          <w:tcPr>
            <w:tcW w:w="1843" w:type="dxa"/>
            <w:vMerge w:val="restart"/>
            <w:vAlign w:val="center"/>
          </w:tcPr>
          <w:p w:rsidR="00420717" w:rsidRPr="00702A15" w:rsidRDefault="00420717" w:rsidP="00D92384">
            <w:pPr>
              <w:spacing w:after="0" w:line="240" w:lineRule="auto"/>
              <w:rPr>
                <w:rFonts w:ascii="Arial" w:hAnsi="Arial" w:cs="Arial"/>
                <w:b/>
                <w:sz w:val="16"/>
                <w:szCs w:val="16"/>
                <w:lang w:val="fr-FR"/>
              </w:rPr>
            </w:pPr>
            <w:r w:rsidRPr="00702A15">
              <w:rPr>
                <w:rFonts w:ascii="Arial" w:hAnsi="Arial" w:cs="Arial"/>
                <w:b/>
                <w:sz w:val="16"/>
                <w:szCs w:val="16"/>
                <w:lang w:val="fr-FR"/>
              </w:rPr>
              <w:t>Staţie de epurare rurală/locuitori ech</w:t>
            </w:r>
            <w:r w:rsidRPr="00702A15">
              <w:rPr>
                <w:rFonts w:ascii="Arial" w:hAnsi="Arial" w:cs="Arial"/>
                <w:b/>
                <w:sz w:val="16"/>
                <w:szCs w:val="16"/>
                <w:lang w:val="fr-FR"/>
              </w:rPr>
              <w:t>i</w:t>
            </w:r>
            <w:r w:rsidRPr="00702A15">
              <w:rPr>
                <w:rFonts w:ascii="Arial" w:hAnsi="Arial" w:cs="Arial"/>
                <w:b/>
                <w:sz w:val="16"/>
                <w:szCs w:val="16"/>
                <w:lang w:val="fr-FR"/>
              </w:rPr>
              <w:t>valen</w:t>
            </w:r>
            <w:r>
              <w:rPr>
                <w:rFonts w:ascii="Arial" w:hAnsi="Arial" w:cs="Arial"/>
                <w:b/>
                <w:sz w:val="16"/>
                <w:szCs w:val="16"/>
                <w:lang w:val="fr-FR"/>
              </w:rPr>
              <w:t>ţ</w:t>
            </w:r>
            <w:r w:rsidRPr="00702A15">
              <w:rPr>
                <w:rFonts w:ascii="Arial" w:hAnsi="Arial" w:cs="Arial"/>
                <w:b/>
                <w:sz w:val="16"/>
                <w:szCs w:val="16"/>
                <w:lang w:val="fr-FR"/>
              </w:rPr>
              <w:t>i</w:t>
            </w:r>
          </w:p>
        </w:tc>
        <w:tc>
          <w:tcPr>
            <w:tcW w:w="708" w:type="dxa"/>
            <w:vMerge w:val="restart"/>
            <w:vAlign w:val="center"/>
          </w:tcPr>
          <w:p w:rsidR="00420717" w:rsidRPr="00702A15" w:rsidRDefault="00420717" w:rsidP="00D92384">
            <w:pPr>
              <w:spacing w:after="0" w:line="240" w:lineRule="auto"/>
              <w:jc w:val="both"/>
              <w:rPr>
                <w:rFonts w:ascii="Arial" w:hAnsi="Arial" w:cs="Arial"/>
                <w:b/>
                <w:sz w:val="16"/>
                <w:szCs w:val="16"/>
              </w:rPr>
            </w:pPr>
            <w:r w:rsidRPr="00702A15">
              <w:rPr>
                <w:rFonts w:ascii="Arial" w:hAnsi="Arial" w:cs="Arial"/>
                <w:b/>
                <w:bCs/>
                <w:sz w:val="16"/>
                <w:szCs w:val="16"/>
              </w:rPr>
              <w:t>Volum total ape ev</w:t>
            </w:r>
            <w:r w:rsidRPr="00702A15">
              <w:rPr>
                <w:rFonts w:ascii="Arial" w:hAnsi="Arial" w:cs="Arial"/>
                <w:b/>
                <w:bCs/>
                <w:sz w:val="16"/>
                <w:szCs w:val="16"/>
              </w:rPr>
              <w:t>a</w:t>
            </w:r>
            <w:r w:rsidRPr="00702A15">
              <w:rPr>
                <w:rFonts w:ascii="Arial" w:hAnsi="Arial" w:cs="Arial"/>
                <w:b/>
                <w:bCs/>
                <w:sz w:val="16"/>
                <w:szCs w:val="16"/>
              </w:rPr>
              <w:t>cuate  (mii. mc)</w:t>
            </w:r>
          </w:p>
        </w:tc>
        <w:tc>
          <w:tcPr>
            <w:tcW w:w="2410" w:type="dxa"/>
            <w:gridSpan w:val="3"/>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bCs/>
                <w:sz w:val="16"/>
                <w:szCs w:val="16"/>
              </w:rPr>
              <w:t>Volum suficient epurat (mii mc)</w:t>
            </w:r>
          </w:p>
        </w:tc>
        <w:tc>
          <w:tcPr>
            <w:tcW w:w="2268" w:type="dxa"/>
            <w:gridSpan w:val="3"/>
            <w:vAlign w:val="center"/>
          </w:tcPr>
          <w:p w:rsidR="00420717" w:rsidRPr="00702A15" w:rsidRDefault="00420717" w:rsidP="00D92384">
            <w:pPr>
              <w:keepNext/>
              <w:keepLines/>
              <w:spacing w:after="0" w:line="240" w:lineRule="auto"/>
              <w:jc w:val="center"/>
              <w:rPr>
                <w:rFonts w:ascii="Arial" w:hAnsi="Arial" w:cs="Arial"/>
                <w:b/>
                <w:sz w:val="16"/>
                <w:szCs w:val="16"/>
              </w:rPr>
            </w:pPr>
            <w:r w:rsidRPr="00702A15">
              <w:rPr>
                <w:rFonts w:ascii="Arial" w:hAnsi="Arial" w:cs="Arial"/>
                <w:b/>
                <w:bCs/>
                <w:sz w:val="16"/>
                <w:szCs w:val="16"/>
              </w:rPr>
              <w:t>Volum insuficient epurat  (mii.mc)</w:t>
            </w:r>
          </w:p>
        </w:tc>
        <w:tc>
          <w:tcPr>
            <w:tcW w:w="992" w:type="dxa"/>
            <w:vMerge w:val="restart"/>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sz w:val="16"/>
                <w:szCs w:val="16"/>
              </w:rPr>
              <w:t>Poluanţi specifici</w:t>
            </w:r>
          </w:p>
        </w:tc>
        <w:tc>
          <w:tcPr>
            <w:tcW w:w="709" w:type="dxa"/>
            <w:vMerge w:val="restart"/>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sz w:val="16"/>
                <w:szCs w:val="16"/>
              </w:rPr>
              <w:t>Încărcare (to/an)</w:t>
            </w:r>
          </w:p>
        </w:tc>
        <w:tc>
          <w:tcPr>
            <w:tcW w:w="709" w:type="dxa"/>
            <w:vMerge w:val="restart"/>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sz w:val="16"/>
                <w:szCs w:val="16"/>
              </w:rPr>
              <w:t>Grad de ep</w:t>
            </w:r>
            <w:r w:rsidRPr="00702A15">
              <w:rPr>
                <w:rFonts w:ascii="Arial" w:hAnsi="Arial" w:cs="Arial"/>
                <w:b/>
                <w:sz w:val="16"/>
                <w:szCs w:val="16"/>
              </w:rPr>
              <w:t>u</w:t>
            </w:r>
            <w:r w:rsidRPr="00702A15">
              <w:rPr>
                <w:rFonts w:ascii="Arial" w:hAnsi="Arial" w:cs="Arial"/>
                <w:b/>
                <w:sz w:val="16"/>
                <w:szCs w:val="16"/>
              </w:rPr>
              <w:t>rare</w:t>
            </w:r>
          </w:p>
        </w:tc>
      </w:tr>
      <w:tr w:rsidR="00420717" w:rsidRPr="00702A15" w:rsidTr="00D92384">
        <w:trPr>
          <w:trHeight w:val="1085"/>
          <w:jc w:val="center"/>
        </w:trPr>
        <w:tc>
          <w:tcPr>
            <w:tcW w:w="426" w:type="dxa"/>
            <w:vMerge/>
            <w:vAlign w:val="center"/>
          </w:tcPr>
          <w:p w:rsidR="00420717" w:rsidRPr="00702A15" w:rsidRDefault="00420717" w:rsidP="00D92384">
            <w:pPr>
              <w:spacing w:after="0" w:line="240" w:lineRule="auto"/>
              <w:jc w:val="both"/>
              <w:rPr>
                <w:rFonts w:ascii="Arial" w:hAnsi="Arial" w:cs="Arial"/>
                <w:b/>
                <w:sz w:val="24"/>
                <w:szCs w:val="24"/>
                <w:lang w:val="fr-FR"/>
              </w:rPr>
            </w:pPr>
          </w:p>
        </w:tc>
        <w:tc>
          <w:tcPr>
            <w:tcW w:w="1843" w:type="dxa"/>
            <w:vMerge/>
            <w:vAlign w:val="center"/>
          </w:tcPr>
          <w:p w:rsidR="00420717" w:rsidRPr="00702A15" w:rsidRDefault="00420717" w:rsidP="00D92384">
            <w:pPr>
              <w:spacing w:after="0" w:line="240" w:lineRule="auto"/>
              <w:jc w:val="both"/>
              <w:rPr>
                <w:rFonts w:ascii="Arial" w:hAnsi="Arial" w:cs="Arial"/>
                <w:b/>
                <w:sz w:val="24"/>
                <w:szCs w:val="24"/>
                <w:lang w:val="fr-FR"/>
              </w:rPr>
            </w:pPr>
          </w:p>
        </w:tc>
        <w:tc>
          <w:tcPr>
            <w:tcW w:w="708" w:type="dxa"/>
            <w:vMerge/>
            <w:vAlign w:val="center"/>
          </w:tcPr>
          <w:p w:rsidR="00420717" w:rsidRPr="00702A15" w:rsidRDefault="00420717" w:rsidP="00D92384">
            <w:pPr>
              <w:spacing w:after="0" w:line="240" w:lineRule="auto"/>
              <w:jc w:val="both"/>
              <w:rPr>
                <w:rFonts w:ascii="Arial" w:hAnsi="Arial" w:cs="Arial"/>
                <w:b/>
                <w:bCs/>
                <w:sz w:val="16"/>
                <w:szCs w:val="16"/>
              </w:rPr>
            </w:pPr>
          </w:p>
        </w:tc>
        <w:tc>
          <w:tcPr>
            <w:tcW w:w="851" w:type="dxa"/>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sz w:val="16"/>
                <w:szCs w:val="16"/>
              </w:rPr>
              <w:t>Epurare primară</w:t>
            </w:r>
          </w:p>
        </w:tc>
        <w:tc>
          <w:tcPr>
            <w:tcW w:w="709" w:type="dxa"/>
            <w:vAlign w:val="center"/>
          </w:tcPr>
          <w:p w:rsidR="00420717" w:rsidRPr="00702A15" w:rsidRDefault="00420717" w:rsidP="00D92384">
            <w:pPr>
              <w:keepNext/>
              <w:keepLines/>
              <w:spacing w:after="0" w:line="240" w:lineRule="auto"/>
              <w:jc w:val="center"/>
              <w:rPr>
                <w:rFonts w:ascii="Arial" w:hAnsi="Arial" w:cs="Arial"/>
                <w:b/>
                <w:sz w:val="16"/>
                <w:szCs w:val="16"/>
              </w:rPr>
            </w:pPr>
            <w:r w:rsidRPr="00702A15">
              <w:rPr>
                <w:rFonts w:ascii="Arial" w:hAnsi="Arial" w:cs="Arial"/>
                <w:b/>
                <w:sz w:val="16"/>
                <w:szCs w:val="16"/>
              </w:rPr>
              <w:t>Ep</w:t>
            </w:r>
            <w:r w:rsidRPr="00702A15">
              <w:rPr>
                <w:rFonts w:ascii="Arial" w:hAnsi="Arial" w:cs="Arial"/>
                <w:b/>
                <w:sz w:val="16"/>
                <w:szCs w:val="16"/>
              </w:rPr>
              <w:t>u</w:t>
            </w:r>
            <w:r w:rsidRPr="00702A15">
              <w:rPr>
                <w:rFonts w:ascii="Arial" w:hAnsi="Arial" w:cs="Arial"/>
                <w:b/>
                <w:sz w:val="16"/>
                <w:szCs w:val="16"/>
              </w:rPr>
              <w:t>rare secundară</w:t>
            </w:r>
          </w:p>
        </w:tc>
        <w:tc>
          <w:tcPr>
            <w:tcW w:w="850" w:type="dxa"/>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sz w:val="16"/>
                <w:szCs w:val="16"/>
              </w:rPr>
              <w:t>Epurare ter</w:t>
            </w:r>
            <w:r>
              <w:rPr>
                <w:rFonts w:ascii="Arial" w:hAnsi="Arial" w:cs="Arial"/>
                <w:b/>
                <w:sz w:val="16"/>
                <w:szCs w:val="16"/>
              </w:rPr>
              <w:t>ţ</w:t>
            </w:r>
            <w:r w:rsidRPr="00702A15">
              <w:rPr>
                <w:rFonts w:ascii="Arial" w:hAnsi="Arial" w:cs="Arial"/>
                <w:b/>
                <w:sz w:val="16"/>
                <w:szCs w:val="16"/>
              </w:rPr>
              <w:t>iară</w:t>
            </w:r>
          </w:p>
        </w:tc>
        <w:tc>
          <w:tcPr>
            <w:tcW w:w="709" w:type="dxa"/>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sz w:val="16"/>
                <w:szCs w:val="16"/>
              </w:rPr>
              <w:t>Ep</w:t>
            </w:r>
            <w:r w:rsidRPr="00702A15">
              <w:rPr>
                <w:rFonts w:ascii="Arial" w:hAnsi="Arial" w:cs="Arial"/>
                <w:b/>
                <w:sz w:val="16"/>
                <w:szCs w:val="16"/>
              </w:rPr>
              <w:t>u</w:t>
            </w:r>
            <w:r w:rsidRPr="00702A15">
              <w:rPr>
                <w:rFonts w:ascii="Arial" w:hAnsi="Arial" w:cs="Arial"/>
                <w:b/>
                <w:sz w:val="16"/>
                <w:szCs w:val="16"/>
              </w:rPr>
              <w:t>rare primară</w:t>
            </w:r>
          </w:p>
        </w:tc>
        <w:tc>
          <w:tcPr>
            <w:tcW w:w="709" w:type="dxa"/>
            <w:vAlign w:val="center"/>
          </w:tcPr>
          <w:p w:rsidR="00420717" w:rsidRPr="00702A15" w:rsidRDefault="00420717" w:rsidP="00D92384">
            <w:pPr>
              <w:keepNext/>
              <w:keepLines/>
              <w:spacing w:after="0" w:line="240" w:lineRule="auto"/>
              <w:jc w:val="center"/>
              <w:rPr>
                <w:rFonts w:ascii="Arial" w:hAnsi="Arial" w:cs="Arial"/>
                <w:b/>
                <w:sz w:val="16"/>
                <w:szCs w:val="16"/>
              </w:rPr>
            </w:pPr>
            <w:r w:rsidRPr="00702A15">
              <w:rPr>
                <w:rFonts w:ascii="Arial" w:hAnsi="Arial" w:cs="Arial"/>
                <w:b/>
                <w:sz w:val="16"/>
                <w:szCs w:val="16"/>
              </w:rPr>
              <w:t>Ep</w:t>
            </w:r>
            <w:r w:rsidRPr="00702A15">
              <w:rPr>
                <w:rFonts w:ascii="Arial" w:hAnsi="Arial" w:cs="Arial"/>
                <w:b/>
                <w:sz w:val="16"/>
                <w:szCs w:val="16"/>
              </w:rPr>
              <w:t>u</w:t>
            </w:r>
            <w:r w:rsidRPr="00702A15">
              <w:rPr>
                <w:rFonts w:ascii="Arial" w:hAnsi="Arial" w:cs="Arial"/>
                <w:b/>
                <w:sz w:val="16"/>
                <w:szCs w:val="16"/>
              </w:rPr>
              <w:t>rare secundară</w:t>
            </w:r>
          </w:p>
        </w:tc>
        <w:tc>
          <w:tcPr>
            <w:tcW w:w="850" w:type="dxa"/>
            <w:vAlign w:val="center"/>
          </w:tcPr>
          <w:p w:rsidR="00420717" w:rsidRPr="00702A15" w:rsidRDefault="00420717" w:rsidP="00D92384">
            <w:pPr>
              <w:spacing w:after="0" w:line="240" w:lineRule="auto"/>
              <w:jc w:val="center"/>
              <w:rPr>
                <w:rFonts w:ascii="Arial" w:hAnsi="Arial" w:cs="Arial"/>
                <w:b/>
                <w:sz w:val="16"/>
                <w:szCs w:val="16"/>
              </w:rPr>
            </w:pPr>
            <w:r w:rsidRPr="00702A15">
              <w:rPr>
                <w:rFonts w:ascii="Arial" w:hAnsi="Arial" w:cs="Arial"/>
                <w:b/>
                <w:sz w:val="16"/>
                <w:szCs w:val="16"/>
              </w:rPr>
              <w:t>Epurare ter</w:t>
            </w:r>
            <w:r>
              <w:rPr>
                <w:rFonts w:ascii="Arial" w:hAnsi="Arial" w:cs="Arial"/>
                <w:b/>
                <w:sz w:val="16"/>
                <w:szCs w:val="16"/>
              </w:rPr>
              <w:t>ţ</w:t>
            </w:r>
            <w:r w:rsidRPr="00702A15">
              <w:rPr>
                <w:rFonts w:ascii="Arial" w:hAnsi="Arial" w:cs="Arial"/>
                <w:b/>
                <w:sz w:val="16"/>
                <w:szCs w:val="16"/>
              </w:rPr>
              <w:t>iară</w:t>
            </w:r>
          </w:p>
        </w:tc>
        <w:tc>
          <w:tcPr>
            <w:tcW w:w="992" w:type="dxa"/>
            <w:vMerge/>
            <w:vAlign w:val="center"/>
          </w:tcPr>
          <w:p w:rsidR="00420717" w:rsidRPr="00702A15" w:rsidRDefault="00420717" w:rsidP="00D92384">
            <w:pPr>
              <w:spacing w:after="0" w:line="240" w:lineRule="auto"/>
              <w:jc w:val="both"/>
              <w:rPr>
                <w:rFonts w:ascii="Arial" w:hAnsi="Arial" w:cs="Arial"/>
                <w:b/>
                <w:sz w:val="24"/>
                <w:szCs w:val="24"/>
              </w:rPr>
            </w:pPr>
          </w:p>
        </w:tc>
        <w:tc>
          <w:tcPr>
            <w:tcW w:w="709" w:type="dxa"/>
            <w:vMerge/>
          </w:tcPr>
          <w:p w:rsidR="00420717" w:rsidRPr="00702A15" w:rsidRDefault="00420717" w:rsidP="00D92384">
            <w:pPr>
              <w:spacing w:after="0" w:line="240" w:lineRule="auto"/>
              <w:jc w:val="both"/>
              <w:rPr>
                <w:rFonts w:ascii="Arial" w:hAnsi="Arial" w:cs="Arial"/>
                <w:b/>
                <w:sz w:val="24"/>
                <w:szCs w:val="24"/>
              </w:rPr>
            </w:pPr>
          </w:p>
        </w:tc>
        <w:tc>
          <w:tcPr>
            <w:tcW w:w="709" w:type="dxa"/>
            <w:vMerge/>
            <w:vAlign w:val="center"/>
          </w:tcPr>
          <w:p w:rsidR="00420717" w:rsidRPr="00702A15" w:rsidRDefault="00420717" w:rsidP="00D92384">
            <w:pPr>
              <w:spacing w:after="0" w:line="240" w:lineRule="auto"/>
              <w:jc w:val="both"/>
              <w:rPr>
                <w:rFonts w:ascii="Arial" w:hAnsi="Arial" w:cs="Arial"/>
                <w:b/>
                <w:sz w:val="24"/>
                <w:szCs w:val="24"/>
              </w:rPr>
            </w:pPr>
          </w:p>
        </w:tc>
      </w:tr>
      <w:tr w:rsidR="00420717" w:rsidRPr="00702A15" w:rsidTr="00D92384">
        <w:trPr>
          <w:trHeight w:val="146"/>
          <w:jc w:val="center"/>
        </w:trPr>
        <w:tc>
          <w:tcPr>
            <w:tcW w:w="426"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1</w:t>
            </w:r>
          </w:p>
        </w:tc>
        <w:tc>
          <w:tcPr>
            <w:tcW w:w="1843" w:type="dxa"/>
            <w:vMerge w:val="restart"/>
            <w:vAlign w:val="center"/>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Compania de apa-statia de epurare Beceni</w:t>
            </w:r>
          </w:p>
        </w:tc>
        <w:tc>
          <w:tcPr>
            <w:tcW w:w="708"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29</w:t>
            </w:r>
          </w:p>
        </w:tc>
        <w:tc>
          <w:tcPr>
            <w:tcW w:w="851"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19</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10</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992" w:type="dxa"/>
          </w:tcPr>
          <w:p w:rsidR="00420717" w:rsidRPr="00702A15" w:rsidRDefault="00420717" w:rsidP="00D92384">
            <w:pPr>
              <w:spacing w:after="0" w:line="240" w:lineRule="auto"/>
              <w:rPr>
                <w:rFonts w:ascii="Arial" w:eastAsia="Times New Roman" w:hAnsi="Arial" w:cs="Arial"/>
                <w:sz w:val="16"/>
                <w:szCs w:val="16"/>
              </w:rPr>
            </w:pPr>
            <w:r w:rsidRPr="00702A15">
              <w:rPr>
                <w:rFonts w:ascii="Arial" w:eastAsia="Times New Roman" w:hAnsi="Arial" w:cs="Arial"/>
                <w:sz w:val="16"/>
                <w:szCs w:val="16"/>
              </w:rPr>
              <w:t>Materii în suspensie</w:t>
            </w:r>
          </w:p>
        </w:tc>
        <w:tc>
          <w:tcPr>
            <w:tcW w:w="709" w:type="dxa"/>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2,02</w:t>
            </w:r>
          </w:p>
        </w:tc>
        <w:tc>
          <w:tcPr>
            <w:tcW w:w="709" w:type="dxa"/>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60,76</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CBO5</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2,29</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20,81</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Azot total</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1,60</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7,97</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Fosfor total</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0,18</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0,56</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Reziduu fix</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32,51</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0,94</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Detergen</w:t>
            </w:r>
            <w:r>
              <w:rPr>
                <w:rFonts w:ascii="Arial" w:eastAsia="Times New Roman" w:hAnsi="Arial" w:cs="Arial"/>
                <w:sz w:val="16"/>
                <w:szCs w:val="16"/>
              </w:rPr>
              <w:t>ţ</w:t>
            </w:r>
            <w:r w:rsidRPr="00702A15">
              <w:rPr>
                <w:rFonts w:ascii="Arial" w:eastAsia="Times New Roman" w:hAnsi="Arial" w:cs="Arial"/>
                <w:sz w:val="16"/>
                <w:szCs w:val="16"/>
              </w:rPr>
              <w:t xml:space="preserve">i </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0,13</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eastAsia="Times New Roman" w:hAnsi="Arial" w:cs="Arial"/>
                <w:sz w:val="16"/>
                <w:szCs w:val="16"/>
              </w:rPr>
              <w:t>10,25</w:t>
            </w:r>
          </w:p>
        </w:tc>
      </w:tr>
      <w:tr w:rsidR="00420717" w:rsidRPr="00702A15" w:rsidTr="00D92384">
        <w:trPr>
          <w:trHeight w:val="146"/>
          <w:jc w:val="center"/>
        </w:trPr>
        <w:tc>
          <w:tcPr>
            <w:tcW w:w="426" w:type="dxa"/>
            <w:vMerge w:val="restart"/>
            <w:vAlign w:val="center"/>
          </w:tcPr>
          <w:p w:rsidR="00420717" w:rsidRPr="00702A15" w:rsidRDefault="00420717" w:rsidP="00D92384">
            <w:pPr>
              <w:spacing w:after="0" w:line="240" w:lineRule="auto"/>
              <w:jc w:val="center"/>
              <w:rPr>
                <w:rFonts w:ascii="Arial" w:hAnsi="Arial" w:cs="Arial"/>
                <w:sz w:val="20"/>
                <w:szCs w:val="20"/>
              </w:rPr>
            </w:pPr>
            <w:r w:rsidRPr="00702A15">
              <w:rPr>
                <w:rFonts w:ascii="Arial" w:hAnsi="Arial" w:cs="Arial"/>
                <w:sz w:val="20"/>
                <w:szCs w:val="20"/>
              </w:rPr>
              <w:t>2.</w:t>
            </w:r>
          </w:p>
        </w:tc>
        <w:tc>
          <w:tcPr>
            <w:tcW w:w="1843" w:type="dxa"/>
            <w:vMerge w:val="restart"/>
          </w:tcPr>
          <w:p w:rsidR="00420717" w:rsidRPr="00702A15" w:rsidRDefault="00420717" w:rsidP="00D92384">
            <w:pPr>
              <w:spacing w:after="0" w:line="240" w:lineRule="auto"/>
              <w:rPr>
                <w:rFonts w:ascii="Arial" w:hAnsi="Arial" w:cs="Arial"/>
                <w:sz w:val="20"/>
                <w:szCs w:val="20"/>
              </w:rPr>
            </w:pPr>
          </w:p>
          <w:p w:rsidR="00420717" w:rsidRPr="00702A15" w:rsidRDefault="00420717" w:rsidP="00D92384">
            <w:pPr>
              <w:spacing w:after="0" w:line="240" w:lineRule="auto"/>
              <w:rPr>
                <w:rFonts w:ascii="Arial" w:hAnsi="Arial" w:cs="Arial"/>
                <w:sz w:val="20"/>
                <w:szCs w:val="20"/>
              </w:rPr>
            </w:pPr>
            <w:r w:rsidRPr="00702A15">
              <w:rPr>
                <w:rFonts w:ascii="Arial" w:hAnsi="Arial" w:cs="Arial"/>
                <w:sz w:val="20"/>
                <w:szCs w:val="20"/>
              </w:rPr>
              <w:t xml:space="preserve">Compania de apa-statia de epurare </w:t>
            </w:r>
          </w:p>
          <w:p w:rsidR="00420717" w:rsidRPr="00702A15" w:rsidRDefault="00420717" w:rsidP="00D92384">
            <w:pPr>
              <w:spacing w:after="0" w:line="240" w:lineRule="auto"/>
              <w:rPr>
                <w:rFonts w:ascii="Arial" w:hAnsi="Arial" w:cs="Arial"/>
                <w:sz w:val="20"/>
                <w:szCs w:val="20"/>
              </w:rPr>
            </w:pPr>
            <w:r w:rsidRPr="00702A15">
              <w:rPr>
                <w:rFonts w:ascii="Arial" w:hAnsi="Arial" w:cs="Arial"/>
                <w:sz w:val="20"/>
                <w:szCs w:val="20"/>
              </w:rPr>
              <w:t>Cernatesti</w:t>
            </w:r>
          </w:p>
        </w:tc>
        <w:tc>
          <w:tcPr>
            <w:tcW w:w="708"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w:t>
            </w:r>
          </w:p>
        </w:tc>
        <w:tc>
          <w:tcPr>
            <w:tcW w:w="851"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992"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Materii in suspensie</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0,01</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98</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20"/>
                <w:szCs w:val="20"/>
              </w:rPr>
            </w:pPr>
          </w:p>
        </w:tc>
        <w:tc>
          <w:tcPr>
            <w:tcW w:w="1843" w:type="dxa"/>
            <w:vMerge/>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CBO5</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0,02</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99</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20"/>
                <w:szCs w:val="20"/>
              </w:rPr>
            </w:pPr>
          </w:p>
        </w:tc>
        <w:tc>
          <w:tcPr>
            <w:tcW w:w="1843" w:type="dxa"/>
            <w:vMerge/>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Azot total</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0,04</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56</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20"/>
                <w:szCs w:val="20"/>
              </w:rPr>
            </w:pPr>
          </w:p>
        </w:tc>
        <w:tc>
          <w:tcPr>
            <w:tcW w:w="1843" w:type="dxa"/>
            <w:vMerge/>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Fosfor total</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0,01</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72</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20"/>
                <w:szCs w:val="20"/>
              </w:rPr>
            </w:pPr>
          </w:p>
        </w:tc>
        <w:tc>
          <w:tcPr>
            <w:tcW w:w="1843" w:type="dxa"/>
            <w:vMerge/>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Reziduu fix</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0,83</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47</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20"/>
                <w:szCs w:val="20"/>
              </w:rPr>
            </w:pPr>
          </w:p>
        </w:tc>
        <w:tc>
          <w:tcPr>
            <w:tcW w:w="1843" w:type="dxa"/>
            <w:vMerge/>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Detergenti</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0,0001</w:t>
            </w:r>
          </w:p>
        </w:tc>
        <w:tc>
          <w:tcPr>
            <w:tcW w:w="709" w:type="dxa"/>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96</w:t>
            </w:r>
          </w:p>
        </w:tc>
      </w:tr>
      <w:tr w:rsidR="00420717" w:rsidRPr="00702A15" w:rsidTr="00D92384">
        <w:trPr>
          <w:trHeight w:val="146"/>
          <w:jc w:val="center"/>
        </w:trPr>
        <w:tc>
          <w:tcPr>
            <w:tcW w:w="426"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4</w:t>
            </w:r>
          </w:p>
        </w:tc>
        <w:tc>
          <w:tcPr>
            <w:tcW w:w="1843" w:type="dxa"/>
            <w:vMerge w:val="restart"/>
            <w:vAlign w:val="center"/>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Compania de apă-sta</w:t>
            </w:r>
            <w:r>
              <w:rPr>
                <w:rFonts w:ascii="Arial" w:eastAsia="Times New Roman" w:hAnsi="Arial" w:cs="Arial"/>
                <w:sz w:val="20"/>
                <w:szCs w:val="20"/>
              </w:rPr>
              <w:t>ţ</w:t>
            </w:r>
            <w:r w:rsidRPr="00702A15">
              <w:rPr>
                <w:rFonts w:ascii="Arial" w:eastAsia="Times New Roman" w:hAnsi="Arial" w:cs="Arial"/>
                <w:sz w:val="20"/>
                <w:szCs w:val="20"/>
              </w:rPr>
              <w:t>ia de epurare Chiojdu</w:t>
            </w:r>
          </w:p>
        </w:tc>
        <w:tc>
          <w:tcPr>
            <w:tcW w:w="708"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2</w:t>
            </w:r>
          </w:p>
        </w:tc>
        <w:tc>
          <w:tcPr>
            <w:tcW w:w="851"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1</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1</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992" w:type="dxa"/>
          </w:tcPr>
          <w:p w:rsidR="00420717" w:rsidRPr="00702A15" w:rsidRDefault="00420717" w:rsidP="00D92384">
            <w:pPr>
              <w:spacing w:after="0" w:line="240" w:lineRule="auto"/>
              <w:rPr>
                <w:rFonts w:ascii="Arial" w:eastAsia="Times New Roman" w:hAnsi="Arial" w:cs="Arial"/>
                <w:sz w:val="16"/>
                <w:szCs w:val="16"/>
              </w:rPr>
            </w:pPr>
            <w:r w:rsidRPr="00702A15">
              <w:rPr>
                <w:rFonts w:ascii="Arial" w:eastAsia="Times New Roman" w:hAnsi="Arial" w:cs="Arial"/>
                <w:sz w:val="16"/>
                <w:szCs w:val="16"/>
              </w:rPr>
              <w:t>Materii în suspensie</w:t>
            </w:r>
          </w:p>
        </w:tc>
        <w:tc>
          <w:tcPr>
            <w:tcW w:w="709" w:type="dxa"/>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0,04</w:t>
            </w:r>
          </w:p>
        </w:tc>
        <w:tc>
          <w:tcPr>
            <w:tcW w:w="709" w:type="dxa"/>
            <w:vAlign w:val="center"/>
          </w:tcPr>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88,81</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CBO5</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0,03</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95</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Azot total</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0,05</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72,68</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Fosfor total</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0,003</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79,53</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Reziduu fix</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0,76</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54,05</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Detergen</w:t>
            </w:r>
            <w:r>
              <w:rPr>
                <w:rFonts w:ascii="Arial" w:eastAsia="Times New Roman" w:hAnsi="Arial" w:cs="Arial"/>
                <w:sz w:val="16"/>
                <w:szCs w:val="16"/>
              </w:rPr>
              <w:t>ţ</w:t>
            </w:r>
            <w:r w:rsidRPr="00702A15">
              <w:rPr>
                <w:rFonts w:ascii="Arial" w:eastAsia="Times New Roman" w:hAnsi="Arial" w:cs="Arial"/>
                <w:sz w:val="16"/>
                <w:szCs w:val="16"/>
              </w:rPr>
              <w:t xml:space="preserve">i </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0,002</w:t>
            </w:r>
          </w:p>
        </w:tc>
        <w:tc>
          <w:tcPr>
            <w:tcW w:w="709" w:type="dxa"/>
            <w:vAlign w:val="center"/>
          </w:tcPr>
          <w:p w:rsidR="00420717" w:rsidRPr="00702A15" w:rsidRDefault="00420717" w:rsidP="00D92384">
            <w:pPr>
              <w:pStyle w:val="BodyText"/>
              <w:spacing w:after="0" w:line="240" w:lineRule="auto"/>
              <w:jc w:val="center"/>
              <w:rPr>
                <w:rFonts w:ascii="Arial" w:eastAsiaTheme="minorEastAsia" w:hAnsi="Arial" w:cs="Arial"/>
                <w:sz w:val="16"/>
                <w:szCs w:val="16"/>
              </w:rPr>
            </w:pPr>
            <w:r w:rsidRPr="00702A15">
              <w:rPr>
                <w:rFonts w:ascii="Arial" w:eastAsia="Times New Roman" w:hAnsi="Arial" w:cs="Arial"/>
                <w:sz w:val="16"/>
                <w:szCs w:val="16"/>
              </w:rPr>
              <w:t>89,40</w:t>
            </w:r>
          </w:p>
        </w:tc>
      </w:tr>
      <w:tr w:rsidR="00420717" w:rsidRPr="00702A15" w:rsidTr="00D92384">
        <w:trPr>
          <w:trHeight w:val="144"/>
          <w:jc w:val="center"/>
        </w:trPr>
        <w:tc>
          <w:tcPr>
            <w:tcW w:w="426"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5</w:t>
            </w:r>
          </w:p>
        </w:tc>
        <w:tc>
          <w:tcPr>
            <w:tcW w:w="1843" w:type="dxa"/>
            <w:vMerge w:val="restart"/>
            <w:vAlign w:val="center"/>
          </w:tcPr>
          <w:p w:rsidR="00420717" w:rsidRPr="00702A15" w:rsidRDefault="00420717" w:rsidP="00D92384">
            <w:pPr>
              <w:spacing w:after="0" w:line="240" w:lineRule="auto"/>
              <w:rPr>
                <w:rFonts w:ascii="Arial" w:eastAsia="Times New Roman" w:hAnsi="Arial" w:cs="Arial"/>
                <w:sz w:val="20"/>
                <w:szCs w:val="20"/>
              </w:rPr>
            </w:pP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Compania de apă-sta</w:t>
            </w:r>
            <w:r>
              <w:rPr>
                <w:rFonts w:ascii="Arial" w:eastAsia="Times New Roman" w:hAnsi="Arial" w:cs="Arial"/>
                <w:sz w:val="20"/>
                <w:szCs w:val="20"/>
              </w:rPr>
              <w:t>ţ</w:t>
            </w:r>
            <w:r w:rsidRPr="00702A15">
              <w:rPr>
                <w:rFonts w:ascii="Arial" w:eastAsia="Times New Roman" w:hAnsi="Arial" w:cs="Arial"/>
                <w:sz w:val="20"/>
                <w:szCs w:val="20"/>
              </w:rPr>
              <w:t>ia de epurare</w:t>
            </w:r>
          </w:p>
          <w:p w:rsidR="00420717" w:rsidRPr="00702A15" w:rsidRDefault="00420717" w:rsidP="00D92384">
            <w:pPr>
              <w:spacing w:after="0" w:line="240" w:lineRule="auto"/>
              <w:rPr>
                <w:rFonts w:ascii="Arial" w:eastAsia="Times New Roman" w:hAnsi="Arial" w:cs="Arial"/>
                <w:sz w:val="20"/>
                <w:szCs w:val="20"/>
              </w:rPr>
            </w:pPr>
            <w:r w:rsidRPr="00702A15">
              <w:rPr>
                <w:rFonts w:ascii="Arial" w:eastAsia="Times New Roman" w:hAnsi="Arial" w:cs="Arial"/>
                <w:sz w:val="20"/>
                <w:szCs w:val="20"/>
              </w:rPr>
              <w:t>Merei</w:t>
            </w:r>
          </w:p>
        </w:tc>
        <w:tc>
          <w:tcPr>
            <w:tcW w:w="708"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19</w:t>
            </w:r>
          </w:p>
        </w:tc>
        <w:tc>
          <w:tcPr>
            <w:tcW w:w="851"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16</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3</w:t>
            </w:r>
          </w:p>
        </w:tc>
        <w:tc>
          <w:tcPr>
            <w:tcW w:w="709"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p>
          <w:p w:rsidR="00420717" w:rsidRPr="00702A15" w:rsidRDefault="00420717" w:rsidP="00D92384">
            <w:pPr>
              <w:spacing w:after="0" w:line="240" w:lineRule="auto"/>
              <w:jc w:val="center"/>
              <w:rPr>
                <w:rFonts w:ascii="Arial" w:eastAsia="Times New Roman" w:hAnsi="Arial" w:cs="Arial"/>
                <w:sz w:val="16"/>
                <w:szCs w:val="16"/>
              </w:rPr>
            </w:pPr>
            <w:r w:rsidRPr="00702A15">
              <w:rPr>
                <w:rFonts w:ascii="Arial" w:eastAsia="Times New Roman"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eastAsia="Times New Roman" w:hAnsi="Arial" w:cs="Arial"/>
                <w:sz w:val="16"/>
                <w:szCs w:val="16"/>
              </w:rPr>
            </w:pPr>
            <w:r w:rsidRPr="00702A15">
              <w:rPr>
                <w:rFonts w:ascii="Arial" w:eastAsia="Times New Roman" w:hAnsi="Arial" w:cs="Arial"/>
                <w:sz w:val="16"/>
                <w:szCs w:val="16"/>
              </w:rPr>
              <w:t>Materii în suspensie</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0,264</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63,61</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CBO5</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0,706</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62,37</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Azot total</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0,205</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13,69</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Fosfor total</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0,013</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18,07</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Reziduu fix</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43,026</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12,03</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Detergen</w:t>
            </w:r>
            <w:r>
              <w:rPr>
                <w:rFonts w:ascii="Arial" w:eastAsia="Times New Roman" w:hAnsi="Arial" w:cs="Arial"/>
                <w:sz w:val="16"/>
                <w:szCs w:val="16"/>
              </w:rPr>
              <w:t>ţ</w:t>
            </w:r>
            <w:r w:rsidRPr="00702A15">
              <w:rPr>
                <w:rFonts w:ascii="Arial" w:eastAsia="Times New Roman" w:hAnsi="Arial" w:cs="Arial"/>
                <w:sz w:val="16"/>
                <w:szCs w:val="16"/>
              </w:rPr>
              <w:t xml:space="preserve">i </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0,003</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86,79</w:t>
            </w:r>
          </w:p>
        </w:tc>
      </w:tr>
      <w:tr w:rsidR="00420717" w:rsidRPr="00702A15" w:rsidTr="00D92384">
        <w:trPr>
          <w:trHeight w:val="144"/>
          <w:jc w:val="center"/>
        </w:trPr>
        <w:tc>
          <w:tcPr>
            <w:tcW w:w="426"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6.</w:t>
            </w:r>
          </w:p>
        </w:tc>
        <w:tc>
          <w:tcPr>
            <w:tcW w:w="1843" w:type="dxa"/>
            <w:vMerge w:val="restart"/>
            <w:vAlign w:val="center"/>
          </w:tcPr>
          <w:p w:rsidR="00420717" w:rsidRPr="00702A15" w:rsidRDefault="00420717" w:rsidP="00D92384">
            <w:pPr>
              <w:spacing w:after="0" w:line="240" w:lineRule="auto"/>
              <w:rPr>
                <w:rFonts w:ascii="Arial" w:hAnsi="Arial" w:cs="Arial"/>
                <w:sz w:val="20"/>
                <w:szCs w:val="20"/>
                <w:lang w:val="fr-FR"/>
              </w:rPr>
            </w:pPr>
            <w:r w:rsidRPr="00702A15">
              <w:rPr>
                <w:rFonts w:ascii="Arial" w:hAnsi="Arial" w:cs="Arial"/>
                <w:sz w:val="20"/>
                <w:szCs w:val="20"/>
                <w:lang w:val="fr-FR"/>
              </w:rPr>
              <w:t>Comuna Gura Teghii</w:t>
            </w:r>
          </w:p>
          <w:p w:rsidR="00420717" w:rsidRPr="00702A15" w:rsidRDefault="00420717" w:rsidP="00D92384">
            <w:pPr>
              <w:spacing w:after="0" w:line="240" w:lineRule="auto"/>
              <w:rPr>
                <w:rFonts w:ascii="Arial" w:hAnsi="Arial" w:cs="Arial"/>
                <w:b/>
                <w:sz w:val="20"/>
                <w:szCs w:val="20"/>
                <w:lang w:val="fr-FR"/>
              </w:rPr>
            </w:pPr>
          </w:p>
        </w:tc>
        <w:tc>
          <w:tcPr>
            <w:tcW w:w="708" w:type="dxa"/>
            <w:vMerge w:val="restart"/>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lastRenderedPageBreak/>
              <w:t>25</w:t>
            </w:r>
          </w:p>
        </w:tc>
        <w:tc>
          <w:tcPr>
            <w:tcW w:w="851" w:type="dxa"/>
            <w:vMerge w:val="restart"/>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lang w:val="fr-FR"/>
              </w:rPr>
            </w:pPr>
            <w:r w:rsidRPr="00702A15">
              <w:rPr>
                <w:rFonts w:ascii="Arial" w:hAnsi="Arial" w:cs="Arial"/>
                <w:sz w:val="16"/>
                <w:szCs w:val="16"/>
                <w:lang w:val="fr-FR"/>
              </w:rPr>
              <w:t>-</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25</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eastAsia="Times New Roman" w:hAnsi="Arial" w:cs="Arial"/>
                <w:sz w:val="16"/>
                <w:szCs w:val="16"/>
              </w:rPr>
            </w:pPr>
            <w:r w:rsidRPr="00702A15">
              <w:rPr>
                <w:rFonts w:ascii="Arial" w:eastAsia="Times New Roman" w:hAnsi="Arial" w:cs="Arial"/>
                <w:sz w:val="16"/>
                <w:szCs w:val="16"/>
              </w:rPr>
              <w:t>Materii în suspensie</w:t>
            </w:r>
          </w:p>
        </w:tc>
        <w:tc>
          <w:tcPr>
            <w:tcW w:w="709" w:type="dxa"/>
            <w:tcBorders>
              <w:top w:val="single" w:sz="4" w:space="0" w:color="auto"/>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1,50</w:t>
            </w:r>
          </w:p>
        </w:tc>
        <w:tc>
          <w:tcPr>
            <w:tcW w:w="709" w:type="dxa"/>
            <w:tcBorders>
              <w:top w:val="single" w:sz="4" w:space="0" w:color="auto"/>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CBO5</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1,25</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Azot total</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0,003</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Fosfor total</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0,003</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Reziduu fix</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0,05</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Detergen</w:t>
            </w:r>
            <w:r>
              <w:rPr>
                <w:rFonts w:ascii="Arial" w:eastAsia="Times New Roman" w:hAnsi="Arial" w:cs="Arial"/>
                <w:sz w:val="16"/>
                <w:szCs w:val="16"/>
              </w:rPr>
              <w:t>ţ</w:t>
            </w:r>
            <w:r w:rsidRPr="00702A15">
              <w:rPr>
                <w:rFonts w:ascii="Arial" w:eastAsia="Times New Roman" w:hAnsi="Arial" w:cs="Arial"/>
                <w:sz w:val="16"/>
                <w:szCs w:val="16"/>
              </w:rPr>
              <w:t xml:space="preserve">i </w:t>
            </w:r>
          </w:p>
        </w:tc>
        <w:tc>
          <w:tcPr>
            <w:tcW w:w="709" w:type="dxa"/>
            <w:tcBorders>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0,012</w:t>
            </w:r>
          </w:p>
        </w:tc>
        <w:tc>
          <w:tcPr>
            <w:tcW w:w="709" w:type="dxa"/>
            <w:tcBorders>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r>
      <w:tr w:rsidR="00420717" w:rsidRPr="00702A15" w:rsidTr="00D92384">
        <w:trPr>
          <w:trHeight w:val="144"/>
          <w:jc w:val="center"/>
        </w:trPr>
        <w:tc>
          <w:tcPr>
            <w:tcW w:w="426" w:type="dxa"/>
            <w:vMerge w:val="restart"/>
            <w:vAlign w:val="center"/>
          </w:tcPr>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p>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7.</w:t>
            </w:r>
          </w:p>
        </w:tc>
        <w:tc>
          <w:tcPr>
            <w:tcW w:w="1843" w:type="dxa"/>
            <w:vMerge w:val="restart"/>
            <w:vAlign w:val="center"/>
          </w:tcPr>
          <w:p w:rsidR="00420717" w:rsidRPr="00702A15" w:rsidRDefault="00420717" w:rsidP="00D92384">
            <w:pPr>
              <w:spacing w:after="0" w:line="240" w:lineRule="auto"/>
              <w:rPr>
                <w:rFonts w:ascii="Arial" w:hAnsi="Arial" w:cs="Arial"/>
                <w:sz w:val="20"/>
                <w:szCs w:val="20"/>
              </w:rPr>
            </w:pPr>
            <w:r w:rsidRPr="00702A15">
              <w:rPr>
                <w:rFonts w:ascii="Arial" w:hAnsi="Arial" w:cs="Arial"/>
                <w:sz w:val="20"/>
                <w:szCs w:val="20"/>
                <w:lang w:val="fr-FR"/>
              </w:rPr>
              <w:t>Comuna Mărăcineni</w:t>
            </w:r>
          </w:p>
        </w:tc>
        <w:tc>
          <w:tcPr>
            <w:tcW w:w="708" w:type="dxa"/>
            <w:vMerge w:val="restart"/>
            <w:vAlign w:val="center"/>
          </w:tcPr>
          <w:p w:rsidR="00420717" w:rsidRPr="00702A15" w:rsidRDefault="00420717" w:rsidP="00D92384">
            <w:pPr>
              <w:jc w:val="center"/>
              <w:rPr>
                <w:rFonts w:ascii="Arial" w:hAnsi="Arial" w:cs="Arial"/>
                <w:sz w:val="16"/>
                <w:szCs w:val="16"/>
              </w:rPr>
            </w:pPr>
            <w:r w:rsidRPr="00702A15">
              <w:rPr>
                <w:rFonts w:ascii="Arial" w:hAnsi="Arial" w:cs="Arial"/>
                <w:sz w:val="16"/>
                <w:szCs w:val="16"/>
              </w:rPr>
              <w:t>117,4</w:t>
            </w:r>
          </w:p>
        </w:tc>
        <w:tc>
          <w:tcPr>
            <w:tcW w:w="851" w:type="dxa"/>
            <w:vMerge w:val="restart"/>
            <w:vAlign w:val="center"/>
          </w:tcPr>
          <w:p w:rsidR="00420717" w:rsidRPr="00702A15" w:rsidRDefault="00420717" w:rsidP="00D92384">
            <w:pPr>
              <w:jc w:val="center"/>
              <w:rPr>
                <w:rFonts w:ascii="Arial" w:hAnsi="Arial" w:cs="Arial"/>
                <w:sz w:val="16"/>
                <w:szCs w:val="16"/>
              </w:rPr>
            </w:pPr>
            <w:r w:rsidRPr="00702A15">
              <w:rPr>
                <w:rFonts w:ascii="Arial" w:hAnsi="Arial" w:cs="Arial"/>
                <w:sz w:val="16"/>
                <w:szCs w:val="16"/>
              </w:rPr>
              <w:t>-</w:t>
            </w:r>
          </w:p>
        </w:tc>
        <w:tc>
          <w:tcPr>
            <w:tcW w:w="709" w:type="dxa"/>
            <w:vMerge w:val="restart"/>
            <w:vAlign w:val="center"/>
          </w:tcPr>
          <w:p w:rsidR="00420717" w:rsidRPr="00702A15" w:rsidRDefault="00420717" w:rsidP="00D92384">
            <w:pPr>
              <w:jc w:val="center"/>
              <w:rPr>
                <w:rFonts w:ascii="Arial" w:hAnsi="Arial" w:cs="Arial"/>
                <w:sz w:val="16"/>
                <w:szCs w:val="16"/>
              </w:rPr>
            </w:pPr>
            <w:r w:rsidRPr="00702A15">
              <w:rPr>
                <w:rFonts w:ascii="Arial" w:hAnsi="Arial" w:cs="Arial"/>
                <w:sz w:val="16"/>
                <w:szCs w:val="16"/>
              </w:rPr>
              <w:t>117,4</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eastAsia="Times New Roman" w:hAnsi="Arial" w:cs="Arial"/>
                <w:sz w:val="16"/>
                <w:szCs w:val="16"/>
              </w:rPr>
            </w:pPr>
            <w:r w:rsidRPr="00702A15">
              <w:rPr>
                <w:rFonts w:ascii="Arial" w:eastAsia="Times New Roman" w:hAnsi="Arial" w:cs="Arial"/>
                <w:sz w:val="16"/>
                <w:szCs w:val="16"/>
              </w:rPr>
              <w:t>Materii în suspensie</w:t>
            </w:r>
          </w:p>
        </w:tc>
        <w:tc>
          <w:tcPr>
            <w:tcW w:w="709" w:type="dxa"/>
            <w:tcBorders>
              <w:top w:val="single" w:sz="4" w:space="0" w:color="auto"/>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6,70</w:t>
            </w:r>
          </w:p>
        </w:tc>
        <w:tc>
          <w:tcPr>
            <w:tcW w:w="709" w:type="dxa"/>
            <w:tcBorders>
              <w:top w:val="single" w:sz="4" w:space="0" w:color="auto"/>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88,3</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CBO5</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0,22</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90,0</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Azot total</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1,73</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93,0</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Fosfor total</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0,24</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80,0</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Reziduu fix</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0,91</w:t>
            </w:r>
          </w:p>
        </w:tc>
        <w:tc>
          <w:tcPr>
            <w:tcW w:w="709" w:type="dxa"/>
            <w:tcBorders>
              <w:left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12,0</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center"/>
              <w:rPr>
                <w:rFonts w:ascii="Arial" w:hAnsi="Arial" w:cs="Arial"/>
                <w:sz w:val="16"/>
                <w:szCs w:val="16"/>
              </w:rPr>
            </w:pPr>
          </w:p>
        </w:tc>
        <w:tc>
          <w:tcPr>
            <w:tcW w:w="1843" w:type="dxa"/>
            <w:vMerge/>
            <w:vAlign w:val="center"/>
          </w:tcPr>
          <w:p w:rsidR="00420717" w:rsidRPr="00702A15" w:rsidRDefault="00420717" w:rsidP="00D92384">
            <w:pPr>
              <w:spacing w:after="0" w:line="240" w:lineRule="auto"/>
              <w:rPr>
                <w:rFonts w:ascii="Arial" w:hAnsi="Arial" w:cs="Arial"/>
                <w:sz w:val="20"/>
                <w:szCs w:val="20"/>
              </w:rPr>
            </w:pPr>
          </w:p>
        </w:tc>
        <w:tc>
          <w:tcPr>
            <w:tcW w:w="708"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lang w:val="fr-FR"/>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709" w:type="dxa"/>
            <w:vMerge/>
            <w:vAlign w:val="center"/>
          </w:tcPr>
          <w:p w:rsidR="00420717" w:rsidRPr="00702A15" w:rsidRDefault="00420717" w:rsidP="00D92384">
            <w:pPr>
              <w:spacing w:after="0" w:line="240" w:lineRule="auto"/>
              <w:jc w:val="center"/>
              <w:rPr>
                <w:rFonts w:ascii="Arial" w:hAnsi="Arial" w:cs="Arial"/>
                <w:sz w:val="16"/>
                <w:szCs w:val="16"/>
              </w:rPr>
            </w:pPr>
          </w:p>
        </w:tc>
        <w:tc>
          <w:tcPr>
            <w:tcW w:w="850" w:type="dxa"/>
            <w:vMerge/>
            <w:vAlign w:val="center"/>
          </w:tcPr>
          <w:p w:rsidR="00420717" w:rsidRPr="00702A15" w:rsidRDefault="00420717" w:rsidP="00D92384">
            <w:pPr>
              <w:spacing w:after="0" w:line="240" w:lineRule="auto"/>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Detergen</w:t>
            </w:r>
            <w:r>
              <w:rPr>
                <w:rFonts w:ascii="Arial" w:eastAsia="Times New Roman" w:hAnsi="Arial" w:cs="Arial"/>
                <w:sz w:val="16"/>
                <w:szCs w:val="16"/>
              </w:rPr>
              <w:t>ţ</w:t>
            </w:r>
            <w:r w:rsidRPr="00702A15">
              <w:rPr>
                <w:rFonts w:ascii="Arial" w:eastAsia="Times New Roman" w:hAnsi="Arial" w:cs="Arial"/>
                <w:sz w:val="16"/>
                <w:szCs w:val="16"/>
              </w:rPr>
              <w:t xml:space="preserve">i </w:t>
            </w:r>
          </w:p>
        </w:tc>
        <w:tc>
          <w:tcPr>
            <w:tcW w:w="709" w:type="dxa"/>
            <w:tcBorders>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0,06</w:t>
            </w:r>
          </w:p>
        </w:tc>
        <w:tc>
          <w:tcPr>
            <w:tcW w:w="709" w:type="dxa"/>
            <w:tcBorders>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98,0</w:t>
            </w:r>
          </w:p>
        </w:tc>
      </w:tr>
      <w:tr w:rsidR="00420717" w:rsidRPr="00702A15" w:rsidTr="00D92384">
        <w:trPr>
          <w:trHeight w:val="144"/>
          <w:jc w:val="center"/>
        </w:trPr>
        <w:tc>
          <w:tcPr>
            <w:tcW w:w="426"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8.</w:t>
            </w:r>
          </w:p>
        </w:tc>
        <w:tc>
          <w:tcPr>
            <w:tcW w:w="1843" w:type="dxa"/>
            <w:vMerge w:val="restart"/>
            <w:vAlign w:val="center"/>
          </w:tcPr>
          <w:p w:rsidR="00420717" w:rsidRPr="00702A15" w:rsidRDefault="00420717" w:rsidP="00D92384">
            <w:pPr>
              <w:spacing w:after="0" w:line="240" w:lineRule="auto"/>
              <w:rPr>
                <w:rFonts w:ascii="Arial" w:hAnsi="Arial" w:cs="Arial"/>
                <w:sz w:val="20"/>
                <w:szCs w:val="20"/>
              </w:rPr>
            </w:pPr>
            <w:r w:rsidRPr="00702A15">
              <w:rPr>
                <w:rFonts w:ascii="Arial" w:hAnsi="Arial" w:cs="Arial"/>
                <w:sz w:val="20"/>
                <w:szCs w:val="20"/>
                <w:lang w:val="fr-FR"/>
              </w:rPr>
              <w:t>Comuna Berca</w:t>
            </w:r>
          </w:p>
        </w:tc>
        <w:tc>
          <w:tcPr>
            <w:tcW w:w="708" w:type="dxa"/>
            <w:vMerge w:val="restart"/>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66</w:t>
            </w:r>
          </w:p>
        </w:tc>
        <w:tc>
          <w:tcPr>
            <w:tcW w:w="851" w:type="dxa"/>
            <w:vMerge w:val="restart"/>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lang w:val="fr-FR"/>
              </w:rPr>
            </w:pPr>
            <w:r w:rsidRPr="00702A15">
              <w:rPr>
                <w:rFonts w:ascii="Arial" w:hAnsi="Arial" w:cs="Arial"/>
                <w:sz w:val="16"/>
                <w:szCs w:val="16"/>
                <w:lang w:val="fr-FR"/>
              </w:rPr>
              <w:t>66</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709"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850" w:type="dxa"/>
            <w:vMerge w:val="restart"/>
            <w:vAlign w:val="center"/>
          </w:tcPr>
          <w:p w:rsidR="00420717" w:rsidRPr="00702A15" w:rsidRDefault="00420717" w:rsidP="00D92384">
            <w:pPr>
              <w:spacing w:after="0" w:line="240" w:lineRule="auto"/>
              <w:jc w:val="center"/>
              <w:rPr>
                <w:rFonts w:ascii="Arial" w:hAnsi="Arial" w:cs="Arial"/>
                <w:sz w:val="16"/>
                <w:szCs w:val="16"/>
              </w:rPr>
            </w:pPr>
            <w:r w:rsidRPr="00702A15">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eastAsia="Times New Roman" w:hAnsi="Arial" w:cs="Arial"/>
                <w:sz w:val="16"/>
                <w:szCs w:val="16"/>
              </w:rPr>
            </w:pPr>
            <w:r w:rsidRPr="00702A15">
              <w:rPr>
                <w:rFonts w:ascii="Arial" w:eastAsia="Times New Roman" w:hAnsi="Arial" w:cs="Arial"/>
                <w:sz w:val="16"/>
                <w:szCs w:val="16"/>
              </w:rPr>
              <w:t>Materii în suspensie</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18,51</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73,6</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both"/>
              <w:rPr>
                <w:rFonts w:ascii="Arial" w:hAnsi="Arial" w:cs="Arial"/>
                <w:sz w:val="16"/>
                <w:szCs w:val="16"/>
              </w:rPr>
            </w:pPr>
          </w:p>
        </w:tc>
        <w:tc>
          <w:tcPr>
            <w:tcW w:w="1843" w:type="dxa"/>
            <w:vMerge/>
            <w:vAlign w:val="center"/>
          </w:tcPr>
          <w:p w:rsidR="00420717" w:rsidRPr="00702A15" w:rsidRDefault="00420717" w:rsidP="00D92384">
            <w:pPr>
              <w:spacing w:after="0" w:line="240" w:lineRule="auto"/>
              <w:jc w:val="both"/>
              <w:rPr>
                <w:rFonts w:ascii="Arial" w:hAnsi="Arial" w:cs="Arial"/>
                <w:sz w:val="16"/>
                <w:szCs w:val="16"/>
              </w:rPr>
            </w:pPr>
          </w:p>
        </w:tc>
        <w:tc>
          <w:tcPr>
            <w:tcW w:w="708"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CBO5</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17,65</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75,1</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both"/>
              <w:rPr>
                <w:rFonts w:ascii="Arial" w:hAnsi="Arial" w:cs="Arial"/>
                <w:sz w:val="16"/>
                <w:szCs w:val="16"/>
              </w:rPr>
            </w:pPr>
          </w:p>
        </w:tc>
        <w:tc>
          <w:tcPr>
            <w:tcW w:w="1843" w:type="dxa"/>
            <w:vMerge/>
            <w:vAlign w:val="center"/>
          </w:tcPr>
          <w:p w:rsidR="00420717" w:rsidRPr="00702A15" w:rsidRDefault="00420717" w:rsidP="00D92384">
            <w:pPr>
              <w:spacing w:after="0" w:line="240" w:lineRule="auto"/>
              <w:jc w:val="both"/>
              <w:rPr>
                <w:rFonts w:ascii="Arial" w:hAnsi="Arial" w:cs="Arial"/>
                <w:sz w:val="16"/>
                <w:szCs w:val="16"/>
              </w:rPr>
            </w:pPr>
          </w:p>
        </w:tc>
        <w:tc>
          <w:tcPr>
            <w:tcW w:w="708"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Azot total</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2,19</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81,5</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both"/>
              <w:rPr>
                <w:rFonts w:ascii="Arial" w:hAnsi="Arial" w:cs="Arial"/>
                <w:sz w:val="16"/>
                <w:szCs w:val="16"/>
              </w:rPr>
            </w:pPr>
          </w:p>
        </w:tc>
        <w:tc>
          <w:tcPr>
            <w:tcW w:w="1843" w:type="dxa"/>
            <w:vMerge/>
            <w:vAlign w:val="center"/>
          </w:tcPr>
          <w:p w:rsidR="00420717" w:rsidRPr="00702A15" w:rsidRDefault="00420717" w:rsidP="00D92384">
            <w:pPr>
              <w:spacing w:after="0" w:line="240" w:lineRule="auto"/>
              <w:jc w:val="both"/>
              <w:rPr>
                <w:rFonts w:ascii="Arial" w:hAnsi="Arial" w:cs="Arial"/>
                <w:sz w:val="16"/>
                <w:szCs w:val="16"/>
              </w:rPr>
            </w:pPr>
          </w:p>
        </w:tc>
        <w:tc>
          <w:tcPr>
            <w:tcW w:w="708"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Fosfor total</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12,5</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76,2</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both"/>
              <w:rPr>
                <w:rFonts w:ascii="Arial" w:hAnsi="Arial" w:cs="Arial"/>
                <w:sz w:val="16"/>
                <w:szCs w:val="16"/>
              </w:rPr>
            </w:pPr>
          </w:p>
        </w:tc>
        <w:tc>
          <w:tcPr>
            <w:tcW w:w="1843" w:type="dxa"/>
            <w:vMerge/>
            <w:vAlign w:val="center"/>
          </w:tcPr>
          <w:p w:rsidR="00420717" w:rsidRPr="00702A15" w:rsidRDefault="00420717" w:rsidP="00D92384">
            <w:pPr>
              <w:spacing w:after="0" w:line="240" w:lineRule="auto"/>
              <w:jc w:val="both"/>
              <w:rPr>
                <w:rFonts w:ascii="Arial" w:hAnsi="Arial" w:cs="Arial"/>
                <w:sz w:val="16"/>
                <w:szCs w:val="16"/>
              </w:rPr>
            </w:pPr>
          </w:p>
        </w:tc>
        <w:tc>
          <w:tcPr>
            <w:tcW w:w="708"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Reziduu fix</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118,36</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68,3</w:t>
            </w:r>
          </w:p>
        </w:tc>
      </w:tr>
      <w:tr w:rsidR="00420717" w:rsidRPr="00702A15" w:rsidTr="00D92384">
        <w:trPr>
          <w:trHeight w:val="144"/>
          <w:jc w:val="center"/>
        </w:trPr>
        <w:tc>
          <w:tcPr>
            <w:tcW w:w="426" w:type="dxa"/>
            <w:vMerge/>
            <w:vAlign w:val="center"/>
          </w:tcPr>
          <w:p w:rsidR="00420717" w:rsidRPr="00702A15" w:rsidRDefault="00420717" w:rsidP="00D92384">
            <w:pPr>
              <w:spacing w:after="0" w:line="240" w:lineRule="auto"/>
              <w:jc w:val="both"/>
              <w:rPr>
                <w:rFonts w:ascii="Arial" w:hAnsi="Arial" w:cs="Arial"/>
                <w:sz w:val="16"/>
                <w:szCs w:val="16"/>
              </w:rPr>
            </w:pPr>
          </w:p>
        </w:tc>
        <w:tc>
          <w:tcPr>
            <w:tcW w:w="1843" w:type="dxa"/>
            <w:vMerge/>
            <w:vAlign w:val="center"/>
          </w:tcPr>
          <w:p w:rsidR="00420717" w:rsidRPr="00702A15" w:rsidRDefault="00420717" w:rsidP="00D92384">
            <w:pPr>
              <w:spacing w:after="0" w:line="240" w:lineRule="auto"/>
              <w:jc w:val="both"/>
              <w:rPr>
                <w:rFonts w:ascii="Arial" w:hAnsi="Arial" w:cs="Arial"/>
                <w:sz w:val="16"/>
                <w:szCs w:val="16"/>
              </w:rPr>
            </w:pPr>
          </w:p>
        </w:tc>
        <w:tc>
          <w:tcPr>
            <w:tcW w:w="708"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1"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709" w:type="dxa"/>
            <w:vMerge/>
            <w:vAlign w:val="center"/>
          </w:tcPr>
          <w:p w:rsidR="00420717" w:rsidRPr="00702A15" w:rsidRDefault="00420717" w:rsidP="00D92384">
            <w:pPr>
              <w:spacing w:after="0" w:line="240" w:lineRule="auto"/>
              <w:jc w:val="both"/>
              <w:rPr>
                <w:rFonts w:ascii="Arial" w:hAnsi="Arial" w:cs="Arial"/>
                <w:sz w:val="16"/>
                <w:szCs w:val="16"/>
                <w:lang w:val="fr-FR"/>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709" w:type="dxa"/>
            <w:vMerge/>
          </w:tcPr>
          <w:p w:rsidR="00420717" w:rsidRPr="00702A15" w:rsidRDefault="00420717" w:rsidP="00D92384">
            <w:pPr>
              <w:spacing w:after="0" w:line="240" w:lineRule="auto"/>
              <w:rPr>
                <w:rFonts w:ascii="Arial" w:hAnsi="Arial" w:cs="Arial"/>
                <w:sz w:val="16"/>
                <w:szCs w:val="16"/>
              </w:rPr>
            </w:pPr>
          </w:p>
        </w:tc>
        <w:tc>
          <w:tcPr>
            <w:tcW w:w="850" w:type="dxa"/>
            <w:vMerge/>
          </w:tcPr>
          <w:p w:rsidR="00420717" w:rsidRPr="00702A15" w:rsidRDefault="00420717" w:rsidP="00D92384">
            <w:pPr>
              <w:spacing w:after="0" w:line="240" w:lineRule="aut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420717" w:rsidRPr="00702A15" w:rsidRDefault="00420717" w:rsidP="00D92384">
            <w:pPr>
              <w:spacing w:after="0" w:line="240" w:lineRule="auto"/>
              <w:rPr>
                <w:rFonts w:ascii="Arial" w:hAnsi="Arial" w:cs="Arial"/>
                <w:sz w:val="16"/>
                <w:szCs w:val="16"/>
              </w:rPr>
            </w:pPr>
            <w:r w:rsidRPr="00702A15">
              <w:rPr>
                <w:rFonts w:ascii="Arial" w:eastAsia="Times New Roman" w:hAnsi="Arial" w:cs="Arial"/>
                <w:sz w:val="16"/>
                <w:szCs w:val="16"/>
              </w:rPr>
              <w:t>Detergen</w:t>
            </w:r>
            <w:r>
              <w:rPr>
                <w:rFonts w:ascii="Arial" w:eastAsia="Times New Roman" w:hAnsi="Arial" w:cs="Arial"/>
                <w:sz w:val="16"/>
                <w:szCs w:val="16"/>
              </w:rPr>
              <w:t>ţ</w:t>
            </w:r>
            <w:r w:rsidRPr="00702A15">
              <w:rPr>
                <w:rFonts w:ascii="Arial" w:eastAsia="Times New Roman" w:hAnsi="Arial" w:cs="Arial"/>
                <w:sz w:val="16"/>
                <w:szCs w:val="16"/>
              </w:rPr>
              <w:t xml:space="preserve">i </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1,34</w:t>
            </w:r>
          </w:p>
        </w:tc>
        <w:tc>
          <w:tcPr>
            <w:tcW w:w="709" w:type="dxa"/>
            <w:tcBorders>
              <w:top w:val="single" w:sz="4" w:space="0" w:color="auto"/>
              <w:left w:val="single" w:sz="4" w:space="0" w:color="auto"/>
              <w:bottom w:val="single" w:sz="4" w:space="0" w:color="auto"/>
              <w:right w:val="single" w:sz="4" w:space="0" w:color="auto"/>
            </w:tcBorders>
            <w:vAlign w:val="center"/>
          </w:tcPr>
          <w:p w:rsidR="00420717" w:rsidRPr="00702A15" w:rsidRDefault="00420717" w:rsidP="00D92384">
            <w:pPr>
              <w:spacing w:after="0" w:line="240" w:lineRule="auto"/>
              <w:jc w:val="center"/>
              <w:rPr>
                <w:rFonts w:ascii="Arial" w:hAnsi="Arial" w:cs="Arial"/>
                <w:bCs/>
                <w:iCs/>
                <w:sz w:val="16"/>
                <w:szCs w:val="16"/>
              </w:rPr>
            </w:pPr>
            <w:r w:rsidRPr="00702A15">
              <w:rPr>
                <w:rFonts w:ascii="Arial" w:hAnsi="Arial" w:cs="Arial"/>
                <w:bCs/>
                <w:iCs/>
                <w:sz w:val="16"/>
                <w:szCs w:val="16"/>
              </w:rPr>
              <w:t>75,3</w:t>
            </w:r>
          </w:p>
        </w:tc>
      </w:tr>
    </w:tbl>
    <w:p w:rsidR="00420717" w:rsidRPr="00AA0E3F" w:rsidRDefault="00420717" w:rsidP="00420717">
      <w:pPr>
        <w:tabs>
          <w:tab w:val="left" w:pos="5400"/>
        </w:tabs>
        <w:spacing w:after="0" w:line="240" w:lineRule="auto"/>
        <w:jc w:val="both"/>
        <w:rPr>
          <w:rFonts w:ascii="Arial" w:hAnsi="Arial" w:cs="Arial"/>
          <w:b/>
          <w:sz w:val="24"/>
          <w:szCs w:val="24"/>
        </w:rPr>
      </w:pPr>
      <w:r w:rsidRPr="00AA0E3F">
        <w:rPr>
          <w:rFonts w:ascii="Arial" w:hAnsi="Arial" w:cs="Arial"/>
          <w:b/>
          <w:sz w:val="24"/>
          <w:szCs w:val="24"/>
        </w:rPr>
        <w:t>Tabel II.2.2.2.7. Nivelul de epurare a apelor uzate provenite din mediul rural, din judeţul Buzău, în anul 2014</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Sursa datelor: Compania de Apă Buzău, primăria Gura Teghii, primăria Mărăcineni, primăria Berca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Default="00420717" w:rsidP="00420717">
      <w:pPr>
        <w:pStyle w:val="Default"/>
        <w:jc w:val="both"/>
        <w:rPr>
          <w:bCs/>
          <w:color w:val="auto"/>
        </w:rPr>
      </w:pPr>
      <w:r w:rsidRPr="00702A15">
        <w:rPr>
          <w:bCs/>
          <w:color w:val="auto"/>
        </w:rPr>
        <w:t>Volumul total de ape uzate urbane evacuate în receptorii naturali în perioada 2010-2014, în jude</w:t>
      </w:r>
      <w:r>
        <w:rPr>
          <w:bCs/>
          <w:color w:val="auto"/>
        </w:rPr>
        <w:t>ţ</w:t>
      </w:r>
      <w:r w:rsidRPr="00702A15">
        <w:rPr>
          <w:bCs/>
          <w:color w:val="auto"/>
        </w:rPr>
        <w:t>ul Buzău, este redat în tabelul următor (RO 24).</w:t>
      </w:r>
    </w:p>
    <w:p w:rsidR="005864AC" w:rsidRPr="00702A15" w:rsidRDefault="005864AC" w:rsidP="00420717">
      <w:pPr>
        <w:pStyle w:val="Default"/>
        <w:jc w:val="both"/>
        <w:rPr>
          <w:bCs/>
          <w:color w:val="auto"/>
        </w:rPr>
      </w:pPr>
    </w:p>
    <w:tbl>
      <w:tblPr>
        <w:tblW w:w="9855"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50"/>
        <w:gridCol w:w="1484"/>
        <w:gridCol w:w="1260"/>
        <w:gridCol w:w="2250"/>
        <w:gridCol w:w="2430"/>
        <w:gridCol w:w="1681"/>
      </w:tblGrid>
      <w:tr w:rsidR="00420717" w:rsidRPr="00702A15" w:rsidTr="00D92384">
        <w:trPr>
          <w:jc w:val="center"/>
        </w:trPr>
        <w:tc>
          <w:tcPr>
            <w:tcW w:w="750" w:type="dxa"/>
            <w:vMerge w:val="restart"/>
            <w:vAlign w:val="center"/>
          </w:tcPr>
          <w:p w:rsidR="00420717" w:rsidRPr="00702A15" w:rsidRDefault="00420717" w:rsidP="00D92384">
            <w:pPr>
              <w:pStyle w:val="Default"/>
              <w:jc w:val="center"/>
              <w:rPr>
                <w:b/>
                <w:bCs/>
                <w:color w:val="auto"/>
              </w:rPr>
            </w:pPr>
            <w:r w:rsidRPr="00702A15">
              <w:rPr>
                <w:b/>
                <w:bCs/>
                <w:color w:val="auto"/>
              </w:rPr>
              <w:t>Anul</w:t>
            </w:r>
          </w:p>
        </w:tc>
        <w:tc>
          <w:tcPr>
            <w:tcW w:w="9105" w:type="dxa"/>
            <w:gridSpan w:val="5"/>
            <w:vAlign w:val="center"/>
          </w:tcPr>
          <w:p w:rsidR="00420717" w:rsidRPr="00702A15" w:rsidRDefault="00420717" w:rsidP="00D92384">
            <w:pPr>
              <w:pStyle w:val="Default"/>
              <w:jc w:val="center"/>
              <w:rPr>
                <w:b/>
                <w:bCs/>
                <w:color w:val="auto"/>
              </w:rPr>
            </w:pPr>
            <w:r w:rsidRPr="00702A15">
              <w:rPr>
                <w:b/>
                <w:bCs/>
                <w:color w:val="auto"/>
              </w:rPr>
              <w:t>Volum ape uzate urbane evacuate în receptorii naturali</w:t>
            </w:r>
          </w:p>
          <w:p w:rsidR="00420717" w:rsidRPr="00702A15" w:rsidRDefault="00420717" w:rsidP="00D92384">
            <w:pPr>
              <w:pStyle w:val="Default"/>
              <w:jc w:val="center"/>
              <w:rPr>
                <w:b/>
                <w:bCs/>
                <w:color w:val="auto"/>
              </w:rPr>
            </w:pPr>
            <w:r w:rsidRPr="00702A15">
              <w:rPr>
                <w:b/>
                <w:bCs/>
                <w:color w:val="auto"/>
              </w:rPr>
              <w:t>(mii m³/an)</w:t>
            </w:r>
          </w:p>
        </w:tc>
      </w:tr>
      <w:tr w:rsidR="00420717" w:rsidRPr="00702A15" w:rsidTr="00D92384">
        <w:trPr>
          <w:trHeight w:val="596"/>
          <w:jc w:val="center"/>
        </w:trPr>
        <w:tc>
          <w:tcPr>
            <w:tcW w:w="750" w:type="dxa"/>
            <w:vMerge/>
            <w:vAlign w:val="center"/>
          </w:tcPr>
          <w:p w:rsidR="00420717" w:rsidRPr="00702A15" w:rsidRDefault="00420717" w:rsidP="00D92384">
            <w:pPr>
              <w:spacing w:after="0" w:line="240" w:lineRule="auto"/>
              <w:rPr>
                <w:rFonts w:ascii="Arial" w:hAnsi="Arial" w:cs="Arial"/>
                <w:b/>
                <w:bCs/>
                <w:sz w:val="24"/>
                <w:szCs w:val="24"/>
              </w:rPr>
            </w:pPr>
          </w:p>
        </w:tc>
        <w:tc>
          <w:tcPr>
            <w:tcW w:w="1484" w:type="dxa"/>
            <w:vAlign w:val="center"/>
          </w:tcPr>
          <w:p w:rsidR="00420717" w:rsidRPr="00702A15" w:rsidRDefault="00420717" w:rsidP="00D92384">
            <w:pPr>
              <w:pStyle w:val="Default"/>
              <w:jc w:val="center"/>
              <w:rPr>
                <w:b/>
                <w:bCs/>
                <w:color w:val="auto"/>
              </w:rPr>
            </w:pPr>
            <w:r w:rsidRPr="00702A15">
              <w:rPr>
                <w:b/>
                <w:bCs/>
                <w:color w:val="auto"/>
              </w:rPr>
              <w:t>Total</w:t>
            </w:r>
          </w:p>
        </w:tc>
        <w:tc>
          <w:tcPr>
            <w:tcW w:w="1260" w:type="dxa"/>
            <w:vAlign w:val="center"/>
          </w:tcPr>
          <w:p w:rsidR="00420717" w:rsidRPr="00702A15" w:rsidRDefault="00420717" w:rsidP="00D92384">
            <w:pPr>
              <w:pStyle w:val="Default"/>
              <w:jc w:val="center"/>
              <w:rPr>
                <w:b/>
                <w:bCs/>
                <w:color w:val="auto"/>
              </w:rPr>
            </w:pPr>
            <w:r w:rsidRPr="00702A15">
              <w:rPr>
                <w:b/>
                <w:bCs/>
                <w:color w:val="auto"/>
              </w:rPr>
              <w:t>Nu necesită epurare</w:t>
            </w:r>
          </w:p>
        </w:tc>
        <w:tc>
          <w:tcPr>
            <w:tcW w:w="2250" w:type="dxa"/>
            <w:vAlign w:val="center"/>
          </w:tcPr>
          <w:p w:rsidR="00420717" w:rsidRPr="00702A15" w:rsidRDefault="00420717" w:rsidP="00D92384">
            <w:pPr>
              <w:pStyle w:val="Default"/>
              <w:jc w:val="center"/>
              <w:rPr>
                <w:b/>
                <w:bCs/>
                <w:color w:val="auto"/>
              </w:rPr>
            </w:pPr>
            <w:r w:rsidRPr="00702A15">
              <w:rPr>
                <w:b/>
                <w:bCs/>
                <w:color w:val="auto"/>
              </w:rPr>
              <w:t>Suficient epurate</w:t>
            </w:r>
          </w:p>
        </w:tc>
        <w:tc>
          <w:tcPr>
            <w:tcW w:w="2430" w:type="dxa"/>
            <w:vAlign w:val="center"/>
          </w:tcPr>
          <w:p w:rsidR="00420717" w:rsidRPr="00702A15" w:rsidRDefault="00420717" w:rsidP="00D92384">
            <w:pPr>
              <w:pStyle w:val="Default"/>
              <w:jc w:val="center"/>
              <w:rPr>
                <w:b/>
                <w:bCs/>
                <w:color w:val="auto"/>
              </w:rPr>
            </w:pPr>
            <w:r w:rsidRPr="00702A15">
              <w:rPr>
                <w:b/>
                <w:bCs/>
                <w:color w:val="auto"/>
              </w:rPr>
              <w:t>Insuficient epurate</w:t>
            </w:r>
          </w:p>
        </w:tc>
        <w:tc>
          <w:tcPr>
            <w:tcW w:w="1681" w:type="dxa"/>
            <w:vAlign w:val="center"/>
          </w:tcPr>
          <w:p w:rsidR="00420717" w:rsidRPr="00702A15" w:rsidRDefault="00420717" w:rsidP="00D92384">
            <w:pPr>
              <w:pStyle w:val="Default"/>
              <w:jc w:val="center"/>
              <w:rPr>
                <w:b/>
                <w:bCs/>
                <w:color w:val="auto"/>
              </w:rPr>
            </w:pPr>
            <w:r w:rsidRPr="00702A15">
              <w:rPr>
                <w:b/>
                <w:bCs/>
                <w:color w:val="auto"/>
              </w:rPr>
              <w:t>Neepurate</w:t>
            </w:r>
          </w:p>
        </w:tc>
      </w:tr>
      <w:tr w:rsidR="00420717" w:rsidRPr="00702A15" w:rsidTr="00D92384">
        <w:trPr>
          <w:jc w:val="center"/>
        </w:trPr>
        <w:tc>
          <w:tcPr>
            <w:tcW w:w="750" w:type="dxa"/>
          </w:tcPr>
          <w:p w:rsidR="00420717" w:rsidRPr="00702A15" w:rsidRDefault="00420717" w:rsidP="00D92384">
            <w:pPr>
              <w:pStyle w:val="Default"/>
              <w:rPr>
                <w:bCs/>
                <w:color w:val="auto"/>
              </w:rPr>
            </w:pPr>
            <w:r w:rsidRPr="00702A15">
              <w:rPr>
                <w:bCs/>
                <w:color w:val="auto"/>
              </w:rPr>
              <w:t>2010</w:t>
            </w:r>
          </w:p>
        </w:tc>
        <w:tc>
          <w:tcPr>
            <w:tcW w:w="1484" w:type="dxa"/>
            <w:vAlign w:val="center"/>
          </w:tcPr>
          <w:p w:rsidR="00420717" w:rsidRPr="00702A15" w:rsidRDefault="00420717" w:rsidP="00D92384">
            <w:pPr>
              <w:pStyle w:val="Default"/>
              <w:jc w:val="center"/>
              <w:rPr>
                <w:b/>
                <w:bCs/>
                <w:color w:val="auto"/>
              </w:rPr>
            </w:pPr>
            <w:r>
              <w:rPr>
                <w:b/>
                <w:bCs/>
                <w:color w:val="auto"/>
              </w:rPr>
              <w:t>-</w:t>
            </w:r>
          </w:p>
        </w:tc>
        <w:tc>
          <w:tcPr>
            <w:tcW w:w="1260" w:type="dxa"/>
            <w:vAlign w:val="center"/>
          </w:tcPr>
          <w:p w:rsidR="00420717" w:rsidRPr="00702A15" w:rsidRDefault="00420717" w:rsidP="00D92384">
            <w:pPr>
              <w:pStyle w:val="Default"/>
              <w:jc w:val="center"/>
              <w:rPr>
                <w:b/>
                <w:bCs/>
                <w:color w:val="auto"/>
              </w:rPr>
            </w:pPr>
            <w:r>
              <w:rPr>
                <w:b/>
                <w:bCs/>
                <w:color w:val="auto"/>
              </w:rPr>
              <w:t>-</w:t>
            </w:r>
          </w:p>
        </w:tc>
        <w:tc>
          <w:tcPr>
            <w:tcW w:w="2250" w:type="dxa"/>
            <w:vAlign w:val="center"/>
          </w:tcPr>
          <w:p w:rsidR="00420717" w:rsidRPr="00702A15" w:rsidRDefault="00420717" w:rsidP="00D92384">
            <w:pPr>
              <w:pStyle w:val="Default"/>
              <w:jc w:val="center"/>
              <w:rPr>
                <w:b/>
                <w:bCs/>
                <w:color w:val="auto"/>
              </w:rPr>
            </w:pPr>
            <w:r>
              <w:rPr>
                <w:b/>
                <w:bCs/>
                <w:color w:val="auto"/>
              </w:rPr>
              <w:t>-</w:t>
            </w:r>
          </w:p>
        </w:tc>
        <w:tc>
          <w:tcPr>
            <w:tcW w:w="2430" w:type="dxa"/>
            <w:vAlign w:val="center"/>
          </w:tcPr>
          <w:p w:rsidR="00420717" w:rsidRPr="00702A15" w:rsidRDefault="00420717" w:rsidP="00D92384">
            <w:pPr>
              <w:pStyle w:val="Default"/>
              <w:jc w:val="center"/>
              <w:rPr>
                <w:b/>
                <w:bCs/>
                <w:color w:val="auto"/>
              </w:rPr>
            </w:pPr>
            <w:r>
              <w:rPr>
                <w:b/>
                <w:bCs/>
                <w:color w:val="auto"/>
              </w:rPr>
              <w:t>-</w:t>
            </w:r>
          </w:p>
        </w:tc>
        <w:tc>
          <w:tcPr>
            <w:tcW w:w="1681" w:type="dxa"/>
            <w:vAlign w:val="center"/>
          </w:tcPr>
          <w:p w:rsidR="00420717" w:rsidRPr="00702A15" w:rsidRDefault="00420717" w:rsidP="00D92384">
            <w:pPr>
              <w:pStyle w:val="Default"/>
              <w:jc w:val="center"/>
              <w:rPr>
                <w:b/>
                <w:bCs/>
                <w:color w:val="auto"/>
              </w:rPr>
            </w:pPr>
            <w:r>
              <w:rPr>
                <w:b/>
                <w:bCs/>
                <w:color w:val="auto"/>
              </w:rPr>
              <w:t>-</w:t>
            </w:r>
          </w:p>
        </w:tc>
      </w:tr>
      <w:tr w:rsidR="00420717" w:rsidRPr="00702A15" w:rsidTr="00D92384">
        <w:trPr>
          <w:jc w:val="center"/>
        </w:trPr>
        <w:tc>
          <w:tcPr>
            <w:tcW w:w="750" w:type="dxa"/>
          </w:tcPr>
          <w:p w:rsidR="00420717" w:rsidRPr="00702A15" w:rsidRDefault="00420717" w:rsidP="00D92384">
            <w:pPr>
              <w:pStyle w:val="Default"/>
              <w:rPr>
                <w:bCs/>
                <w:color w:val="auto"/>
              </w:rPr>
            </w:pPr>
            <w:r w:rsidRPr="00702A15">
              <w:rPr>
                <w:bCs/>
                <w:color w:val="auto"/>
              </w:rPr>
              <w:t>2011</w:t>
            </w:r>
          </w:p>
        </w:tc>
        <w:tc>
          <w:tcPr>
            <w:tcW w:w="1484" w:type="dxa"/>
            <w:vAlign w:val="center"/>
          </w:tcPr>
          <w:p w:rsidR="00420717" w:rsidRPr="00702A15" w:rsidRDefault="00420717" w:rsidP="00D92384">
            <w:pPr>
              <w:pStyle w:val="Default"/>
              <w:jc w:val="center"/>
              <w:rPr>
                <w:bCs/>
                <w:color w:val="auto"/>
              </w:rPr>
            </w:pPr>
            <w:r w:rsidRPr="00702A15">
              <w:rPr>
                <w:bCs/>
                <w:color w:val="auto"/>
              </w:rPr>
              <w:t>10.460,6</w:t>
            </w:r>
          </w:p>
        </w:tc>
        <w:tc>
          <w:tcPr>
            <w:tcW w:w="1260" w:type="dxa"/>
            <w:vAlign w:val="center"/>
          </w:tcPr>
          <w:p w:rsidR="00420717" w:rsidRPr="00702A15" w:rsidRDefault="00420717" w:rsidP="00D92384">
            <w:pPr>
              <w:pStyle w:val="Default"/>
              <w:jc w:val="center"/>
              <w:rPr>
                <w:bCs/>
                <w:color w:val="auto"/>
              </w:rPr>
            </w:pPr>
            <w:r w:rsidRPr="00702A15">
              <w:rPr>
                <w:bCs/>
                <w:color w:val="auto"/>
              </w:rPr>
              <w:t>157,2</w:t>
            </w:r>
          </w:p>
        </w:tc>
        <w:tc>
          <w:tcPr>
            <w:tcW w:w="2250" w:type="dxa"/>
            <w:vAlign w:val="center"/>
          </w:tcPr>
          <w:p w:rsidR="00420717" w:rsidRPr="00702A15" w:rsidRDefault="00420717" w:rsidP="00D92384">
            <w:pPr>
              <w:pStyle w:val="Default"/>
              <w:jc w:val="center"/>
              <w:rPr>
                <w:bCs/>
                <w:color w:val="auto"/>
              </w:rPr>
            </w:pPr>
            <w:r w:rsidRPr="00702A15">
              <w:rPr>
                <w:bCs/>
                <w:color w:val="auto"/>
              </w:rPr>
              <w:t>32,4</w:t>
            </w:r>
          </w:p>
        </w:tc>
        <w:tc>
          <w:tcPr>
            <w:tcW w:w="2430" w:type="dxa"/>
            <w:vAlign w:val="center"/>
          </w:tcPr>
          <w:p w:rsidR="00420717" w:rsidRPr="00702A15" w:rsidRDefault="00420717" w:rsidP="00D92384">
            <w:pPr>
              <w:pStyle w:val="Default"/>
              <w:jc w:val="center"/>
              <w:rPr>
                <w:bCs/>
                <w:color w:val="auto"/>
              </w:rPr>
            </w:pPr>
            <w:r w:rsidRPr="00702A15">
              <w:rPr>
                <w:bCs/>
                <w:color w:val="auto"/>
              </w:rPr>
              <w:t>10.271,0</w:t>
            </w:r>
          </w:p>
        </w:tc>
        <w:tc>
          <w:tcPr>
            <w:tcW w:w="1681" w:type="dxa"/>
            <w:vAlign w:val="center"/>
          </w:tcPr>
          <w:p w:rsidR="00420717" w:rsidRPr="00702A15" w:rsidRDefault="00420717" w:rsidP="00D92384">
            <w:pPr>
              <w:pStyle w:val="Default"/>
              <w:jc w:val="center"/>
              <w:rPr>
                <w:bCs/>
                <w:color w:val="auto"/>
              </w:rPr>
            </w:pPr>
            <w:r w:rsidRPr="00702A15">
              <w:rPr>
                <w:bCs/>
                <w:color w:val="auto"/>
              </w:rPr>
              <w:t>0</w:t>
            </w:r>
          </w:p>
        </w:tc>
      </w:tr>
      <w:tr w:rsidR="00420717" w:rsidRPr="00702A15" w:rsidTr="00D92384">
        <w:trPr>
          <w:jc w:val="center"/>
        </w:trPr>
        <w:tc>
          <w:tcPr>
            <w:tcW w:w="750" w:type="dxa"/>
          </w:tcPr>
          <w:p w:rsidR="00420717" w:rsidRPr="00702A15" w:rsidRDefault="00420717" w:rsidP="00D92384">
            <w:pPr>
              <w:pStyle w:val="Default"/>
              <w:rPr>
                <w:bCs/>
                <w:color w:val="auto"/>
              </w:rPr>
            </w:pPr>
            <w:r w:rsidRPr="00702A15">
              <w:rPr>
                <w:bCs/>
                <w:color w:val="auto"/>
              </w:rPr>
              <w:t>2012</w:t>
            </w:r>
          </w:p>
        </w:tc>
        <w:tc>
          <w:tcPr>
            <w:tcW w:w="1484" w:type="dxa"/>
            <w:vAlign w:val="center"/>
          </w:tcPr>
          <w:p w:rsidR="00420717" w:rsidRPr="00702A15" w:rsidRDefault="00420717" w:rsidP="00D92384">
            <w:pPr>
              <w:pStyle w:val="Default"/>
              <w:jc w:val="center"/>
              <w:rPr>
                <w:bCs/>
                <w:color w:val="auto"/>
              </w:rPr>
            </w:pPr>
            <w:r w:rsidRPr="00702A15">
              <w:rPr>
                <w:bCs/>
                <w:color w:val="auto"/>
              </w:rPr>
              <w:t>10.051,7</w:t>
            </w:r>
          </w:p>
        </w:tc>
        <w:tc>
          <w:tcPr>
            <w:tcW w:w="1260" w:type="dxa"/>
            <w:vAlign w:val="center"/>
          </w:tcPr>
          <w:p w:rsidR="00420717" w:rsidRPr="00702A15" w:rsidRDefault="00420717" w:rsidP="00D92384">
            <w:pPr>
              <w:pStyle w:val="Default"/>
              <w:jc w:val="center"/>
              <w:rPr>
                <w:bCs/>
                <w:color w:val="auto"/>
              </w:rPr>
            </w:pPr>
            <w:r w:rsidRPr="00702A15">
              <w:rPr>
                <w:bCs/>
                <w:color w:val="auto"/>
              </w:rPr>
              <w:t>188,1</w:t>
            </w:r>
          </w:p>
        </w:tc>
        <w:tc>
          <w:tcPr>
            <w:tcW w:w="2250" w:type="dxa"/>
            <w:vAlign w:val="center"/>
          </w:tcPr>
          <w:p w:rsidR="00420717" w:rsidRPr="00702A15" w:rsidRDefault="00420717" w:rsidP="00D92384">
            <w:pPr>
              <w:pStyle w:val="Default"/>
              <w:jc w:val="center"/>
              <w:rPr>
                <w:bCs/>
                <w:color w:val="auto"/>
              </w:rPr>
            </w:pPr>
            <w:r w:rsidRPr="00702A15">
              <w:rPr>
                <w:bCs/>
                <w:color w:val="auto"/>
              </w:rPr>
              <w:t>468,9</w:t>
            </w:r>
          </w:p>
        </w:tc>
        <w:tc>
          <w:tcPr>
            <w:tcW w:w="2430" w:type="dxa"/>
            <w:vAlign w:val="center"/>
          </w:tcPr>
          <w:p w:rsidR="00420717" w:rsidRPr="00702A15" w:rsidRDefault="00420717" w:rsidP="00D92384">
            <w:pPr>
              <w:pStyle w:val="Default"/>
              <w:jc w:val="center"/>
              <w:rPr>
                <w:bCs/>
                <w:color w:val="auto"/>
              </w:rPr>
            </w:pPr>
            <w:r w:rsidRPr="00702A15">
              <w:rPr>
                <w:bCs/>
                <w:color w:val="auto"/>
              </w:rPr>
              <w:t>9.582,9</w:t>
            </w:r>
          </w:p>
        </w:tc>
        <w:tc>
          <w:tcPr>
            <w:tcW w:w="1681" w:type="dxa"/>
            <w:vAlign w:val="center"/>
          </w:tcPr>
          <w:p w:rsidR="00420717" w:rsidRPr="00702A15" w:rsidRDefault="00420717" w:rsidP="00D92384">
            <w:pPr>
              <w:pStyle w:val="Default"/>
              <w:jc w:val="center"/>
              <w:rPr>
                <w:bCs/>
                <w:color w:val="auto"/>
              </w:rPr>
            </w:pPr>
            <w:r w:rsidRPr="00702A15">
              <w:rPr>
                <w:bCs/>
                <w:color w:val="auto"/>
              </w:rPr>
              <w:t>0</w:t>
            </w:r>
          </w:p>
        </w:tc>
      </w:tr>
      <w:tr w:rsidR="00420717" w:rsidRPr="00702A15" w:rsidTr="00D92384">
        <w:trPr>
          <w:jc w:val="center"/>
        </w:trPr>
        <w:tc>
          <w:tcPr>
            <w:tcW w:w="750" w:type="dxa"/>
          </w:tcPr>
          <w:p w:rsidR="00420717" w:rsidRPr="00702A15" w:rsidRDefault="00420717" w:rsidP="00D92384">
            <w:pPr>
              <w:pStyle w:val="Default"/>
              <w:rPr>
                <w:bCs/>
                <w:color w:val="auto"/>
              </w:rPr>
            </w:pPr>
            <w:r w:rsidRPr="00702A15">
              <w:rPr>
                <w:bCs/>
                <w:color w:val="auto"/>
              </w:rPr>
              <w:t>2013</w:t>
            </w:r>
          </w:p>
        </w:tc>
        <w:tc>
          <w:tcPr>
            <w:tcW w:w="1484" w:type="dxa"/>
            <w:vAlign w:val="center"/>
          </w:tcPr>
          <w:p w:rsidR="00420717" w:rsidRPr="00702A15" w:rsidRDefault="00420717" w:rsidP="00D92384">
            <w:pPr>
              <w:pStyle w:val="Default"/>
              <w:jc w:val="center"/>
              <w:rPr>
                <w:bCs/>
                <w:color w:val="auto"/>
              </w:rPr>
            </w:pPr>
            <w:r w:rsidRPr="00702A15">
              <w:rPr>
                <w:bCs/>
                <w:color w:val="auto"/>
              </w:rPr>
              <w:t>8.813,8</w:t>
            </w:r>
          </w:p>
        </w:tc>
        <w:tc>
          <w:tcPr>
            <w:tcW w:w="1260" w:type="dxa"/>
            <w:vAlign w:val="center"/>
          </w:tcPr>
          <w:p w:rsidR="00420717" w:rsidRPr="00702A15" w:rsidRDefault="00420717" w:rsidP="00D92384">
            <w:pPr>
              <w:pStyle w:val="Default"/>
              <w:jc w:val="center"/>
              <w:rPr>
                <w:bCs/>
                <w:color w:val="auto"/>
              </w:rPr>
            </w:pPr>
            <w:r w:rsidRPr="00702A15">
              <w:rPr>
                <w:bCs/>
                <w:color w:val="auto"/>
              </w:rPr>
              <w:t>210,4</w:t>
            </w:r>
          </w:p>
        </w:tc>
        <w:tc>
          <w:tcPr>
            <w:tcW w:w="2250" w:type="dxa"/>
            <w:vAlign w:val="center"/>
          </w:tcPr>
          <w:p w:rsidR="00420717" w:rsidRPr="00702A15" w:rsidRDefault="00420717" w:rsidP="00D92384">
            <w:pPr>
              <w:pStyle w:val="Default"/>
              <w:jc w:val="center"/>
              <w:rPr>
                <w:bCs/>
                <w:color w:val="auto"/>
              </w:rPr>
            </w:pPr>
            <w:r w:rsidRPr="00702A15">
              <w:rPr>
                <w:bCs/>
                <w:color w:val="auto"/>
              </w:rPr>
              <w:t>4.637,7</w:t>
            </w:r>
          </w:p>
        </w:tc>
        <w:tc>
          <w:tcPr>
            <w:tcW w:w="2430" w:type="dxa"/>
            <w:vAlign w:val="center"/>
          </w:tcPr>
          <w:p w:rsidR="00420717" w:rsidRPr="00702A15" w:rsidRDefault="00420717" w:rsidP="00D92384">
            <w:pPr>
              <w:pStyle w:val="Default"/>
              <w:jc w:val="center"/>
              <w:rPr>
                <w:bCs/>
                <w:color w:val="auto"/>
              </w:rPr>
            </w:pPr>
            <w:r w:rsidRPr="00702A15">
              <w:rPr>
                <w:bCs/>
                <w:color w:val="auto"/>
              </w:rPr>
              <w:t>3.941,8</w:t>
            </w:r>
          </w:p>
        </w:tc>
        <w:tc>
          <w:tcPr>
            <w:tcW w:w="1681" w:type="dxa"/>
            <w:vAlign w:val="center"/>
          </w:tcPr>
          <w:p w:rsidR="00420717" w:rsidRPr="00702A15" w:rsidRDefault="00420717" w:rsidP="00D92384">
            <w:pPr>
              <w:pStyle w:val="Default"/>
              <w:jc w:val="center"/>
              <w:rPr>
                <w:bCs/>
                <w:color w:val="auto"/>
              </w:rPr>
            </w:pPr>
            <w:r w:rsidRPr="00702A15">
              <w:rPr>
                <w:bCs/>
                <w:color w:val="auto"/>
              </w:rPr>
              <w:t>24</w:t>
            </w:r>
          </w:p>
        </w:tc>
      </w:tr>
      <w:tr w:rsidR="00420717" w:rsidRPr="00702A15" w:rsidTr="00D92384">
        <w:trPr>
          <w:jc w:val="center"/>
        </w:trPr>
        <w:tc>
          <w:tcPr>
            <w:tcW w:w="750" w:type="dxa"/>
          </w:tcPr>
          <w:p w:rsidR="00420717" w:rsidRPr="00702A15" w:rsidRDefault="00420717" w:rsidP="00D92384">
            <w:pPr>
              <w:pStyle w:val="Default"/>
              <w:rPr>
                <w:bCs/>
                <w:color w:val="auto"/>
              </w:rPr>
            </w:pPr>
            <w:r w:rsidRPr="00702A15">
              <w:rPr>
                <w:bCs/>
                <w:color w:val="auto"/>
              </w:rPr>
              <w:t>2014</w:t>
            </w:r>
          </w:p>
        </w:tc>
        <w:tc>
          <w:tcPr>
            <w:tcW w:w="1484" w:type="dxa"/>
            <w:vAlign w:val="center"/>
          </w:tcPr>
          <w:p w:rsidR="00420717" w:rsidRPr="00702A15" w:rsidRDefault="00420717" w:rsidP="00D92384">
            <w:pPr>
              <w:pStyle w:val="Default"/>
              <w:tabs>
                <w:tab w:val="left" w:pos="921"/>
              </w:tabs>
              <w:jc w:val="center"/>
              <w:rPr>
                <w:bCs/>
                <w:color w:val="auto"/>
              </w:rPr>
            </w:pPr>
            <w:r w:rsidRPr="00702A15">
              <w:rPr>
                <w:bCs/>
                <w:color w:val="auto"/>
              </w:rPr>
              <w:t>9.869,8</w:t>
            </w:r>
          </w:p>
        </w:tc>
        <w:tc>
          <w:tcPr>
            <w:tcW w:w="1260" w:type="dxa"/>
            <w:vAlign w:val="center"/>
          </w:tcPr>
          <w:p w:rsidR="00420717" w:rsidRPr="00702A15" w:rsidRDefault="00420717" w:rsidP="00D92384">
            <w:pPr>
              <w:pStyle w:val="Default"/>
              <w:jc w:val="center"/>
              <w:rPr>
                <w:bCs/>
                <w:color w:val="auto"/>
              </w:rPr>
            </w:pPr>
            <w:r w:rsidRPr="00702A15">
              <w:rPr>
                <w:bCs/>
                <w:color w:val="auto"/>
              </w:rPr>
              <w:t>186,0</w:t>
            </w:r>
          </w:p>
        </w:tc>
        <w:tc>
          <w:tcPr>
            <w:tcW w:w="2250" w:type="dxa"/>
            <w:vAlign w:val="center"/>
          </w:tcPr>
          <w:p w:rsidR="00420717" w:rsidRPr="00702A15" w:rsidRDefault="00420717" w:rsidP="00D92384">
            <w:pPr>
              <w:pStyle w:val="Default"/>
              <w:jc w:val="center"/>
              <w:rPr>
                <w:bCs/>
                <w:color w:val="auto"/>
              </w:rPr>
            </w:pPr>
            <w:r w:rsidRPr="00702A15">
              <w:rPr>
                <w:bCs/>
                <w:color w:val="auto"/>
              </w:rPr>
              <w:t>296,8</w:t>
            </w:r>
          </w:p>
        </w:tc>
        <w:tc>
          <w:tcPr>
            <w:tcW w:w="2430" w:type="dxa"/>
            <w:vAlign w:val="center"/>
          </w:tcPr>
          <w:p w:rsidR="00420717" w:rsidRPr="00702A15" w:rsidRDefault="00420717" w:rsidP="00D92384">
            <w:pPr>
              <w:pStyle w:val="Default"/>
              <w:jc w:val="center"/>
              <w:rPr>
                <w:bCs/>
                <w:color w:val="auto"/>
              </w:rPr>
            </w:pPr>
            <w:r w:rsidRPr="00702A15">
              <w:rPr>
                <w:bCs/>
                <w:color w:val="auto"/>
              </w:rPr>
              <w:t>9.387,0</w:t>
            </w:r>
          </w:p>
        </w:tc>
        <w:tc>
          <w:tcPr>
            <w:tcW w:w="1681" w:type="dxa"/>
            <w:vAlign w:val="center"/>
          </w:tcPr>
          <w:p w:rsidR="00420717" w:rsidRPr="00702A15" w:rsidRDefault="00420717" w:rsidP="00D92384">
            <w:pPr>
              <w:pStyle w:val="Default"/>
              <w:jc w:val="center"/>
              <w:rPr>
                <w:bCs/>
                <w:color w:val="auto"/>
              </w:rPr>
            </w:pPr>
            <w:r w:rsidRPr="00702A15">
              <w:rPr>
                <w:bCs/>
                <w:color w:val="auto"/>
              </w:rPr>
              <w:t>0</w:t>
            </w:r>
          </w:p>
        </w:tc>
      </w:tr>
    </w:tbl>
    <w:p w:rsidR="00420717" w:rsidRPr="00AA0E3F" w:rsidRDefault="00420717" w:rsidP="00420717">
      <w:pPr>
        <w:pStyle w:val="Default"/>
        <w:jc w:val="both"/>
        <w:rPr>
          <w:b/>
          <w:bCs/>
          <w:color w:val="auto"/>
        </w:rPr>
      </w:pPr>
      <w:r w:rsidRPr="00AA0E3F">
        <w:rPr>
          <w:b/>
          <w:color w:val="auto"/>
        </w:rPr>
        <w:t xml:space="preserve">Tabel II.2.2.2.8. </w:t>
      </w:r>
      <w:r w:rsidRPr="00AA0E3F">
        <w:rPr>
          <w:b/>
          <w:bCs/>
          <w:color w:val="auto"/>
        </w:rPr>
        <w:t xml:space="preserve">Volumul total de ape uzate urbane evacuate în receptorii naturali în perioada 2010-2014 </w:t>
      </w:r>
    </w:p>
    <w:p w:rsidR="00420717" w:rsidRPr="00702A15" w:rsidRDefault="00420717" w:rsidP="00420717">
      <w:pPr>
        <w:tabs>
          <w:tab w:val="left" w:pos="1204"/>
          <w:tab w:val="left" w:leader="dot" w:pos="9356"/>
        </w:tabs>
        <w:spacing w:after="0" w:line="240" w:lineRule="auto"/>
        <w:jc w:val="right"/>
        <w:rPr>
          <w:rFonts w:ascii="Arial" w:hAnsi="Arial" w:cs="Arial"/>
          <w:sz w:val="24"/>
          <w:szCs w:val="24"/>
        </w:rPr>
      </w:pPr>
      <w:r w:rsidRPr="00702A15">
        <w:rPr>
          <w:rFonts w:ascii="Arial" w:hAnsi="Arial" w:cs="Arial"/>
          <w:sz w:val="24"/>
          <w:szCs w:val="24"/>
        </w:rPr>
        <w:t>Sursa datelor: ABA Buzău-Ialomi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pStyle w:val="Default"/>
        <w:jc w:val="both"/>
        <w:rPr>
          <w:bCs/>
          <w:color w:val="auto"/>
        </w:rPr>
      </w:pPr>
      <w:r w:rsidRPr="00702A15">
        <w:rPr>
          <w:bCs/>
          <w:color w:val="auto"/>
        </w:rPr>
        <w:t>SGA Vrancea nu a transmis date.</w:t>
      </w:r>
    </w:p>
    <w:p w:rsidR="00420717" w:rsidRPr="00702A15" w:rsidRDefault="00420717" w:rsidP="00420717">
      <w:pPr>
        <w:pStyle w:val="Default"/>
        <w:jc w:val="both"/>
        <w:rPr>
          <w:bCs/>
          <w:color w:val="auto"/>
        </w:rPr>
      </w:pPr>
    </w:p>
    <w:p w:rsidR="00420717" w:rsidRPr="00702A15" w:rsidRDefault="00420717" w:rsidP="00420717">
      <w:pPr>
        <w:pStyle w:val="Default"/>
        <w:jc w:val="both"/>
        <w:rPr>
          <w:bCs/>
          <w:color w:val="auto"/>
        </w:rPr>
      </w:pPr>
      <w:r w:rsidRPr="00702A15">
        <w:rPr>
          <w:bCs/>
          <w:color w:val="auto"/>
        </w:rPr>
        <w:t>Evolu</w:t>
      </w:r>
      <w:r>
        <w:rPr>
          <w:bCs/>
          <w:color w:val="auto"/>
        </w:rPr>
        <w:t>ţ</w:t>
      </w:r>
      <w:r w:rsidRPr="00702A15">
        <w:rPr>
          <w:bCs/>
          <w:color w:val="auto"/>
        </w:rPr>
        <w:t>ia încărcării cu poluanţi proveni</w:t>
      </w:r>
      <w:r>
        <w:rPr>
          <w:bCs/>
          <w:color w:val="auto"/>
        </w:rPr>
        <w:t>ţ</w:t>
      </w:r>
      <w:r w:rsidRPr="00702A15">
        <w:rPr>
          <w:bCs/>
          <w:color w:val="auto"/>
        </w:rPr>
        <w:t>i de la aglomerările umane în receptorii naturali, în jude</w:t>
      </w:r>
      <w:r>
        <w:rPr>
          <w:bCs/>
          <w:color w:val="auto"/>
        </w:rPr>
        <w:t>ţ</w:t>
      </w:r>
      <w:r w:rsidRPr="00702A15">
        <w:rPr>
          <w:bCs/>
          <w:color w:val="auto"/>
        </w:rPr>
        <w:t xml:space="preserve">ul Buzău, în perioda 2010-2014, este redată în tabelul următor (RO 24). </w:t>
      </w:r>
    </w:p>
    <w:tbl>
      <w:tblPr>
        <w:tblW w:w="8991" w:type="dxa"/>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45"/>
        <w:gridCol w:w="1183"/>
        <w:gridCol w:w="1275"/>
        <w:gridCol w:w="1350"/>
        <w:gridCol w:w="1296"/>
        <w:gridCol w:w="1242"/>
      </w:tblGrid>
      <w:tr w:rsidR="00420717" w:rsidRPr="00702A15" w:rsidTr="00D92384">
        <w:trPr>
          <w:jc w:val="center"/>
        </w:trPr>
        <w:tc>
          <w:tcPr>
            <w:tcW w:w="2645" w:type="dxa"/>
            <w:vMerge w:val="restart"/>
            <w:vAlign w:val="center"/>
          </w:tcPr>
          <w:p w:rsidR="00420717" w:rsidRPr="00702A15" w:rsidRDefault="00420717" w:rsidP="00D92384">
            <w:pPr>
              <w:pStyle w:val="Default"/>
              <w:jc w:val="center"/>
              <w:rPr>
                <w:b/>
                <w:bCs/>
                <w:color w:val="auto"/>
              </w:rPr>
            </w:pPr>
            <w:r w:rsidRPr="00702A15">
              <w:rPr>
                <w:b/>
                <w:bCs/>
                <w:color w:val="auto"/>
              </w:rPr>
              <w:t>Poluant</w:t>
            </w:r>
          </w:p>
        </w:tc>
        <w:tc>
          <w:tcPr>
            <w:tcW w:w="6346" w:type="dxa"/>
            <w:gridSpan w:val="5"/>
            <w:vAlign w:val="center"/>
          </w:tcPr>
          <w:p w:rsidR="00420717" w:rsidRPr="00702A15" w:rsidRDefault="00420717" w:rsidP="00D92384">
            <w:pPr>
              <w:pStyle w:val="Default"/>
              <w:jc w:val="center"/>
              <w:rPr>
                <w:b/>
                <w:bCs/>
                <w:color w:val="auto"/>
              </w:rPr>
            </w:pPr>
            <w:r w:rsidRPr="00702A15">
              <w:rPr>
                <w:b/>
                <w:bCs/>
                <w:color w:val="auto"/>
              </w:rPr>
              <w:t>Cantitatea de poluan</w:t>
            </w:r>
            <w:r>
              <w:rPr>
                <w:rFonts w:ascii="Tahoma" w:hAnsi="Tahoma" w:cs="Tahoma"/>
                <w:b/>
                <w:bCs/>
                <w:color w:val="auto"/>
              </w:rPr>
              <w:t>ţ</w:t>
            </w:r>
            <w:r w:rsidRPr="00702A15">
              <w:rPr>
                <w:b/>
                <w:bCs/>
                <w:color w:val="auto"/>
              </w:rPr>
              <w:t>i (tone/an)</w:t>
            </w:r>
          </w:p>
        </w:tc>
      </w:tr>
      <w:tr w:rsidR="00420717" w:rsidRPr="00702A15" w:rsidTr="00D92384">
        <w:trPr>
          <w:jc w:val="center"/>
        </w:trPr>
        <w:tc>
          <w:tcPr>
            <w:tcW w:w="2645" w:type="dxa"/>
            <w:vMerge/>
            <w:vAlign w:val="center"/>
          </w:tcPr>
          <w:p w:rsidR="00420717" w:rsidRPr="00702A15" w:rsidRDefault="00420717" w:rsidP="00D92384">
            <w:pPr>
              <w:spacing w:after="0" w:line="240" w:lineRule="auto"/>
              <w:rPr>
                <w:rFonts w:ascii="Arial" w:hAnsi="Arial" w:cs="Arial"/>
                <w:b/>
                <w:bCs/>
                <w:sz w:val="24"/>
                <w:szCs w:val="24"/>
              </w:rPr>
            </w:pPr>
          </w:p>
        </w:tc>
        <w:tc>
          <w:tcPr>
            <w:tcW w:w="1183" w:type="dxa"/>
            <w:vAlign w:val="center"/>
          </w:tcPr>
          <w:p w:rsidR="00420717" w:rsidRPr="00702A15" w:rsidRDefault="00420717" w:rsidP="00D92384">
            <w:pPr>
              <w:pStyle w:val="Default"/>
              <w:jc w:val="center"/>
              <w:rPr>
                <w:bCs/>
                <w:color w:val="auto"/>
              </w:rPr>
            </w:pPr>
            <w:r w:rsidRPr="00702A15">
              <w:rPr>
                <w:bCs/>
                <w:color w:val="auto"/>
              </w:rPr>
              <w:t>2010</w:t>
            </w:r>
          </w:p>
        </w:tc>
        <w:tc>
          <w:tcPr>
            <w:tcW w:w="1275" w:type="dxa"/>
            <w:vAlign w:val="center"/>
          </w:tcPr>
          <w:p w:rsidR="00420717" w:rsidRPr="00702A15" w:rsidRDefault="00420717" w:rsidP="00D92384">
            <w:pPr>
              <w:pStyle w:val="Default"/>
              <w:jc w:val="center"/>
              <w:rPr>
                <w:bCs/>
                <w:color w:val="auto"/>
              </w:rPr>
            </w:pPr>
            <w:r w:rsidRPr="00702A15">
              <w:rPr>
                <w:bCs/>
                <w:color w:val="auto"/>
              </w:rPr>
              <w:t>2011</w:t>
            </w:r>
          </w:p>
        </w:tc>
        <w:tc>
          <w:tcPr>
            <w:tcW w:w="1350" w:type="dxa"/>
            <w:vAlign w:val="center"/>
          </w:tcPr>
          <w:p w:rsidR="00420717" w:rsidRPr="00702A15" w:rsidRDefault="00420717" w:rsidP="00D92384">
            <w:pPr>
              <w:pStyle w:val="Default"/>
              <w:jc w:val="center"/>
              <w:rPr>
                <w:bCs/>
                <w:color w:val="auto"/>
              </w:rPr>
            </w:pPr>
            <w:r w:rsidRPr="00702A15">
              <w:rPr>
                <w:bCs/>
                <w:color w:val="auto"/>
              </w:rPr>
              <w:t>2012</w:t>
            </w:r>
          </w:p>
        </w:tc>
        <w:tc>
          <w:tcPr>
            <w:tcW w:w="1296" w:type="dxa"/>
            <w:vAlign w:val="center"/>
          </w:tcPr>
          <w:p w:rsidR="00420717" w:rsidRPr="00702A15" w:rsidRDefault="00420717" w:rsidP="00D92384">
            <w:pPr>
              <w:pStyle w:val="Default"/>
              <w:jc w:val="center"/>
              <w:rPr>
                <w:bCs/>
                <w:color w:val="auto"/>
              </w:rPr>
            </w:pPr>
            <w:r w:rsidRPr="00702A15">
              <w:rPr>
                <w:bCs/>
                <w:color w:val="auto"/>
              </w:rPr>
              <w:t>2013</w:t>
            </w:r>
          </w:p>
        </w:tc>
        <w:tc>
          <w:tcPr>
            <w:tcW w:w="1242" w:type="dxa"/>
            <w:vAlign w:val="center"/>
          </w:tcPr>
          <w:p w:rsidR="00420717" w:rsidRPr="00702A15" w:rsidRDefault="00420717" w:rsidP="00D92384">
            <w:pPr>
              <w:pStyle w:val="Default"/>
              <w:jc w:val="center"/>
              <w:rPr>
                <w:bCs/>
                <w:color w:val="auto"/>
              </w:rPr>
            </w:pPr>
            <w:r w:rsidRPr="00702A15">
              <w:rPr>
                <w:bCs/>
                <w:color w:val="auto"/>
              </w:rPr>
              <w:t>2014</w:t>
            </w:r>
          </w:p>
        </w:tc>
      </w:tr>
      <w:tr w:rsidR="00420717" w:rsidRPr="00702A15" w:rsidTr="00D92384">
        <w:trPr>
          <w:jc w:val="center"/>
        </w:trPr>
        <w:tc>
          <w:tcPr>
            <w:tcW w:w="2645" w:type="dxa"/>
          </w:tcPr>
          <w:p w:rsidR="00420717" w:rsidRPr="00702A15" w:rsidRDefault="00420717" w:rsidP="00D92384">
            <w:pPr>
              <w:pStyle w:val="Default"/>
              <w:rPr>
                <w:bCs/>
                <w:color w:val="auto"/>
              </w:rPr>
            </w:pPr>
            <w:r w:rsidRPr="00702A15">
              <w:rPr>
                <w:bCs/>
                <w:color w:val="auto"/>
              </w:rPr>
              <w:t>CBO5</w:t>
            </w:r>
          </w:p>
        </w:tc>
        <w:tc>
          <w:tcPr>
            <w:tcW w:w="1183" w:type="dxa"/>
            <w:vAlign w:val="center"/>
          </w:tcPr>
          <w:p w:rsidR="00420717" w:rsidRPr="00702A15" w:rsidRDefault="00420717" w:rsidP="00D92384">
            <w:pPr>
              <w:pStyle w:val="Default"/>
              <w:jc w:val="center"/>
              <w:rPr>
                <w:bCs/>
                <w:color w:val="auto"/>
              </w:rPr>
            </w:pPr>
            <w:r w:rsidRPr="00702A15">
              <w:rPr>
                <w:bCs/>
                <w:color w:val="auto"/>
              </w:rPr>
              <w:t>-</w:t>
            </w:r>
          </w:p>
        </w:tc>
        <w:tc>
          <w:tcPr>
            <w:tcW w:w="1275" w:type="dxa"/>
            <w:vAlign w:val="center"/>
          </w:tcPr>
          <w:p w:rsidR="00420717" w:rsidRPr="00702A15" w:rsidRDefault="00420717" w:rsidP="00D92384">
            <w:pPr>
              <w:pStyle w:val="Default"/>
              <w:jc w:val="center"/>
              <w:rPr>
                <w:bCs/>
                <w:color w:val="auto"/>
              </w:rPr>
            </w:pPr>
            <w:r w:rsidRPr="00702A15">
              <w:rPr>
                <w:bCs/>
                <w:color w:val="auto"/>
              </w:rPr>
              <w:t>359.117</w:t>
            </w:r>
          </w:p>
        </w:tc>
        <w:tc>
          <w:tcPr>
            <w:tcW w:w="1350" w:type="dxa"/>
            <w:vAlign w:val="center"/>
          </w:tcPr>
          <w:p w:rsidR="00420717" w:rsidRPr="00702A15" w:rsidRDefault="00420717" w:rsidP="00D92384">
            <w:pPr>
              <w:pStyle w:val="Default"/>
              <w:jc w:val="center"/>
              <w:rPr>
                <w:bCs/>
                <w:color w:val="auto"/>
              </w:rPr>
            </w:pPr>
            <w:r w:rsidRPr="00702A15">
              <w:rPr>
                <w:bCs/>
                <w:color w:val="auto"/>
              </w:rPr>
              <w:t>569.493</w:t>
            </w:r>
          </w:p>
        </w:tc>
        <w:tc>
          <w:tcPr>
            <w:tcW w:w="1296" w:type="dxa"/>
            <w:vAlign w:val="center"/>
          </w:tcPr>
          <w:p w:rsidR="00420717" w:rsidRPr="00702A15" w:rsidRDefault="00420717" w:rsidP="00D92384">
            <w:pPr>
              <w:pStyle w:val="Default"/>
              <w:jc w:val="center"/>
              <w:rPr>
                <w:bCs/>
                <w:color w:val="auto"/>
              </w:rPr>
            </w:pPr>
            <w:r w:rsidRPr="00702A15">
              <w:rPr>
                <w:bCs/>
                <w:color w:val="auto"/>
              </w:rPr>
              <w:t>460.665</w:t>
            </w:r>
          </w:p>
        </w:tc>
        <w:tc>
          <w:tcPr>
            <w:tcW w:w="1242" w:type="dxa"/>
            <w:vAlign w:val="center"/>
          </w:tcPr>
          <w:p w:rsidR="00420717" w:rsidRPr="00702A15" w:rsidRDefault="00420717" w:rsidP="00D92384">
            <w:pPr>
              <w:pStyle w:val="Default"/>
              <w:jc w:val="center"/>
              <w:rPr>
                <w:bCs/>
                <w:color w:val="auto"/>
              </w:rPr>
            </w:pPr>
            <w:r w:rsidRPr="00702A15">
              <w:rPr>
                <w:bCs/>
                <w:color w:val="auto"/>
              </w:rPr>
              <w:t>275.814</w:t>
            </w:r>
          </w:p>
        </w:tc>
      </w:tr>
      <w:tr w:rsidR="00420717" w:rsidRPr="00702A15" w:rsidTr="00D92384">
        <w:trPr>
          <w:jc w:val="center"/>
        </w:trPr>
        <w:tc>
          <w:tcPr>
            <w:tcW w:w="2645" w:type="dxa"/>
          </w:tcPr>
          <w:p w:rsidR="00420717" w:rsidRPr="00702A15" w:rsidRDefault="00420717" w:rsidP="00D92384">
            <w:pPr>
              <w:pStyle w:val="Default"/>
              <w:rPr>
                <w:bCs/>
                <w:color w:val="auto"/>
              </w:rPr>
            </w:pPr>
            <w:r w:rsidRPr="00702A15">
              <w:rPr>
                <w:bCs/>
                <w:color w:val="auto"/>
              </w:rPr>
              <w:t>CCO-Cr</w:t>
            </w:r>
          </w:p>
        </w:tc>
        <w:tc>
          <w:tcPr>
            <w:tcW w:w="1183" w:type="dxa"/>
            <w:vAlign w:val="center"/>
          </w:tcPr>
          <w:p w:rsidR="00420717" w:rsidRPr="00702A15" w:rsidRDefault="00420717" w:rsidP="00D92384">
            <w:pPr>
              <w:pStyle w:val="Default"/>
              <w:jc w:val="center"/>
              <w:rPr>
                <w:bCs/>
                <w:color w:val="auto"/>
              </w:rPr>
            </w:pPr>
            <w:r w:rsidRPr="00702A15">
              <w:rPr>
                <w:bCs/>
                <w:color w:val="auto"/>
              </w:rPr>
              <w:t>-</w:t>
            </w:r>
          </w:p>
        </w:tc>
        <w:tc>
          <w:tcPr>
            <w:tcW w:w="1275" w:type="dxa"/>
            <w:vAlign w:val="center"/>
          </w:tcPr>
          <w:p w:rsidR="00420717" w:rsidRPr="00702A15" w:rsidRDefault="00420717" w:rsidP="00D92384">
            <w:pPr>
              <w:pStyle w:val="Default"/>
              <w:jc w:val="center"/>
              <w:rPr>
                <w:bCs/>
                <w:color w:val="auto"/>
              </w:rPr>
            </w:pPr>
            <w:r w:rsidRPr="00702A15">
              <w:rPr>
                <w:bCs/>
                <w:color w:val="auto"/>
              </w:rPr>
              <w:t>606.027</w:t>
            </w:r>
          </w:p>
        </w:tc>
        <w:tc>
          <w:tcPr>
            <w:tcW w:w="1350" w:type="dxa"/>
            <w:vAlign w:val="center"/>
          </w:tcPr>
          <w:p w:rsidR="00420717" w:rsidRPr="00702A15" w:rsidRDefault="00420717" w:rsidP="00D92384">
            <w:pPr>
              <w:pStyle w:val="Default"/>
              <w:jc w:val="center"/>
              <w:rPr>
                <w:bCs/>
                <w:color w:val="auto"/>
              </w:rPr>
            </w:pPr>
            <w:r w:rsidRPr="00702A15">
              <w:rPr>
                <w:bCs/>
                <w:color w:val="auto"/>
              </w:rPr>
              <w:t>1125.508</w:t>
            </w:r>
          </w:p>
        </w:tc>
        <w:tc>
          <w:tcPr>
            <w:tcW w:w="1296" w:type="dxa"/>
            <w:vAlign w:val="center"/>
          </w:tcPr>
          <w:p w:rsidR="00420717" w:rsidRPr="00702A15" w:rsidRDefault="00420717" w:rsidP="00D92384">
            <w:pPr>
              <w:pStyle w:val="Default"/>
              <w:jc w:val="center"/>
              <w:rPr>
                <w:bCs/>
                <w:color w:val="auto"/>
              </w:rPr>
            </w:pPr>
            <w:r w:rsidRPr="00702A15">
              <w:rPr>
                <w:bCs/>
                <w:color w:val="auto"/>
              </w:rPr>
              <w:t>1073.803</w:t>
            </w:r>
          </w:p>
        </w:tc>
        <w:tc>
          <w:tcPr>
            <w:tcW w:w="1242" w:type="dxa"/>
            <w:vAlign w:val="center"/>
          </w:tcPr>
          <w:p w:rsidR="00420717" w:rsidRPr="00702A15" w:rsidRDefault="00420717" w:rsidP="00D92384">
            <w:pPr>
              <w:pStyle w:val="Default"/>
              <w:jc w:val="center"/>
              <w:rPr>
                <w:bCs/>
                <w:color w:val="auto"/>
              </w:rPr>
            </w:pPr>
            <w:r w:rsidRPr="00702A15">
              <w:rPr>
                <w:bCs/>
                <w:color w:val="auto"/>
              </w:rPr>
              <w:t>709.052</w:t>
            </w:r>
          </w:p>
        </w:tc>
      </w:tr>
      <w:tr w:rsidR="00420717" w:rsidRPr="00702A15" w:rsidTr="00D92384">
        <w:trPr>
          <w:jc w:val="center"/>
        </w:trPr>
        <w:tc>
          <w:tcPr>
            <w:tcW w:w="2645" w:type="dxa"/>
          </w:tcPr>
          <w:p w:rsidR="00420717" w:rsidRPr="00702A15" w:rsidRDefault="00420717" w:rsidP="00D92384">
            <w:pPr>
              <w:pStyle w:val="Default"/>
              <w:rPr>
                <w:bCs/>
                <w:color w:val="auto"/>
              </w:rPr>
            </w:pPr>
            <w:r w:rsidRPr="00702A15">
              <w:rPr>
                <w:bCs/>
                <w:color w:val="auto"/>
              </w:rPr>
              <w:t>Azot total</w:t>
            </w:r>
          </w:p>
        </w:tc>
        <w:tc>
          <w:tcPr>
            <w:tcW w:w="1183" w:type="dxa"/>
            <w:vAlign w:val="center"/>
          </w:tcPr>
          <w:p w:rsidR="00420717" w:rsidRPr="00702A15" w:rsidRDefault="00420717" w:rsidP="00D92384">
            <w:pPr>
              <w:pStyle w:val="Default"/>
              <w:jc w:val="center"/>
              <w:rPr>
                <w:bCs/>
                <w:color w:val="auto"/>
              </w:rPr>
            </w:pPr>
            <w:r w:rsidRPr="00702A15">
              <w:rPr>
                <w:bCs/>
                <w:color w:val="auto"/>
              </w:rPr>
              <w:t>-</w:t>
            </w:r>
          </w:p>
        </w:tc>
        <w:tc>
          <w:tcPr>
            <w:tcW w:w="1275" w:type="dxa"/>
            <w:vAlign w:val="center"/>
          </w:tcPr>
          <w:p w:rsidR="00420717" w:rsidRPr="00702A15" w:rsidRDefault="00420717" w:rsidP="00D92384">
            <w:pPr>
              <w:pStyle w:val="Default"/>
              <w:jc w:val="center"/>
              <w:rPr>
                <w:bCs/>
                <w:color w:val="auto"/>
              </w:rPr>
            </w:pPr>
            <w:r w:rsidRPr="00702A15">
              <w:rPr>
                <w:bCs/>
                <w:color w:val="auto"/>
              </w:rPr>
              <w:t>306.157</w:t>
            </w:r>
          </w:p>
        </w:tc>
        <w:tc>
          <w:tcPr>
            <w:tcW w:w="1350" w:type="dxa"/>
            <w:vAlign w:val="center"/>
          </w:tcPr>
          <w:p w:rsidR="00420717" w:rsidRPr="00702A15" w:rsidRDefault="00420717" w:rsidP="00D92384">
            <w:pPr>
              <w:pStyle w:val="Default"/>
              <w:jc w:val="center"/>
              <w:rPr>
                <w:bCs/>
                <w:color w:val="auto"/>
              </w:rPr>
            </w:pPr>
            <w:r w:rsidRPr="00702A15">
              <w:rPr>
                <w:bCs/>
                <w:color w:val="auto"/>
              </w:rPr>
              <w:t>350.328</w:t>
            </w:r>
          </w:p>
        </w:tc>
        <w:tc>
          <w:tcPr>
            <w:tcW w:w="1296" w:type="dxa"/>
            <w:vAlign w:val="center"/>
          </w:tcPr>
          <w:p w:rsidR="00420717" w:rsidRPr="00702A15" w:rsidRDefault="00420717" w:rsidP="00D92384">
            <w:pPr>
              <w:pStyle w:val="Default"/>
              <w:jc w:val="center"/>
              <w:rPr>
                <w:bCs/>
                <w:color w:val="auto"/>
              </w:rPr>
            </w:pPr>
            <w:r w:rsidRPr="00702A15">
              <w:rPr>
                <w:bCs/>
                <w:color w:val="auto"/>
              </w:rPr>
              <w:t>402.337</w:t>
            </w:r>
          </w:p>
        </w:tc>
        <w:tc>
          <w:tcPr>
            <w:tcW w:w="1242" w:type="dxa"/>
            <w:vAlign w:val="center"/>
          </w:tcPr>
          <w:p w:rsidR="00420717" w:rsidRPr="00702A15" w:rsidRDefault="00420717" w:rsidP="00D92384">
            <w:pPr>
              <w:pStyle w:val="Default"/>
              <w:jc w:val="center"/>
              <w:rPr>
                <w:bCs/>
                <w:color w:val="auto"/>
              </w:rPr>
            </w:pPr>
            <w:r w:rsidRPr="00702A15">
              <w:rPr>
                <w:bCs/>
                <w:color w:val="auto"/>
              </w:rPr>
              <w:t>229.58</w:t>
            </w:r>
          </w:p>
        </w:tc>
      </w:tr>
      <w:tr w:rsidR="00420717" w:rsidRPr="00702A15" w:rsidTr="00D92384">
        <w:trPr>
          <w:jc w:val="center"/>
        </w:trPr>
        <w:tc>
          <w:tcPr>
            <w:tcW w:w="2645" w:type="dxa"/>
          </w:tcPr>
          <w:p w:rsidR="00420717" w:rsidRPr="00702A15" w:rsidRDefault="00420717" w:rsidP="00D92384">
            <w:pPr>
              <w:pStyle w:val="Default"/>
              <w:rPr>
                <w:bCs/>
                <w:color w:val="auto"/>
              </w:rPr>
            </w:pPr>
            <w:r w:rsidRPr="00702A15">
              <w:rPr>
                <w:bCs/>
                <w:color w:val="auto"/>
              </w:rPr>
              <w:t>Fosfor total</w:t>
            </w:r>
          </w:p>
        </w:tc>
        <w:tc>
          <w:tcPr>
            <w:tcW w:w="1183" w:type="dxa"/>
            <w:vAlign w:val="center"/>
          </w:tcPr>
          <w:p w:rsidR="00420717" w:rsidRPr="00702A15" w:rsidRDefault="00420717" w:rsidP="00D92384">
            <w:pPr>
              <w:pStyle w:val="Default"/>
              <w:jc w:val="center"/>
              <w:rPr>
                <w:bCs/>
                <w:color w:val="auto"/>
              </w:rPr>
            </w:pPr>
            <w:r w:rsidRPr="00702A15">
              <w:rPr>
                <w:bCs/>
                <w:color w:val="auto"/>
              </w:rPr>
              <w:t>-</w:t>
            </w:r>
          </w:p>
        </w:tc>
        <w:tc>
          <w:tcPr>
            <w:tcW w:w="1275" w:type="dxa"/>
            <w:vAlign w:val="center"/>
          </w:tcPr>
          <w:p w:rsidR="00420717" w:rsidRPr="00702A15" w:rsidRDefault="00420717" w:rsidP="00D92384">
            <w:pPr>
              <w:pStyle w:val="Default"/>
              <w:jc w:val="center"/>
              <w:rPr>
                <w:bCs/>
                <w:color w:val="auto"/>
              </w:rPr>
            </w:pPr>
            <w:r w:rsidRPr="00702A15">
              <w:rPr>
                <w:bCs/>
                <w:color w:val="auto"/>
              </w:rPr>
              <w:t>39.988</w:t>
            </w:r>
          </w:p>
        </w:tc>
        <w:tc>
          <w:tcPr>
            <w:tcW w:w="1350" w:type="dxa"/>
            <w:vAlign w:val="center"/>
          </w:tcPr>
          <w:p w:rsidR="00420717" w:rsidRPr="00702A15" w:rsidRDefault="00420717" w:rsidP="00D92384">
            <w:pPr>
              <w:pStyle w:val="Default"/>
              <w:jc w:val="center"/>
              <w:rPr>
                <w:bCs/>
                <w:color w:val="auto"/>
              </w:rPr>
            </w:pPr>
            <w:r w:rsidRPr="00702A15">
              <w:rPr>
                <w:bCs/>
                <w:color w:val="auto"/>
              </w:rPr>
              <w:t>34.462</w:t>
            </w:r>
          </w:p>
        </w:tc>
        <w:tc>
          <w:tcPr>
            <w:tcW w:w="1296" w:type="dxa"/>
            <w:vAlign w:val="center"/>
          </w:tcPr>
          <w:p w:rsidR="00420717" w:rsidRPr="00702A15" w:rsidRDefault="00420717" w:rsidP="00D92384">
            <w:pPr>
              <w:pStyle w:val="Default"/>
              <w:jc w:val="center"/>
              <w:rPr>
                <w:bCs/>
                <w:color w:val="auto"/>
              </w:rPr>
            </w:pPr>
            <w:r w:rsidRPr="00702A15">
              <w:rPr>
                <w:bCs/>
                <w:color w:val="auto"/>
              </w:rPr>
              <w:t>28.681</w:t>
            </w:r>
          </w:p>
        </w:tc>
        <w:tc>
          <w:tcPr>
            <w:tcW w:w="1242" w:type="dxa"/>
            <w:vAlign w:val="center"/>
          </w:tcPr>
          <w:p w:rsidR="00420717" w:rsidRPr="00702A15" w:rsidRDefault="00420717" w:rsidP="00D92384">
            <w:pPr>
              <w:pStyle w:val="Default"/>
              <w:jc w:val="center"/>
              <w:rPr>
                <w:bCs/>
                <w:color w:val="auto"/>
              </w:rPr>
            </w:pPr>
            <w:r w:rsidRPr="00702A15">
              <w:rPr>
                <w:bCs/>
                <w:color w:val="auto"/>
              </w:rPr>
              <w:t>24.545</w:t>
            </w:r>
          </w:p>
        </w:tc>
      </w:tr>
      <w:tr w:rsidR="00420717" w:rsidRPr="00702A15" w:rsidTr="00D92384">
        <w:trPr>
          <w:jc w:val="center"/>
        </w:trPr>
        <w:tc>
          <w:tcPr>
            <w:tcW w:w="2645" w:type="dxa"/>
          </w:tcPr>
          <w:p w:rsidR="00420717" w:rsidRPr="00702A15" w:rsidRDefault="00420717" w:rsidP="00D92384">
            <w:pPr>
              <w:pStyle w:val="Default"/>
              <w:rPr>
                <w:bCs/>
                <w:color w:val="auto"/>
              </w:rPr>
            </w:pPr>
            <w:r w:rsidRPr="00702A15">
              <w:rPr>
                <w:bCs/>
                <w:color w:val="auto"/>
              </w:rPr>
              <w:t>Materii în suspensie</w:t>
            </w:r>
          </w:p>
        </w:tc>
        <w:tc>
          <w:tcPr>
            <w:tcW w:w="1183" w:type="dxa"/>
            <w:vAlign w:val="center"/>
          </w:tcPr>
          <w:p w:rsidR="00420717" w:rsidRPr="00702A15" w:rsidRDefault="00420717" w:rsidP="00D92384">
            <w:pPr>
              <w:pStyle w:val="Default"/>
              <w:jc w:val="center"/>
              <w:rPr>
                <w:bCs/>
                <w:color w:val="auto"/>
              </w:rPr>
            </w:pPr>
            <w:r w:rsidRPr="00702A15">
              <w:rPr>
                <w:bCs/>
                <w:color w:val="auto"/>
              </w:rPr>
              <w:t>-</w:t>
            </w:r>
          </w:p>
        </w:tc>
        <w:tc>
          <w:tcPr>
            <w:tcW w:w="1275" w:type="dxa"/>
            <w:vAlign w:val="center"/>
          </w:tcPr>
          <w:p w:rsidR="00420717" w:rsidRPr="00702A15" w:rsidRDefault="00420717" w:rsidP="00D92384">
            <w:pPr>
              <w:pStyle w:val="Default"/>
              <w:jc w:val="center"/>
              <w:rPr>
                <w:bCs/>
                <w:color w:val="auto"/>
              </w:rPr>
            </w:pPr>
            <w:r w:rsidRPr="00702A15">
              <w:rPr>
                <w:bCs/>
                <w:color w:val="auto"/>
              </w:rPr>
              <w:t>194.31</w:t>
            </w:r>
          </w:p>
        </w:tc>
        <w:tc>
          <w:tcPr>
            <w:tcW w:w="1350" w:type="dxa"/>
            <w:vAlign w:val="center"/>
          </w:tcPr>
          <w:p w:rsidR="00420717" w:rsidRPr="00702A15" w:rsidRDefault="00420717" w:rsidP="00D92384">
            <w:pPr>
              <w:pStyle w:val="Default"/>
              <w:jc w:val="center"/>
              <w:rPr>
                <w:bCs/>
                <w:color w:val="auto"/>
              </w:rPr>
            </w:pPr>
            <w:r w:rsidRPr="00702A15">
              <w:rPr>
                <w:bCs/>
                <w:color w:val="auto"/>
              </w:rPr>
              <w:t>584.542</w:t>
            </w:r>
          </w:p>
        </w:tc>
        <w:tc>
          <w:tcPr>
            <w:tcW w:w="1296" w:type="dxa"/>
            <w:vAlign w:val="center"/>
          </w:tcPr>
          <w:p w:rsidR="00420717" w:rsidRPr="00702A15" w:rsidRDefault="00420717" w:rsidP="00D92384">
            <w:pPr>
              <w:pStyle w:val="Default"/>
              <w:jc w:val="center"/>
              <w:rPr>
                <w:bCs/>
                <w:color w:val="auto"/>
              </w:rPr>
            </w:pPr>
            <w:r w:rsidRPr="00702A15">
              <w:rPr>
                <w:bCs/>
                <w:color w:val="auto"/>
              </w:rPr>
              <w:t>234.599</w:t>
            </w:r>
          </w:p>
        </w:tc>
        <w:tc>
          <w:tcPr>
            <w:tcW w:w="1242" w:type="dxa"/>
            <w:vAlign w:val="center"/>
          </w:tcPr>
          <w:p w:rsidR="00420717" w:rsidRPr="00702A15" w:rsidRDefault="00420717" w:rsidP="00D92384">
            <w:pPr>
              <w:pStyle w:val="Default"/>
              <w:jc w:val="center"/>
              <w:rPr>
                <w:bCs/>
                <w:color w:val="auto"/>
              </w:rPr>
            </w:pPr>
            <w:r w:rsidRPr="00702A15">
              <w:rPr>
                <w:bCs/>
                <w:color w:val="auto"/>
              </w:rPr>
              <w:t>219.965</w:t>
            </w:r>
          </w:p>
        </w:tc>
      </w:tr>
      <w:tr w:rsidR="00420717" w:rsidRPr="00702A15" w:rsidTr="00D92384">
        <w:trPr>
          <w:jc w:val="center"/>
        </w:trPr>
        <w:tc>
          <w:tcPr>
            <w:tcW w:w="2645" w:type="dxa"/>
          </w:tcPr>
          <w:p w:rsidR="00420717" w:rsidRPr="00702A15" w:rsidRDefault="00420717" w:rsidP="00D92384">
            <w:pPr>
              <w:pStyle w:val="Default"/>
              <w:rPr>
                <w:bCs/>
                <w:color w:val="auto"/>
              </w:rPr>
            </w:pPr>
            <w:r w:rsidRPr="00702A15">
              <w:rPr>
                <w:bCs/>
                <w:color w:val="auto"/>
              </w:rPr>
              <w:t>Detergen</w:t>
            </w:r>
            <w:r>
              <w:rPr>
                <w:rFonts w:ascii="Tahoma" w:hAnsi="Tahoma" w:cs="Tahoma"/>
                <w:bCs/>
                <w:color w:val="auto"/>
              </w:rPr>
              <w:t>ţ</w:t>
            </w:r>
            <w:r w:rsidRPr="00702A15">
              <w:rPr>
                <w:bCs/>
                <w:color w:val="auto"/>
              </w:rPr>
              <w:t xml:space="preserve">i </w:t>
            </w:r>
          </w:p>
        </w:tc>
        <w:tc>
          <w:tcPr>
            <w:tcW w:w="1183" w:type="dxa"/>
            <w:vAlign w:val="center"/>
          </w:tcPr>
          <w:p w:rsidR="00420717" w:rsidRPr="00702A15" w:rsidRDefault="00420717" w:rsidP="00D92384">
            <w:pPr>
              <w:pStyle w:val="Default"/>
              <w:jc w:val="center"/>
              <w:rPr>
                <w:bCs/>
                <w:color w:val="auto"/>
              </w:rPr>
            </w:pPr>
            <w:r w:rsidRPr="00702A15">
              <w:rPr>
                <w:bCs/>
                <w:color w:val="auto"/>
              </w:rPr>
              <w:t>-</w:t>
            </w:r>
          </w:p>
        </w:tc>
        <w:tc>
          <w:tcPr>
            <w:tcW w:w="1275" w:type="dxa"/>
            <w:vAlign w:val="center"/>
          </w:tcPr>
          <w:p w:rsidR="00420717" w:rsidRPr="00702A15" w:rsidRDefault="00420717" w:rsidP="00D92384">
            <w:pPr>
              <w:pStyle w:val="Default"/>
              <w:jc w:val="center"/>
              <w:rPr>
                <w:bCs/>
                <w:color w:val="auto"/>
              </w:rPr>
            </w:pPr>
            <w:r w:rsidRPr="00702A15">
              <w:rPr>
                <w:bCs/>
                <w:color w:val="auto"/>
              </w:rPr>
              <w:t>3.933</w:t>
            </w:r>
          </w:p>
        </w:tc>
        <w:tc>
          <w:tcPr>
            <w:tcW w:w="1350" w:type="dxa"/>
            <w:vAlign w:val="center"/>
          </w:tcPr>
          <w:p w:rsidR="00420717" w:rsidRPr="00702A15" w:rsidRDefault="00420717" w:rsidP="00D92384">
            <w:pPr>
              <w:pStyle w:val="Default"/>
              <w:jc w:val="center"/>
              <w:rPr>
                <w:bCs/>
                <w:color w:val="auto"/>
              </w:rPr>
            </w:pPr>
            <w:r w:rsidRPr="00702A15">
              <w:rPr>
                <w:bCs/>
                <w:color w:val="auto"/>
              </w:rPr>
              <w:t>3.902</w:t>
            </w:r>
          </w:p>
        </w:tc>
        <w:tc>
          <w:tcPr>
            <w:tcW w:w="1296" w:type="dxa"/>
            <w:vAlign w:val="center"/>
          </w:tcPr>
          <w:p w:rsidR="00420717" w:rsidRPr="00702A15" w:rsidRDefault="00420717" w:rsidP="00D92384">
            <w:pPr>
              <w:pStyle w:val="Default"/>
              <w:jc w:val="center"/>
              <w:rPr>
                <w:bCs/>
                <w:color w:val="auto"/>
              </w:rPr>
            </w:pPr>
            <w:r w:rsidRPr="00702A15">
              <w:rPr>
                <w:bCs/>
                <w:color w:val="auto"/>
              </w:rPr>
              <w:t>3.776</w:t>
            </w:r>
          </w:p>
        </w:tc>
        <w:tc>
          <w:tcPr>
            <w:tcW w:w="1242" w:type="dxa"/>
            <w:vAlign w:val="center"/>
          </w:tcPr>
          <w:p w:rsidR="00420717" w:rsidRPr="00702A15" w:rsidRDefault="00420717" w:rsidP="00D92384">
            <w:pPr>
              <w:pStyle w:val="Default"/>
              <w:jc w:val="center"/>
              <w:rPr>
                <w:bCs/>
                <w:color w:val="auto"/>
              </w:rPr>
            </w:pPr>
            <w:r w:rsidRPr="00702A15">
              <w:rPr>
                <w:bCs/>
                <w:color w:val="auto"/>
              </w:rPr>
              <w:t>2.716</w:t>
            </w:r>
          </w:p>
        </w:tc>
      </w:tr>
      <w:tr w:rsidR="00420717" w:rsidRPr="00702A15" w:rsidTr="00D92384">
        <w:trPr>
          <w:jc w:val="center"/>
        </w:trPr>
        <w:tc>
          <w:tcPr>
            <w:tcW w:w="2645" w:type="dxa"/>
          </w:tcPr>
          <w:p w:rsidR="00420717" w:rsidRPr="00702A15" w:rsidRDefault="00420717" w:rsidP="00D92384">
            <w:pPr>
              <w:pStyle w:val="Default"/>
              <w:rPr>
                <w:bCs/>
                <w:color w:val="auto"/>
              </w:rPr>
            </w:pPr>
            <w:r w:rsidRPr="00702A15">
              <w:rPr>
                <w:bCs/>
                <w:color w:val="auto"/>
              </w:rPr>
              <w:t>Substan</w:t>
            </w:r>
            <w:r>
              <w:rPr>
                <w:rFonts w:ascii="Tahoma" w:hAnsi="Tahoma" w:cs="Tahoma"/>
                <w:bCs/>
                <w:color w:val="auto"/>
              </w:rPr>
              <w:t>ţ</w:t>
            </w:r>
            <w:r w:rsidRPr="00702A15">
              <w:rPr>
                <w:bCs/>
                <w:color w:val="auto"/>
              </w:rPr>
              <w:t>e extractibile</w:t>
            </w:r>
          </w:p>
        </w:tc>
        <w:tc>
          <w:tcPr>
            <w:tcW w:w="1183" w:type="dxa"/>
            <w:vAlign w:val="center"/>
          </w:tcPr>
          <w:p w:rsidR="00420717" w:rsidRPr="00702A15" w:rsidRDefault="00420717" w:rsidP="00D92384">
            <w:pPr>
              <w:pStyle w:val="Default"/>
              <w:jc w:val="center"/>
              <w:rPr>
                <w:bCs/>
                <w:color w:val="auto"/>
              </w:rPr>
            </w:pPr>
            <w:r w:rsidRPr="00702A15">
              <w:rPr>
                <w:bCs/>
                <w:color w:val="auto"/>
              </w:rPr>
              <w:t>-</w:t>
            </w:r>
          </w:p>
        </w:tc>
        <w:tc>
          <w:tcPr>
            <w:tcW w:w="1275" w:type="dxa"/>
            <w:vAlign w:val="center"/>
          </w:tcPr>
          <w:p w:rsidR="00420717" w:rsidRPr="00702A15" w:rsidRDefault="00420717" w:rsidP="00D92384">
            <w:pPr>
              <w:pStyle w:val="Default"/>
              <w:jc w:val="center"/>
              <w:rPr>
                <w:bCs/>
                <w:color w:val="auto"/>
              </w:rPr>
            </w:pPr>
            <w:r w:rsidRPr="00702A15">
              <w:rPr>
                <w:bCs/>
                <w:color w:val="auto"/>
              </w:rPr>
              <w:t>94.633</w:t>
            </w:r>
          </w:p>
        </w:tc>
        <w:tc>
          <w:tcPr>
            <w:tcW w:w="1350" w:type="dxa"/>
            <w:vAlign w:val="center"/>
          </w:tcPr>
          <w:p w:rsidR="00420717" w:rsidRPr="00702A15" w:rsidRDefault="00420717" w:rsidP="00D92384">
            <w:pPr>
              <w:pStyle w:val="Default"/>
              <w:jc w:val="center"/>
              <w:rPr>
                <w:bCs/>
                <w:color w:val="auto"/>
              </w:rPr>
            </w:pPr>
            <w:r w:rsidRPr="00702A15">
              <w:rPr>
                <w:bCs/>
                <w:color w:val="auto"/>
              </w:rPr>
              <w:t>78.313</w:t>
            </w:r>
          </w:p>
        </w:tc>
        <w:tc>
          <w:tcPr>
            <w:tcW w:w="1296" w:type="dxa"/>
            <w:vAlign w:val="center"/>
          </w:tcPr>
          <w:p w:rsidR="00420717" w:rsidRPr="00702A15" w:rsidRDefault="00420717" w:rsidP="00D92384">
            <w:pPr>
              <w:pStyle w:val="Default"/>
              <w:jc w:val="center"/>
              <w:rPr>
                <w:bCs/>
                <w:color w:val="auto"/>
              </w:rPr>
            </w:pPr>
            <w:r w:rsidRPr="00702A15">
              <w:rPr>
                <w:bCs/>
                <w:color w:val="auto"/>
              </w:rPr>
              <w:t>42.503</w:t>
            </w:r>
          </w:p>
        </w:tc>
        <w:tc>
          <w:tcPr>
            <w:tcW w:w="1242" w:type="dxa"/>
            <w:vAlign w:val="center"/>
          </w:tcPr>
          <w:p w:rsidR="00420717" w:rsidRPr="00702A15" w:rsidRDefault="00420717" w:rsidP="00D92384">
            <w:pPr>
              <w:pStyle w:val="Default"/>
              <w:jc w:val="center"/>
              <w:rPr>
                <w:bCs/>
                <w:color w:val="auto"/>
              </w:rPr>
            </w:pPr>
            <w:r w:rsidRPr="00702A15">
              <w:rPr>
                <w:bCs/>
                <w:color w:val="auto"/>
              </w:rPr>
              <w:t>80.450</w:t>
            </w:r>
          </w:p>
        </w:tc>
      </w:tr>
    </w:tbl>
    <w:p w:rsidR="00420717" w:rsidRPr="00AA0E3F" w:rsidRDefault="00420717" w:rsidP="00420717">
      <w:pPr>
        <w:pStyle w:val="Default"/>
        <w:jc w:val="both"/>
        <w:rPr>
          <w:b/>
          <w:bCs/>
          <w:color w:val="auto"/>
        </w:rPr>
      </w:pPr>
      <w:r w:rsidRPr="00AA0E3F">
        <w:rPr>
          <w:b/>
          <w:color w:val="auto"/>
        </w:rPr>
        <w:t xml:space="preserve">Tabel II.2.2.2.9. </w:t>
      </w:r>
      <w:r w:rsidRPr="00AA0E3F">
        <w:rPr>
          <w:b/>
          <w:bCs/>
          <w:color w:val="auto"/>
        </w:rPr>
        <w:t xml:space="preserve">Evoluţia încărcării cu poluanţi proveniţi de la aglomerările umane în receptorii naturali, în judeţul Buzău în perioda 2010-2014 </w:t>
      </w:r>
    </w:p>
    <w:p w:rsidR="00420717" w:rsidRPr="00702A15" w:rsidRDefault="00420717" w:rsidP="00420717">
      <w:pPr>
        <w:tabs>
          <w:tab w:val="left" w:pos="1204"/>
          <w:tab w:val="left" w:leader="dot" w:pos="9356"/>
        </w:tabs>
        <w:spacing w:after="0" w:line="240" w:lineRule="auto"/>
        <w:jc w:val="right"/>
        <w:rPr>
          <w:bCs/>
        </w:rPr>
      </w:pPr>
      <w:r w:rsidRPr="00702A15">
        <w:rPr>
          <w:rFonts w:ascii="Arial" w:hAnsi="Arial" w:cs="Arial"/>
          <w:sz w:val="24"/>
          <w:szCs w:val="24"/>
        </w:rPr>
        <w:t>Sursa datelor: ABA Buzău-Ialomi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pStyle w:val="Default"/>
        <w:jc w:val="both"/>
        <w:rPr>
          <w:bCs/>
          <w:color w:val="auto"/>
        </w:rPr>
      </w:pPr>
      <w:r w:rsidRPr="00702A15">
        <w:rPr>
          <w:bCs/>
          <w:color w:val="auto"/>
        </w:rPr>
        <w:lastRenderedPageBreak/>
        <w:t>SGA Vrancea nu a transmis date</w:t>
      </w:r>
      <w:r w:rsidR="005864AC">
        <w:rPr>
          <w:bCs/>
          <w:color w:val="auto"/>
        </w:rPr>
        <w:t>.</w:t>
      </w:r>
    </w:p>
    <w:p w:rsidR="00420717" w:rsidRPr="00702A15" w:rsidRDefault="00420717" w:rsidP="00420717">
      <w:pPr>
        <w:pStyle w:val="Default"/>
        <w:jc w:val="both"/>
        <w:rPr>
          <w:color w:val="auto"/>
        </w:rPr>
      </w:pPr>
    </w:p>
    <w:p w:rsidR="00420717" w:rsidRPr="00702A15" w:rsidRDefault="00420717" w:rsidP="00420717">
      <w:pPr>
        <w:pStyle w:val="Default"/>
        <w:jc w:val="both"/>
        <w:rPr>
          <w:b/>
          <w:color w:val="auto"/>
        </w:rPr>
      </w:pPr>
      <w:r w:rsidRPr="00702A15">
        <w:rPr>
          <w:b/>
          <w:color w:val="auto"/>
        </w:rPr>
        <w:t>C. Structura apelor uzate evacuate în receptorii naturali, în jude</w:t>
      </w:r>
      <w:r>
        <w:rPr>
          <w:b/>
          <w:color w:val="auto"/>
        </w:rPr>
        <w:t>ţ</w:t>
      </w:r>
      <w:r w:rsidRPr="00702A15">
        <w:rPr>
          <w:b/>
          <w:color w:val="auto"/>
        </w:rPr>
        <w:t>ul Buzău în anul 2014.</w:t>
      </w:r>
    </w:p>
    <w:p w:rsidR="00420717" w:rsidRPr="00702A15" w:rsidRDefault="00420717" w:rsidP="00420717">
      <w:pPr>
        <w:pStyle w:val="Default"/>
        <w:jc w:val="both"/>
        <w:rPr>
          <w:color w:val="auto"/>
        </w:rPr>
      </w:pPr>
    </w:p>
    <w:p w:rsidR="00420717" w:rsidRPr="00702A15" w:rsidRDefault="00420717" w:rsidP="00420717">
      <w:pPr>
        <w:pStyle w:val="BodyTextIndent2"/>
        <w:spacing w:after="0" w:line="240" w:lineRule="auto"/>
        <w:ind w:left="0"/>
        <w:jc w:val="both"/>
        <w:rPr>
          <w:rFonts w:ascii="Arial" w:hAnsi="Arial" w:cs="Arial"/>
          <w:sz w:val="24"/>
          <w:szCs w:val="24"/>
          <w:lang w:val="ro-RO"/>
        </w:rPr>
      </w:pPr>
      <w:r w:rsidRPr="00702A15">
        <w:rPr>
          <w:rFonts w:ascii="Arial" w:hAnsi="Arial" w:cs="Arial"/>
          <w:sz w:val="24"/>
          <w:szCs w:val="24"/>
          <w:lang w:val="ro-RO"/>
        </w:rPr>
        <w:t>În tabelul II.2.2.2.10. este prezentată structura apelor uzate evacuate în anul 2014, în judeţul Buzău.</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002"/>
        <w:gridCol w:w="1569"/>
        <w:gridCol w:w="1203"/>
        <w:gridCol w:w="1419"/>
        <w:gridCol w:w="1364"/>
        <w:gridCol w:w="1297"/>
      </w:tblGrid>
      <w:tr w:rsidR="00420717" w:rsidRPr="00702A15" w:rsidTr="00D92384">
        <w:trPr>
          <w:trHeight w:val="1035"/>
          <w:jc w:val="center"/>
        </w:trPr>
        <w:tc>
          <w:tcPr>
            <w:tcW w:w="1523"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Activitatea din econ</w:t>
            </w:r>
            <w:r w:rsidRPr="00702A15">
              <w:rPr>
                <w:rFonts w:ascii="Arial" w:hAnsi="Arial" w:cs="Arial"/>
                <w:b/>
                <w:bCs/>
                <w:sz w:val="24"/>
                <w:szCs w:val="24"/>
              </w:rPr>
              <w:t>o</w:t>
            </w:r>
            <w:r w:rsidRPr="00702A15">
              <w:rPr>
                <w:rFonts w:ascii="Arial" w:hAnsi="Arial" w:cs="Arial"/>
                <w:b/>
                <w:bCs/>
                <w:sz w:val="24"/>
                <w:szCs w:val="24"/>
              </w:rPr>
              <w:t>mia naţională</w:t>
            </w:r>
          </w:p>
        </w:tc>
        <w:tc>
          <w:tcPr>
            <w:tcW w:w="796"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Volum total ape ev</w:t>
            </w:r>
            <w:r w:rsidRPr="00702A15">
              <w:rPr>
                <w:rFonts w:ascii="Arial" w:hAnsi="Arial" w:cs="Arial"/>
                <w:b/>
                <w:bCs/>
                <w:sz w:val="24"/>
                <w:szCs w:val="24"/>
              </w:rPr>
              <w:t>a</w:t>
            </w:r>
            <w:r w:rsidRPr="00702A15">
              <w:rPr>
                <w:rFonts w:ascii="Arial" w:hAnsi="Arial" w:cs="Arial"/>
                <w:b/>
                <w:bCs/>
                <w:sz w:val="24"/>
                <w:szCs w:val="24"/>
              </w:rPr>
              <w:t>cuate  (mii mc)</w:t>
            </w:r>
          </w:p>
        </w:tc>
        <w:tc>
          <w:tcPr>
            <w:tcW w:w="610"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Volum suficient epurat (mii mc)</w:t>
            </w:r>
          </w:p>
        </w:tc>
        <w:tc>
          <w:tcPr>
            <w:tcW w:w="720"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Volum insuficient epurat  (mii mc)</w:t>
            </w:r>
          </w:p>
        </w:tc>
        <w:tc>
          <w:tcPr>
            <w:tcW w:w="692"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Volum de apă uzată neepurată  (mii mc)</w:t>
            </w:r>
          </w:p>
        </w:tc>
        <w:tc>
          <w:tcPr>
            <w:tcW w:w="658"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Volum de apă uzată care nu necesită epurare</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Administraţie publică</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70,3</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66,9</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3,4</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Captare şi prelucrare apă pentru  alimentarea cu apă a populaţiei</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8521,7</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1,9</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8519,8</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Comerţ şi servicii pentru populaţie</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3</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Construcţii</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82,8</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22,8</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60</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Industrie alimentară</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722,2</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722,2</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Industrie metalurgică şi construcţii de maşini</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219,3</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219,3</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Industrie uşoară</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18,7</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18,7</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Învăţământ şi sănătate</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89,2</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89,2</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Prelucrări chimice</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131,9</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24,6</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107,3</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Zootehnie</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8,7</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8,7</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Alte activităţi</w:t>
            </w:r>
          </w:p>
        </w:tc>
        <w:tc>
          <w:tcPr>
            <w:tcW w:w="796"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1,9</w:t>
            </w:r>
          </w:p>
        </w:tc>
        <w:tc>
          <w:tcPr>
            <w:tcW w:w="61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720"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1,9</w:t>
            </w:r>
          </w:p>
        </w:tc>
        <w:tc>
          <w:tcPr>
            <w:tcW w:w="692"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c>
          <w:tcPr>
            <w:tcW w:w="658" w:type="pct"/>
            <w:vAlign w:val="center"/>
          </w:tcPr>
          <w:p w:rsidR="00420717" w:rsidRPr="00702A15" w:rsidRDefault="00420717" w:rsidP="00D92384">
            <w:pPr>
              <w:spacing w:after="0" w:line="240" w:lineRule="auto"/>
              <w:jc w:val="center"/>
              <w:rPr>
                <w:rFonts w:ascii="Arial" w:hAnsi="Arial" w:cs="Arial"/>
                <w:sz w:val="24"/>
                <w:szCs w:val="24"/>
              </w:rPr>
            </w:pPr>
            <w:r w:rsidRPr="00702A15">
              <w:rPr>
                <w:rFonts w:ascii="Arial" w:hAnsi="Arial" w:cs="Arial"/>
                <w:sz w:val="24"/>
                <w:szCs w:val="24"/>
              </w:rPr>
              <w:t>-</w:t>
            </w:r>
          </w:p>
        </w:tc>
      </w:tr>
      <w:tr w:rsidR="00420717" w:rsidRPr="00702A15" w:rsidTr="00D92384">
        <w:trPr>
          <w:trHeight w:val="483"/>
          <w:jc w:val="center"/>
        </w:trPr>
        <w:tc>
          <w:tcPr>
            <w:tcW w:w="1523" w:type="pct"/>
            <w:vAlign w:val="center"/>
          </w:tcPr>
          <w:p w:rsidR="00420717" w:rsidRPr="00702A15" w:rsidRDefault="00420717" w:rsidP="00D92384">
            <w:pPr>
              <w:spacing w:after="0" w:line="240" w:lineRule="auto"/>
              <w:rPr>
                <w:rFonts w:ascii="Arial" w:hAnsi="Arial" w:cs="Arial"/>
                <w:b/>
                <w:bCs/>
                <w:sz w:val="24"/>
                <w:szCs w:val="24"/>
              </w:rPr>
            </w:pPr>
            <w:r w:rsidRPr="00702A15">
              <w:rPr>
                <w:rFonts w:ascii="Arial" w:hAnsi="Arial" w:cs="Arial"/>
                <w:b/>
                <w:bCs/>
                <w:sz w:val="24"/>
                <w:szCs w:val="24"/>
              </w:rPr>
              <w:t>TOTAL</w:t>
            </w:r>
          </w:p>
        </w:tc>
        <w:tc>
          <w:tcPr>
            <w:tcW w:w="796"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9.869,8</w:t>
            </w:r>
          </w:p>
        </w:tc>
        <w:tc>
          <w:tcPr>
            <w:tcW w:w="610"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296,8</w:t>
            </w:r>
          </w:p>
        </w:tc>
        <w:tc>
          <w:tcPr>
            <w:tcW w:w="720"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9387</w:t>
            </w:r>
          </w:p>
        </w:tc>
        <w:tc>
          <w:tcPr>
            <w:tcW w:w="692"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w:t>
            </w:r>
          </w:p>
        </w:tc>
        <w:tc>
          <w:tcPr>
            <w:tcW w:w="658" w:type="pct"/>
            <w:vAlign w:val="center"/>
          </w:tcPr>
          <w:p w:rsidR="00420717" w:rsidRPr="00702A15" w:rsidRDefault="00420717" w:rsidP="00D92384">
            <w:pPr>
              <w:spacing w:after="0" w:line="240" w:lineRule="auto"/>
              <w:jc w:val="center"/>
              <w:rPr>
                <w:rFonts w:ascii="Arial" w:hAnsi="Arial" w:cs="Arial"/>
                <w:b/>
                <w:bCs/>
                <w:sz w:val="24"/>
                <w:szCs w:val="24"/>
              </w:rPr>
            </w:pPr>
            <w:r w:rsidRPr="00702A15">
              <w:rPr>
                <w:rFonts w:ascii="Arial" w:hAnsi="Arial" w:cs="Arial"/>
                <w:b/>
                <w:bCs/>
                <w:sz w:val="24"/>
                <w:szCs w:val="24"/>
              </w:rPr>
              <w:t>186</w:t>
            </w:r>
          </w:p>
        </w:tc>
      </w:tr>
    </w:tbl>
    <w:p w:rsidR="00420717" w:rsidRPr="00AA0E3F" w:rsidRDefault="00420717" w:rsidP="00420717">
      <w:pPr>
        <w:pStyle w:val="BodyTextIndent2"/>
        <w:spacing w:after="0" w:line="240" w:lineRule="auto"/>
        <w:ind w:left="0"/>
        <w:jc w:val="both"/>
        <w:rPr>
          <w:rFonts w:ascii="Arial" w:hAnsi="Arial" w:cs="Arial"/>
          <w:b/>
          <w:sz w:val="24"/>
          <w:szCs w:val="24"/>
        </w:rPr>
      </w:pPr>
      <w:r w:rsidRPr="00AA0E3F">
        <w:rPr>
          <w:rFonts w:ascii="Arial" w:hAnsi="Arial" w:cs="Arial"/>
          <w:b/>
          <w:sz w:val="24"/>
          <w:szCs w:val="24"/>
        </w:rPr>
        <w:t>Tabel II.2.2.2.10. Structura apelor uzate evacuate în anul 2014, în judeţul Buzău.</w:t>
      </w:r>
    </w:p>
    <w:p w:rsidR="00420717" w:rsidRPr="00702A15" w:rsidRDefault="00420717" w:rsidP="00420717">
      <w:pPr>
        <w:tabs>
          <w:tab w:val="left" w:pos="1204"/>
          <w:tab w:val="left" w:leader="dot" w:pos="9356"/>
        </w:tabs>
        <w:spacing w:after="0" w:line="240" w:lineRule="auto"/>
        <w:jc w:val="right"/>
        <w:rPr>
          <w:b/>
          <w:bCs/>
        </w:rPr>
      </w:pPr>
      <w:r w:rsidRPr="00702A15">
        <w:rPr>
          <w:rFonts w:ascii="Arial" w:hAnsi="Arial" w:cs="Arial"/>
          <w:sz w:val="24"/>
          <w:szCs w:val="24"/>
        </w:rPr>
        <w:t>Sursa datelor: ABA Buzău-Ialomi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spacing w:after="0" w:line="240" w:lineRule="auto"/>
        <w:jc w:val="both"/>
        <w:rPr>
          <w:rFonts w:ascii="Arial" w:hAnsi="Arial" w:cs="Arial"/>
          <w:bCs/>
          <w:sz w:val="24"/>
          <w:szCs w:val="24"/>
        </w:rPr>
      </w:pPr>
      <w:r w:rsidRPr="00702A15">
        <w:rPr>
          <w:rFonts w:ascii="Arial" w:hAnsi="Arial" w:cs="Arial"/>
          <w:bCs/>
          <w:sz w:val="24"/>
          <w:szCs w:val="24"/>
        </w:rPr>
        <w:t>SGA Vrancea nu a transmis date</w:t>
      </w:r>
    </w:p>
    <w:p w:rsidR="00420717" w:rsidRPr="00702A15" w:rsidRDefault="00420717" w:rsidP="00420717">
      <w:pPr>
        <w:spacing w:after="0" w:line="240" w:lineRule="auto"/>
        <w:jc w:val="both"/>
        <w:rPr>
          <w:rFonts w:ascii="Arial" w:hAnsi="Arial" w:cs="Arial"/>
          <w:b/>
          <w:sz w:val="24"/>
          <w:szCs w:val="24"/>
        </w:rPr>
      </w:pPr>
    </w:p>
    <w:p w:rsidR="00420717" w:rsidRPr="00702A15" w:rsidRDefault="00420717" w:rsidP="00420717">
      <w:pPr>
        <w:spacing w:after="0" w:line="240" w:lineRule="auto"/>
        <w:jc w:val="both"/>
        <w:rPr>
          <w:rFonts w:ascii="Arial" w:hAnsi="Arial" w:cs="Arial"/>
          <w:b/>
          <w:sz w:val="24"/>
          <w:szCs w:val="24"/>
        </w:rPr>
      </w:pPr>
      <w:r w:rsidRPr="00702A15">
        <w:rPr>
          <w:rFonts w:ascii="Arial" w:hAnsi="Arial" w:cs="Arial"/>
          <w:b/>
          <w:sz w:val="24"/>
          <w:szCs w:val="24"/>
        </w:rPr>
        <w:t xml:space="preserve">D. Substanţe poluante şi indicatori de poluare ai apelor uzate </w:t>
      </w:r>
    </w:p>
    <w:p w:rsidR="00420717" w:rsidRPr="00702A15" w:rsidRDefault="00420717" w:rsidP="00420717">
      <w:pPr>
        <w:spacing w:after="0" w:line="240" w:lineRule="auto"/>
        <w:jc w:val="both"/>
        <w:rPr>
          <w:rFonts w:ascii="Arial" w:hAnsi="Arial" w:cs="Arial"/>
          <w:b/>
          <w:sz w:val="24"/>
          <w:szCs w:val="24"/>
        </w:rPr>
      </w:pPr>
    </w:p>
    <w:p w:rsidR="00420717" w:rsidRPr="00702A15" w:rsidRDefault="00420717" w:rsidP="00420717">
      <w:pPr>
        <w:spacing w:after="0" w:line="240" w:lineRule="auto"/>
        <w:jc w:val="both"/>
        <w:rPr>
          <w:rFonts w:ascii="Arial" w:hAnsi="Arial" w:cs="Arial"/>
          <w:sz w:val="24"/>
          <w:szCs w:val="24"/>
          <w:lang w:val="fr-FR"/>
        </w:rPr>
      </w:pPr>
      <w:r w:rsidRPr="00702A15">
        <w:rPr>
          <w:rFonts w:ascii="Arial" w:hAnsi="Arial" w:cs="Arial"/>
          <w:sz w:val="24"/>
          <w:szCs w:val="24"/>
          <w:lang w:val="fr-FR"/>
        </w:rPr>
        <w:t>În tabelul</w:t>
      </w:r>
      <w:r w:rsidRPr="00702A15">
        <w:rPr>
          <w:rFonts w:ascii="Arial" w:hAnsi="Arial" w:cs="Arial"/>
          <w:sz w:val="24"/>
          <w:szCs w:val="24"/>
        </w:rPr>
        <w:t xml:space="preserve"> II.2.2.2.11.</w:t>
      </w:r>
      <w:r w:rsidRPr="00702A15">
        <w:rPr>
          <w:rFonts w:ascii="Arial" w:hAnsi="Arial" w:cs="Arial"/>
          <w:sz w:val="24"/>
          <w:szCs w:val="24"/>
          <w:lang w:val="fr-FR"/>
        </w:rPr>
        <w:t xml:space="preserve"> sunt prezentate principalele surse de poluare a apelor de suprafaţă, din judeţul Buzău, în anul 2014, cu substanţele şi indicatorii de poluare în apele uzate</w:t>
      </w:r>
    </w:p>
    <w:tbl>
      <w:tblPr>
        <w:tblW w:w="1002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4"/>
        <w:gridCol w:w="1843"/>
        <w:gridCol w:w="1489"/>
        <w:gridCol w:w="1417"/>
        <w:gridCol w:w="2720"/>
      </w:tblGrid>
      <w:tr w:rsidR="00420717" w:rsidRPr="00702A15" w:rsidTr="00D92384">
        <w:trPr>
          <w:jc w:val="center"/>
        </w:trPr>
        <w:tc>
          <w:tcPr>
            <w:tcW w:w="567" w:type="dxa"/>
            <w:vAlign w:val="center"/>
          </w:tcPr>
          <w:p w:rsidR="00420717" w:rsidRPr="00702A15" w:rsidRDefault="00420717" w:rsidP="00D92384">
            <w:pPr>
              <w:spacing w:after="0" w:line="240" w:lineRule="auto"/>
              <w:jc w:val="center"/>
              <w:rPr>
                <w:rFonts w:ascii="Arial" w:hAnsi="Arial" w:cs="Arial"/>
                <w:b/>
                <w:sz w:val="24"/>
                <w:szCs w:val="24"/>
                <w:lang w:val="fr-FR"/>
              </w:rPr>
            </w:pPr>
            <w:r w:rsidRPr="00702A15">
              <w:rPr>
                <w:rFonts w:ascii="Arial" w:hAnsi="Arial" w:cs="Arial"/>
                <w:b/>
                <w:sz w:val="24"/>
                <w:szCs w:val="24"/>
                <w:lang w:val="fr-FR"/>
              </w:rPr>
              <w:t>Nr.</w:t>
            </w:r>
          </w:p>
          <w:p w:rsidR="00420717" w:rsidRPr="00702A15" w:rsidRDefault="00420717" w:rsidP="00D92384">
            <w:pPr>
              <w:spacing w:after="0" w:line="240" w:lineRule="auto"/>
              <w:jc w:val="center"/>
              <w:rPr>
                <w:rFonts w:ascii="Arial" w:hAnsi="Arial" w:cs="Arial"/>
                <w:b/>
                <w:sz w:val="24"/>
                <w:szCs w:val="24"/>
                <w:lang w:val="fr-FR"/>
              </w:rPr>
            </w:pPr>
            <w:r w:rsidRPr="00702A15">
              <w:rPr>
                <w:rFonts w:ascii="Arial" w:hAnsi="Arial" w:cs="Arial"/>
                <w:b/>
                <w:sz w:val="24"/>
                <w:szCs w:val="24"/>
                <w:lang w:val="fr-FR"/>
              </w:rPr>
              <w:t>crt.</w:t>
            </w:r>
          </w:p>
        </w:tc>
        <w:tc>
          <w:tcPr>
            <w:tcW w:w="1984" w:type="dxa"/>
            <w:vAlign w:val="center"/>
          </w:tcPr>
          <w:p w:rsidR="00420717" w:rsidRPr="00702A15" w:rsidRDefault="00420717" w:rsidP="00D92384">
            <w:pPr>
              <w:spacing w:after="0" w:line="240" w:lineRule="auto"/>
              <w:jc w:val="center"/>
              <w:rPr>
                <w:rFonts w:ascii="Arial" w:hAnsi="Arial" w:cs="Arial"/>
                <w:b/>
                <w:sz w:val="24"/>
                <w:szCs w:val="24"/>
                <w:lang w:val="fr-FR"/>
              </w:rPr>
            </w:pPr>
            <w:r w:rsidRPr="00702A15">
              <w:rPr>
                <w:rFonts w:ascii="Arial" w:hAnsi="Arial" w:cs="Arial"/>
                <w:b/>
                <w:sz w:val="24"/>
                <w:szCs w:val="24"/>
                <w:lang w:val="fr-FR"/>
              </w:rPr>
              <w:t>Sursa de p</w:t>
            </w:r>
            <w:r w:rsidRPr="00702A15">
              <w:rPr>
                <w:rFonts w:ascii="Arial" w:hAnsi="Arial" w:cs="Arial"/>
                <w:b/>
                <w:sz w:val="24"/>
                <w:szCs w:val="24"/>
                <w:lang w:val="fr-FR"/>
              </w:rPr>
              <w:t>o</w:t>
            </w:r>
            <w:r w:rsidRPr="00702A15">
              <w:rPr>
                <w:rFonts w:ascii="Arial" w:hAnsi="Arial" w:cs="Arial"/>
                <w:b/>
                <w:sz w:val="24"/>
                <w:szCs w:val="24"/>
                <w:lang w:val="fr-FR"/>
              </w:rPr>
              <w:t>luare</w:t>
            </w:r>
          </w:p>
        </w:tc>
        <w:tc>
          <w:tcPr>
            <w:tcW w:w="1843" w:type="dxa"/>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lang w:val="fr-FR"/>
              </w:rPr>
              <w:t>Domeniu de activitate</w:t>
            </w:r>
          </w:p>
        </w:tc>
        <w:tc>
          <w:tcPr>
            <w:tcW w:w="1489" w:type="dxa"/>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Emisar</w:t>
            </w:r>
          </w:p>
        </w:tc>
        <w:tc>
          <w:tcPr>
            <w:tcW w:w="1417" w:type="dxa"/>
            <w:vAlign w:val="center"/>
          </w:tcPr>
          <w:p w:rsidR="00420717" w:rsidRPr="00702A15" w:rsidRDefault="00420717" w:rsidP="00D92384">
            <w:pPr>
              <w:keepNext/>
              <w:keepLines/>
              <w:spacing w:after="0" w:line="240" w:lineRule="auto"/>
              <w:jc w:val="center"/>
              <w:rPr>
                <w:rFonts w:ascii="Arial" w:hAnsi="Arial" w:cs="Arial"/>
                <w:b/>
                <w:sz w:val="24"/>
                <w:szCs w:val="24"/>
              </w:rPr>
            </w:pPr>
            <w:r w:rsidRPr="00702A15">
              <w:rPr>
                <w:rFonts w:ascii="Arial" w:hAnsi="Arial" w:cs="Arial"/>
                <w:b/>
                <w:sz w:val="24"/>
                <w:szCs w:val="24"/>
              </w:rPr>
              <w:t>Volum ape uzate evacuate în 2014</w:t>
            </w:r>
          </w:p>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(mii mc)</w:t>
            </w:r>
          </w:p>
        </w:tc>
        <w:tc>
          <w:tcPr>
            <w:tcW w:w="2720" w:type="dxa"/>
            <w:vAlign w:val="center"/>
          </w:tcPr>
          <w:p w:rsidR="00420717" w:rsidRPr="00702A15" w:rsidRDefault="00420717" w:rsidP="00D92384">
            <w:pPr>
              <w:spacing w:after="0" w:line="240" w:lineRule="auto"/>
              <w:jc w:val="center"/>
              <w:rPr>
                <w:rFonts w:ascii="Arial" w:hAnsi="Arial" w:cs="Arial"/>
                <w:b/>
                <w:sz w:val="24"/>
                <w:szCs w:val="24"/>
              </w:rPr>
            </w:pPr>
            <w:r w:rsidRPr="00702A15">
              <w:rPr>
                <w:rFonts w:ascii="Arial" w:hAnsi="Arial" w:cs="Arial"/>
                <w:b/>
                <w:sz w:val="24"/>
                <w:szCs w:val="24"/>
              </w:rPr>
              <w:t>Poluanţi specifici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1.</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Compania de Apă – staţia Păltineni</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Captare şi pr</w:t>
            </w:r>
            <w:r w:rsidRPr="00702A15">
              <w:rPr>
                <w:rFonts w:ascii="Arial" w:hAnsi="Arial" w:cs="Arial"/>
                <w:sz w:val="24"/>
                <w:szCs w:val="24"/>
                <w:lang w:val="fr-FR"/>
              </w:rPr>
              <w:t>e</w:t>
            </w:r>
            <w:r w:rsidRPr="00702A15">
              <w:rPr>
                <w:rFonts w:ascii="Arial" w:hAnsi="Arial" w:cs="Arial"/>
                <w:sz w:val="24"/>
                <w:szCs w:val="24"/>
                <w:lang w:val="fr-FR"/>
              </w:rPr>
              <w:t>lucrare apă pentru 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144</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w:t>
            </w:r>
          </w:p>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amoniu,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2.</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Compania de </w:t>
            </w:r>
            <w:r w:rsidRPr="00702A15">
              <w:rPr>
                <w:rFonts w:ascii="Arial" w:hAnsi="Arial" w:cs="Arial"/>
                <w:sz w:val="24"/>
                <w:szCs w:val="24"/>
              </w:rPr>
              <w:lastRenderedPageBreak/>
              <w:t>Apă – staţia Nehoiaşu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lastRenderedPageBreak/>
              <w:t>Captare şi pr</w:t>
            </w:r>
            <w:r w:rsidRPr="00702A15">
              <w:rPr>
                <w:rFonts w:ascii="Arial" w:hAnsi="Arial" w:cs="Arial"/>
                <w:sz w:val="24"/>
                <w:szCs w:val="24"/>
                <w:lang w:val="fr-FR"/>
              </w:rPr>
              <w:t>e</w:t>
            </w:r>
            <w:r w:rsidRPr="00702A15">
              <w:rPr>
                <w:rFonts w:ascii="Arial" w:hAnsi="Arial" w:cs="Arial"/>
                <w:sz w:val="24"/>
                <w:szCs w:val="24"/>
                <w:lang w:val="fr-FR"/>
              </w:rPr>
              <w:lastRenderedPageBreak/>
              <w:t>lucrare apă pt.populaţie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lastRenderedPageBreak/>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24</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materii în suspensie, </w:t>
            </w:r>
            <w:r w:rsidRPr="00702A15">
              <w:rPr>
                <w:rFonts w:ascii="Arial" w:hAnsi="Arial" w:cs="Arial"/>
                <w:sz w:val="24"/>
                <w:szCs w:val="24"/>
              </w:rPr>
              <w:lastRenderedPageBreak/>
              <w:t>CCOCr,  CBO5,</w:t>
            </w:r>
          </w:p>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amoniu,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lastRenderedPageBreak/>
              <w:t>3.</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rPr>
              <w:t>Compania de Apă - Centrul operaţional nr. 4 Patîrlagele</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Captare şi pr</w:t>
            </w:r>
            <w:r w:rsidRPr="00702A15">
              <w:rPr>
                <w:rFonts w:ascii="Arial" w:hAnsi="Arial" w:cs="Arial"/>
                <w:sz w:val="24"/>
                <w:szCs w:val="24"/>
                <w:lang w:val="fr-FR"/>
              </w:rPr>
              <w:t>e</w:t>
            </w:r>
            <w:r w:rsidRPr="00702A15">
              <w:rPr>
                <w:rFonts w:ascii="Arial" w:hAnsi="Arial" w:cs="Arial"/>
                <w:sz w:val="24"/>
                <w:szCs w:val="24"/>
                <w:lang w:val="fr-FR"/>
              </w:rPr>
              <w:t>lucrare apă pentru 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39</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in suspensie, CCOCr,  CBO5,</w:t>
            </w:r>
          </w:p>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amoniu,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4.</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rPr>
              <w:t>Apa Prima Be</w:t>
            </w:r>
            <w:r w:rsidRPr="00702A15">
              <w:rPr>
                <w:rFonts w:ascii="Arial" w:hAnsi="Arial" w:cs="Arial"/>
                <w:sz w:val="24"/>
                <w:szCs w:val="24"/>
              </w:rPr>
              <w:t>r</w:t>
            </w:r>
            <w:r w:rsidRPr="00702A15">
              <w:rPr>
                <w:rFonts w:ascii="Arial" w:hAnsi="Arial" w:cs="Arial"/>
                <w:sz w:val="24"/>
                <w:szCs w:val="24"/>
              </w:rPr>
              <w:t>ca</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Captare şi pr</w:t>
            </w:r>
            <w:r w:rsidRPr="00702A15">
              <w:rPr>
                <w:rFonts w:ascii="Arial" w:hAnsi="Arial" w:cs="Arial"/>
                <w:sz w:val="24"/>
                <w:szCs w:val="24"/>
                <w:lang w:val="fr-FR"/>
              </w:rPr>
              <w:t>e</w:t>
            </w:r>
            <w:r w:rsidRPr="00702A15">
              <w:rPr>
                <w:rFonts w:ascii="Arial" w:hAnsi="Arial" w:cs="Arial"/>
                <w:sz w:val="24"/>
                <w:szCs w:val="24"/>
                <w:lang w:val="fr-FR"/>
              </w:rPr>
              <w:t>lucrare apă pentru 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66</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5.</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Compania de Apă – staţia P</w:t>
            </w:r>
            <w:r w:rsidRPr="00702A15">
              <w:rPr>
                <w:rFonts w:ascii="Arial" w:hAnsi="Arial" w:cs="Arial"/>
                <w:sz w:val="24"/>
                <w:szCs w:val="24"/>
              </w:rPr>
              <w:t>o</w:t>
            </w:r>
            <w:r w:rsidRPr="00702A15">
              <w:rPr>
                <w:rFonts w:ascii="Arial" w:hAnsi="Arial" w:cs="Arial"/>
                <w:sz w:val="24"/>
                <w:szCs w:val="24"/>
              </w:rPr>
              <w:t>goanele</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Captare şi pr</w:t>
            </w:r>
            <w:r w:rsidRPr="00702A15">
              <w:rPr>
                <w:rFonts w:ascii="Arial" w:hAnsi="Arial" w:cs="Arial"/>
                <w:sz w:val="24"/>
                <w:szCs w:val="24"/>
                <w:lang w:val="fr-FR"/>
              </w:rPr>
              <w:t>e</w:t>
            </w:r>
            <w:r w:rsidRPr="00702A15">
              <w:rPr>
                <w:rFonts w:ascii="Arial" w:hAnsi="Arial" w:cs="Arial"/>
                <w:sz w:val="24"/>
                <w:szCs w:val="24"/>
                <w:lang w:val="fr-FR"/>
              </w:rPr>
              <w:t>lucrare apă pentru 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Călmăţui</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16</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6.</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C.L. Beceni</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Captare şi pr</w:t>
            </w:r>
            <w:r w:rsidRPr="00702A15">
              <w:rPr>
                <w:rFonts w:ascii="Arial" w:hAnsi="Arial" w:cs="Arial"/>
                <w:sz w:val="24"/>
                <w:szCs w:val="24"/>
                <w:lang w:val="fr-FR"/>
              </w:rPr>
              <w:t>e</w:t>
            </w:r>
            <w:r w:rsidRPr="00702A15">
              <w:rPr>
                <w:rFonts w:ascii="Arial" w:hAnsi="Arial" w:cs="Arial"/>
                <w:sz w:val="24"/>
                <w:szCs w:val="24"/>
                <w:lang w:val="fr-FR"/>
              </w:rPr>
              <w:t>lucrare apă pentru 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29</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7.</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 Compania de Apă  Buzău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Adm. Publică</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8100</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8.</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Spital Nifon</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Învăţământ şi sănătate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12</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w:t>
            </w:r>
            <w:r w:rsidRPr="00702A15">
              <w:rPr>
                <w:rFonts w:ascii="Arial" w:hAnsi="Arial" w:cs="Arial"/>
                <w:sz w:val="24"/>
                <w:szCs w:val="24"/>
              </w:rPr>
              <w:t>r</w:t>
            </w:r>
            <w:r w:rsidRPr="00702A15">
              <w:rPr>
                <w:rFonts w:ascii="Arial" w:hAnsi="Arial" w:cs="Arial"/>
                <w:sz w:val="24"/>
                <w:szCs w:val="24"/>
              </w:rPr>
              <w:t>genti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9.</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Ergoterapia Ojasca</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Învăţământ şi sănătate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48</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10.</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Spital Săpoca</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Învăţământ şi sănătate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Slănic</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29</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11.</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Spital Smeeni</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Învăţământ şi sănătate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Călmăţui</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7</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12.</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Romcarbon Buzău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85</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13.</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Ductil Steel Buzău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219</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CCOCr,Cu, Zn</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14.</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Dinamic Buzău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22</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15.</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Gerom Buzău </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60</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16.</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Agrana Buzău</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90</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17.</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S.C.Bunge România (U</w:t>
            </w:r>
            <w:r w:rsidRPr="00702A15">
              <w:rPr>
                <w:rFonts w:ascii="Arial" w:hAnsi="Arial" w:cs="Arial"/>
                <w:sz w:val="24"/>
                <w:szCs w:val="24"/>
              </w:rPr>
              <w:t>l</w:t>
            </w:r>
            <w:r w:rsidRPr="00702A15">
              <w:rPr>
                <w:rFonts w:ascii="Arial" w:hAnsi="Arial" w:cs="Arial"/>
                <w:sz w:val="24"/>
                <w:szCs w:val="24"/>
              </w:rPr>
              <w:t>vex)</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19</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18.6iu,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lastRenderedPageBreak/>
              <w:t>19.</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A.N.R.S.-U.T.140 Pătîrlagele</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21.</w:t>
            </w:r>
          </w:p>
        </w:tc>
        <w:tc>
          <w:tcPr>
            <w:tcW w:w="1984" w:type="dxa"/>
            <w:vAlign w:val="center"/>
          </w:tcPr>
          <w:p w:rsidR="00420717" w:rsidRPr="00702A15" w:rsidRDefault="00420717" w:rsidP="00D92384">
            <w:pPr>
              <w:spacing w:after="0" w:line="240" w:lineRule="auto"/>
              <w:rPr>
                <w:rFonts w:ascii="Arial" w:hAnsi="Arial" w:cs="Arial"/>
                <w:bCs/>
                <w:iCs/>
                <w:sz w:val="24"/>
                <w:szCs w:val="24"/>
              </w:rPr>
            </w:pPr>
            <w:r w:rsidRPr="00702A15">
              <w:rPr>
                <w:rFonts w:ascii="Arial" w:hAnsi="Arial" w:cs="Arial"/>
                <w:bCs/>
                <w:iCs/>
                <w:sz w:val="24"/>
                <w:szCs w:val="24"/>
              </w:rPr>
              <w:t>U.M. 01838 B</w:t>
            </w:r>
            <w:r w:rsidRPr="00702A15">
              <w:rPr>
                <w:rFonts w:ascii="Arial" w:hAnsi="Arial" w:cs="Arial"/>
                <w:bCs/>
                <w:iCs/>
                <w:sz w:val="24"/>
                <w:szCs w:val="24"/>
              </w:rPr>
              <w:t>o</w:t>
            </w:r>
            <w:r w:rsidRPr="00702A15">
              <w:rPr>
                <w:rFonts w:ascii="Arial" w:hAnsi="Arial" w:cs="Arial"/>
                <w:bCs/>
                <w:iCs/>
                <w:sz w:val="24"/>
                <w:szCs w:val="24"/>
              </w:rPr>
              <w:t>bocu</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 xml:space="preserve">Adm. Publică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67</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22.</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U.M.01838 D subunitate Mi</w:t>
            </w:r>
            <w:r w:rsidRPr="00702A15">
              <w:rPr>
                <w:rFonts w:ascii="Arial" w:hAnsi="Arial" w:cs="Arial"/>
                <w:sz w:val="24"/>
                <w:szCs w:val="24"/>
              </w:rPr>
              <w:t>e</w:t>
            </w:r>
            <w:r w:rsidRPr="00702A15">
              <w:rPr>
                <w:rFonts w:ascii="Arial" w:hAnsi="Arial" w:cs="Arial"/>
                <w:sz w:val="24"/>
                <w:szCs w:val="24"/>
              </w:rPr>
              <w:t>rea</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Adm. Publică</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Pr.</w:t>
            </w:r>
          </w:p>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Nişcov</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3</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trHeight w:val="751"/>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23.</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 Chiojdu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Cu, Zn</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24.</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S.C. Replastica HDPE SRL Buzău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w:t>
            </w:r>
          </w:p>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25</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25.</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S.C. Soufflet Malt România S.A. Buzău</w:t>
            </w:r>
          </w:p>
        </w:tc>
        <w:tc>
          <w:tcPr>
            <w:tcW w:w="1843"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lang w:val="fr-FR"/>
              </w:rPr>
              <w:t xml:space="preserve">Industrie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293</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trHeight w:val="409"/>
          <w:jc w:val="center"/>
        </w:trPr>
        <w:tc>
          <w:tcPr>
            <w:tcW w:w="567"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26.</w:t>
            </w:r>
          </w:p>
        </w:tc>
        <w:tc>
          <w:tcPr>
            <w:tcW w:w="1984"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Avis Lipia</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Zootehnie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Pr. Leote</w:t>
            </w:r>
            <w:r w:rsidRPr="00702A15">
              <w:rPr>
                <w:rFonts w:ascii="Arial" w:hAnsi="Arial" w:cs="Arial"/>
                <w:sz w:val="24"/>
                <w:szCs w:val="24"/>
                <w:lang w:val="fr-FR"/>
              </w:rPr>
              <w:t>a</w:t>
            </w:r>
            <w:r w:rsidRPr="00702A15">
              <w:rPr>
                <w:rFonts w:ascii="Arial" w:hAnsi="Arial" w:cs="Arial"/>
                <w:sz w:val="24"/>
                <w:szCs w:val="24"/>
                <w:lang w:val="fr-FR"/>
              </w:rPr>
              <w:t>sa</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11</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27.</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Avicola Ferma Săhăteni</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Zootehnie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Sărata</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13</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28</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Comuna Mărăcineni </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Captare şi pr</w:t>
            </w:r>
            <w:r w:rsidRPr="00702A15">
              <w:rPr>
                <w:rFonts w:ascii="Arial" w:hAnsi="Arial" w:cs="Arial"/>
                <w:sz w:val="24"/>
                <w:szCs w:val="24"/>
                <w:lang w:val="fr-FR"/>
              </w:rPr>
              <w:t>e</w:t>
            </w:r>
            <w:r w:rsidRPr="00702A15">
              <w:rPr>
                <w:rFonts w:ascii="Arial" w:hAnsi="Arial" w:cs="Arial"/>
                <w:sz w:val="24"/>
                <w:szCs w:val="24"/>
                <w:lang w:val="fr-FR"/>
              </w:rPr>
              <w:t>lucrare apă pentru 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117</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29</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Hotel Pietroasa Poiana Pinului </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Comerţ şi se</w:t>
            </w:r>
            <w:r w:rsidRPr="00702A15">
              <w:rPr>
                <w:rFonts w:ascii="Arial" w:hAnsi="Arial" w:cs="Arial"/>
                <w:sz w:val="24"/>
                <w:szCs w:val="24"/>
                <w:lang w:val="fr-FR"/>
              </w:rPr>
              <w:t>r</w:t>
            </w:r>
            <w:r w:rsidRPr="00702A15">
              <w:rPr>
                <w:rFonts w:ascii="Arial" w:hAnsi="Arial" w:cs="Arial"/>
                <w:sz w:val="24"/>
                <w:szCs w:val="24"/>
                <w:lang w:val="fr-FR"/>
              </w:rPr>
              <w:t xml:space="preserve">vicii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Pr. Nişcov</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3</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30</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Leu Prod Com</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 xml:space="preserve">Ind. Alimentara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R.Slănic</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0,2</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31</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Aaylex Prod SRL</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Ind. Alimentara</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320</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azot total,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32</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Martelli Europe SRL Buzau</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Ind. uşoară</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19</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33</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S.C. Greentech S.A </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 xml:space="preserve">Alte activităţi </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Pr. N</w:t>
            </w:r>
            <w:r w:rsidRPr="00702A15">
              <w:rPr>
                <w:rFonts w:ascii="Arial" w:hAnsi="Arial" w:cs="Arial"/>
                <w:sz w:val="24"/>
                <w:szCs w:val="24"/>
                <w:lang w:val="fr-FR"/>
              </w:rPr>
              <w:t>e</w:t>
            </w:r>
            <w:r w:rsidRPr="00702A15">
              <w:rPr>
                <w:rFonts w:ascii="Arial" w:hAnsi="Arial" w:cs="Arial"/>
                <w:sz w:val="24"/>
                <w:szCs w:val="24"/>
                <w:lang w:val="fr-FR"/>
              </w:rPr>
              <w:t>greasca</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91</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 xml:space="preserve">niu, fosfor total, </w:t>
            </w:r>
            <w:r w:rsidRPr="00702A15">
              <w:rPr>
                <w:rFonts w:ascii="Arial" w:hAnsi="Arial" w:cs="Arial"/>
                <w:sz w:val="24"/>
                <w:szCs w:val="24"/>
              </w:rPr>
              <w:lastRenderedPageBreak/>
              <w:t>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lastRenderedPageBreak/>
              <w:t>34</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Hidroconstrucţia Siriu </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Construcţii</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23</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35</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 xml:space="preserve">USAM Filiala Pietroasa </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Ind.  Alim.</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 xml:space="preserve">R. Sărata </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14</w:t>
            </w:r>
          </w:p>
          <w:p w:rsidR="00420717" w:rsidRPr="00702A15" w:rsidRDefault="00420717" w:rsidP="00D92384">
            <w:pPr>
              <w:spacing w:after="0" w:line="240" w:lineRule="auto"/>
              <w:jc w:val="center"/>
              <w:rPr>
                <w:rFonts w:ascii="Arial" w:hAnsi="Arial" w:cs="Arial"/>
                <w:sz w:val="24"/>
                <w:szCs w:val="24"/>
                <w:lang w:val="fr-FR"/>
              </w:rPr>
            </w:pP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36</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CA Merei</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Captare şi pr</w:t>
            </w:r>
            <w:r w:rsidRPr="00702A15">
              <w:rPr>
                <w:rFonts w:ascii="Arial" w:hAnsi="Arial" w:cs="Arial"/>
                <w:sz w:val="24"/>
                <w:szCs w:val="24"/>
                <w:lang w:val="fr-FR"/>
              </w:rPr>
              <w:t>e</w:t>
            </w:r>
            <w:r w:rsidRPr="00702A15">
              <w:rPr>
                <w:rFonts w:ascii="Arial" w:hAnsi="Arial" w:cs="Arial"/>
                <w:sz w:val="24"/>
                <w:szCs w:val="24"/>
                <w:lang w:val="fr-FR"/>
              </w:rPr>
              <w:t>lucrare apă pentru populaţie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Sărata</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36</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37</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Vinexport Colina Pietroasele</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Ind. Alim.</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Sărata</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0.7</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38.</w:t>
            </w:r>
          </w:p>
        </w:tc>
        <w:tc>
          <w:tcPr>
            <w:tcW w:w="1984"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Avicola Ferma Verguleasa</w:t>
            </w:r>
          </w:p>
        </w:tc>
        <w:tc>
          <w:tcPr>
            <w:tcW w:w="1843"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Zootehnie</w:t>
            </w:r>
          </w:p>
        </w:tc>
        <w:tc>
          <w:tcPr>
            <w:tcW w:w="1489" w:type="dxa"/>
            <w:vAlign w:val="center"/>
          </w:tcPr>
          <w:p w:rsidR="00420717" w:rsidRPr="00702A15" w:rsidRDefault="00420717" w:rsidP="00D92384">
            <w:pPr>
              <w:spacing w:after="0" w:line="240" w:lineRule="auto"/>
              <w:jc w:val="both"/>
              <w:rPr>
                <w:rFonts w:ascii="Arial" w:hAnsi="Arial" w:cs="Arial"/>
                <w:sz w:val="24"/>
                <w:szCs w:val="24"/>
                <w:lang w:val="fr-FR"/>
              </w:rPr>
            </w:pPr>
            <w:r w:rsidRPr="00702A15">
              <w:rPr>
                <w:rFonts w:ascii="Arial" w:hAnsi="Arial" w:cs="Arial"/>
                <w:sz w:val="24"/>
                <w:szCs w:val="24"/>
                <w:lang w:val="fr-FR"/>
              </w:rPr>
              <w:t>R. Buzău</w:t>
            </w:r>
          </w:p>
        </w:tc>
        <w:tc>
          <w:tcPr>
            <w:tcW w:w="1417" w:type="dxa"/>
            <w:vAlign w:val="center"/>
          </w:tcPr>
          <w:p w:rsidR="00420717" w:rsidRPr="00702A15" w:rsidRDefault="00420717" w:rsidP="00D92384">
            <w:pPr>
              <w:spacing w:after="0" w:line="240" w:lineRule="auto"/>
              <w:jc w:val="center"/>
              <w:rPr>
                <w:rFonts w:ascii="Arial" w:hAnsi="Arial" w:cs="Arial"/>
                <w:sz w:val="24"/>
                <w:szCs w:val="24"/>
                <w:lang w:val="fr-FR"/>
              </w:rPr>
            </w:pPr>
            <w:r w:rsidRPr="00702A15">
              <w:rPr>
                <w:rFonts w:ascii="Arial" w:hAnsi="Arial" w:cs="Arial"/>
                <w:sz w:val="24"/>
                <w:szCs w:val="24"/>
                <w:lang w:val="fr-FR"/>
              </w:rPr>
              <w:t>8</w:t>
            </w:r>
          </w:p>
        </w:tc>
        <w:tc>
          <w:tcPr>
            <w:tcW w:w="2720" w:type="dxa"/>
            <w:vAlign w:val="center"/>
          </w:tcPr>
          <w:p w:rsidR="00420717" w:rsidRPr="00702A15" w:rsidRDefault="00420717" w:rsidP="00D92384">
            <w:pPr>
              <w:spacing w:after="0" w:line="240" w:lineRule="auto"/>
              <w:rPr>
                <w:rFonts w:ascii="Arial" w:hAnsi="Arial" w:cs="Arial"/>
                <w:sz w:val="24"/>
                <w:szCs w:val="24"/>
              </w:rPr>
            </w:pPr>
            <w:r w:rsidRPr="00702A15">
              <w:rPr>
                <w:rFonts w:ascii="Arial" w:hAnsi="Arial" w:cs="Arial"/>
                <w:sz w:val="24"/>
                <w:szCs w:val="24"/>
              </w:rPr>
              <w:t>materii în suspensie, CCOCr,  CBO5, am</w:t>
            </w:r>
            <w:r w:rsidRPr="00702A15">
              <w:rPr>
                <w:rFonts w:ascii="Arial" w:hAnsi="Arial" w:cs="Arial"/>
                <w:sz w:val="24"/>
                <w:szCs w:val="24"/>
              </w:rPr>
              <w:t>o</w:t>
            </w:r>
            <w:r w:rsidRPr="00702A15">
              <w:rPr>
                <w:rFonts w:ascii="Arial" w:hAnsi="Arial" w:cs="Arial"/>
                <w:sz w:val="24"/>
                <w:szCs w:val="24"/>
              </w:rPr>
              <w:t>niu, fosfor total, detergenţi</w:t>
            </w:r>
          </w:p>
        </w:tc>
      </w:tr>
      <w:tr w:rsidR="00420717" w:rsidRPr="00702A15" w:rsidTr="00D92384">
        <w:trPr>
          <w:jc w:val="center"/>
        </w:trPr>
        <w:tc>
          <w:tcPr>
            <w:tcW w:w="567" w:type="dxa"/>
            <w:vAlign w:val="center"/>
          </w:tcPr>
          <w:p w:rsidR="00420717" w:rsidRPr="00702A15" w:rsidRDefault="00420717" w:rsidP="00D92384">
            <w:pPr>
              <w:spacing w:after="0" w:line="240" w:lineRule="auto"/>
              <w:rPr>
                <w:rFonts w:ascii="Arial" w:hAnsi="Arial" w:cs="Arial"/>
                <w:sz w:val="24"/>
                <w:szCs w:val="24"/>
                <w:lang w:val="fr-FR"/>
              </w:rPr>
            </w:pPr>
            <w:r w:rsidRPr="00702A15">
              <w:rPr>
                <w:rFonts w:ascii="Arial" w:hAnsi="Arial" w:cs="Arial"/>
                <w:sz w:val="24"/>
                <w:szCs w:val="24"/>
                <w:lang w:val="fr-FR"/>
              </w:rPr>
              <w:t>39.</w:t>
            </w:r>
          </w:p>
        </w:tc>
        <w:tc>
          <w:tcPr>
            <w:tcW w:w="1984" w:type="dxa"/>
            <w:vAlign w:val="center"/>
          </w:tcPr>
          <w:p w:rsidR="00420717" w:rsidRPr="00702A15" w:rsidRDefault="00420717" w:rsidP="00D92384">
            <w:pPr>
              <w:pStyle w:val="BodyText"/>
              <w:spacing w:after="0" w:line="240" w:lineRule="auto"/>
              <w:rPr>
                <w:rFonts w:ascii="Arial" w:hAnsi="Arial" w:cs="Arial"/>
                <w:sz w:val="24"/>
                <w:szCs w:val="24"/>
              </w:rPr>
            </w:pPr>
            <w:r w:rsidRPr="00702A15">
              <w:rPr>
                <w:rFonts w:ascii="Arial" w:hAnsi="Arial" w:cs="Arial"/>
                <w:sz w:val="24"/>
                <w:szCs w:val="24"/>
              </w:rPr>
              <w:t xml:space="preserve">SC Compania de Apă Buzău CO 7 Rm. Sărat </w:t>
            </w:r>
          </w:p>
        </w:tc>
        <w:tc>
          <w:tcPr>
            <w:tcW w:w="1843" w:type="dxa"/>
          </w:tcPr>
          <w:p w:rsidR="00420717" w:rsidRPr="00702A15" w:rsidRDefault="00420717" w:rsidP="00D92384">
            <w:pPr>
              <w:pStyle w:val="BodyText"/>
              <w:spacing w:after="0" w:line="240" w:lineRule="auto"/>
              <w:rPr>
                <w:rFonts w:ascii="Arial" w:hAnsi="Arial" w:cs="Arial"/>
                <w:sz w:val="24"/>
                <w:szCs w:val="24"/>
                <w:lang w:val="fr-BE"/>
              </w:rPr>
            </w:pPr>
            <w:r w:rsidRPr="00702A15">
              <w:rPr>
                <w:rFonts w:ascii="Arial" w:hAnsi="Arial" w:cs="Arial"/>
                <w:sz w:val="24"/>
                <w:szCs w:val="24"/>
                <w:lang w:val="fr-BE"/>
              </w:rPr>
              <w:t xml:space="preserve">Alimentare cu apă, colectare şi tratare ape uzate </w:t>
            </w:r>
          </w:p>
        </w:tc>
        <w:tc>
          <w:tcPr>
            <w:tcW w:w="1489" w:type="dxa"/>
            <w:vAlign w:val="center"/>
          </w:tcPr>
          <w:p w:rsidR="00420717" w:rsidRPr="00702A15" w:rsidRDefault="00420717" w:rsidP="00D92384">
            <w:pPr>
              <w:pStyle w:val="BodyText"/>
              <w:spacing w:after="0" w:line="240" w:lineRule="auto"/>
              <w:rPr>
                <w:rFonts w:ascii="Arial" w:hAnsi="Arial" w:cs="Arial"/>
                <w:sz w:val="24"/>
                <w:szCs w:val="24"/>
              </w:rPr>
            </w:pPr>
            <w:r w:rsidRPr="00702A15">
              <w:rPr>
                <w:rFonts w:ascii="Arial" w:hAnsi="Arial" w:cs="Arial"/>
                <w:sz w:val="24"/>
                <w:szCs w:val="24"/>
                <w:lang w:val="fr-BE"/>
              </w:rPr>
              <w:t xml:space="preserve"> </w:t>
            </w:r>
            <w:r w:rsidRPr="00702A15">
              <w:rPr>
                <w:rFonts w:ascii="Arial" w:hAnsi="Arial" w:cs="Arial"/>
                <w:sz w:val="24"/>
                <w:szCs w:val="24"/>
              </w:rPr>
              <w:t xml:space="preserve">R. Rm. Sărat </w:t>
            </w:r>
          </w:p>
        </w:tc>
        <w:tc>
          <w:tcPr>
            <w:tcW w:w="1417" w:type="dxa"/>
            <w:vAlign w:val="center"/>
          </w:tcPr>
          <w:p w:rsidR="00420717" w:rsidRPr="00702A15" w:rsidRDefault="00420717" w:rsidP="00D92384">
            <w:pPr>
              <w:pStyle w:val="BodyText"/>
              <w:spacing w:after="0" w:line="240" w:lineRule="auto"/>
              <w:jc w:val="center"/>
              <w:rPr>
                <w:rFonts w:ascii="Arial" w:hAnsi="Arial" w:cs="Arial"/>
                <w:sz w:val="24"/>
                <w:szCs w:val="24"/>
              </w:rPr>
            </w:pPr>
            <w:r w:rsidRPr="00702A15">
              <w:rPr>
                <w:rFonts w:ascii="Arial" w:eastAsia="Times New Roman" w:hAnsi="Arial" w:cs="Arial"/>
                <w:sz w:val="24"/>
                <w:szCs w:val="24"/>
              </w:rPr>
              <w:t>6.502</w:t>
            </w:r>
          </w:p>
        </w:tc>
        <w:tc>
          <w:tcPr>
            <w:tcW w:w="2720" w:type="dxa"/>
            <w:vAlign w:val="center"/>
          </w:tcPr>
          <w:p w:rsidR="00420717" w:rsidRPr="00702A15" w:rsidRDefault="00420717" w:rsidP="00D92384">
            <w:pPr>
              <w:pStyle w:val="BodyText"/>
              <w:spacing w:after="0" w:line="240" w:lineRule="auto"/>
              <w:rPr>
                <w:rFonts w:ascii="Arial" w:hAnsi="Arial" w:cs="Arial"/>
                <w:sz w:val="24"/>
                <w:szCs w:val="24"/>
                <w:lang w:val="fr-BE"/>
              </w:rPr>
            </w:pPr>
            <w:r w:rsidRPr="00702A15">
              <w:rPr>
                <w:rFonts w:ascii="Arial" w:hAnsi="Arial" w:cs="Arial"/>
                <w:sz w:val="24"/>
                <w:szCs w:val="24"/>
                <w:lang w:val="fr-BE"/>
              </w:rPr>
              <w:t>materii în suspensie, CBO5, CCO-Cr, N, P, rez. filtrat, detergenţi</w:t>
            </w:r>
          </w:p>
        </w:tc>
      </w:tr>
    </w:tbl>
    <w:p w:rsidR="00420717" w:rsidRPr="00AA0E3F" w:rsidRDefault="00420717" w:rsidP="00420717">
      <w:pPr>
        <w:spacing w:after="0" w:line="240" w:lineRule="auto"/>
        <w:jc w:val="both"/>
        <w:rPr>
          <w:rFonts w:ascii="Arial" w:hAnsi="Arial" w:cs="Arial"/>
          <w:b/>
          <w:sz w:val="24"/>
          <w:szCs w:val="24"/>
        </w:rPr>
      </w:pPr>
      <w:r w:rsidRPr="00AA0E3F">
        <w:rPr>
          <w:rFonts w:ascii="Arial" w:hAnsi="Arial" w:cs="Arial"/>
          <w:b/>
          <w:sz w:val="24"/>
          <w:szCs w:val="24"/>
        </w:rPr>
        <w:t>Tabel II.2.2.2.11. Substanţe poluante şi indicatori de poluare în apele uzate, în judeţul Buzău, în anul 2014</w:t>
      </w:r>
    </w:p>
    <w:p w:rsidR="00420717" w:rsidRPr="00702A15" w:rsidRDefault="00420717" w:rsidP="00420717">
      <w:pPr>
        <w:tabs>
          <w:tab w:val="left" w:pos="1204"/>
          <w:tab w:val="left" w:leader="dot" w:pos="9356"/>
        </w:tabs>
        <w:spacing w:after="0" w:line="240" w:lineRule="auto"/>
        <w:jc w:val="right"/>
        <w:rPr>
          <w:rFonts w:ascii="Arial" w:hAnsi="Arial" w:cs="Arial"/>
          <w:sz w:val="24"/>
          <w:szCs w:val="24"/>
        </w:rPr>
      </w:pPr>
      <w:r w:rsidRPr="00702A15">
        <w:rPr>
          <w:rFonts w:ascii="Arial" w:hAnsi="Arial" w:cs="Arial"/>
          <w:sz w:val="24"/>
          <w:szCs w:val="24"/>
        </w:rPr>
        <w:t>Sursa datelor: ABA Buzău-Ialomi</w:t>
      </w:r>
      <w:r>
        <w:rPr>
          <w:rFonts w:ascii="Arial" w:hAnsi="Arial" w:cs="Arial"/>
          <w:sz w:val="24"/>
          <w:szCs w:val="24"/>
        </w:rPr>
        <w:t>ţ</w:t>
      </w:r>
      <w:r w:rsidRPr="00702A15">
        <w:rPr>
          <w:rFonts w:ascii="Arial" w:hAnsi="Arial" w:cs="Arial"/>
          <w:sz w:val="24"/>
          <w:szCs w:val="24"/>
        </w:rPr>
        <w:t>a, CA Buzău</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t xml:space="preserve">II.2.3. Tendinţe şi prognoze privind calitatea apei </w:t>
      </w:r>
    </w:p>
    <w:p w:rsidR="00420717" w:rsidRPr="00702A15" w:rsidRDefault="00420717" w:rsidP="00420717">
      <w:pPr>
        <w:tabs>
          <w:tab w:val="left" w:pos="1204"/>
          <w:tab w:val="left" w:leader="dot" w:pos="9356"/>
        </w:tabs>
        <w:spacing w:after="0" w:line="240" w:lineRule="auto"/>
        <w:ind w:left="993"/>
        <w:rPr>
          <w:rFonts w:ascii="Arial" w:hAnsi="Arial" w:cs="Arial"/>
          <w:sz w:val="24"/>
          <w:szCs w:val="24"/>
        </w:rPr>
      </w:pPr>
    </w:p>
    <w:p w:rsidR="00420717"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Analizând datele prezentate la punctele II.2.1.1 - Calitatea cursurilor de apă din jude</w:t>
      </w:r>
      <w:r>
        <w:rPr>
          <w:rFonts w:ascii="Arial" w:hAnsi="Arial" w:cs="Arial"/>
          <w:sz w:val="24"/>
          <w:szCs w:val="24"/>
        </w:rPr>
        <w:t>ţ</w:t>
      </w:r>
      <w:r w:rsidRPr="00702A15">
        <w:rPr>
          <w:rFonts w:ascii="Arial" w:hAnsi="Arial" w:cs="Arial"/>
          <w:sz w:val="24"/>
          <w:szCs w:val="24"/>
        </w:rPr>
        <w:t>ul Buzău, II.2.1.2 - Calitatea apei lacurilor din jude</w:t>
      </w:r>
      <w:r>
        <w:rPr>
          <w:rFonts w:ascii="Arial" w:hAnsi="Arial" w:cs="Arial"/>
          <w:sz w:val="24"/>
          <w:szCs w:val="24"/>
        </w:rPr>
        <w:t>ţ</w:t>
      </w:r>
      <w:r w:rsidRPr="00702A15">
        <w:rPr>
          <w:rFonts w:ascii="Arial" w:hAnsi="Arial" w:cs="Arial"/>
          <w:sz w:val="24"/>
          <w:szCs w:val="24"/>
        </w:rPr>
        <w:t>ul Buzău, II.2.1.3 - Calitatea apei subt</w:t>
      </w:r>
      <w:r w:rsidRPr="00702A15">
        <w:rPr>
          <w:rFonts w:ascii="Arial" w:hAnsi="Arial" w:cs="Arial"/>
          <w:sz w:val="24"/>
          <w:szCs w:val="24"/>
        </w:rPr>
        <w:t>e</w:t>
      </w:r>
      <w:r w:rsidRPr="00702A15">
        <w:rPr>
          <w:rFonts w:ascii="Arial" w:hAnsi="Arial" w:cs="Arial"/>
          <w:sz w:val="24"/>
          <w:szCs w:val="24"/>
        </w:rPr>
        <w:t>rane din jude</w:t>
      </w:r>
      <w:r>
        <w:rPr>
          <w:rFonts w:ascii="Arial" w:hAnsi="Arial" w:cs="Arial"/>
          <w:sz w:val="24"/>
          <w:szCs w:val="24"/>
        </w:rPr>
        <w:t>ţ</w:t>
      </w:r>
      <w:r w:rsidRPr="00702A15">
        <w:rPr>
          <w:rFonts w:ascii="Arial" w:hAnsi="Arial" w:cs="Arial"/>
          <w:sz w:val="24"/>
          <w:szCs w:val="24"/>
        </w:rPr>
        <w:t xml:space="preserve">ul Buzău </w:t>
      </w:r>
      <w:r>
        <w:rPr>
          <w:rFonts w:ascii="Arial" w:hAnsi="Arial" w:cs="Arial"/>
          <w:sz w:val="24"/>
          <w:szCs w:val="24"/>
        </w:rPr>
        <w:t>ş</w:t>
      </w:r>
      <w:r w:rsidRPr="00702A15">
        <w:rPr>
          <w:rFonts w:ascii="Arial" w:hAnsi="Arial" w:cs="Arial"/>
          <w:sz w:val="24"/>
          <w:szCs w:val="24"/>
        </w:rPr>
        <w:t>i II.2.1.4 - Calitatea apelor de îmbăiere din jude</w:t>
      </w:r>
      <w:r>
        <w:rPr>
          <w:rFonts w:ascii="Arial" w:hAnsi="Arial" w:cs="Arial"/>
          <w:sz w:val="24"/>
          <w:szCs w:val="24"/>
        </w:rPr>
        <w:t>ţ</w:t>
      </w:r>
      <w:r w:rsidRPr="00702A15">
        <w:rPr>
          <w:rFonts w:ascii="Arial" w:hAnsi="Arial" w:cs="Arial"/>
          <w:sz w:val="24"/>
          <w:szCs w:val="24"/>
        </w:rPr>
        <w:t>ul Buzău, prezentăm în cele ce urmează tendin</w:t>
      </w:r>
      <w:r>
        <w:rPr>
          <w:rFonts w:ascii="Arial" w:hAnsi="Arial" w:cs="Arial"/>
          <w:sz w:val="24"/>
          <w:szCs w:val="24"/>
        </w:rPr>
        <w:t>ţ</w:t>
      </w:r>
      <w:r w:rsidRPr="00702A15">
        <w:rPr>
          <w:rFonts w:ascii="Arial" w:hAnsi="Arial" w:cs="Arial"/>
          <w:sz w:val="24"/>
          <w:szCs w:val="24"/>
        </w:rPr>
        <w:t xml:space="preserve">ele </w:t>
      </w:r>
      <w:r>
        <w:rPr>
          <w:rFonts w:ascii="Arial" w:hAnsi="Arial" w:cs="Arial"/>
          <w:sz w:val="24"/>
          <w:szCs w:val="24"/>
        </w:rPr>
        <w:t>ş</w:t>
      </w:r>
      <w:r w:rsidRPr="00702A15">
        <w:rPr>
          <w:rFonts w:ascii="Arial" w:hAnsi="Arial" w:cs="Arial"/>
          <w:sz w:val="24"/>
          <w:szCs w:val="24"/>
        </w:rPr>
        <w:t>i prognozele privind calitatea apei în jude</w:t>
      </w:r>
      <w:r>
        <w:rPr>
          <w:rFonts w:ascii="Arial" w:hAnsi="Arial" w:cs="Arial"/>
          <w:sz w:val="24"/>
          <w:szCs w:val="24"/>
        </w:rPr>
        <w:t>ţ</w:t>
      </w:r>
      <w:r w:rsidRPr="00702A15">
        <w:rPr>
          <w:rFonts w:ascii="Arial" w:hAnsi="Arial" w:cs="Arial"/>
          <w:sz w:val="24"/>
          <w:szCs w:val="24"/>
        </w:rPr>
        <w:t>ul Buzău:</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r w:rsidRPr="00702A15">
        <w:rPr>
          <w:rFonts w:ascii="Arial" w:hAnsi="Arial" w:cs="Arial"/>
          <w:b/>
          <w:sz w:val="24"/>
          <w:szCs w:val="24"/>
        </w:rPr>
        <w:t>A. Referitor la calitatea cursurilor de apă din jude</w:t>
      </w:r>
      <w:r>
        <w:rPr>
          <w:rFonts w:ascii="Arial" w:hAnsi="Arial" w:cs="Arial"/>
          <w:b/>
          <w:sz w:val="24"/>
          <w:szCs w:val="24"/>
        </w:rPr>
        <w:t>ţ</w:t>
      </w:r>
      <w:r w:rsidRPr="00702A15">
        <w:rPr>
          <w:rFonts w:ascii="Arial" w:hAnsi="Arial" w:cs="Arial"/>
          <w:b/>
          <w:sz w:val="24"/>
          <w:szCs w:val="24"/>
        </w:rPr>
        <w:t>ul Buzău</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Din punct de vedere hidromorfologic nu se poate realiza o evolu</w:t>
      </w:r>
      <w:r>
        <w:rPr>
          <w:rFonts w:ascii="Arial" w:hAnsi="Arial" w:cs="Arial"/>
          <w:sz w:val="24"/>
          <w:szCs w:val="24"/>
        </w:rPr>
        <w:t>ţ</w:t>
      </w:r>
      <w:r w:rsidRPr="00702A15">
        <w:rPr>
          <w:rFonts w:ascii="Arial" w:hAnsi="Arial" w:cs="Arial"/>
          <w:sz w:val="24"/>
          <w:szCs w:val="24"/>
        </w:rPr>
        <w:t>ie a situa</w:t>
      </w:r>
      <w:r>
        <w:rPr>
          <w:rFonts w:ascii="Arial" w:hAnsi="Arial" w:cs="Arial"/>
          <w:sz w:val="24"/>
          <w:szCs w:val="24"/>
        </w:rPr>
        <w:t>ţ</w:t>
      </w:r>
      <w:r w:rsidRPr="00702A15">
        <w:rPr>
          <w:rFonts w:ascii="Arial" w:hAnsi="Arial" w:cs="Arial"/>
          <w:sz w:val="24"/>
          <w:szCs w:val="24"/>
        </w:rPr>
        <w:t>iei cursurilor de apă deoarece nu s-au furnizat date în acest sens de către autorită</w:t>
      </w:r>
      <w:r>
        <w:rPr>
          <w:rFonts w:ascii="Arial" w:hAnsi="Arial" w:cs="Arial"/>
          <w:sz w:val="24"/>
          <w:szCs w:val="24"/>
        </w:rPr>
        <w:t>ţ</w:t>
      </w:r>
      <w:r w:rsidRPr="00702A15">
        <w:rPr>
          <w:rFonts w:ascii="Arial" w:hAnsi="Arial" w:cs="Arial"/>
          <w:sz w:val="24"/>
          <w:szCs w:val="24"/>
        </w:rPr>
        <w:t>ile de gospodărire a apelor. La finele anului 2014, în jude</w:t>
      </w:r>
      <w:r>
        <w:rPr>
          <w:rFonts w:ascii="Arial" w:hAnsi="Arial" w:cs="Arial"/>
          <w:sz w:val="24"/>
          <w:szCs w:val="24"/>
        </w:rPr>
        <w:t>ţ</w:t>
      </w:r>
      <w:r w:rsidRPr="00702A15">
        <w:rPr>
          <w:rFonts w:ascii="Arial" w:hAnsi="Arial" w:cs="Arial"/>
          <w:sz w:val="24"/>
          <w:szCs w:val="24"/>
        </w:rPr>
        <w:t>ul Buzău există 17 corpuri de cursuri de apă nat</w:t>
      </w:r>
      <w:r w:rsidRPr="00702A15">
        <w:rPr>
          <w:rFonts w:ascii="Arial" w:hAnsi="Arial" w:cs="Arial"/>
          <w:sz w:val="24"/>
          <w:szCs w:val="24"/>
        </w:rPr>
        <w:t>u</w:t>
      </w:r>
      <w:r w:rsidRPr="00702A15">
        <w:rPr>
          <w:rFonts w:ascii="Arial" w:hAnsi="Arial" w:cs="Arial"/>
          <w:sz w:val="24"/>
          <w:szCs w:val="24"/>
        </w:rPr>
        <w:t xml:space="preserve">rale/cvasinaturale </w:t>
      </w:r>
      <w:r>
        <w:rPr>
          <w:rFonts w:ascii="Arial" w:hAnsi="Arial" w:cs="Arial"/>
          <w:sz w:val="24"/>
          <w:szCs w:val="24"/>
        </w:rPr>
        <w:t>ş</w:t>
      </w:r>
      <w:r w:rsidRPr="00702A15">
        <w:rPr>
          <w:rFonts w:ascii="Arial" w:hAnsi="Arial" w:cs="Arial"/>
          <w:sz w:val="24"/>
          <w:szCs w:val="24"/>
        </w:rPr>
        <w:t>i 3 corpuri de apă de cursuri de apă puternic modificate din punct de vedere hidromorfologic.</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Din punct de vedere al con</w:t>
      </w:r>
      <w:r>
        <w:rPr>
          <w:rFonts w:ascii="Arial" w:hAnsi="Arial" w:cs="Arial"/>
          <w:sz w:val="24"/>
          <w:szCs w:val="24"/>
        </w:rPr>
        <w:t>ţ</w:t>
      </w:r>
      <w:r w:rsidRPr="00702A15">
        <w:rPr>
          <w:rFonts w:ascii="Arial" w:hAnsi="Arial" w:cs="Arial"/>
          <w:sz w:val="24"/>
          <w:szCs w:val="24"/>
        </w:rPr>
        <w:t xml:space="preserve">inutului de oxigen dizolvat </w:t>
      </w:r>
      <w:r>
        <w:rPr>
          <w:rFonts w:ascii="Arial" w:hAnsi="Arial" w:cs="Arial"/>
          <w:sz w:val="24"/>
          <w:szCs w:val="24"/>
        </w:rPr>
        <w:t>ş</w:t>
      </w:r>
      <w:r w:rsidRPr="00702A15">
        <w:rPr>
          <w:rFonts w:ascii="Arial" w:hAnsi="Arial" w:cs="Arial"/>
          <w:sz w:val="24"/>
          <w:szCs w:val="24"/>
        </w:rPr>
        <w:t>i materiilor organice, pe teritoriul jude</w:t>
      </w:r>
      <w:r>
        <w:rPr>
          <w:rFonts w:ascii="Arial" w:hAnsi="Arial" w:cs="Arial"/>
          <w:sz w:val="24"/>
          <w:szCs w:val="24"/>
        </w:rPr>
        <w:t>ţ</w:t>
      </w:r>
      <w:r w:rsidRPr="00702A15">
        <w:rPr>
          <w:rFonts w:ascii="Arial" w:hAnsi="Arial" w:cs="Arial"/>
          <w:sz w:val="24"/>
          <w:szCs w:val="24"/>
        </w:rPr>
        <w:t>ului Buzău în anul 2014 din cele 23 de sec</w:t>
      </w:r>
      <w:r>
        <w:rPr>
          <w:rFonts w:ascii="Arial" w:hAnsi="Arial" w:cs="Arial"/>
          <w:sz w:val="24"/>
          <w:szCs w:val="24"/>
        </w:rPr>
        <w:t>ţ</w:t>
      </w:r>
      <w:r w:rsidRPr="00702A15">
        <w:rPr>
          <w:rFonts w:ascii="Arial" w:hAnsi="Arial" w:cs="Arial"/>
          <w:sz w:val="24"/>
          <w:szCs w:val="24"/>
        </w:rPr>
        <w:t>iuni de curs de apă monitorizate, 11 sec</w:t>
      </w:r>
      <w:r>
        <w:rPr>
          <w:rFonts w:ascii="Arial" w:hAnsi="Arial" w:cs="Arial"/>
          <w:sz w:val="24"/>
          <w:szCs w:val="24"/>
        </w:rPr>
        <w:t>ţ</w:t>
      </w:r>
      <w:r w:rsidRPr="00702A15">
        <w:rPr>
          <w:rFonts w:ascii="Arial" w:hAnsi="Arial" w:cs="Arial"/>
          <w:sz w:val="24"/>
          <w:szCs w:val="24"/>
        </w:rPr>
        <w:t>iuni au fost încadrate la categoria bună (B) iar 12 sec</w:t>
      </w:r>
      <w:r>
        <w:rPr>
          <w:rFonts w:ascii="Arial" w:hAnsi="Arial" w:cs="Arial"/>
          <w:sz w:val="24"/>
          <w:szCs w:val="24"/>
        </w:rPr>
        <w:t>ţ</w:t>
      </w:r>
      <w:r w:rsidRPr="00702A15">
        <w:rPr>
          <w:rFonts w:ascii="Arial" w:hAnsi="Arial" w:cs="Arial"/>
          <w:sz w:val="24"/>
          <w:szCs w:val="24"/>
        </w:rPr>
        <w:t>iuni au fost încadrate la categ</w:t>
      </w:r>
      <w:r w:rsidRPr="00702A15">
        <w:rPr>
          <w:rFonts w:ascii="Arial" w:hAnsi="Arial" w:cs="Arial"/>
          <w:sz w:val="24"/>
          <w:szCs w:val="24"/>
        </w:rPr>
        <w:t>o</w:t>
      </w:r>
      <w:r w:rsidRPr="00702A15">
        <w:rPr>
          <w:rFonts w:ascii="Arial" w:hAnsi="Arial" w:cs="Arial"/>
          <w:sz w:val="24"/>
          <w:szCs w:val="24"/>
        </w:rPr>
        <w:t>ria moderată (M).</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Din punct de vedere al nutrien</w:t>
      </w:r>
      <w:r>
        <w:rPr>
          <w:rFonts w:ascii="Arial" w:hAnsi="Arial" w:cs="Arial"/>
          <w:sz w:val="24"/>
          <w:szCs w:val="24"/>
        </w:rPr>
        <w:t>ţ</w:t>
      </w:r>
      <w:r w:rsidRPr="00702A15">
        <w:rPr>
          <w:rFonts w:ascii="Arial" w:hAnsi="Arial" w:cs="Arial"/>
          <w:sz w:val="24"/>
          <w:szCs w:val="24"/>
        </w:rPr>
        <w:t>ilor existen</w:t>
      </w:r>
      <w:r>
        <w:rPr>
          <w:rFonts w:ascii="Arial" w:hAnsi="Arial" w:cs="Arial"/>
          <w:sz w:val="24"/>
          <w:szCs w:val="24"/>
        </w:rPr>
        <w:t>ţ</w:t>
      </w:r>
      <w:r w:rsidRPr="00702A15">
        <w:rPr>
          <w:rFonts w:ascii="Arial" w:hAnsi="Arial" w:cs="Arial"/>
          <w:sz w:val="24"/>
          <w:szCs w:val="24"/>
        </w:rPr>
        <w:t>i în apă (nitra</w:t>
      </w:r>
      <w:r>
        <w:rPr>
          <w:rFonts w:ascii="Arial" w:hAnsi="Arial" w:cs="Arial"/>
          <w:sz w:val="24"/>
          <w:szCs w:val="24"/>
        </w:rPr>
        <w:t>ţ</w:t>
      </w:r>
      <w:r w:rsidRPr="00702A15">
        <w:rPr>
          <w:rFonts w:ascii="Arial" w:hAnsi="Arial" w:cs="Arial"/>
          <w:sz w:val="24"/>
          <w:szCs w:val="24"/>
        </w:rPr>
        <w:t xml:space="preserve">i, amoniu </w:t>
      </w:r>
      <w:r>
        <w:rPr>
          <w:rFonts w:ascii="Arial" w:hAnsi="Arial" w:cs="Arial"/>
          <w:sz w:val="24"/>
          <w:szCs w:val="24"/>
        </w:rPr>
        <w:t>ş</w:t>
      </w:r>
      <w:r w:rsidRPr="00702A15">
        <w:rPr>
          <w:rFonts w:ascii="Arial" w:hAnsi="Arial" w:cs="Arial"/>
          <w:sz w:val="24"/>
          <w:szCs w:val="24"/>
        </w:rPr>
        <w:t>i otofosfa</w:t>
      </w:r>
      <w:r>
        <w:rPr>
          <w:rFonts w:ascii="Arial" w:hAnsi="Arial" w:cs="Arial"/>
          <w:sz w:val="24"/>
          <w:szCs w:val="24"/>
        </w:rPr>
        <w:t>ţ</w:t>
      </w:r>
      <w:r w:rsidRPr="00702A15">
        <w:rPr>
          <w:rFonts w:ascii="Arial" w:hAnsi="Arial" w:cs="Arial"/>
          <w:sz w:val="24"/>
          <w:szCs w:val="24"/>
        </w:rPr>
        <w:t>i), pe teritoriul jude</w:t>
      </w:r>
      <w:r>
        <w:rPr>
          <w:rFonts w:ascii="Arial" w:hAnsi="Arial" w:cs="Arial"/>
          <w:sz w:val="24"/>
          <w:szCs w:val="24"/>
        </w:rPr>
        <w:t>ţ</w:t>
      </w:r>
      <w:r w:rsidRPr="00702A15">
        <w:rPr>
          <w:rFonts w:ascii="Arial" w:hAnsi="Arial" w:cs="Arial"/>
          <w:sz w:val="24"/>
          <w:szCs w:val="24"/>
        </w:rPr>
        <w:t>ului Buzău în anul 2014 din cele 23 de sec</w:t>
      </w:r>
      <w:r>
        <w:rPr>
          <w:rFonts w:ascii="Arial" w:hAnsi="Arial" w:cs="Arial"/>
          <w:sz w:val="24"/>
          <w:szCs w:val="24"/>
        </w:rPr>
        <w:t>ţ</w:t>
      </w:r>
      <w:r w:rsidRPr="00702A15">
        <w:rPr>
          <w:rFonts w:ascii="Arial" w:hAnsi="Arial" w:cs="Arial"/>
          <w:sz w:val="24"/>
          <w:szCs w:val="24"/>
        </w:rPr>
        <w:t>iuni de curs de apă monitorizate, 6 sec</w:t>
      </w:r>
      <w:r>
        <w:rPr>
          <w:rFonts w:ascii="Arial" w:hAnsi="Arial" w:cs="Arial"/>
          <w:sz w:val="24"/>
          <w:szCs w:val="24"/>
        </w:rPr>
        <w:t>ţ</w:t>
      </w:r>
      <w:r w:rsidRPr="00702A15">
        <w:rPr>
          <w:rFonts w:ascii="Arial" w:hAnsi="Arial" w:cs="Arial"/>
          <w:sz w:val="24"/>
          <w:szCs w:val="24"/>
        </w:rPr>
        <w:t>iuni au fost încadrate la categoria foarte bună (FB), 6 sec</w:t>
      </w:r>
      <w:r>
        <w:rPr>
          <w:rFonts w:ascii="Arial" w:hAnsi="Arial" w:cs="Arial"/>
          <w:sz w:val="24"/>
          <w:szCs w:val="24"/>
        </w:rPr>
        <w:t>ţ</w:t>
      </w:r>
      <w:r w:rsidRPr="00702A15">
        <w:rPr>
          <w:rFonts w:ascii="Arial" w:hAnsi="Arial" w:cs="Arial"/>
          <w:sz w:val="24"/>
          <w:szCs w:val="24"/>
        </w:rPr>
        <w:t>iuni au fost încadrate la c</w:t>
      </w:r>
      <w:r w:rsidRPr="00702A15">
        <w:rPr>
          <w:rFonts w:ascii="Arial" w:hAnsi="Arial" w:cs="Arial"/>
          <w:sz w:val="24"/>
          <w:szCs w:val="24"/>
        </w:rPr>
        <w:t>a</w:t>
      </w:r>
      <w:r w:rsidRPr="00702A15">
        <w:rPr>
          <w:rFonts w:ascii="Arial" w:hAnsi="Arial" w:cs="Arial"/>
          <w:sz w:val="24"/>
          <w:szCs w:val="24"/>
        </w:rPr>
        <w:t>tegoria bună (B) iar 12 sec</w:t>
      </w:r>
      <w:r>
        <w:rPr>
          <w:rFonts w:ascii="Arial" w:hAnsi="Arial" w:cs="Arial"/>
          <w:sz w:val="24"/>
          <w:szCs w:val="24"/>
        </w:rPr>
        <w:t>ţ</w:t>
      </w:r>
      <w:r w:rsidRPr="00702A15">
        <w:rPr>
          <w:rFonts w:ascii="Arial" w:hAnsi="Arial" w:cs="Arial"/>
          <w:sz w:val="24"/>
          <w:szCs w:val="24"/>
        </w:rPr>
        <w:t>iuni au fost încadrate la categoria moderată (M).</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În anul 2014 din numărul de kilometri de râu monitoriza</w:t>
      </w:r>
      <w:r>
        <w:rPr>
          <w:rFonts w:ascii="Arial" w:hAnsi="Arial" w:cs="Arial"/>
          <w:sz w:val="24"/>
          <w:szCs w:val="24"/>
        </w:rPr>
        <w:t>ţ</w:t>
      </w:r>
      <w:r w:rsidRPr="00702A15">
        <w:rPr>
          <w:rFonts w:ascii="Arial" w:hAnsi="Arial" w:cs="Arial"/>
          <w:sz w:val="24"/>
          <w:szCs w:val="24"/>
        </w:rPr>
        <w:t>i s-au aflat în starea ecologică inferioară stării bune 65,7 % în scădere fa</w:t>
      </w:r>
      <w:r>
        <w:rPr>
          <w:rFonts w:ascii="Arial" w:hAnsi="Arial" w:cs="Arial"/>
          <w:sz w:val="24"/>
          <w:szCs w:val="24"/>
        </w:rPr>
        <w:t>ţ</w:t>
      </w:r>
      <w:r w:rsidRPr="00702A15">
        <w:rPr>
          <w:rFonts w:ascii="Arial" w:hAnsi="Arial" w:cs="Arial"/>
          <w:sz w:val="24"/>
          <w:szCs w:val="24"/>
        </w:rPr>
        <w:t>ă de 71,7 % în anul 2013.</w:t>
      </w:r>
    </w:p>
    <w:p w:rsidR="00420717"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lastRenderedPageBreak/>
        <w:t>Din punct de vedere al substan</w:t>
      </w:r>
      <w:r>
        <w:rPr>
          <w:rFonts w:ascii="Arial" w:hAnsi="Arial" w:cs="Arial"/>
          <w:sz w:val="24"/>
          <w:szCs w:val="24"/>
        </w:rPr>
        <w:t>ţ</w:t>
      </w:r>
      <w:r w:rsidRPr="00702A15">
        <w:rPr>
          <w:rFonts w:ascii="Arial" w:hAnsi="Arial" w:cs="Arial"/>
          <w:sz w:val="24"/>
          <w:szCs w:val="24"/>
        </w:rPr>
        <w:t>elor periculoase din cursurile de apă, pe teritoriul jude</w:t>
      </w:r>
      <w:r>
        <w:rPr>
          <w:rFonts w:ascii="Arial" w:hAnsi="Arial" w:cs="Arial"/>
          <w:sz w:val="24"/>
          <w:szCs w:val="24"/>
        </w:rPr>
        <w:t>ţ</w:t>
      </w:r>
      <w:r w:rsidRPr="00702A15">
        <w:rPr>
          <w:rFonts w:ascii="Arial" w:hAnsi="Arial" w:cs="Arial"/>
          <w:sz w:val="24"/>
          <w:szCs w:val="24"/>
        </w:rPr>
        <w:t>ului Buzău în anul 2014 din cei 701,5 de râuri monitoriza</w:t>
      </w:r>
      <w:r>
        <w:rPr>
          <w:rFonts w:ascii="Arial" w:hAnsi="Arial" w:cs="Arial"/>
          <w:sz w:val="24"/>
          <w:szCs w:val="24"/>
        </w:rPr>
        <w:t>ţ</w:t>
      </w:r>
      <w:r w:rsidRPr="00702A15">
        <w:rPr>
          <w:rFonts w:ascii="Arial" w:hAnsi="Arial" w:cs="Arial"/>
          <w:sz w:val="24"/>
          <w:szCs w:val="24"/>
        </w:rPr>
        <w:t>i 87 de km de râuri sunt puternic modifica</w:t>
      </w:r>
      <w:r>
        <w:rPr>
          <w:rFonts w:ascii="Arial" w:hAnsi="Arial" w:cs="Arial"/>
          <w:sz w:val="24"/>
          <w:szCs w:val="24"/>
        </w:rPr>
        <w:t>ţ</w:t>
      </w:r>
      <w:r w:rsidRPr="00702A15">
        <w:rPr>
          <w:rFonts w:ascii="Arial" w:hAnsi="Arial" w:cs="Arial"/>
          <w:sz w:val="24"/>
          <w:szCs w:val="24"/>
        </w:rPr>
        <w:t>i. Men</w:t>
      </w:r>
      <w:r>
        <w:rPr>
          <w:rFonts w:ascii="Arial" w:hAnsi="Arial" w:cs="Arial"/>
          <w:sz w:val="24"/>
          <w:szCs w:val="24"/>
        </w:rPr>
        <w:t>ţ</w:t>
      </w:r>
      <w:r w:rsidRPr="00702A15">
        <w:rPr>
          <w:rFonts w:ascii="Arial" w:hAnsi="Arial" w:cs="Arial"/>
          <w:sz w:val="24"/>
          <w:szCs w:val="24"/>
        </w:rPr>
        <w:t>ionăm că pe teritoriul jude</w:t>
      </w:r>
      <w:r>
        <w:rPr>
          <w:rFonts w:ascii="Arial" w:hAnsi="Arial" w:cs="Arial"/>
          <w:sz w:val="24"/>
          <w:szCs w:val="24"/>
        </w:rPr>
        <w:t>ţ</w:t>
      </w:r>
      <w:r w:rsidRPr="00702A15">
        <w:rPr>
          <w:rFonts w:ascii="Arial" w:hAnsi="Arial" w:cs="Arial"/>
          <w:sz w:val="24"/>
          <w:szCs w:val="24"/>
        </w:rPr>
        <w:t>ului Buzău nu există râuri artificiale.</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r w:rsidRPr="00702A15">
        <w:rPr>
          <w:rFonts w:ascii="Arial" w:hAnsi="Arial" w:cs="Arial"/>
          <w:b/>
          <w:sz w:val="24"/>
          <w:szCs w:val="24"/>
        </w:rPr>
        <w:t>B. Referitor la calitatea apei lacurilor din jude</w:t>
      </w:r>
      <w:r>
        <w:rPr>
          <w:rFonts w:ascii="Arial" w:hAnsi="Arial" w:cs="Arial"/>
          <w:b/>
          <w:sz w:val="24"/>
          <w:szCs w:val="24"/>
        </w:rPr>
        <w:t>ţ</w:t>
      </w:r>
      <w:r w:rsidRPr="00702A15">
        <w:rPr>
          <w:rFonts w:ascii="Arial" w:hAnsi="Arial" w:cs="Arial"/>
          <w:b/>
          <w:sz w:val="24"/>
          <w:szCs w:val="24"/>
        </w:rPr>
        <w:t xml:space="preserve">ul Buzău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Evolu</w:t>
      </w:r>
      <w:r>
        <w:rPr>
          <w:rFonts w:ascii="Arial" w:hAnsi="Arial" w:cs="Arial"/>
          <w:sz w:val="24"/>
          <w:szCs w:val="24"/>
        </w:rPr>
        <w:t>ţ</w:t>
      </w:r>
      <w:r w:rsidRPr="00702A15">
        <w:rPr>
          <w:rFonts w:ascii="Arial" w:hAnsi="Arial" w:cs="Arial"/>
          <w:sz w:val="24"/>
          <w:szCs w:val="24"/>
        </w:rPr>
        <w:t>ia concentra</w:t>
      </w:r>
      <w:r>
        <w:rPr>
          <w:rFonts w:ascii="Arial" w:hAnsi="Arial" w:cs="Arial"/>
          <w:sz w:val="24"/>
          <w:szCs w:val="24"/>
        </w:rPr>
        <w:t>ţ</w:t>
      </w:r>
      <w:r w:rsidRPr="00702A15">
        <w:rPr>
          <w:rFonts w:ascii="Arial" w:hAnsi="Arial" w:cs="Arial"/>
          <w:sz w:val="24"/>
          <w:szCs w:val="24"/>
        </w:rPr>
        <w:t>iilor medii anuale de fosfor total în principalele lacuri din jude</w:t>
      </w:r>
      <w:r>
        <w:rPr>
          <w:rFonts w:ascii="Arial" w:hAnsi="Arial" w:cs="Arial"/>
          <w:sz w:val="24"/>
          <w:szCs w:val="24"/>
        </w:rPr>
        <w:t>ţ</w:t>
      </w:r>
      <w:r w:rsidRPr="00702A15">
        <w:rPr>
          <w:rFonts w:ascii="Arial" w:hAnsi="Arial" w:cs="Arial"/>
          <w:sz w:val="24"/>
          <w:szCs w:val="24"/>
        </w:rPr>
        <w:t>ul Buzău a fost următoarea: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au rămas constante în lacurile artificiale (Siriu </w:t>
      </w:r>
      <w:r>
        <w:rPr>
          <w:rFonts w:ascii="Arial" w:hAnsi="Arial" w:cs="Arial"/>
          <w:sz w:val="24"/>
          <w:szCs w:val="24"/>
        </w:rPr>
        <w:t>ş</w:t>
      </w:r>
      <w:r w:rsidRPr="00702A15">
        <w:rPr>
          <w:rFonts w:ascii="Arial" w:hAnsi="Arial" w:cs="Arial"/>
          <w:sz w:val="24"/>
          <w:szCs w:val="24"/>
        </w:rPr>
        <w:t>i Cânde</w:t>
      </w:r>
      <w:r>
        <w:rPr>
          <w:rFonts w:ascii="Arial" w:hAnsi="Arial" w:cs="Arial"/>
          <w:sz w:val="24"/>
          <w:szCs w:val="24"/>
        </w:rPr>
        <w:t>ş</w:t>
      </w:r>
      <w:r w:rsidRPr="00702A15">
        <w:rPr>
          <w:rFonts w:ascii="Arial" w:hAnsi="Arial" w:cs="Arial"/>
          <w:sz w:val="24"/>
          <w:szCs w:val="24"/>
        </w:rPr>
        <w:t>ti);</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au crescut în balta Amara;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au scăzut în perioda 2010-2013 </w:t>
      </w:r>
      <w:r>
        <w:rPr>
          <w:rFonts w:ascii="Arial" w:hAnsi="Arial" w:cs="Arial"/>
          <w:sz w:val="24"/>
          <w:szCs w:val="24"/>
        </w:rPr>
        <w:t>ş</w:t>
      </w:r>
      <w:r w:rsidRPr="00702A15">
        <w:rPr>
          <w:rFonts w:ascii="Arial" w:hAnsi="Arial" w:cs="Arial"/>
          <w:sz w:val="24"/>
          <w:szCs w:val="24"/>
        </w:rPr>
        <w:t xml:space="preserve">i au crescut în anul 2014 în Balta Albă </w:t>
      </w:r>
      <w:r>
        <w:rPr>
          <w:rFonts w:ascii="Arial" w:hAnsi="Arial" w:cs="Arial"/>
          <w:sz w:val="24"/>
          <w:szCs w:val="24"/>
        </w:rPr>
        <w:t>ş</w:t>
      </w:r>
      <w:r w:rsidRPr="00702A15">
        <w:rPr>
          <w:rFonts w:ascii="Arial" w:hAnsi="Arial" w:cs="Arial"/>
          <w:sz w:val="24"/>
          <w:szCs w:val="24"/>
        </w:rPr>
        <w:t>i au crescut în balta Ciulni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Concentra</w:t>
      </w:r>
      <w:r>
        <w:rPr>
          <w:rFonts w:ascii="Arial" w:hAnsi="Arial" w:cs="Arial"/>
          <w:sz w:val="24"/>
          <w:szCs w:val="24"/>
        </w:rPr>
        <w:t>ţ</w:t>
      </w:r>
      <w:r w:rsidRPr="00702A15">
        <w:rPr>
          <w:rFonts w:ascii="Arial" w:hAnsi="Arial" w:cs="Arial"/>
          <w:sz w:val="24"/>
          <w:szCs w:val="24"/>
        </w:rPr>
        <w:t>iile medii anuale pentru azota</w:t>
      </w:r>
      <w:r>
        <w:rPr>
          <w:rFonts w:ascii="Arial" w:hAnsi="Arial" w:cs="Arial"/>
          <w:sz w:val="24"/>
          <w:szCs w:val="24"/>
        </w:rPr>
        <w:t>ţ</w:t>
      </w:r>
      <w:r w:rsidRPr="00702A15">
        <w:rPr>
          <w:rFonts w:ascii="Arial" w:hAnsi="Arial" w:cs="Arial"/>
          <w:sz w:val="24"/>
          <w:szCs w:val="24"/>
        </w:rPr>
        <w:t xml:space="preserve">i au rămas constante în lacurile artificiale (Siriu </w:t>
      </w:r>
      <w:r>
        <w:rPr>
          <w:rFonts w:ascii="Arial" w:hAnsi="Arial" w:cs="Arial"/>
          <w:sz w:val="24"/>
          <w:szCs w:val="24"/>
        </w:rPr>
        <w:t>ş</w:t>
      </w:r>
      <w:r w:rsidRPr="00702A15">
        <w:rPr>
          <w:rFonts w:ascii="Arial" w:hAnsi="Arial" w:cs="Arial"/>
          <w:sz w:val="24"/>
          <w:szCs w:val="24"/>
        </w:rPr>
        <w:t>i Cânde</w:t>
      </w:r>
      <w:r>
        <w:rPr>
          <w:rFonts w:ascii="Arial" w:hAnsi="Arial" w:cs="Arial"/>
          <w:sz w:val="24"/>
          <w:szCs w:val="24"/>
        </w:rPr>
        <w:t>ş</w:t>
      </w:r>
      <w:r w:rsidRPr="00702A15">
        <w:rPr>
          <w:rFonts w:ascii="Arial" w:hAnsi="Arial" w:cs="Arial"/>
          <w:sz w:val="24"/>
          <w:szCs w:val="24"/>
        </w:rPr>
        <w:t xml:space="preserve">ti) au crescut în balta Amara, </w:t>
      </w:r>
      <w:r>
        <w:rPr>
          <w:rFonts w:ascii="Arial" w:hAnsi="Arial" w:cs="Arial"/>
          <w:sz w:val="24"/>
          <w:szCs w:val="24"/>
        </w:rPr>
        <w:t>ş</w:t>
      </w:r>
      <w:r w:rsidRPr="00702A15">
        <w:rPr>
          <w:rFonts w:ascii="Arial" w:hAnsi="Arial" w:cs="Arial"/>
          <w:sz w:val="24"/>
          <w:szCs w:val="24"/>
        </w:rPr>
        <w:t>i au scăzut fa</w:t>
      </w:r>
      <w:r>
        <w:rPr>
          <w:rFonts w:ascii="Arial" w:hAnsi="Arial" w:cs="Arial"/>
          <w:sz w:val="24"/>
          <w:szCs w:val="24"/>
        </w:rPr>
        <w:t>ţ</w:t>
      </w:r>
      <w:r w:rsidRPr="00702A15">
        <w:rPr>
          <w:rFonts w:ascii="Arial" w:hAnsi="Arial" w:cs="Arial"/>
          <w:sz w:val="24"/>
          <w:szCs w:val="24"/>
        </w:rPr>
        <w:t>ă de anul 2012 în balta Ciulni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r w:rsidRPr="00702A15">
        <w:rPr>
          <w:rFonts w:ascii="Arial" w:hAnsi="Arial" w:cs="Arial"/>
          <w:b/>
          <w:sz w:val="24"/>
          <w:szCs w:val="24"/>
        </w:rPr>
        <w:t>C. Referitor la calitatea apei subterane din jude</w:t>
      </w:r>
      <w:r>
        <w:rPr>
          <w:rFonts w:ascii="Arial" w:hAnsi="Arial" w:cs="Arial"/>
          <w:b/>
          <w:sz w:val="24"/>
          <w:szCs w:val="24"/>
        </w:rPr>
        <w:t>ţ</w:t>
      </w:r>
      <w:r w:rsidRPr="00702A15">
        <w:rPr>
          <w:rFonts w:ascii="Arial" w:hAnsi="Arial" w:cs="Arial"/>
          <w:b/>
          <w:sz w:val="24"/>
          <w:szCs w:val="24"/>
        </w:rPr>
        <w:t>ul Buzău</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Din cele 6 corpuri de apă subterană monitorizate </w:t>
      </w:r>
      <w:r>
        <w:rPr>
          <w:rFonts w:ascii="Arial" w:hAnsi="Arial" w:cs="Arial"/>
          <w:sz w:val="24"/>
          <w:szCs w:val="24"/>
        </w:rPr>
        <w:t>ş</w:t>
      </w:r>
      <w:r w:rsidRPr="00702A15">
        <w:rPr>
          <w:rFonts w:ascii="Arial" w:hAnsi="Arial" w:cs="Arial"/>
          <w:sz w:val="24"/>
          <w:szCs w:val="24"/>
        </w:rPr>
        <w:t>i pe teritoriul jude</w:t>
      </w:r>
      <w:r>
        <w:rPr>
          <w:rFonts w:ascii="Arial" w:hAnsi="Arial" w:cs="Arial"/>
          <w:sz w:val="24"/>
          <w:szCs w:val="24"/>
        </w:rPr>
        <w:t>ţ</w:t>
      </w:r>
      <w:r w:rsidRPr="00702A15">
        <w:rPr>
          <w:rFonts w:ascii="Arial" w:hAnsi="Arial" w:cs="Arial"/>
          <w:sz w:val="24"/>
          <w:szCs w:val="24"/>
        </w:rPr>
        <w:t>ului Buzău aferente administra</w:t>
      </w:r>
      <w:r>
        <w:rPr>
          <w:rFonts w:ascii="Arial" w:hAnsi="Arial" w:cs="Arial"/>
          <w:sz w:val="24"/>
          <w:szCs w:val="24"/>
        </w:rPr>
        <w:t>ţ</w:t>
      </w:r>
      <w:r w:rsidRPr="00702A15">
        <w:rPr>
          <w:rFonts w:ascii="Arial" w:hAnsi="Arial" w:cs="Arial"/>
          <w:sz w:val="24"/>
          <w:szCs w:val="24"/>
        </w:rPr>
        <w:t>iei bazinale Buzău-Ialomi</w:t>
      </w:r>
      <w:r>
        <w:rPr>
          <w:rFonts w:ascii="Arial" w:hAnsi="Arial" w:cs="Arial"/>
          <w:sz w:val="24"/>
          <w:szCs w:val="24"/>
        </w:rPr>
        <w:t>ţ</w:t>
      </w:r>
      <w:r w:rsidRPr="00702A15">
        <w:rPr>
          <w:rFonts w:ascii="Arial" w:hAnsi="Arial" w:cs="Arial"/>
          <w:sz w:val="24"/>
          <w:szCs w:val="24"/>
        </w:rPr>
        <w:t xml:space="preserve">a, 4 corpuri sunt în stare calitativă (chimică) bună </w:t>
      </w:r>
      <w:r>
        <w:rPr>
          <w:rFonts w:ascii="Arial" w:hAnsi="Arial" w:cs="Arial"/>
          <w:sz w:val="24"/>
          <w:szCs w:val="24"/>
        </w:rPr>
        <w:t>ş</w:t>
      </w:r>
      <w:r w:rsidRPr="00702A15">
        <w:rPr>
          <w:rFonts w:ascii="Arial" w:hAnsi="Arial" w:cs="Arial"/>
          <w:sz w:val="24"/>
          <w:szCs w:val="24"/>
        </w:rPr>
        <w:t>i 2 sunt în stare calitativă (chimică) slabă.</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Din punct de vedere al con</w:t>
      </w:r>
      <w:r>
        <w:rPr>
          <w:rFonts w:ascii="Arial" w:hAnsi="Arial" w:cs="Arial"/>
          <w:sz w:val="24"/>
          <w:szCs w:val="24"/>
        </w:rPr>
        <w:t>ţ</w:t>
      </w:r>
      <w:r w:rsidRPr="00702A15">
        <w:rPr>
          <w:rFonts w:ascii="Arial" w:hAnsi="Arial" w:cs="Arial"/>
          <w:sz w:val="24"/>
          <w:szCs w:val="24"/>
        </w:rPr>
        <w:t>inutului de azota</w:t>
      </w:r>
      <w:r>
        <w:rPr>
          <w:rFonts w:ascii="Arial" w:hAnsi="Arial" w:cs="Arial"/>
          <w:sz w:val="24"/>
          <w:szCs w:val="24"/>
        </w:rPr>
        <w:t>ţ</w:t>
      </w:r>
      <w:r w:rsidRPr="00702A15">
        <w:rPr>
          <w:rFonts w:ascii="Arial" w:hAnsi="Arial" w:cs="Arial"/>
          <w:sz w:val="24"/>
          <w:szCs w:val="24"/>
        </w:rPr>
        <w:t>i (NO3), în apele subterane se constată o tendin</w:t>
      </w:r>
      <w:r>
        <w:rPr>
          <w:rFonts w:ascii="Arial" w:hAnsi="Arial" w:cs="Arial"/>
          <w:sz w:val="24"/>
          <w:szCs w:val="24"/>
        </w:rPr>
        <w:t>ţ</w:t>
      </w:r>
      <w:r w:rsidRPr="00702A15">
        <w:rPr>
          <w:rFonts w:ascii="Arial" w:hAnsi="Arial" w:cs="Arial"/>
          <w:sz w:val="24"/>
          <w:szCs w:val="24"/>
        </w:rPr>
        <w:t>ă de scădere până în anul 2013 urmată de o u</w:t>
      </w:r>
      <w:r>
        <w:rPr>
          <w:rFonts w:ascii="Arial" w:hAnsi="Arial" w:cs="Arial"/>
          <w:sz w:val="24"/>
          <w:szCs w:val="24"/>
        </w:rPr>
        <w:t>ş</w:t>
      </w:r>
      <w:r w:rsidRPr="00702A15">
        <w:rPr>
          <w:rFonts w:ascii="Arial" w:hAnsi="Arial" w:cs="Arial"/>
          <w:sz w:val="24"/>
          <w:szCs w:val="24"/>
        </w:rPr>
        <w:t>oară cre</w:t>
      </w:r>
      <w:r>
        <w:rPr>
          <w:rFonts w:ascii="Arial" w:hAnsi="Arial" w:cs="Arial"/>
          <w:sz w:val="24"/>
          <w:szCs w:val="24"/>
        </w:rPr>
        <w:t>ş</w:t>
      </w:r>
      <w:r w:rsidRPr="00702A15">
        <w:rPr>
          <w:rFonts w:ascii="Arial" w:hAnsi="Arial" w:cs="Arial"/>
          <w:sz w:val="24"/>
          <w:szCs w:val="24"/>
        </w:rPr>
        <w:t>tere în anul 2014.</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În anul 2014, în jude</w:t>
      </w:r>
      <w:r>
        <w:rPr>
          <w:rFonts w:ascii="Arial" w:hAnsi="Arial" w:cs="Arial"/>
          <w:sz w:val="24"/>
          <w:szCs w:val="24"/>
        </w:rPr>
        <w:t>ţ</w:t>
      </w:r>
      <w:r w:rsidRPr="00702A15">
        <w:rPr>
          <w:rFonts w:ascii="Arial" w:hAnsi="Arial" w:cs="Arial"/>
          <w:sz w:val="24"/>
          <w:szCs w:val="24"/>
        </w:rPr>
        <w:t>ul Buzău, nu au existat puncte de monitorizare pentru apa subterană în care con</w:t>
      </w:r>
      <w:r>
        <w:rPr>
          <w:rFonts w:ascii="Arial" w:hAnsi="Arial" w:cs="Arial"/>
          <w:sz w:val="24"/>
          <w:szCs w:val="24"/>
        </w:rPr>
        <w:t>ţ</w:t>
      </w:r>
      <w:r w:rsidRPr="00702A15">
        <w:rPr>
          <w:rFonts w:ascii="Arial" w:hAnsi="Arial" w:cs="Arial"/>
          <w:sz w:val="24"/>
          <w:szCs w:val="24"/>
        </w:rPr>
        <w:t>inutul de pesticide să fie mai mare ca 0,1 µg/l.</w:t>
      </w:r>
    </w:p>
    <w:p w:rsidR="00420717" w:rsidRPr="00702A15" w:rsidRDefault="00420717" w:rsidP="00420717">
      <w:pPr>
        <w:pStyle w:val="Default"/>
        <w:jc w:val="both"/>
        <w:rPr>
          <w:color w:val="auto"/>
        </w:rPr>
      </w:pPr>
      <w:r w:rsidRPr="00702A15">
        <w:rPr>
          <w:color w:val="auto"/>
        </w:rPr>
        <w:t>Pentru exemplificare prezentăm reprezentarea grafică a evoluţiei indicatorului RO 20/CSI 20 (</w:t>
      </w:r>
      <w:r w:rsidRPr="00702A15">
        <w:rPr>
          <w:i/>
          <w:iCs/>
          <w:color w:val="auto"/>
        </w:rPr>
        <w:t>nutrienţi în apă</w:t>
      </w:r>
      <w:r w:rsidRPr="00702A15">
        <w:rPr>
          <w:color w:val="auto"/>
        </w:rPr>
        <w:t xml:space="preserve">) în râuri, lacuri şi ape subterane, pentru o perioadă de minim cinci ani.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b/>
          <w:sz w:val="24"/>
          <w:szCs w:val="24"/>
        </w:rPr>
      </w:pPr>
      <w:r w:rsidRPr="00702A15">
        <w:rPr>
          <w:rFonts w:ascii="Arial" w:hAnsi="Arial" w:cs="Arial"/>
          <w:b/>
          <w:sz w:val="24"/>
          <w:szCs w:val="24"/>
        </w:rPr>
        <w:t>D. Referitor la calitatea apelor de îmbăiere din jude</w:t>
      </w:r>
      <w:r>
        <w:rPr>
          <w:rFonts w:ascii="Arial" w:hAnsi="Arial" w:cs="Arial"/>
          <w:b/>
          <w:sz w:val="24"/>
          <w:szCs w:val="24"/>
        </w:rPr>
        <w:t>ţ</w:t>
      </w:r>
      <w:r w:rsidRPr="00702A15">
        <w:rPr>
          <w:rFonts w:ascii="Arial" w:hAnsi="Arial" w:cs="Arial"/>
          <w:b/>
          <w:sz w:val="24"/>
          <w:szCs w:val="24"/>
        </w:rPr>
        <w:t xml:space="preserve">ul Buzău </w:t>
      </w:r>
    </w:p>
    <w:p w:rsidR="00420717"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În jude</w:t>
      </w:r>
      <w:r>
        <w:rPr>
          <w:rFonts w:ascii="Arial" w:hAnsi="Arial" w:cs="Arial"/>
          <w:sz w:val="24"/>
          <w:szCs w:val="24"/>
        </w:rPr>
        <w:t>ţ</w:t>
      </w:r>
      <w:r w:rsidRPr="00702A15">
        <w:rPr>
          <w:rFonts w:ascii="Arial" w:hAnsi="Arial" w:cs="Arial"/>
          <w:sz w:val="24"/>
          <w:szCs w:val="24"/>
        </w:rPr>
        <w:t>ul Buzău nu există zone naturale amenajate pentru îmbăiere, care să necesite m</w:t>
      </w:r>
      <w:r w:rsidRPr="00702A15">
        <w:rPr>
          <w:rFonts w:ascii="Arial" w:hAnsi="Arial" w:cs="Arial"/>
          <w:sz w:val="24"/>
          <w:szCs w:val="24"/>
        </w:rPr>
        <w:t>o</w:t>
      </w:r>
      <w:r w:rsidRPr="00702A15">
        <w:rPr>
          <w:rFonts w:ascii="Arial" w:hAnsi="Arial" w:cs="Arial"/>
          <w:sz w:val="24"/>
          <w:szCs w:val="24"/>
        </w:rPr>
        <w:t>nitorizare conform HG 546/2008. Procentul de probe prelevate din zonele artificiale am</w:t>
      </w:r>
      <w:r w:rsidRPr="00702A15">
        <w:rPr>
          <w:rFonts w:ascii="Arial" w:hAnsi="Arial" w:cs="Arial"/>
          <w:sz w:val="24"/>
          <w:szCs w:val="24"/>
        </w:rPr>
        <w:t>e</w:t>
      </w:r>
      <w:r w:rsidRPr="00702A15">
        <w:rPr>
          <w:rFonts w:ascii="Arial" w:hAnsi="Arial" w:cs="Arial"/>
          <w:sz w:val="24"/>
          <w:szCs w:val="24"/>
        </w:rPr>
        <w:t>najate pentru îmbăiere, în anul 2014, necorespunzătoare, a crescut fa</w:t>
      </w:r>
      <w:r>
        <w:rPr>
          <w:rFonts w:ascii="Arial" w:hAnsi="Arial" w:cs="Arial"/>
          <w:sz w:val="24"/>
          <w:szCs w:val="24"/>
        </w:rPr>
        <w:t>ţ</w:t>
      </w:r>
      <w:r w:rsidRPr="00702A15">
        <w:rPr>
          <w:rFonts w:ascii="Arial" w:hAnsi="Arial" w:cs="Arial"/>
          <w:sz w:val="24"/>
          <w:szCs w:val="24"/>
        </w:rPr>
        <w:t xml:space="preserve">ă de perioada 2010-2013.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p>
    <w:p w:rsidR="00420717" w:rsidRPr="00702A15" w:rsidRDefault="00420717" w:rsidP="00420717">
      <w:pPr>
        <w:pStyle w:val="Default"/>
        <w:jc w:val="both"/>
        <w:rPr>
          <w:b/>
          <w:color w:val="auto"/>
        </w:rPr>
      </w:pPr>
      <w:r w:rsidRPr="00702A15">
        <w:rPr>
          <w:b/>
          <w:color w:val="auto"/>
        </w:rPr>
        <w:t xml:space="preserve">E. Referitor la apele uzate </w:t>
      </w:r>
      <w:r>
        <w:rPr>
          <w:b/>
          <w:color w:val="auto"/>
        </w:rPr>
        <w:t>ş</w:t>
      </w:r>
      <w:r w:rsidRPr="00702A15">
        <w:rPr>
          <w:b/>
          <w:color w:val="auto"/>
        </w:rPr>
        <w:t>i re</w:t>
      </w:r>
      <w:r>
        <w:rPr>
          <w:b/>
          <w:color w:val="auto"/>
        </w:rPr>
        <w:t>ţ</w:t>
      </w:r>
      <w:r w:rsidRPr="00702A15">
        <w:rPr>
          <w:b/>
          <w:color w:val="auto"/>
        </w:rPr>
        <w:t>elele de canalizare</w:t>
      </w:r>
    </w:p>
    <w:p w:rsidR="00420717" w:rsidRPr="00702A15" w:rsidRDefault="00420717" w:rsidP="00420717">
      <w:pPr>
        <w:pStyle w:val="Default"/>
        <w:jc w:val="both"/>
        <w:rPr>
          <w:color w:val="auto"/>
        </w:rPr>
      </w:pPr>
      <w:r w:rsidRPr="00702A15">
        <w:rPr>
          <w:color w:val="auto"/>
        </w:rPr>
        <w:t>Gradul de racordare la re</w:t>
      </w:r>
      <w:r>
        <w:rPr>
          <w:color w:val="auto"/>
        </w:rPr>
        <w:t>ţ</w:t>
      </w:r>
      <w:r w:rsidRPr="00702A15">
        <w:rPr>
          <w:color w:val="auto"/>
        </w:rPr>
        <w:t>elele de canalizare a popula</w:t>
      </w:r>
      <w:r>
        <w:rPr>
          <w:color w:val="auto"/>
        </w:rPr>
        <w:t>ţ</w:t>
      </w:r>
      <w:r w:rsidRPr="00702A15">
        <w:rPr>
          <w:color w:val="auto"/>
        </w:rPr>
        <w:t>iei din mediul urban, în jude</w:t>
      </w:r>
      <w:r>
        <w:rPr>
          <w:color w:val="auto"/>
        </w:rPr>
        <w:t>ţ</w:t>
      </w:r>
      <w:r w:rsidRPr="00702A15">
        <w:rPr>
          <w:color w:val="auto"/>
        </w:rPr>
        <w:t>ul Buzău, a ajuns în anul 2014 la 71,5 %.</w:t>
      </w:r>
    </w:p>
    <w:p w:rsidR="00420717" w:rsidRPr="00702A15" w:rsidRDefault="00420717" w:rsidP="00420717">
      <w:pPr>
        <w:pStyle w:val="Default"/>
        <w:jc w:val="both"/>
        <w:rPr>
          <w:color w:val="auto"/>
        </w:rPr>
      </w:pPr>
      <w:r w:rsidRPr="00702A15">
        <w:rPr>
          <w:color w:val="auto"/>
        </w:rPr>
        <w:t>8 comune din jude</w:t>
      </w:r>
      <w:r>
        <w:rPr>
          <w:color w:val="auto"/>
        </w:rPr>
        <w:t>ţ</w:t>
      </w:r>
      <w:r w:rsidRPr="00702A15">
        <w:rPr>
          <w:color w:val="auto"/>
        </w:rPr>
        <w:t>ul Buzău de</w:t>
      </w:r>
      <w:r>
        <w:rPr>
          <w:color w:val="auto"/>
        </w:rPr>
        <w:t>ţ</w:t>
      </w:r>
      <w:r w:rsidRPr="00702A15">
        <w:rPr>
          <w:color w:val="auto"/>
        </w:rPr>
        <w:t>in un sistem de canalizare iar gradul de racordare al popula</w:t>
      </w:r>
      <w:r>
        <w:rPr>
          <w:color w:val="auto"/>
        </w:rPr>
        <w:t>ţ</w:t>
      </w:r>
      <w:r w:rsidRPr="00702A15">
        <w:rPr>
          <w:color w:val="auto"/>
        </w:rPr>
        <w:t>iei la aceste sisteme  a ajuns în anul 2014 la 24,6 %.  Restul de comune din jude</w:t>
      </w:r>
      <w:r>
        <w:rPr>
          <w:color w:val="auto"/>
        </w:rPr>
        <w:t>ţ</w:t>
      </w:r>
      <w:r w:rsidRPr="00702A15">
        <w:rPr>
          <w:color w:val="auto"/>
        </w:rPr>
        <w:t>ul Buzău fie că au sisteme de calizare nefunc</w:t>
      </w:r>
      <w:r>
        <w:rPr>
          <w:color w:val="auto"/>
        </w:rPr>
        <w:t>ţ</w:t>
      </w:r>
      <w:r w:rsidRPr="00702A15">
        <w:rPr>
          <w:color w:val="auto"/>
        </w:rPr>
        <w:t>ionale fie că nu au nici un fel de sistem de canalizare.</w:t>
      </w:r>
    </w:p>
    <w:p w:rsidR="00420717" w:rsidRPr="00702A15" w:rsidRDefault="00420717" w:rsidP="00420717">
      <w:pPr>
        <w:pStyle w:val="Default"/>
        <w:jc w:val="both"/>
        <w:rPr>
          <w:color w:val="auto"/>
        </w:rPr>
      </w:pPr>
      <w:r w:rsidRPr="00702A15">
        <w:rPr>
          <w:color w:val="auto"/>
        </w:rPr>
        <w:t>Gradul general de racordare la re</w:t>
      </w:r>
      <w:r>
        <w:rPr>
          <w:color w:val="auto"/>
        </w:rPr>
        <w:t>ţ</w:t>
      </w:r>
      <w:r w:rsidRPr="00702A15">
        <w:rPr>
          <w:color w:val="auto"/>
        </w:rPr>
        <w:t>elele de canalizare  a popula</w:t>
      </w:r>
      <w:r>
        <w:rPr>
          <w:color w:val="auto"/>
        </w:rPr>
        <w:t>ţ</w:t>
      </w:r>
      <w:r w:rsidRPr="00702A15">
        <w:rPr>
          <w:color w:val="auto"/>
        </w:rPr>
        <w:t>iei din  jude</w:t>
      </w:r>
      <w:r>
        <w:rPr>
          <w:color w:val="auto"/>
        </w:rPr>
        <w:t>ţ</w:t>
      </w:r>
      <w:r w:rsidRPr="00702A15">
        <w:rPr>
          <w:color w:val="auto"/>
        </w:rPr>
        <w:t xml:space="preserve">ul Buzău a ajuns în anul 2014 la circa 36 %.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Volumul de apă uzată neepurată evacuată în cursuri de apă, în jude</w:t>
      </w:r>
      <w:r>
        <w:rPr>
          <w:rFonts w:ascii="Arial" w:hAnsi="Arial" w:cs="Arial"/>
          <w:sz w:val="24"/>
          <w:szCs w:val="24"/>
        </w:rPr>
        <w:t>ţ</w:t>
      </w:r>
      <w:r w:rsidRPr="00702A15">
        <w:rPr>
          <w:rFonts w:ascii="Arial" w:hAnsi="Arial" w:cs="Arial"/>
          <w:sz w:val="24"/>
          <w:szCs w:val="24"/>
        </w:rPr>
        <w:t>ul Buzău, a scăzut în anul 2014 fa</w:t>
      </w:r>
      <w:r>
        <w:rPr>
          <w:rFonts w:ascii="Arial" w:hAnsi="Arial" w:cs="Arial"/>
          <w:sz w:val="24"/>
          <w:szCs w:val="24"/>
        </w:rPr>
        <w:t>ţ</w:t>
      </w:r>
      <w:r w:rsidRPr="00702A15">
        <w:rPr>
          <w:rFonts w:ascii="Arial" w:hAnsi="Arial" w:cs="Arial"/>
          <w:sz w:val="24"/>
          <w:szCs w:val="24"/>
        </w:rPr>
        <w:t>ă de perioada 2010-2013;</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Volumul de apă uzată epurată ter</w:t>
      </w:r>
      <w:r>
        <w:rPr>
          <w:rFonts w:ascii="Arial" w:hAnsi="Arial" w:cs="Arial"/>
          <w:sz w:val="24"/>
          <w:szCs w:val="24"/>
        </w:rPr>
        <w:t>ţ</w:t>
      </w:r>
      <w:r w:rsidRPr="00702A15">
        <w:rPr>
          <w:rFonts w:ascii="Arial" w:hAnsi="Arial" w:cs="Arial"/>
          <w:sz w:val="24"/>
          <w:szCs w:val="24"/>
        </w:rPr>
        <w:t>iar, în jude</w:t>
      </w:r>
      <w:r>
        <w:rPr>
          <w:rFonts w:ascii="Arial" w:hAnsi="Arial" w:cs="Arial"/>
          <w:sz w:val="24"/>
          <w:szCs w:val="24"/>
        </w:rPr>
        <w:t>ţ</w:t>
      </w:r>
      <w:r w:rsidRPr="00702A15">
        <w:rPr>
          <w:rFonts w:ascii="Arial" w:hAnsi="Arial" w:cs="Arial"/>
          <w:sz w:val="24"/>
          <w:szCs w:val="24"/>
        </w:rPr>
        <w:t>ul Buzău a crescut în anul 2014 fa</w:t>
      </w:r>
      <w:r>
        <w:rPr>
          <w:rFonts w:ascii="Arial" w:hAnsi="Arial" w:cs="Arial"/>
          <w:sz w:val="24"/>
          <w:szCs w:val="24"/>
        </w:rPr>
        <w:t>ţ</w:t>
      </w:r>
      <w:r w:rsidRPr="00702A15">
        <w:rPr>
          <w:rFonts w:ascii="Arial" w:hAnsi="Arial" w:cs="Arial"/>
          <w:sz w:val="24"/>
          <w:szCs w:val="24"/>
        </w:rPr>
        <w:t>ă de p</w:t>
      </w:r>
      <w:r w:rsidRPr="00702A15">
        <w:rPr>
          <w:rFonts w:ascii="Arial" w:hAnsi="Arial" w:cs="Arial"/>
          <w:sz w:val="24"/>
          <w:szCs w:val="24"/>
        </w:rPr>
        <w:t>e</w:t>
      </w:r>
      <w:r w:rsidRPr="00702A15">
        <w:rPr>
          <w:rFonts w:ascii="Arial" w:hAnsi="Arial" w:cs="Arial"/>
          <w:sz w:val="24"/>
          <w:szCs w:val="24"/>
        </w:rPr>
        <w:t>rioada 2010-2013;</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Volumul de apă uzată epurată secundar, în jude</w:t>
      </w:r>
      <w:r>
        <w:rPr>
          <w:rFonts w:ascii="Arial" w:hAnsi="Arial" w:cs="Arial"/>
          <w:sz w:val="24"/>
          <w:szCs w:val="24"/>
        </w:rPr>
        <w:t>ţ</w:t>
      </w:r>
      <w:r w:rsidRPr="00702A15">
        <w:rPr>
          <w:rFonts w:ascii="Arial" w:hAnsi="Arial" w:cs="Arial"/>
          <w:sz w:val="24"/>
          <w:szCs w:val="24"/>
        </w:rPr>
        <w:t>ul Buzău, a crescut în anul 2014 fa</w:t>
      </w:r>
      <w:r>
        <w:rPr>
          <w:rFonts w:ascii="Arial" w:hAnsi="Arial" w:cs="Arial"/>
          <w:sz w:val="24"/>
          <w:szCs w:val="24"/>
        </w:rPr>
        <w:t>ţ</w:t>
      </w:r>
      <w:r w:rsidRPr="00702A15">
        <w:rPr>
          <w:rFonts w:ascii="Arial" w:hAnsi="Arial" w:cs="Arial"/>
          <w:sz w:val="24"/>
          <w:szCs w:val="24"/>
        </w:rPr>
        <w:t xml:space="preserve">ă de perioada 2010-2013.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Cantită</w:t>
      </w:r>
      <w:r>
        <w:rPr>
          <w:rFonts w:ascii="Arial" w:hAnsi="Arial" w:cs="Arial"/>
          <w:sz w:val="24"/>
          <w:szCs w:val="24"/>
        </w:rPr>
        <w:t>ţ</w:t>
      </w:r>
      <w:r w:rsidRPr="00702A15">
        <w:rPr>
          <w:rFonts w:ascii="Arial" w:hAnsi="Arial" w:cs="Arial"/>
          <w:sz w:val="24"/>
          <w:szCs w:val="24"/>
        </w:rPr>
        <w:t>ile de poluan</w:t>
      </w:r>
      <w:r>
        <w:rPr>
          <w:rFonts w:ascii="Arial" w:hAnsi="Arial" w:cs="Arial"/>
          <w:sz w:val="24"/>
          <w:szCs w:val="24"/>
        </w:rPr>
        <w:t>ţ</w:t>
      </w:r>
      <w:r w:rsidRPr="00702A15">
        <w:rPr>
          <w:rFonts w:ascii="Arial" w:hAnsi="Arial" w:cs="Arial"/>
          <w:sz w:val="24"/>
          <w:szCs w:val="24"/>
        </w:rPr>
        <w:t>i (to/an) evacua</w:t>
      </w:r>
      <w:r>
        <w:rPr>
          <w:rFonts w:ascii="Arial" w:hAnsi="Arial" w:cs="Arial"/>
          <w:sz w:val="24"/>
          <w:szCs w:val="24"/>
        </w:rPr>
        <w:t>ţ</w:t>
      </w:r>
      <w:r w:rsidRPr="00702A15">
        <w:rPr>
          <w:rFonts w:ascii="Arial" w:hAnsi="Arial" w:cs="Arial"/>
          <w:sz w:val="24"/>
          <w:szCs w:val="24"/>
        </w:rPr>
        <w:t xml:space="preserve">i în cursurile de apă </w:t>
      </w:r>
      <w:r>
        <w:rPr>
          <w:rFonts w:ascii="Arial" w:hAnsi="Arial" w:cs="Arial"/>
          <w:sz w:val="24"/>
          <w:szCs w:val="24"/>
        </w:rPr>
        <w:t>ş</w:t>
      </w:r>
      <w:r w:rsidRPr="00702A15">
        <w:rPr>
          <w:rFonts w:ascii="Arial" w:hAnsi="Arial" w:cs="Arial"/>
          <w:sz w:val="24"/>
          <w:szCs w:val="24"/>
        </w:rPr>
        <w:t>i în lacuri din jude</w:t>
      </w:r>
      <w:r>
        <w:rPr>
          <w:rFonts w:ascii="Arial" w:hAnsi="Arial" w:cs="Arial"/>
          <w:sz w:val="24"/>
          <w:szCs w:val="24"/>
        </w:rPr>
        <w:t>ţ</w:t>
      </w:r>
      <w:r w:rsidRPr="00702A15">
        <w:rPr>
          <w:rFonts w:ascii="Arial" w:hAnsi="Arial" w:cs="Arial"/>
          <w:sz w:val="24"/>
          <w:szCs w:val="24"/>
        </w:rPr>
        <w:t>ul Buzău au scăzut permanent în perioda 2010-2014.</w:t>
      </w:r>
    </w:p>
    <w:p w:rsidR="00420717" w:rsidRPr="00702A15" w:rsidRDefault="00420717" w:rsidP="00420717">
      <w:pPr>
        <w:tabs>
          <w:tab w:val="left" w:pos="1204"/>
          <w:tab w:val="left" w:leader="dot" w:pos="9356"/>
        </w:tabs>
        <w:spacing w:after="0" w:line="240" w:lineRule="auto"/>
        <w:ind w:left="993"/>
        <w:rPr>
          <w:rFonts w:ascii="Arial" w:hAnsi="Arial" w:cs="Arial"/>
          <w:sz w:val="24"/>
          <w:szCs w:val="24"/>
        </w:rPr>
      </w:pPr>
    </w:p>
    <w:p w:rsidR="00420717" w:rsidRPr="00AA0E3F" w:rsidRDefault="00420717" w:rsidP="00420717">
      <w:pPr>
        <w:tabs>
          <w:tab w:val="left" w:pos="1204"/>
          <w:tab w:val="left" w:leader="dot" w:pos="9356"/>
        </w:tabs>
        <w:spacing w:after="0" w:line="240" w:lineRule="auto"/>
        <w:rPr>
          <w:rFonts w:ascii="Arial" w:hAnsi="Arial" w:cs="Arial"/>
          <w:b/>
          <w:sz w:val="24"/>
          <w:szCs w:val="24"/>
        </w:rPr>
      </w:pPr>
      <w:r w:rsidRPr="00AA0E3F">
        <w:rPr>
          <w:rFonts w:ascii="Arial" w:hAnsi="Arial" w:cs="Arial"/>
          <w:b/>
          <w:sz w:val="24"/>
          <w:szCs w:val="24"/>
        </w:rPr>
        <w:t xml:space="preserve">II.2.4. Politici, acţiuni şi măsuri privind îmbunătăţirea stării de calitate a apelor </w:t>
      </w:r>
    </w:p>
    <w:p w:rsidR="00420717" w:rsidRPr="00702A15" w:rsidRDefault="00420717" w:rsidP="00420717">
      <w:pPr>
        <w:tabs>
          <w:tab w:val="left" w:pos="1204"/>
          <w:tab w:val="left" w:leader="dot" w:pos="9356"/>
        </w:tabs>
        <w:spacing w:after="0" w:line="240" w:lineRule="auto"/>
        <w:rPr>
          <w:rFonts w:ascii="Arial" w:hAnsi="Arial" w:cs="Arial"/>
          <w:sz w:val="24"/>
          <w:szCs w:val="24"/>
        </w:rPr>
      </w:pP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Politicile, acţiunile şi măsurile privind îmbunătăţirea stării de calitate a apelor în jude</w:t>
      </w:r>
      <w:r>
        <w:rPr>
          <w:rFonts w:ascii="Arial" w:hAnsi="Arial" w:cs="Arial"/>
          <w:sz w:val="24"/>
          <w:szCs w:val="24"/>
        </w:rPr>
        <w:t>ţ</w:t>
      </w:r>
      <w:r w:rsidRPr="00702A15">
        <w:rPr>
          <w:rFonts w:ascii="Arial" w:hAnsi="Arial" w:cs="Arial"/>
          <w:sz w:val="24"/>
          <w:szCs w:val="24"/>
        </w:rPr>
        <w:t>ul Buzău, sunt cuprinse în Planul de Management al spa</w:t>
      </w:r>
      <w:r>
        <w:rPr>
          <w:rFonts w:ascii="Arial" w:hAnsi="Arial" w:cs="Arial"/>
          <w:sz w:val="24"/>
          <w:szCs w:val="24"/>
        </w:rPr>
        <w:t>ţ</w:t>
      </w:r>
      <w:r w:rsidRPr="00702A15">
        <w:rPr>
          <w:rFonts w:ascii="Arial" w:hAnsi="Arial" w:cs="Arial"/>
          <w:sz w:val="24"/>
          <w:szCs w:val="24"/>
        </w:rPr>
        <w:t>iului hidrografic Buzău-Ialomi</w:t>
      </w:r>
      <w:r>
        <w:rPr>
          <w:rFonts w:ascii="Arial" w:hAnsi="Arial" w:cs="Arial"/>
          <w:sz w:val="24"/>
          <w:szCs w:val="24"/>
        </w:rPr>
        <w:t>ţ</w:t>
      </w:r>
      <w:r w:rsidRPr="00702A15">
        <w:rPr>
          <w:rFonts w:ascii="Arial" w:hAnsi="Arial" w:cs="Arial"/>
          <w:sz w:val="24"/>
          <w:szCs w:val="24"/>
        </w:rPr>
        <w:t>a (pentru păr</w:t>
      </w:r>
      <w:r>
        <w:rPr>
          <w:rFonts w:ascii="Arial" w:hAnsi="Arial" w:cs="Arial"/>
          <w:sz w:val="24"/>
          <w:szCs w:val="24"/>
        </w:rPr>
        <w:t>ţ</w:t>
      </w:r>
      <w:r w:rsidRPr="00702A15">
        <w:rPr>
          <w:rFonts w:ascii="Arial" w:hAnsi="Arial" w:cs="Arial"/>
          <w:sz w:val="24"/>
          <w:szCs w:val="24"/>
        </w:rPr>
        <w:t xml:space="preserve">ile de bazine hidrografice Buzău, Sărata </w:t>
      </w:r>
      <w:r>
        <w:rPr>
          <w:rFonts w:ascii="Arial" w:hAnsi="Arial" w:cs="Arial"/>
          <w:sz w:val="24"/>
          <w:szCs w:val="24"/>
        </w:rPr>
        <w:t>ş</w:t>
      </w:r>
      <w:r w:rsidRPr="00702A15">
        <w:rPr>
          <w:rFonts w:ascii="Arial" w:hAnsi="Arial" w:cs="Arial"/>
          <w:sz w:val="24"/>
          <w:szCs w:val="24"/>
        </w:rPr>
        <w:t>i Călmă</w:t>
      </w:r>
      <w:r>
        <w:rPr>
          <w:rFonts w:ascii="Arial" w:hAnsi="Arial" w:cs="Arial"/>
          <w:sz w:val="24"/>
          <w:szCs w:val="24"/>
        </w:rPr>
        <w:t>ţ</w:t>
      </w:r>
      <w:r w:rsidRPr="00702A15">
        <w:rPr>
          <w:rFonts w:ascii="Arial" w:hAnsi="Arial" w:cs="Arial"/>
          <w:sz w:val="24"/>
          <w:szCs w:val="24"/>
        </w:rPr>
        <w:t>ui, aflate pe teritoriul jude</w:t>
      </w:r>
      <w:r>
        <w:rPr>
          <w:rFonts w:ascii="Arial" w:hAnsi="Arial" w:cs="Arial"/>
          <w:sz w:val="24"/>
          <w:szCs w:val="24"/>
        </w:rPr>
        <w:t>ţ</w:t>
      </w:r>
      <w:r w:rsidRPr="00702A15">
        <w:rPr>
          <w:rFonts w:ascii="Arial" w:hAnsi="Arial" w:cs="Arial"/>
          <w:sz w:val="24"/>
          <w:szCs w:val="24"/>
        </w:rPr>
        <w:t>ui Buzău), în Planul de Management al spa</w:t>
      </w:r>
      <w:r>
        <w:rPr>
          <w:rFonts w:ascii="Arial" w:hAnsi="Arial" w:cs="Arial"/>
          <w:sz w:val="24"/>
          <w:szCs w:val="24"/>
        </w:rPr>
        <w:t>ţ</w:t>
      </w:r>
      <w:r w:rsidRPr="00702A15">
        <w:rPr>
          <w:rFonts w:ascii="Arial" w:hAnsi="Arial" w:cs="Arial"/>
          <w:sz w:val="24"/>
          <w:szCs w:val="24"/>
        </w:rPr>
        <w:t>iului hidrografic Siret (pentru parte de bazin h</w:t>
      </w:r>
      <w:r w:rsidRPr="00702A15">
        <w:rPr>
          <w:rFonts w:ascii="Arial" w:hAnsi="Arial" w:cs="Arial"/>
          <w:sz w:val="24"/>
          <w:szCs w:val="24"/>
        </w:rPr>
        <w:t>i</w:t>
      </w:r>
      <w:r w:rsidRPr="00702A15">
        <w:rPr>
          <w:rFonts w:ascii="Arial" w:hAnsi="Arial" w:cs="Arial"/>
          <w:sz w:val="24"/>
          <w:szCs w:val="24"/>
        </w:rPr>
        <w:lastRenderedPageBreak/>
        <w:t>drografic Rîmnicu Sărat aflat pe teritoriul Jude</w:t>
      </w:r>
      <w:r>
        <w:rPr>
          <w:rFonts w:ascii="Arial" w:hAnsi="Arial" w:cs="Arial"/>
          <w:sz w:val="24"/>
          <w:szCs w:val="24"/>
        </w:rPr>
        <w:t>ţţ</w:t>
      </w:r>
      <w:r w:rsidRPr="00702A15">
        <w:rPr>
          <w:rFonts w:ascii="Arial" w:hAnsi="Arial" w:cs="Arial"/>
          <w:sz w:val="24"/>
          <w:szCs w:val="24"/>
        </w:rPr>
        <w:t xml:space="preserve">ului Buzău) </w:t>
      </w:r>
      <w:r>
        <w:rPr>
          <w:rFonts w:ascii="Arial" w:hAnsi="Arial" w:cs="Arial"/>
          <w:sz w:val="24"/>
          <w:szCs w:val="24"/>
        </w:rPr>
        <w:t>ş</w:t>
      </w:r>
      <w:r w:rsidRPr="00702A15">
        <w:rPr>
          <w:rFonts w:ascii="Arial" w:hAnsi="Arial" w:cs="Arial"/>
          <w:sz w:val="24"/>
          <w:szCs w:val="24"/>
        </w:rPr>
        <w:t>i în Planul Local de Ac</w:t>
      </w:r>
      <w:r>
        <w:rPr>
          <w:rFonts w:ascii="Arial" w:hAnsi="Arial" w:cs="Arial"/>
          <w:sz w:val="24"/>
          <w:szCs w:val="24"/>
        </w:rPr>
        <w:t>ţ</w:t>
      </w:r>
      <w:r w:rsidRPr="00702A15">
        <w:rPr>
          <w:rFonts w:ascii="Arial" w:hAnsi="Arial" w:cs="Arial"/>
          <w:sz w:val="24"/>
          <w:szCs w:val="24"/>
        </w:rPr>
        <w:t>iune pentru Mediu, adoptat de către APM Buzău. Toate aceste planuri se găsesc afi</w:t>
      </w:r>
      <w:r>
        <w:rPr>
          <w:rFonts w:ascii="Arial" w:hAnsi="Arial" w:cs="Arial"/>
          <w:sz w:val="24"/>
          <w:szCs w:val="24"/>
        </w:rPr>
        <w:t>ş</w:t>
      </w:r>
      <w:r w:rsidRPr="00702A15">
        <w:rPr>
          <w:rFonts w:ascii="Arial" w:hAnsi="Arial" w:cs="Arial"/>
          <w:sz w:val="24"/>
          <w:szCs w:val="24"/>
        </w:rPr>
        <w:t>ate pe website-urile autorită</w:t>
      </w:r>
      <w:r>
        <w:rPr>
          <w:rFonts w:ascii="Arial" w:hAnsi="Arial" w:cs="Arial"/>
          <w:sz w:val="24"/>
          <w:szCs w:val="24"/>
        </w:rPr>
        <w:t>ţ</w:t>
      </w:r>
      <w:r w:rsidRPr="00702A15">
        <w:rPr>
          <w:rFonts w:ascii="Arial" w:hAnsi="Arial" w:cs="Arial"/>
          <w:sz w:val="24"/>
          <w:szCs w:val="24"/>
        </w:rPr>
        <w:t>ilor emitente. Fiecare institu</w:t>
      </w:r>
      <w:r>
        <w:rPr>
          <w:rFonts w:ascii="Arial" w:hAnsi="Arial" w:cs="Arial"/>
          <w:sz w:val="24"/>
          <w:szCs w:val="24"/>
        </w:rPr>
        <w:t>ţ</w:t>
      </w:r>
      <w:r w:rsidRPr="00702A15">
        <w:rPr>
          <w:rFonts w:ascii="Arial" w:hAnsi="Arial" w:cs="Arial"/>
          <w:sz w:val="24"/>
          <w:szCs w:val="24"/>
        </w:rPr>
        <w:t>ie care a elaborat planurile mai sus amintite, a avut obliga</w:t>
      </w:r>
      <w:r>
        <w:rPr>
          <w:rFonts w:ascii="Arial" w:hAnsi="Arial" w:cs="Arial"/>
          <w:sz w:val="24"/>
          <w:szCs w:val="24"/>
        </w:rPr>
        <w:t>ţ</w:t>
      </w:r>
      <w:r w:rsidRPr="00702A15">
        <w:rPr>
          <w:rFonts w:ascii="Arial" w:hAnsi="Arial" w:cs="Arial"/>
          <w:sz w:val="24"/>
          <w:szCs w:val="24"/>
        </w:rPr>
        <w:t xml:space="preserve">ia realizării de rapoarte periodice pentru evaluarea stadiului realizării măsurilor cuprinse în aceste planuri, care </w:t>
      </w:r>
      <w:r>
        <w:rPr>
          <w:rFonts w:ascii="Arial" w:hAnsi="Arial" w:cs="Arial"/>
          <w:sz w:val="24"/>
          <w:szCs w:val="24"/>
        </w:rPr>
        <w:t>ş</w:t>
      </w:r>
      <w:r w:rsidRPr="00702A15">
        <w:rPr>
          <w:rFonts w:ascii="Arial" w:hAnsi="Arial" w:cs="Arial"/>
          <w:sz w:val="24"/>
          <w:szCs w:val="24"/>
        </w:rPr>
        <w:t>i ele se găsesc afi</w:t>
      </w:r>
      <w:r>
        <w:rPr>
          <w:rFonts w:ascii="Arial" w:hAnsi="Arial" w:cs="Arial"/>
          <w:sz w:val="24"/>
          <w:szCs w:val="24"/>
        </w:rPr>
        <w:t>ş</w:t>
      </w:r>
      <w:r w:rsidRPr="00702A15">
        <w:rPr>
          <w:rFonts w:ascii="Arial" w:hAnsi="Arial" w:cs="Arial"/>
          <w:sz w:val="24"/>
          <w:szCs w:val="24"/>
        </w:rPr>
        <w:t>ate pe website-urile autorită</w:t>
      </w:r>
      <w:r>
        <w:rPr>
          <w:rFonts w:ascii="Arial" w:hAnsi="Arial" w:cs="Arial"/>
          <w:sz w:val="24"/>
          <w:szCs w:val="24"/>
        </w:rPr>
        <w:t>ţ</w:t>
      </w:r>
      <w:r w:rsidRPr="00702A15">
        <w:rPr>
          <w:rFonts w:ascii="Arial" w:hAnsi="Arial" w:cs="Arial"/>
          <w:sz w:val="24"/>
          <w:szCs w:val="24"/>
        </w:rPr>
        <w:t>ilor care le-au întocmit.</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Referitor la spa</w:t>
      </w:r>
      <w:r>
        <w:rPr>
          <w:rFonts w:ascii="Arial" w:hAnsi="Arial" w:cs="Arial"/>
          <w:sz w:val="24"/>
          <w:szCs w:val="24"/>
        </w:rPr>
        <w:t>ţ</w:t>
      </w:r>
      <w:r w:rsidRPr="00702A15">
        <w:rPr>
          <w:rFonts w:ascii="Arial" w:hAnsi="Arial" w:cs="Arial"/>
          <w:sz w:val="24"/>
          <w:szCs w:val="24"/>
        </w:rPr>
        <w:t>iul hidrografic Buzău-Ialomi</w:t>
      </w:r>
      <w:r>
        <w:rPr>
          <w:rFonts w:ascii="Arial" w:hAnsi="Arial" w:cs="Arial"/>
          <w:sz w:val="24"/>
          <w:szCs w:val="24"/>
        </w:rPr>
        <w:t>ţ</w:t>
      </w:r>
      <w:r w:rsidRPr="00702A15">
        <w:rPr>
          <w:rFonts w:ascii="Arial" w:hAnsi="Arial" w:cs="Arial"/>
          <w:sz w:val="24"/>
          <w:szCs w:val="24"/>
        </w:rPr>
        <w:t>a (care include o parte din teritoriul administr</w:t>
      </w:r>
      <w:r w:rsidRPr="00702A15">
        <w:rPr>
          <w:rFonts w:ascii="Arial" w:hAnsi="Arial" w:cs="Arial"/>
          <w:sz w:val="24"/>
          <w:szCs w:val="24"/>
        </w:rPr>
        <w:t>a</w:t>
      </w:r>
      <w:r w:rsidRPr="00702A15">
        <w:rPr>
          <w:rFonts w:ascii="Arial" w:hAnsi="Arial" w:cs="Arial"/>
          <w:sz w:val="24"/>
          <w:szCs w:val="24"/>
        </w:rPr>
        <w:t>tiv al jude</w:t>
      </w:r>
      <w:r>
        <w:rPr>
          <w:rFonts w:ascii="Arial" w:hAnsi="Arial" w:cs="Arial"/>
          <w:sz w:val="24"/>
          <w:szCs w:val="24"/>
        </w:rPr>
        <w:t>ţ</w:t>
      </w:r>
      <w:r w:rsidRPr="00702A15">
        <w:rPr>
          <w:rFonts w:ascii="Arial" w:hAnsi="Arial" w:cs="Arial"/>
          <w:sz w:val="24"/>
          <w:szCs w:val="24"/>
        </w:rPr>
        <w:t>ului Buzău) există întocmit proiectul celui de-al doilea Plan de Management al spa</w:t>
      </w:r>
      <w:r>
        <w:rPr>
          <w:rFonts w:ascii="Arial" w:hAnsi="Arial" w:cs="Arial"/>
          <w:sz w:val="24"/>
          <w:szCs w:val="24"/>
        </w:rPr>
        <w:t>ţ</w:t>
      </w:r>
      <w:r w:rsidRPr="00702A15">
        <w:rPr>
          <w:rFonts w:ascii="Arial" w:hAnsi="Arial" w:cs="Arial"/>
          <w:sz w:val="24"/>
          <w:szCs w:val="24"/>
        </w:rPr>
        <w:t>iului hidrografic Buzău Ialomi</w:t>
      </w:r>
      <w:r>
        <w:rPr>
          <w:rFonts w:ascii="Arial" w:hAnsi="Arial" w:cs="Arial"/>
          <w:sz w:val="24"/>
          <w:szCs w:val="24"/>
        </w:rPr>
        <w:t>ţ</w:t>
      </w:r>
      <w:r w:rsidRPr="00702A15">
        <w:rPr>
          <w:rFonts w:ascii="Arial" w:hAnsi="Arial" w:cs="Arial"/>
          <w:sz w:val="24"/>
          <w:szCs w:val="24"/>
        </w:rPr>
        <w:t>a (al 2-lea ciclu de planificare 2016-2021), care va fi publicat pe website-ul Administra</w:t>
      </w:r>
      <w:r>
        <w:rPr>
          <w:rFonts w:ascii="Arial" w:hAnsi="Arial" w:cs="Arial"/>
          <w:sz w:val="24"/>
          <w:szCs w:val="24"/>
        </w:rPr>
        <w:t>ţ</w:t>
      </w:r>
      <w:r w:rsidRPr="00702A15">
        <w:rPr>
          <w:rFonts w:ascii="Arial" w:hAnsi="Arial" w:cs="Arial"/>
          <w:sz w:val="24"/>
          <w:szCs w:val="24"/>
        </w:rPr>
        <w:t>iei Bazinale de Apă Buzău Ialomi</w:t>
      </w:r>
      <w:r>
        <w:rPr>
          <w:rFonts w:ascii="Arial" w:hAnsi="Arial" w:cs="Arial"/>
          <w:sz w:val="24"/>
          <w:szCs w:val="24"/>
        </w:rPr>
        <w:t>ţ</w:t>
      </w:r>
      <w:r w:rsidRPr="00702A15">
        <w:rPr>
          <w:rFonts w:ascii="Arial" w:hAnsi="Arial" w:cs="Arial"/>
          <w:sz w:val="24"/>
          <w:szCs w:val="24"/>
        </w:rPr>
        <w:t>a în luna decembrie 2015.</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Prin acest proiect de plan se urmăresc următoarele:</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delimitarea </w:t>
      </w:r>
      <w:r>
        <w:rPr>
          <w:rFonts w:ascii="Arial" w:hAnsi="Arial" w:cs="Arial"/>
          <w:sz w:val="24"/>
          <w:szCs w:val="24"/>
        </w:rPr>
        <w:t>ş</w:t>
      </w:r>
      <w:r w:rsidRPr="00702A15">
        <w:rPr>
          <w:rFonts w:ascii="Arial" w:hAnsi="Arial" w:cs="Arial"/>
          <w:sz w:val="24"/>
          <w:szCs w:val="24"/>
        </w:rPr>
        <w:t>i revizuirea numărului de corpuri de apă din spa</w:t>
      </w:r>
      <w:r>
        <w:rPr>
          <w:rFonts w:ascii="Arial" w:hAnsi="Arial" w:cs="Arial"/>
          <w:sz w:val="24"/>
          <w:szCs w:val="24"/>
        </w:rPr>
        <w:t>ţ</w:t>
      </w:r>
      <w:r w:rsidRPr="00702A15">
        <w:rPr>
          <w:rFonts w:ascii="Arial" w:hAnsi="Arial" w:cs="Arial"/>
          <w:sz w:val="24"/>
          <w:szCs w:val="24"/>
        </w:rPr>
        <w:t>iul Buzău Ialomi</w:t>
      </w:r>
      <w:r>
        <w:rPr>
          <w:rFonts w:ascii="Arial" w:hAnsi="Arial" w:cs="Arial"/>
          <w:sz w:val="24"/>
          <w:szCs w:val="24"/>
        </w:rPr>
        <w:t>ţ</w:t>
      </w:r>
      <w:r w:rsidRPr="00702A15">
        <w:rPr>
          <w:rFonts w:ascii="Arial" w:hAnsi="Arial" w:cs="Arial"/>
          <w:sz w:val="24"/>
          <w:szCs w:val="24"/>
        </w:rPr>
        <w:t xml:space="preserve">a (inclusiv </w:t>
      </w:r>
      <w:r>
        <w:rPr>
          <w:rFonts w:ascii="Arial" w:hAnsi="Arial" w:cs="Arial"/>
          <w:sz w:val="24"/>
          <w:szCs w:val="24"/>
        </w:rPr>
        <w:t>ş</w:t>
      </w:r>
      <w:r w:rsidRPr="00702A15">
        <w:rPr>
          <w:rFonts w:ascii="Arial" w:hAnsi="Arial" w:cs="Arial"/>
          <w:sz w:val="24"/>
          <w:szCs w:val="24"/>
        </w:rPr>
        <w:t>i pentru jude</w:t>
      </w:r>
      <w:r>
        <w:rPr>
          <w:rFonts w:ascii="Arial" w:hAnsi="Arial" w:cs="Arial"/>
          <w:sz w:val="24"/>
          <w:szCs w:val="24"/>
        </w:rPr>
        <w:t>ţ</w:t>
      </w:r>
      <w:r w:rsidRPr="00702A15">
        <w:rPr>
          <w:rFonts w:ascii="Arial" w:hAnsi="Arial" w:cs="Arial"/>
          <w:sz w:val="24"/>
          <w:szCs w:val="24"/>
        </w:rPr>
        <w:t>ul Buzău);</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identificarea tuturor presiunilor asupra corpurilor de apă din spa</w:t>
      </w:r>
      <w:r>
        <w:rPr>
          <w:rFonts w:ascii="Arial" w:hAnsi="Arial" w:cs="Arial"/>
          <w:sz w:val="24"/>
          <w:szCs w:val="24"/>
        </w:rPr>
        <w:t>ţ</w:t>
      </w:r>
      <w:r w:rsidRPr="00702A15">
        <w:rPr>
          <w:rFonts w:ascii="Arial" w:hAnsi="Arial" w:cs="Arial"/>
          <w:sz w:val="24"/>
          <w:szCs w:val="24"/>
        </w:rPr>
        <w:t>iul hidrografic Buzău 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evaluarea impactului hidromorfologic în spa</w:t>
      </w:r>
      <w:r>
        <w:rPr>
          <w:rFonts w:ascii="Arial" w:hAnsi="Arial" w:cs="Arial"/>
          <w:sz w:val="24"/>
          <w:szCs w:val="24"/>
        </w:rPr>
        <w:t>ţ</w:t>
      </w:r>
      <w:r w:rsidRPr="00702A15">
        <w:rPr>
          <w:rFonts w:ascii="Arial" w:hAnsi="Arial" w:cs="Arial"/>
          <w:sz w:val="24"/>
          <w:szCs w:val="24"/>
        </w:rPr>
        <w:t>iul hidrografic Buzău 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evaluarea impactului </w:t>
      </w:r>
      <w:r>
        <w:rPr>
          <w:rFonts w:ascii="Arial" w:hAnsi="Arial" w:cs="Arial"/>
          <w:sz w:val="24"/>
          <w:szCs w:val="24"/>
        </w:rPr>
        <w:t>ş</w:t>
      </w:r>
      <w:r w:rsidRPr="00702A15">
        <w:rPr>
          <w:rFonts w:ascii="Arial" w:hAnsi="Arial" w:cs="Arial"/>
          <w:sz w:val="24"/>
          <w:szCs w:val="24"/>
        </w:rPr>
        <w:t>i caracterizarea apelor subterane din spa</w:t>
      </w:r>
      <w:r>
        <w:rPr>
          <w:rFonts w:ascii="Arial" w:hAnsi="Arial" w:cs="Arial"/>
          <w:sz w:val="24"/>
          <w:szCs w:val="24"/>
        </w:rPr>
        <w:t>ţ</w:t>
      </w:r>
      <w:r w:rsidRPr="00702A15">
        <w:rPr>
          <w:rFonts w:ascii="Arial" w:hAnsi="Arial" w:cs="Arial"/>
          <w:sz w:val="24"/>
          <w:szCs w:val="24"/>
        </w:rPr>
        <w:t>iul hidrografic Buzău 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evaluarea impactului </w:t>
      </w:r>
      <w:r>
        <w:rPr>
          <w:rFonts w:ascii="Arial" w:hAnsi="Arial" w:cs="Arial"/>
          <w:sz w:val="24"/>
          <w:szCs w:val="24"/>
        </w:rPr>
        <w:t>ş</w:t>
      </w:r>
      <w:r w:rsidRPr="00702A15">
        <w:rPr>
          <w:rFonts w:ascii="Arial" w:hAnsi="Arial" w:cs="Arial"/>
          <w:sz w:val="24"/>
          <w:szCs w:val="24"/>
        </w:rPr>
        <w:t>i caracterizarea apelor de suprafa</w:t>
      </w:r>
      <w:r>
        <w:rPr>
          <w:rFonts w:ascii="Arial" w:hAnsi="Arial" w:cs="Arial"/>
          <w:sz w:val="24"/>
          <w:szCs w:val="24"/>
        </w:rPr>
        <w:t>ţ</w:t>
      </w:r>
      <w:r w:rsidRPr="00702A15">
        <w:rPr>
          <w:rFonts w:ascii="Arial" w:hAnsi="Arial" w:cs="Arial"/>
          <w:sz w:val="24"/>
          <w:szCs w:val="24"/>
        </w:rPr>
        <w:t>ă în spa</w:t>
      </w:r>
      <w:r>
        <w:rPr>
          <w:rFonts w:ascii="Arial" w:hAnsi="Arial" w:cs="Arial"/>
          <w:sz w:val="24"/>
          <w:szCs w:val="24"/>
        </w:rPr>
        <w:t>ţ</w:t>
      </w:r>
      <w:r w:rsidRPr="00702A15">
        <w:rPr>
          <w:rFonts w:ascii="Arial" w:hAnsi="Arial" w:cs="Arial"/>
          <w:sz w:val="24"/>
          <w:szCs w:val="24"/>
        </w:rPr>
        <w:t>iul hidrografic Buzău Ialomi</w:t>
      </w:r>
      <w:r>
        <w:rPr>
          <w:rFonts w:ascii="Arial" w:hAnsi="Arial" w:cs="Arial"/>
          <w:sz w:val="24"/>
          <w:szCs w:val="24"/>
        </w:rPr>
        <w:t>ţ</w:t>
      </w:r>
      <w:r w:rsidRPr="00702A15">
        <w:rPr>
          <w:rFonts w:ascii="Arial" w:hAnsi="Arial" w:cs="Arial"/>
          <w:sz w:val="24"/>
          <w:szCs w:val="24"/>
        </w:rPr>
        <w:t>a;</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îmbunătă</w:t>
      </w:r>
      <w:r>
        <w:rPr>
          <w:rFonts w:ascii="Arial" w:hAnsi="Arial" w:cs="Arial"/>
          <w:sz w:val="24"/>
          <w:szCs w:val="24"/>
        </w:rPr>
        <w:t>ţ</w:t>
      </w:r>
      <w:r w:rsidRPr="00702A15">
        <w:rPr>
          <w:rFonts w:ascii="Arial" w:hAnsi="Arial" w:cs="Arial"/>
          <w:sz w:val="24"/>
          <w:szCs w:val="24"/>
        </w:rPr>
        <w:t>irea calită</w:t>
      </w:r>
      <w:r>
        <w:rPr>
          <w:rFonts w:ascii="Arial" w:hAnsi="Arial" w:cs="Arial"/>
          <w:sz w:val="24"/>
          <w:szCs w:val="24"/>
        </w:rPr>
        <w:t>ţ</w:t>
      </w:r>
      <w:r w:rsidRPr="00702A15">
        <w:rPr>
          <w:rFonts w:ascii="Arial" w:hAnsi="Arial" w:cs="Arial"/>
          <w:sz w:val="24"/>
          <w:szCs w:val="24"/>
        </w:rPr>
        <w:t>ii apei subterane prin mărirea numărului de corpuri de apă subterane de la starea chimică proastă la starea chimică bună;</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îmbunătă</w:t>
      </w:r>
      <w:r>
        <w:rPr>
          <w:rFonts w:ascii="Arial" w:hAnsi="Arial" w:cs="Arial"/>
          <w:sz w:val="24"/>
          <w:szCs w:val="24"/>
        </w:rPr>
        <w:t>ţ</w:t>
      </w:r>
      <w:r w:rsidRPr="00702A15">
        <w:rPr>
          <w:rFonts w:ascii="Arial" w:hAnsi="Arial" w:cs="Arial"/>
          <w:sz w:val="24"/>
          <w:szCs w:val="24"/>
        </w:rPr>
        <w:t xml:space="preserve">irea stării ecologice (care are 5 clase de la I-foarte bună, II-bună, III-moderată, IV-slabă </w:t>
      </w:r>
      <w:r>
        <w:rPr>
          <w:rFonts w:ascii="Arial" w:hAnsi="Arial" w:cs="Arial"/>
          <w:sz w:val="24"/>
          <w:szCs w:val="24"/>
        </w:rPr>
        <w:t>ş</w:t>
      </w:r>
      <w:r w:rsidRPr="00702A15">
        <w:rPr>
          <w:rFonts w:ascii="Arial" w:hAnsi="Arial" w:cs="Arial"/>
          <w:sz w:val="24"/>
          <w:szCs w:val="24"/>
        </w:rPr>
        <w:t xml:space="preserve">i V-proastă) </w:t>
      </w:r>
      <w:r>
        <w:rPr>
          <w:rFonts w:ascii="Arial" w:hAnsi="Arial" w:cs="Arial"/>
          <w:sz w:val="24"/>
          <w:szCs w:val="24"/>
        </w:rPr>
        <w:t>ş</w:t>
      </w:r>
      <w:r w:rsidRPr="00702A15">
        <w:rPr>
          <w:rFonts w:ascii="Arial" w:hAnsi="Arial" w:cs="Arial"/>
          <w:sz w:val="24"/>
          <w:szCs w:val="24"/>
        </w:rPr>
        <w:t xml:space="preserve">i chimice (care are 2 clase, B-bună </w:t>
      </w:r>
      <w:r>
        <w:rPr>
          <w:rFonts w:ascii="Arial" w:hAnsi="Arial" w:cs="Arial"/>
          <w:sz w:val="24"/>
          <w:szCs w:val="24"/>
        </w:rPr>
        <w:t>ş</w:t>
      </w:r>
      <w:r w:rsidRPr="00702A15">
        <w:rPr>
          <w:rFonts w:ascii="Arial" w:hAnsi="Arial" w:cs="Arial"/>
          <w:sz w:val="24"/>
          <w:szCs w:val="24"/>
        </w:rPr>
        <w:t>i P-proastă) a apelor de suprafa</w:t>
      </w:r>
      <w:r>
        <w:rPr>
          <w:rFonts w:ascii="Arial" w:hAnsi="Arial" w:cs="Arial"/>
          <w:sz w:val="24"/>
          <w:szCs w:val="24"/>
        </w:rPr>
        <w:t>ţ</w:t>
      </w:r>
      <w:r w:rsidRPr="00702A15">
        <w:rPr>
          <w:rFonts w:ascii="Arial" w:hAnsi="Arial" w:cs="Arial"/>
          <w:sz w:val="24"/>
          <w:szCs w:val="24"/>
        </w:rPr>
        <w:t>ă, prin mic</w:t>
      </w:r>
      <w:r>
        <w:rPr>
          <w:rFonts w:ascii="Arial" w:hAnsi="Arial" w:cs="Arial"/>
          <w:sz w:val="24"/>
          <w:szCs w:val="24"/>
        </w:rPr>
        <w:t>ş</w:t>
      </w:r>
      <w:r w:rsidRPr="00702A15">
        <w:rPr>
          <w:rFonts w:ascii="Arial" w:hAnsi="Arial" w:cs="Arial"/>
          <w:sz w:val="24"/>
          <w:szCs w:val="24"/>
        </w:rPr>
        <w:t xml:space="preserve">orarea numărului de corpuri de apă în stare ecologică </w:t>
      </w:r>
      <w:r>
        <w:rPr>
          <w:rFonts w:ascii="Arial" w:hAnsi="Arial" w:cs="Arial"/>
          <w:sz w:val="24"/>
          <w:szCs w:val="24"/>
        </w:rPr>
        <w:t>ş</w:t>
      </w:r>
      <w:r w:rsidRPr="00702A15">
        <w:rPr>
          <w:rFonts w:ascii="Arial" w:hAnsi="Arial" w:cs="Arial"/>
          <w:sz w:val="24"/>
          <w:szCs w:val="24"/>
        </w:rPr>
        <w:t xml:space="preserve">i chimică proastă </w:t>
      </w:r>
      <w:r>
        <w:rPr>
          <w:rFonts w:ascii="Arial" w:hAnsi="Arial" w:cs="Arial"/>
          <w:sz w:val="24"/>
          <w:szCs w:val="24"/>
        </w:rPr>
        <w:t>ş</w:t>
      </w:r>
      <w:r w:rsidRPr="00702A15">
        <w:rPr>
          <w:rFonts w:ascii="Arial" w:hAnsi="Arial" w:cs="Arial"/>
          <w:sz w:val="24"/>
          <w:szCs w:val="24"/>
        </w:rPr>
        <w:t xml:space="preserve">i mărirea numărului de corpuri de apă în stare ecologică </w:t>
      </w:r>
      <w:r>
        <w:rPr>
          <w:rFonts w:ascii="Arial" w:hAnsi="Arial" w:cs="Arial"/>
          <w:sz w:val="24"/>
          <w:szCs w:val="24"/>
        </w:rPr>
        <w:t>ş</w:t>
      </w:r>
      <w:r w:rsidRPr="00702A15">
        <w:rPr>
          <w:rFonts w:ascii="Arial" w:hAnsi="Arial" w:cs="Arial"/>
          <w:sz w:val="24"/>
          <w:szCs w:val="24"/>
        </w:rPr>
        <w:t>i chimică bună.</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Obiectivele de mediu ale acestui proiect de plan sunt:</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atingerea în anul 2021 a stării ecologice </w:t>
      </w:r>
      <w:r>
        <w:rPr>
          <w:rFonts w:ascii="Arial" w:hAnsi="Arial" w:cs="Arial"/>
          <w:sz w:val="24"/>
          <w:szCs w:val="24"/>
        </w:rPr>
        <w:t>ş</w:t>
      </w:r>
      <w:r w:rsidRPr="00702A15">
        <w:rPr>
          <w:rFonts w:ascii="Arial" w:hAnsi="Arial" w:cs="Arial"/>
          <w:sz w:val="24"/>
          <w:szCs w:val="24"/>
        </w:rPr>
        <w:t>i stării chimice bune pentru corpurile de apă de suprafa</w:t>
      </w:r>
      <w:r>
        <w:rPr>
          <w:rFonts w:ascii="Arial" w:hAnsi="Arial" w:cs="Arial"/>
          <w:sz w:val="24"/>
          <w:szCs w:val="24"/>
        </w:rPr>
        <w:t>ţ</w:t>
      </w:r>
      <w:r w:rsidRPr="00702A15">
        <w:rPr>
          <w:rFonts w:ascii="Arial" w:hAnsi="Arial" w:cs="Arial"/>
          <w:sz w:val="24"/>
          <w:szCs w:val="24"/>
        </w:rPr>
        <w:t>ă naturale;</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atingerea în anul 2021 a poten</w:t>
      </w:r>
      <w:r>
        <w:rPr>
          <w:rFonts w:ascii="Arial" w:hAnsi="Arial" w:cs="Arial"/>
          <w:sz w:val="24"/>
          <w:szCs w:val="24"/>
        </w:rPr>
        <w:t>ţ</w:t>
      </w:r>
      <w:r w:rsidRPr="00702A15">
        <w:rPr>
          <w:rFonts w:ascii="Arial" w:hAnsi="Arial" w:cs="Arial"/>
          <w:sz w:val="24"/>
          <w:szCs w:val="24"/>
        </w:rPr>
        <w:t xml:space="preserve">ialului ecologic bun </w:t>
      </w:r>
      <w:r>
        <w:rPr>
          <w:rFonts w:ascii="Arial" w:hAnsi="Arial" w:cs="Arial"/>
          <w:sz w:val="24"/>
          <w:szCs w:val="24"/>
        </w:rPr>
        <w:t>şi stăr</w:t>
      </w:r>
      <w:r w:rsidRPr="00702A15">
        <w:rPr>
          <w:rFonts w:ascii="Arial" w:hAnsi="Arial" w:cs="Arial"/>
          <w:sz w:val="24"/>
          <w:szCs w:val="24"/>
        </w:rPr>
        <w:t>ii chimice bune pentru corpurile de apă de suprafa</w:t>
      </w:r>
      <w:r>
        <w:rPr>
          <w:rFonts w:ascii="Arial" w:hAnsi="Arial" w:cs="Arial"/>
          <w:sz w:val="24"/>
          <w:szCs w:val="24"/>
        </w:rPr>
        <w:t>ţ</w:t>
      </w:r>
      <w:r w:rsidRPr="00702A15">
        <w:rPr>
          <w:rFonts w:ascii="Arial" w:hAnsi="Arial" w:cs="Arial"/>
          <w:sz w:val="24"/>
          <w:szCs w:val="24"/>
        </w:rPr>
        <w:t xml:space="preserve">ă puternic modificate </w:t>
      </w:r>
      <w:r>
        <w:rPr>
          <w:rFonts w:ascii="Arial" w:hAnsi="Arial" w:cs="Arial"/>
          <w:sz w:val="24"/>
          <w:szCs w:val="24"/>
        </w:rPr>
        <w:t>ş</w:t>
      </w:r>
      <w:r w:rsidRPr="00702A15">
        <w:rPr>
          <w:rFonts w:ascii="Arial" w:hAnsi="Arial" w:cs="Arial"/>
          <w:sz w:val="24"/>
          <w:szCs w:val="24"/>
        </w:rPr>
        <w:t>i artificiale;</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xml:space="preserve">- atingerea în anul 2021 a stării chimice </w:t>
      </w:r>
      <w:r>
        <w:rPr>
          <w:rFonts w:ascii="Arial" w:hAnsi="Arial" w:cs="Arial"/>
          <w:sz w:val="24"/>
          <w:szCs w:val="24"/>
        </w:rPr>
        <w:t>ş</w:t>
      </w:r>
      <w:r w:rsidRPr="00702A15">
        <w:rPr>
          <w:rFonts w:ascii="Arial" w:hAnsi="Arial" w:cs="Arial"/>
          <w:sz w:val="24"/>
          <w:szCs w:val="24"/>
        </w:rPr>
        <w:t>i a stării cantitative bune pentru corpurile de apă subterane;</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 atingerea în anul 2021 a  obiectivelor de mediu prevăzute de legisla</w:t>
      </w:r>
      <w:r>
        <w:rPr>
          <w:rFonts w:ascii="Arial" w:hAnsi="Arial" w:cs="Arial"/>
          <w:sz w:val="24"/>
          <w:szCs w:val="24"/>
        </w:rPr>
        <w:t>ţ</w:t>
      </w:r>
      <w:r w:rsidRPr="00702A15">
        <w:rPr>
          <w:rFonts w:ascii="Arial" w:hAnsi="Arial" w:cs="Arial"/>
          <w:sz w:val="24"/>
          <w:szCs w:val="24"/>
        </w:rPr>
        <w:t xml:space="preserve">ia specifică pentru ariile protejate. </w:t>
      </w:r>
    </w:p>
    <w:p w:rsidR="00420717" w:rsidRPr="00702A15" w:rsidRDefault="00420717" w:rsidP="00420717">
      <w:pPr>
        <w:tabs>
          <w:tab w:val="left" w:pos="1204"/>
          <w:tab w:val="left" w:leader="dot" w:pos="9356"/>
        </w:tabs>
        <w:spacing w:after="0" w:line="240" w:lineRule="auto"/>
        <w:jc w:val="both"/>
        <w:rPr>
          <w:rFonts w:ascii="Arial" w:hAnsi="Arial" w:cs="Arial"/>
          <w:sz w:val="24"/>
          <w:szCs w:val="24"/>
        </w:rPr>
      </w:pPr>
      <w:r w:rsidRPr="00702A15">
        <w:rPr>
          <w:rFonts w:ascii="Arial" w:hAnsi="Arial" w:cs="Arial"/>
          <w:sz w:val="24"/>
          <w:szCs w:val="24"/>
        </w:rPr>
        <w:t>Termenele de conformare pentru atingerea gradului de epurare maxim a apelor uzate pr</w:t>
      </w:r>
      <w:r w:rsidRPr="00702A15">
        <w:rPr>
          <w:rFonts w:ascii="Arial" w:hAnsi="Arial" w:cs="Arial"/>
          <w:sz w:val="24"/>
          <w:szCs w:val="24"/>
        </w:rPr>
        <w:t>o</w:t>
      </w:r>
      <w:r w:rsidRPr="00702A15">
        <w:rPr>
          <w:rFonts w:ascii="Arial" w:hAnsi="Arial" w:cs="Arial"/>
          <w:sz w:val="24"/>
          <w:szCs w:val="24"/>
        </w:rPr>
        <w:t>venite de la la aglomerările umane din jude</w:t>
      </w:r>
      <w:r>
        <w:rPr>
          <w:rFonts w:ascii="Arial" w:hAnsi="Arial" w:cs="Arial"/>
          <w:sz w:val="24"/>
          <w:szCs w:val="24"/>
        </w:rPr>
        <w:t>ţ</w:t>
      </w:r>
      <w:r w:rsidRPr="00702A15">
        <w:rPr>
          <w:rFonts w:ascii="Arial" w:hAnsi="Arial" w:cs="Arial"/>
          <w:sz w:val="24"/>
          <w:szCs w:val="24"/>
        </w:rPr>
        <w:t>ul Buzău (aferente spa</w:t>
      </w:r>
      <w:r>
        <w:rPr>
          <w:rFonts w:ascii="Arial" w:hAnsi="Arial" w:cs="Arial"/>
          <w:sz w:val="24"/>
          <w:szCs w:val="24"/>
        </w:rPr>
        <w:t>ţ</w:t>
      </w:r>
      <w:r w:rsidRPr="00702A15">
        <w:rPr>
          <w:rFonts w:ascii="Arial" w:hAnsi="Arial" w:cs="Arial"/>
          <w:sz w:val="24"/>
          <w:szCs w:val="24"/>
        </w:rPr>
        <w:t>iului hidrografic Buzău-Ialomi</w:t>
      </w:r>
      <w:r>
        <w:rPr>
          <w:rFonts w:ascii="Arial" w:hAnsi="Arial" w:cs="Arial"/>
          <w:sz w:val="24"/>
          <w:szCs w:val="24"/>
        </w:rPr>
        <w:t>ţ</w:t>
      </w:r>
      <w:r w:rsidRPr="00702A15">
        <w:rPr>
          <w:rFonts w:ascii="Arial" w:hAnsi="Arial" w:cs="Arial"/>
          <w:sz w:val="24"/>
          <w:szCs w:val="24"/>
        </w:rPr>
        <w:t xml:space="preserve">a), sunt mai îndepărtate de anul 2014, sunt  prezentate la punctul II.2.2.2 </w:t>
      </w:r>
      <w:r>
        <w:rPr>
          <w:rFonts w:ascii="Arial" w:hAnsi="Arial" w:cs="Arial"/>
          <w:sz w:val="24"/>
          <w:szCs w:val="24"/>
        </w:rPr>
        <w:t>ş</w:t>
      </w:r>
      <w:r w:rsidRPr="00702A15">
        <w:rPr>
          <w:rFonts w:ascii="Arial" w:hAnsi="Arial" w:cs="Arial"/>
          <w:sz w:val="24"/>
          <w:szCs w:val="24"/>
        </w:rPr>
        <w:t>i sunt reluate în tabelul de mai jos.</w:t>
      </w:r>
    </w:p>
    <w:tbl>
      <w:tblPr>
        <w:tblW w:w="0" w:type="auto"/>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552"/>
        <w:gridCol w:w="992"/>
        <w:gridCol w:w="1843"/>
        <w:gridCol w:w="1843"/>
        <w:gridCol w:w="1701"/>
      </w:tblGrid>
      <w:tr w:rsidR="00420717" w:rsidRPr="00702A15" w:rsidTr="00D92384">
        <w:trPr>
          <w:trHeight w:val="437"/>
          <w:jc w:val="center"/>
        </w:trPr>
        <w:tc>
          <w:tcPr>
            <w:tcW w:w="2552" w:type="dxa"/>
            <w:vAlign w:val="center"/>
          </w:tcPr>
          <w:p w:rsidR="00420717" w:rsidRPr="00702A15" w:rsidRDefault="00420717" w:rsidP="00D92384">
            <w:pPr>
              <w:pStyle w:val="Default"/>
              <w:spacing w:line="276" w:lineRule="auto"/>
              <w:jc w:val="center"/>
              <w:rPr>
                <w:color w:val="auto"/>
              </w:rPr>
            </w:pPr>
            <w:r w:rsidRPr="00702A15">
              <w:rPr>
                <w:b/>
                <w:bCs/>
                <w:color w:val="auto"/>
              </w:rPr>
              <w:t>Tip de</w:t>
            </w:r>
          </w:p>
          <w:p w:rsidR="00420717" w:rsidRPr="00702A15" w:rsidRDefault="00420717" w:rsidP="00D92384">
            <w:pPr>
              <w:pStyle w:val="Default"/>
              <w:spacing w:line="276" w:lineRule="auto"/>
              <w:jc w:val="center"/>
              <w:rPr>
                <w:color w:val="auto"/>
              </w:rPr>
            </w:pPr>
            <w:r w:rsidRPr="00702A15">
              <w:rPr>
                <w:b/>
                <w:bCs/>
                <w:color w:val="auto"/>
              </w:rPr>
              <w:t>aglomerare</w:t>
            </w:r>
          </w:p>
        </w:tc>
        <w:tc>
          <w:tcPr>
            <w:tcW w:w="992" w:type="dxa"/>
            <w:vAlign w:val="center"/>
          </w:tcPr>
          <w:p w:rsidR="00420717" w:rsidRPr="00702A15" w:rsidRDefault="00420717" w:rsidP="00D92384">
            <w:pPr>
              <w:pStyle w:val="Default"/>
              <w:spacing w:line="276" w:lineRule="auto"/>
              <w:jc w:val="center"/>
              <w:rPr>
                <w:color w:val="auto"/>
              </w:rPr>
            </w:pPr>
            <w:r w:rsidRPr="00702A15">
              <w:rPr>
                <w:b/>
                <w:bCs/>
                <w:color w:val="auto"/>
              </w:rPr>
              <w:t>Număr localităţi</w:t>
            </w:r>
          </w:p>
        </w:tc>
        <w:tc>
          <w:tcPr>
            <w:tcW w:w="1843" w:type="dxa"/>
            <w:vAlign w:val="center"/>
          </w:tcPr>
          <w:p w:rsidR="00420717" w:rsidRPr="00702A15" w:rsidRDefault="00420717" w:rsidP="00D92384">
            <w:pPr>
              <w:pStyle w:val="Default"/>
              <w:spacing w:line="276" w:lineRule="auto"/>
              <w:jc w:val="center"/>
              <w:rPr>
                <w:color w:val="auto"/>
              </w:rPr>
            </w:pPr>
            <w:r w:rsidRPr="00702A15">
              <w:rPr>
                <w:b/>
                <w:bCs/>
                <w:color w:val="auto"/>
              </w:rPr>
              <w:t>Număr locuitori echivalenţi</w:t>
            </w:r>
          </w:p>
        </w:tc>
        <w:tc>
          <w:tcPr>
            <w:tcW w:w="1843" w:type="dxa"/>
            <w:vAlign w:val="center"/>
          </w:tcPr>
          <w:p w:rsidR="00420717" w:rsidRPr="00702A15" w:rsidRDefault="00420717" w:rsidP="00D92384">
            <w:pPr>
              <w:pStyle w:val="Default"/>
              <w:spacing w:line="276" w:lineRule="auto"/>
              <w:jc w:val="center"/>
              <w:rPr>
                <w:color w:val="auto"/>
              </w:rPr>
            </w:pPr>
            <w:r w:rsidRPr="00702A15">
              <w:rPr>
                <w:b/>
                <w:bCs/>
                <w:color w:val="auto"/>
              </w:rPr>
              <w:t>Grad de racordare la staţii de epurare (%)</w:t>
            </w:r>
          </w:p>
        </w:tc>
        <w:tc>
          <w:tcPr>
            <w:tcW w:w="1701" w:type="dxa"/>
            <w:vAlign w:val="center"/>
          </w:tcPr>
          <w:p w:rsidR="00420717" w:rsidRPr="00702A15" w:rsidRDefault="00420717" w:rsidP="00D92384">
            <w:pPr>
              <w:pStyle w:val="Default"/>
              <w:spacing w:line="276" w:lineRule="auto"/>
              <w:jc w:val="center"/>
              <w:rPr>
                <w:color w:val="auto"/>
              </w:rPr>
            </w:pPr>
            <w:r w:rsidRPr="00702A15">
              <w:rPr>
                <w:b/>
                <w:bCs/>
                <w:color w:val="auto"/>
              </w:rPr>
              <w:t>Termen de conformare</w:t>
            </w:r>
          </w:p>
        </w:tc>
      </w:tr>
      <w:tr w:rsidR="00420717" w:rsidRPr="00702A15" w:rsidTr="00D92384">
        <w:trPr>
          <w:trHeight w:val="93"/>
          <w:jc w:val="center"/>
        </w:trPr>
        <w:tc>
          <w:tcPr>
            <w:tcW w:w="2552" w:type="dxa"/>
            <w:vAlign w:val="center"/>
          </w:tcPr>
          <w:p w:rsidR="00420717" w:rsidRPr="00702A15" w:rsidRDefault="00420717" w:rsidP="00D92384">
            <w:pPr>
              <w:pStyle w:val="Default"/>
              <w:spacing w:line="276" w:lineRule="auto"/>
              <w:jc w:val="center"/>
              <w:rPr>
                <w:color w:val="auto"/>
              </w:rPr>
            </w:pPr>
            <w:r w:rsidRPr="00702A15">
              <w:rPr>
                <w:color w:val="auto"/>
              </w:rPr>
              <w:t>2.000 - 10.000 l.e.</w:t>
            </w:r>
          </w:p>
        </w:tc>
        <w:tc>
          <w:tcPr>
            <w:tcW w:w="992" w:type="dxa"/>
            <w:vAlign w:val="center"/>
          </w:tcPr>
          <w:p w:rsidR="00420717" w:rsidRPr="00702A15" w:rsidRDefault="00420717" w:rsidP="00D92384">
            <w:pPr>
              <w:pStyle w:val="Default"/>
              <w:spacing w:line="276" w:lineRule="auto"/>
              <w:jc w:val="center"/>
              <w:rPr>
                <w:color w:val="auto"/>
              </w:rPr>
            </w:pPr>
            <w:r w:rsidRPr="00702A15">
              <w:rPr>
                <w:color w:val="auto"/>
              </w:rPr>
              <w:t>58</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239.033</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3</w:t>
            </w:r>
          </w:p>
        </w:tc>
        <w:tc>
          <w:tcPr>
            <w:tcW w:w="1701" w:type="dxa"/>
            <w:vAlign w:val="center"/>
          </w:tcPr>
          <w:p w:rsidR="00420717" w:rsidRPr="00702A15" w:rsidRDefault="00420717" w:rsidP="00D92384">
            <w:pPr>
              <w:pStyle w:val="Default"/>
              <w:spacing w:line="276" w:lineRule="auto"/>
              <w:jc w:val="center"/>
              <w:rPr>
                <w:color w:val="auto"/>
              </w:rPr>
            </w:pPr>
            <w:r w:rsidRPr="00702A15">
              <w:rPr>
                <w:color w:val="auto"/>
              </w:rPr>
              <w:t>31.12.2018</w:t>
            </w:r>
          </w:p>
        </w:tc>
      </w:tr>
      <w:tr w:rsidR="00420717" w:rsidRPr="00702A15" w:rsidTr="00D92384">
        <w:trPr>
          <w:trHeight w:val="93"/>
          <w:jc w:val="center"/>
        </w:trPr>
        <w:tc>
          <w:tcPr>
            <w:tcW w:w="2552" w:type="dxa"/>
            <w:vAlign w:val="center"/>
          </w:tcPr>
          <w:p w:rsidR="00420717" w:rsidRPr="00702A15" w:rsidRDefault="00420717" w:rsidP="00D92384">
            <w:pPr>
              <w:pStyle w:val="Default"/>
              <w:spacing w:line="276" w:lineRule="auto"/>
              <w:jc w:val="center"/>
              <w:rPr>
                <w:color w:val="auto"/>
              </w:rPr>
            </w:pPr>
            <w:r w:rsidRPr="00702A15">
              <w:rPr>
                <w:color w:val="auto"/>
              </w:rPr>
              <w:t>10.000 - 150.000 l.e.</w:t>
            </w:r>
          </w:p>
        </w:tc>
        <w:tc>
          <w:tcPr>
            <w:tcW w:w="992" w:type="dxa"/>
            <w:vAlign w:val="center"/>
          </w:tcPr>
          <w:p w:rsidR="00420717" w:rsidRPr="00702A15" w:rsidRDefault="00420717" w:rsidP="00D92384">
            <w:pPr>
              <w:pStyle w:val="Default"/>
              <w:spacing w:line="276" w:lineRule="auto"/>
              <w:jc w:val="center"/>
              <w:rPr>
                <w:color w:val="auto"/>
              </w:rPr>
            </w:pPr>
            <w:r w:rsidRPr="00702A15">
              <w:rPr>
                <w:color w:val="auto"/>
              </w:rPr>
              <w:t>2</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133.374</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94</w:t>
            </w:r>
          </w:p>
        </w:tc>
        <w:tc>
          <w:tcPr>
            <w:tcW w:w="1701" w:type="dxa"/>
            <w:vAlign w:val="center"/>
          </w:tcPr>
          <w:p w:rsidR="00420717" w:rsidRPr="00702A15" w:rsidRDefault="00420717" w:rsidP="00D92384">
            <w:pPr>
              <w:pStyle w:val="Default"/>
              <w:spacing w:line="276" w:lineRule="auto"/>
              <w:jc w:val="center"/>
              <w:rPr>
                <w:color w:val="auto"/>
              </w:rPr>
            </w:pPr>
            <w:r w:rsidRPr="00702A15">
              <w:rPr>
                <w:color w:val="auto"/>
              </w:rPr>
              <w:t>31.12.2015</w:t>
            </w:r>
          </w:p>
        </w:tc>
      </w:tr>
      <w:tr w:rsidR="00420717" w:rsidRPr="00702A15" w:rsidTr="00D92384">
        <w:trPr>
          <w:trHeight w:val="93"/>
          <w:jc w:val="center"/>
        </w:trPr>
        <w:tc>
          <w:tcPr>
            <w:tcW w:w="2552" w:type="dxa"/>
            <w:vAlign w:val="center"/>
          </w:tcPr>
          <w:p w:rsidR="00420717" w:rsidRPr="00702A15" w:rsidRDefault="00420717" w:rsidP="00D92384">
            <w:pPr>
              <w:pStyle w:val="Default"/>
              <w:spacing w:line="276" w:lineRule="auto"/>
              <w:jc w:val="center"/>
              <w:rPr>
                <w:color w:val="auto"/>
              </w:rPr>
            </w:pPr>
            <w:r w:rsidRPr="00702A15">
              <w:rPr>
                <w:b/>
                <w:bCs/>
                <w:color w:val="auto"/>
              </w:rPr>
              <w:t>Inventar total</w:t>
            </w:r>
          </w:p>
        </w:tc>
        <w:tc>
          <w:tcPr>
            <w:tcW w:w="992" w:type="dxa"/>
            <w:vAlign w:val="center"/>
          </w:tcPr>
          <w:p w:rsidR="00420717" w:rsidRPr="00702A15" w:rsidRDefault="00420717" w:rsidP="00D92384">
            <w:pPr>
              <w:pStyle w:val="Default"/>
              <w:spacing w:line="276" w:lineRule="auto"/>
              <w:jc w:val="center"/>
              <w:rPr>
                <w:color w:val="auto"/>
              </w:rPr>
            </w:pPr>
            <w:r w:rsidRPr="00702A15">
              <w:rPr>
                <w:color w:val="auto"/>
              </w:rPr>
              <w:t>60</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372.407</w:t>
            </w:r>
          </w:p>
        </w:tc>
        <w:tc>
          <w:tcPr>
            <w:tcW w:w="1843" w:type="dxa"/>
            <w:vAlign w:val="center"/>
          </w:tcPr>
          <w:p w:rsidR="00420717" w:rsidRPr="00702A15" w:rsidRDefault="00420717" w:rsidP="00D92384">
            <w:pPr>
              <w:pStyle w:val="Default"/>
              <w:spacing w:line="276" w:lineRule="auto"/>
              <w:jc w:val="center"/>
              <w:rPr>
                <w:color w:val="auto"/>
              </w:rPr>
            </w:pPr>
            <w:r w:rsidRPr="00702A15">
              <w:rPr>
                <w:color w:val="auto"/>
              </w:rPr>
              <w:t>36</w:t>
            </w:r>
          </w:p>
        </w:tc>
        <w:tc>
          <w:tcPr>
            <w:tcW w:w="1701" w:type="dxa"/>
            <w:vAlign w:val="center"/>
          </w:tcPr>
          <w:p w:rsidR="00420717" w:rsidRPr="00702A15" w:rsidRDefault="00420717" w:rsidP="00D92384">
            <w:pPr>
              <w:pStyle w:val="Default"/>
              <w:spacing w:line="276" w:lineRule="auto"/>
              <w:jc w:val="center"/>
              <w:rPr>
                <w:color w:val="auto"/>
              </w:rPr>
            </w:pPr>
            <w:r w:rsidRPr="00702A15">
              <w:rPr>
                <w:b/>
                <w:bCs/>
                <w:color w:val="auto"/>
              </w:rPr>
              <w:t>31.12.2018</w:t>
            </w:r>
          </w:p>
        </w:tc>
      </w:tr>
    </w:tbl>
    <w:p w:rsidR="00420717" w:rsidRPr="00761E74" w:rsidRDefault="00420717" w:rsidP="00420717">
      <w:pPr>
        <w:tabs>
          <w:tab w:val="left" w:pos="1204"/>
          <w:tab w:val="left" w:leader="dot" w:pos="9356"/>
        </w:tabs>
        <w:spacing w:after="0" w:line="240" w:lineRule="auto"/>
        <w:jc w:val="both"/>
        <w:rPr>
          <w:rFonts w:ascii="Arial" w:hAnsi="Arial" w:cs="Arial"/>
          <w:b/>
          <w:sz w:val="24"/>
          <w:szCs w:val="24"/>
        </w:rPr>
      </w:pPr>
      <w:r w:rsidRPr="00761E74">
        <w:rPr>
          <w:rFonts w:ascii="Arial" w:hAnsi="Arial" w:cs="Arial"/>
          <w:b/>
          <w:sz w:val="24"/>
          <w:szCs w:val="24"/>
        </w:rPr>
        <w:t>Tabel II.2.4.1.</w:t>
      </w:r>
    </w:p>
    <w:p w:rsidR="00420717" w:rsidRPr="00702A15" w:rsidRDefault="00420717" w:rsidP="00420717">
      <w:pPr>
        <w:spacing w:after="0" w:line="240" w:lineRule="auto"/>
        <w:jc w:val="both"/>
        <w:rPr>
          <w:rFonts w:ascii="Arial" w:hAnsi="Arial" w:cs="Arial"/>
          <w:sz w:val="24"/>
          <w:szCs w:val="24"/>
        </w:rPr>
      </w:pPr>
      <w:r w:rsidRPr="00702A15">
        <w:rPr>
          <w:rFonts w:ascii="Arial" w:hAnsi="Arial" w:cs="Arial"/>
          <w:sz w:val="24"/>
          <w:szCs w:val="24"/>
        </w:rPr>
        <w:t xml:space="preserve">Măsurile necesare atingerii acestor obiective vor fi identificate </w:t>
      </w:r>
      <w:r>
        <w:rPr>
          <w:rFonts w:ascii="Arial" w:hAnsi="Arial" w:cs="Arial"/>
          <w:sz w:val="24"/>
          <w:szCs w:val="24"/>
        </w:rPr>
        <w:t>ş</w:t>
      </w:r>
      <w:r w:rsidRPr="00702A15">
        <w:rPr>
          <w:rFonts w:ascii="Arial" w:hAnsi="Arial" w:cs="Arial"/>
          <w:sz w:val="24"/>
          <w:szCs w:val="24"/>
        </w:rPr>
        <w:t xml:space="preserve">i propuse în proiectul de plan respectând procedura de elaborare a acestora </w:t>
      </w:r>
      <w:r>
        <w:rPr>
          <w:rFonts w:ascii="Arial" w:hAnsi="Arial" w:cs="Arial"/>
          <w:sz w:val="24"/>
          <w:szCs w:val="24"/>
        </w:rPr>
        <w:t>ş</w:t>
      </w:r>
      <w:r w:rsidRPr="00702A15">
        <w:rPr>
          <w:rFonts w:ascii="Arial" w:hAnsi="Arial" w:cs="Arial"/>
          <w:sz w:val="24"/>
          <w:szCs w:val="24"/>
        </w:rPr>
        <w:t>i de consultare a publicului interesat.</w:t>
      </w:r>
    </w:p>
    <w:p w:rsidR="00787E64" w:rsidRDefault="00787E64" w:rsidP="00232324">
      <w:pPr>
        <w:spacing w:before="120" w:line="60" w:lineRule="atLeast"/>
        <w:jc w:val="center"/>
        <w:outlineLvl w:val="0"/>
        <w:rPr>
          <w:rFonts w:ascii="Times New Roman" w:hAnsi="Times New Roman"/>
          <w:b/>
          <w:sz w:val="28"/>
          <w:szCs w:val="28"/>
          <w:lang w:val="ro-RO"/>
        </w:rPr>
      </w:pPr>
    </w:p>
    <w:p w:rsidR="00A93324" w:rsidRDefault="00A93324" w:rsidP="00232324">
      <w:pPr>
        <w:spacing w:before="120" w:line="60" w:lineRule="atLeast"/>
        <w:jc w:val="center"/>
        <w:outlineLvl w:val="0"/>
        <w:rPr>
          <w:rFonts w:ascii="Times New Roman" w:hAnsi="Times New Roman"/>
          <w:b/>
          <w:sz w:val="28"/>
          <w:szCs w:val="28"/>
          <w:lang w:val="ro-RO"/>
        </w:rPr>
        <w:sectPr w:rsidR="00A93324" w:rsidSect="00420717">
          <w:pgSz w:w="11907" w:h="16839" w:code="9"/>
          <w:pgMar w:top="851" w:right="851" w:bottom="851" w:left="1418" w:header="0" w:footer="0" w:gutter="0"/>
          <w:cols w:space="720"/>
          <w:docGrid w:linePitch="360"/>
        </w:sectPr>
      </w:pPr>
    </w:p>
    <w:p w:rsidR="00A93324" w:rsidRPr="00A93324" w:rsidRDefault="00A93324" w:rsidP="00A93324">
      <w:pPr>
        <w:spacing w:after="120" w:line="240" w:lineRule="auto"/>
        <w:rPr>
          <w:rFonts w:ascii="Arial" w:eastAsia="SimSun" w:hAnsi="Arial" w:cs="Arial"/>
          <w:b/>
          <w:sz w:val="24"/>
          <w:szCs w:val="24"/>
          <w:lang w:val="ro-RO"/>
        </w:rPr>
      </w:pPr>
      <w:r w:rsidRPr="00A93324">
        <w:rPr>
          <w:rFonts w:ascii="Arial" w:eastAsia="SimSun" w:hAnsi="Arial" w:cs="Arial"/>
          <w:b/>
          <w:bCs/>
          <w:sz w:val="24"/>
          <w:szCs w:val="24"/>
          <w:lang w:val="ro-RO"/>
        </w:rPr>
        <w:lastRenderedPageBreak/>
        <w:t xml:space="preserve">III. </w:t>
      </w:r>
      <w:r w:rsidRPr="00A93324">
        <w:rPr>
          <w:rFonts w:ascii="Arial" w:eastAsia="SimSun" w:hAnsi="Arial" w:cs="Arial"/>
          <w:b/>
          <w:sz w:val="24"/>
          <w:szCs w:val="24"/>
          <w:lang w:val="ro-RO"/>
        </w:rPr>
        <w:t>SOLUL</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Solul este definit ca stratul de la suprafaţa scoarţei terestre şi reprezintă partea superioară, afânată a litosferei care se află într-o continuă evolu</w:t>
      </w:r>
      <w:r w:rsidRPr="00A93324">
        <w:rPr>
          <w:rFonts w:ascii="Arial" w:eastAsia="SimSun" w:hAnsi="Tahoma" w:cs="Arial"/>
          <w:sz w:val="24"/>
          <w:szCs w:val="24"/>
          <w:lang w:val="ro-RO"/>
        </w:rPr>
        <w:t>ţ</w:t>
      </w:r>
      <w:r w:rsidRPr="00A93324">
        <w:rPr>
          <w:rFonts w:ascii="Arial" w:eastAsia="SimSun" w:hAnsi="Arial" w:cs="Arial"/>
          <w:sz w:val="24"/>
          <w:szCs w:val="24"/>
          <w:lang w:val="ro-RO"/>
        </w:rPr>
        <w:t>ie sub influen</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a factorilor pedogenetici. Este format din particule minerale, materii organice, apă, aer şi organisme vii. </w:t>
      </w:r>
    </w:p>
    <w:p w:rsidR="00A93324" w:rsidRPr="00A93324" w:rsidRDefault="00A93324" w:rsidP="00A93324">
      <w:pPr>
        <w:tabs>
          <w:tab w:val="left" w:pos="1276"/>
          <w:tab w:val="left" w:leader="dot" w:pos="9356"/>
        </w:tabs>
        <w:spacing w:after="120" w:line="240" w:lineRule="auto"/>
        <w:jc w:val="both"/>
        <w:rPr>
          <w:rFonts w:ascii="Arial" w:eastAsia="SimSun" w:hAnsi="Arial" w:cs="Arial"/>
          <w:b/>
          <w:bCs/>
          <w:sz w:val="24"/>
          <w:szCs w:val="24"/>
          <w:lang w:val="ro-RO"/>
        </w:rPr>
      </w:pPr>
      <w:r w:rsidRPr="00A93324">
        <w:rPr>
          <w:rFonts w:ascii="Arial" w:eastAsia="SimSun" w:hAnsi="Arial" w:cs="Arial"/>
          <w:sz w:val="24"/>
          <w:szCs w:val="24"/>
          <w:lang w:val="ro-RO"/>
        </w:rPr>
        <w:t>Solul are multiple func</w:t>
      </w:r>
      <w:r w:rsidRPr="00A93324">
        <w:rPr>
          <w:rFonts w:ascii="Arial" w:eastAsia="SimSun" w:hAnsi="Tahoma" w:cs="Arial"/>
          <w:sz w:val="24"/>
          <w:szCs w:val="24"/>
          <w:lang w:val="ro-RO"/>
        </w:rPr>
        <w:t>ţ</w:t>
      </w:r>
      <w:r w:rsidRPr="00A93324">
        <w:rPr>
          <w:rFonts w:ascii="Arial" w:eastAsia="SimSun" w:hAnsi="Arial" w:cs="Arial"/>
          <w:sz w:val="24"/>
          <w:szCs w:val="24"/>
          <w:lang w:val="ro-RO"/>
        </w:rPr>
        <w:t>ii economice şi biologice deoarece determină produc</w:t>
      </w:r>
      <w:r w:rsidRPr="00A93324">
        <w:rPr>
          <w:rFonts w:ascii="Arial" w:eastAsia="SimSun" w:hAnsi="Tahoma" w:cs="Arial"/>
          <w:sz w:val="24"/>
          <w:szCs w:val="24"/>
          <w:lang w:val="ro-RO"/>
        </w:rPr>
        <w:t>ţ</w:t>
      </w:r>
      <w:r w:rsidRPr="00A93324">
        <w:rPr>
          <w:rFonts w:ascii="Arial" w:eastAsia="SimSun" w:hAnsi="Arial" w:cs="Arial"/>
          <w:sz w:val="24"/>
          <w:szCs w:val="24"/>
          <w:lang w:val="ro-RO"/>
        </w:rPr>
        <w:t>ia agricolă şi starea pădurilor, este sursă de materii prime dar şi de biodiversitate, habitate, specii, condiţionează învelişul vegetal, precum şi calitatea apei, reglează scurgerea lichidă şi solidă în bazinele hidrografice şi ac</w:t>
      </w:r>
      <w:r w:rsidRPr="00A93324">
        <w:rPr>
          <w:rFonts w:ascii="Arial" w:eastAsia="SimSun" w:hAnsi="Tahoma" w:cs="Arial"/>
          <w:sz w:val="24"/>
          <w:szCs w:val="24"/>
          <w:lang w:val="ro-RO"/>
        </w:rPr>
        <w:t>ţ</w:t>
      </w:r>
      <w:r w:rsidRPr="00A93324">
        <w:rPr>
          <w:rFonts w:ascii="Arial" w:eastAsia="SimSun" w:hAnsi="Arial" w:cs="Arial"/>
          <w:sz w:val="24"/>
          <w:szCs w:val="24"/>
          <w:lang w:val="ro-RO"/>
        </w:rPr>
        <w:t>ionează ca o geomembrană pentru diminuarea poluării aerului şi a apei prin reţinerea, reciclarea şi neutralizarea poluanţilor, cum sunt substanţele chimice folosite în agricultură, deşeurile şi reziduurile organice şi alte substan</w:t>
      </w:r>
      <w:r w:rsidRPr="00A93324">
        <w:rPr>
          <w:rFonts w:ascii="Arial" w:eastAsia="SimSun" w:hAnsi="Tahoma" w:cs="Arial"/>
          <w:sz w:val="24"/>
          <w:szCs w:val="24"/>
          <w:lang w:val="ro-RO"/>
        </w:rPr>
        <w:t>ţ</w:t>
      </w:r>
      <w:r w:rsidRPr="00A93324">
        <w:rPr>
          <w:rFonts w:ascii="Arial" w:eastAsia="SimSun" w:hAnsi="Arial" w:cs="Arial"/>
          <w:sz w:val="24"/>
          <w:szCs w:val="24"/>
          <w:lang w:val="ro-RO"/>
        </w:rPr>
        <w:t>e chimice. Solul reprezintă un patrimoniu geologic şi arheologic.</w:t>
      </w:r>
    </w:p>
    <w:p w:rsidR="00A93324" w:rsidRPr="00A93324" w:rsidRDefault="00A93324" w:rsidP="00A93324">
      <w:pPr>
        <w:tabs>
          <w:tab w:val="left" w:pos="1276"/>
          <w:tab w:val="left" w:leader="dot" w:pos="9356"/>
        </w:tabs>
        <w:spacing w:after="120" w:line="240" w:lineRule="auto"/>
        <w:jc w:val="both"/>
        <w:rPr>
          <w:rFonts w:ascii="Arial" w:eastAsia="SimSun" w:hAnsi="Arial" w:cs="Arial"/>
          <w:i/>
          <w:sz w:val="24"/>
          <w:szCs w:val="24"/>
          <w:lang w:val="ro-RO"/>
        </w:rPr>
      </w:pPr>
      <w:r w:rsidRPr="00A93324">
        <w:rPr>
          <w:rFonts w:ascii="Arial" w:eastAsia="SimSun" w:hAnsi="Arial" w:cs="Arial"/>
          <w:sz w:val="24"/>
          <w:szCs w:val="24"/>
          <w:lang w:val="ro-RO"/>
        </w:rPr>
        <w:t xml:space="preserve">Având în vedere că pentru formarea unui strat de sol cca. </w:t>
      </w:r>
      <w:smartTag w:uri="urn:schemas-microsoft-com:office:smarttags" w:element="metricconverter">
        <w:smartTagPr>
          <w:attr w:name="ProductID" w:val="20 cm"/>
        </w:smartTagPr>
        <w:r w:rsidRPr="00A93324">
          <w:rPr>
            <w:rFonts w:ascii="Arial" w:eastAsia="SimSun" w:hAnsi="Arial" w:cs="Arial"/>
            <w:sz w:val="24"/>
            <w:szCs w:val="24"/>
            <w:lang w:val="ro-RO"/>
          </w:rPr>
          <w:t>20 cm</w:t>
        </w:r>
      </w:smartTag>
      <w:r w:rsidRPr="00A93324">
        <w:rPr>
          <w:rFonts w:ascii="Arial" w:eastAsia="SimSun" w:hAnsi="Arial" w:cs="Arial"/>
          <w:sz w:val="24"/>
          <w:szCs w:val="24"/>
          <w:lang w:val="ro-RO"/>
        </w:rPr>
        <w:t xml:space="preserve"> (stratul minim necesar pentru dezvoltarea unei plante) sunt necesari aproximativ 7000 de ani, este lesne de în</w:t>
      </w:r>
      <w:r w:rsidRPr="00A93324">
        <w:rPr>
          <w:rFonts w:ascii="Arial" w:eastAsia="SimSun" w:hAnsi="Tahoma" w:cs="Arial"/>
          <w:sz w:val="24"/>
          <w:szCs w:val="24"/>
          <w:lang w:val="ro-RO"/>
        </w:rPr>
        <w:t>ţ</w:t>
      </w:r>
      <w:r w:rsidRPr="00A93324">
        <w:rPr>
          <w:rFonts w:ascii="Arial" w:eastAsia="SimSun" w:hAnsi="Arial" w:cs="Arial"/>
          <w:sz w:val="24"/>
          <w:szCs w:val="24"/>
          <w:lang w:val="ro-RO"/>
        </w:rPr>
        <w:t>eles că solul poate fi considerat practic o resursă naturală neregenerabilă, pe care, datorită rolului crucial avut pentru activităţile umane şi supravie</w:t>
      </w:r>
      <w:r w:rsidRPr="00A93324">
        <w:rPr>
          <w:rFonts w:ascii="Arial" w:eastAsia="SimSun" w:hAnsi="Tahoma" w:cs="Arial"/>
          <w:sz w:val="24"/>
          <w:szCs w:val="24"/>
          <w:lang w:val="ro-RO"/>
        </w:rPr>
        <w:t>ţ</w:t>
      </w:r>
      <w:r w:rsidRPr="00A93324">
        <w:rPr>
          <w:rFonts w:ascii="Arial" w:eastAsia="SimSun" w:hAnsi="Arial" w:cs="Arial"/>
          <w:sz w:val="24"/>
          <w:szCs w:val="24"/>
          <w:lang w:val="ro-RO"/>
        </w:rPr>
        <w:t>uirea ecosistemelor, avem datoria să o protejăm</w:t>
      </w:r>
      <w:r w:rsidRPr="00A93324">
        <w:rPr>
          <w:rFonts w:ascii="Arial" w:eastAsia="SimSun" w:hAnsi="Arial" w:cs="Arial"/>
          <w:i/>
          <w:sz w:val="24"/>
          <w:szCs w:val="24"/>
          <w:lang w:val="ro-RO"/>
        </w:rPr>
        <w:t>.</w:t>
      </w:r>
    </w:p>
    <w:p w:rsidR="00A93324" w:rsidRPr="00A93324" w:rsidRDefault="00A93324" w:rsidP="00A93324">
      <w:pPr>
        <w:tabs>
          <w:tab w:val="left" w:pos="1276"/>
          <w:tab w:val="left" w:leader="dot" w:pos="9356"/>
        </w:tabs>
        <w:spacing w:after="120" w:line="240" w:lineRule="auto"/>
        <w:jc w:val="both"/>
        <w:rPr>
          <w:rFonts w:ascii="Arial" w:eastAsia="SimSun" w:hAnsi="Arial" w:cs="Arial"/>
          <w:i/>
          <w:sz w:val="24"/>
          <w:szCs w:val="24"/>
          <w:lang w:val="ro-RO"/>
        </w:rPr>
      </w:pPr>
    </w:p>
    <w:p w:rsidR="00A93324" w:rsidRPr="00A93324" w:rsidRDefault="00A93324" w:rsidP="00A93324">
      <w:pPr>
        <w:shd w:val="clear" w:color="auto" w:fill="D9D9D9"/>
        <w:tabs>
          <w:tab w:val="left" w:leader="dot" w:pos="9356"/>
        </w:tabs>
        <w:spacing w:after="120" w:line="240" w:lineRule="auto"/>
        <w:ind w:left="293"/>
        <w:rPr>
          <w:rFonts w:ascii="Arial" w:eastAsia="SimSun" w:hAnsi="Arial" w:cs="Arial"/>
          <w:b/>
          <w:sz w:val="24"/>
          <w:szCs w:val="24"/>
          <w:lang w:val="ro-RO"/>
        </w:rPr>
      </w:pPr>
      <w:r w:rsidRPr="00A93324">
        <w:rPr>
          <w:rFonts w:ascii="Arial" w:eastAsia="SimSun" w:hAnsi="Arial" w:cs="Arial"/>
          <w:b/>
          <w:sz w:val="24"/>
          <w:szCs w:val="24"/>
          <w:lang w:val="ro-RO"/>
        </w:rPr>
        <w:t xml:space="preserve">III.1 Calitatea solurilor: stare şi tendinţe  </w:t>
      </w:r>
    </w:p>
    <w:p w:rsidR="00A93324" w:rsidRPr="00A93324" w:rsidRDefault="00A93324" w:rsidP="00A93324">
      <w:pPr>
        <w:tabs>
          <w:tab w:val="left" w:pos="1276"/>
          <w:tab w:val="left" w:leader="dot" w:pos="9356"/>
        </w:tabs>
        <w:spacing w:after="120" w:line="240" w:lineRule="auto"/>
        <w:ind w:left="350"/>
        <w:rPr>
          <w:rFonts w:ascii="Arial" w:eastAsia="SimSun" w:hAnsi="Arial" w:cs="Arial"/>
          <w:b/>
          <w:i/>
          <w:sz w:val="24"/>
          <w:szCs w:val="24"/>
          <w:lang w:val="ro-RO"/>
        </w:rPr>
      </w:pPr>
      <w:r w:rsidRPr="00A93324">
        <w:rPr>
          <w:rFonts w:ascii="Arial" w:eastAsia="SimSun" w:hAnsi="Arial" w:cs="Arial"/>
          <w:b/>
          <w:i/>
          <w:sz w:val="24"/>
          <w:szCs w:val="24"/>
          <w:lang w:val="ro-RO"/>
        </w:rPr>
        <w:t>III.1.1 Repartiţia terenurilor pe clase de calitate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Potrivit reglementărilor în vigoare, calitatea solurilor cuprinde totalitatea însuşirilor solului care îi asigură acestuia un anumit grad de fertilitate naturală. Calitatea terenurilor cuprinde atât fertilitatea solului, cât şi modul de manifestare faţă de plante a celorlalţi factori de mediu. Din acest punct de vedere calitatea terenurilor este reprezentată de favorabilitatea, respectiv nota de bonitare pentru condiţii naturale, privind o anumită folosinţă. Obiectul bonitării îl constituie unităţile de teritoriu ecologic omogene  (TEO). În urma bonitării, fiecare TEO este evaluat în note (puncte) de bonitare, permiţând astfel clasificarea terenurilor agricole în clase de favorabilitate, respectiv de calitate, şi estimarea producţiei potenţiale pentru condiţii naturale şi/sau potenţate. În studiile pedologice, terenurile sunt grupate după numărul punctelor de bonitare în clase de favorabilitate </w:t>
      </w:r>
      <w:r w:rsidRPr="00A93324">
        <w:rPr>
          <w:rFonts w:ascii="Arial" w:eastAsia="SimSun" w:hAnsi="Tahoma" w:cs="Arial"/>
          <w:sz w:val="24"/>
          <w:szCs w:val="24"/>
          <w:lang w:val="ro-RO"/>
        </w:rPr>
        <w:t>ş</w:t>
      </w:r>
      <w:r w:rsidRPr="00A93324">
        <w:rPr>
          <w:rFonts w:ascii="Arial" w:eastAsia="SimSun" w:hAnsi="Arial" w:cs="Arial"/>
          <w:sz w:val="24"/>
          <w:szCs w:val="24"/>
          <w:lang w:val="ro-RO"/>
        </w:rPr>
        <w:t xml:space="preserve">i </w:t>
      </w:r>
      <w:r w:rsidRPr="00A93324">
        <w:rPr>
          <w:rFonts w:ascii="Arial" w:eastAsia="SimSun" w:hAnsi="Arial" w:cs="Arial"/>
          <w:b/>
          <w:i/>
          <w:sz w:val="24"/>
          <w:szCs w:val="24"/>
          <w:lang w:val="ro-RO"/>
        </w:rPr>
        <w:t>clase de calitate</w:t>
      </w:r>
      <w:r w:rsidRPr="00A93324">
        <w:rPr>
          <w:rFonts w:ascii="Arial" w:eastAsia="SimSun" w:hAnsi="Arial" w:cs="Arial"/>
          <w:sz w:val="24"/>
          <w:szCs w:val="24"/>
          <w:lang w:val="ro-RO"/>
        </w:rPr>
        <w:t>.</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Pentru folosinţe (arabil, păşune, fâneţe, vii şi livezi) sunt stabilite clase de calitate de la 1 la 5, iar gruparea terenurilor în 5 clase de calitate se va face în funcţie de nota de bonitare naturală pentru categoria de folosinţă existentă în momentul cartării, calculată pentru fiecare TEO, după cum urmează:</w:t>
      </w:r>
    </w:p>
    <w:p w:rsidR="00A93324" w:rsidRPr="00A93324" w:rsidRDefault="00A93324" w:rsidP="00A93324">
      <w:pPr>
        <w:tabs>
          <w:tab w:val="left" w:pos="1276"/>
          <w:tab w:val="left" w:leader="dot" w:pos="9356"/>
        </w:tabs>
        <w:spacing w:after="120" w:line="240" w:lineRule="auto"/>
        <w:ind w:left="708"/>
        <w:jc w:val="both"/>
        <w:rPr>
          <w:rFonts w:ascii="Arial" w:eastAsia="SimSun" w:hAnsi="Arial" w:cs="Arial"/>
          <w:sz w:val="24"/>
          <w:szCs w:val="24"/>
          <w:lang w:val="ro-RO"/>
        </w:rPr>
      </w:pPr>
      <w:r w:rsidRPr="00A93324">
        <w:rPr>
          <w:rFonts w:ascii="Arial" w:eastAsia="SimSun" w:hAnsi="Arial" w:cs="Arial"/>
          <w:sz w:val="24"/>
          <w:szCs w:val="24"/>
          <w:lang w:val="ro-RO"/>
        </w:rPr>
        <w:t>- clasa I :  81—100 de puncte de bonitare;</w:t>
      </w:r>
    </w:p>
    <w:p w:rsidR="00A93324" w:rsidRPr="00A93324" w:rsidRDefault="00A93324" w:rsidP="00A93324">
      <w:pPr>
        <w:tabs>
          <w:tab w:val="left" w:pos="1276"/>
          <w:tab w:val="left" w:leader="dot" w:pos="9356"/>
        </w:tabs>
        <w:spacing w:after="120" w:line="240" w:lineRule="auto"/>
        <w:ind w:left="708"/>
        <w:jc w:val="both"/>
        <w:rPr>
          <w:rFonts w:ascii="Arial" w:eastAsia="SimSun" w:hAnsi="Arial" w:cs="Arial"/>
          <w:sz w:val="24"/>
          <w:szCs w:val="24"/>
          <w:lang w:val="ro-RO"/>
        </w:rPr>
      </w:pPr>
      <w:r w:rsidRPr="00A93324">
        <w:rPr>
          <w:rFonts w:ascii="Arial" w:eastAsia="SimSun" w:hAnsi="Arial" w:cs="Arial"/>
          <w:sz w:val="24"/>
          <w:szCs w:val="24"/>
          <w:lang w:val="ro-RO"/>
        </w:rPr>
        <w:t>- clasa a II-a : 61—80 de puncte de bonitare;</w:t>
      </w:r>
    </w:p>
    <w:p w:rsidR="00A93324" w:rsidRPr="00A93324" w:rsidRDefault="00A93324" w:rsidP="00A93324">
      <w:pPr>
        <w:tabs>
          <w:tab w:val="left" w:pos="1276"/>
          <w:tab w:val="left" w:leader="dot" w:pos="9356"/>
        </w:tabs>
        <w:spacing w:after="120" w:line="240" w:lineRule="auto"/>
        <w:ind w:left="708"/>
        <w:jc w:val="both"/>
        <w:rPr>
          <w:rFonts w:ascii="Arial" w:eastAsia="SimSun" w:hAnsi="Arial" w:cs="Arial"/>
          <w:sz w:val="24"/>
          <w:szCs w:val="24"/>
          <w:lang w:val="ro-RO"/>
        </w:rPr>
      </w:pPr>
      <w:r w:rsidRPr="00A93324">
        <w:rPr>
          <w:rFonts w:ascii="Arial" w:eastAsia="SimSun" w:hAnsi="Arial" w:cs="Arial"/>
          <w:sz w:val="24"/>
          <w:szCs w:val="24"/>
          <w:lang w:val="ro-RO"/>
        </w:rPr>
        <w:t>- clasa a III-a :  41—60 de puncte de bonitare;</w:t>
      </w:r>
    </w:p>
    <w:p w:rsidR="00A93324" w:rsidRPr="00A93324" w:rsidRDefault="00A93324" w:rsidP="00A93324">
      <w:pPr>
        <w:tabs>
          <w:tab w:val="left" w:pos="1276"/>
          <w:tab w:val="left" w:leader="dot" w:pos="9356"/>
        </w:tabs>
        <w:spacing w:after="120" w:line="240" w:lineRule="auto"/>
        <w:ind w:left="708"/>
        <w:jc w:val="both"/>
        <w:rPr>
          <w:rFonts w:ascii="Arial" w:eastAsia="SimSun" w:hAnsi="Arial" w:cs="Arial"/>
          <w:sz w:val="24"/>
          <w:szCs w:val="24"/>
          <w:lang w:val="ro-RO"/>
        </w:rPr>
      </w:pPr>
      <w:r w:rsidRPr="00A93324">
        <w:rPr>
          <w:rFonts w:ascii="Arial" w:eastAsia="SimSun" w:hAnsi="Arial" w:cs="Arial"/>
          <w:sz w:val="24"/>
          <w:szCs w:val="24"/>
          <w:lang w:val="ro-RO"/>
        </w:rPr>
        <w:t>- clasa a IV-a : 21—40 de puncte de bonitare;</w:t>
      </w:r>
    </w:p>
    <w:p w:rsidR="00A93324" w:rsidRPr="00A93324" w:rsidRDefault="00A93324" w:rsidP="00A93324">
      <w:pPr>
        <w:tabs>
          <w:tab w:val="left" w:pos="1276"/>
          <w:tab w:val="left" w:leader="dot" w:pos="9356"/>
        </w:tabs>
        <w:spacing w:after="120" w:line="240" w:lineRule="auto"/>
        <w:ind w:left="708"/>
        <w:jc w:val="both"/>
        <w:rPr>
          <w:rFonts w:ascii="Arial" w:eastAsia="SimSun" w:hAnsi="Arial" w:cs="Arial"/>
          <w:sz w:val="24"/>
          <w:szCs w:val="24"/>
          <w:lang w:val="ro-RO"/>
        </w:rPr>
      </w:pPr>
      <w:r w:rsidRPr="00A93324">
        <w:rPr>
          <w:rFonts w:ascii="Arial" w:eastAsia="SimSun" w:hAnsi="Arial" w:cs="Arial"/>
          <w:sz w:val="24"/>
          <w:szCs w:val="24"/>
          <w:lang w:val="ro-RO"/>
        </w:rPr>
        <w:t>- clasa a V-a : 1—20 de puncte de bonitare.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Tabelul III.1.1.- 1, de mai jos, prezintă încadrarea solurilor din judeţul Buzău pe clase de calitate, comparativ între anii 2010 şi 2014. </w:t>
      </w:r>
    </w:p>
    <w:p w:rsidR="00A93324" w:rsidRPr="00A93324" w:rsidRDefault="00A93324" w:rsidP="00A93324">
      <w:pPr>
        <w:tabs>
          <w:tab w:val="left" w:pos="1276"/>
          <w:tab w:val="left" w:leader="dot" w:pos="9356"/>
        </w:tabs>
        <w:spacing w:after="120" w:line="240" w:lineRule="auto"/>
        <w:jc w:val="both"/>
        <w:rPr>
          <w:rFonts w:ascii="Arial" w:eastAsia="SimSun" w:hAnsi="Arial" w:cs="Arial"/>
          <w:i/>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sectPr w:rsidR="00A93324" w:rsidRPr="00A93324" w:rsidSect="00A42550">
          <w:pgSz w:w="11906" w:h="16838"/>
          <w:pgMar w:top="851" w:right="851" w:bottom="851" w:left="1418" w:header="709" w:footer="709" w:gutter="0"/>
          <w:cols w:space="708"/>
          <w:docGrid w:linePitch="360"/>
        </w:sectPr>
      </w:pPr>
    </w:p>
    <w:p w:rsidR="00A93324" w:rsidRPr="00A93324" w:rsidRDefault="00A93324" w:rsidP="00A93324">
      <w:pPr>
        <w:spacing w:after="0" w:line="240" w:lineRule="auto"/>
        <w:rPr>
          <w:rFonts w:ascii="Times New Roman" w:eastAsia="SimSun" w:hAnsi="Times New Roman"/>
          <w:sz w:val="24"/>
          <w:szCs w:val="24"/>
          <w:lang w:val="ro-RO"/>
        </w:rPr>
      </w:pPr>
    </w:p>
    <w:tbl>
      <w:tblPr>
        <w:tblpPr w:leftFromText="180" w:rightFromText="180" w:horzAnchor="margin" w:tblpX="-252" w:tblpY="713"/>
        <w:tblW w:w="15273" w:type="dxa"/>
        <w:tblLayout w:type="fixed"/>
        <w:tblLook w:val="0000"/>
      </w:tblPr>
      <w:tblGrid>
        <w:gridCol w:w="1368"/>
        <w:gridCol w:w="1125"/>
        <w:gridCol w:w="1080"/>
        <w:gridCol w:w="1071"/>
        <w:gridCol w:w="909"/>
        <w:gridCol w:w="900"/>
        <w:gridCol w:w="1073"/>
        <w:gridCol w:w="1073"/>
        <w:gridCol w:w="1073"/>
        <w:gridCol w:w="1101"/>
        <w:gridCol w:w="928"/>
        <w:gridCol w:w="900"/>
        <w:gridCol w:w="900"/>
        <w:gridCol w:w="900"/>
        <w:gridCol w:w="872"/>
      </w:tblGrid>
      <w:tr w:rsidR="00A93324" w:rsidRPr="00A93324" w:rsidTr="00A42550">
        <w:trPr>
          <w:trHeight w:val="509"/>
        </w:trPr>
        <w:tc>
          <w:tcPr>
            <w:tcW w:w="1368"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Categoria de folosin</w:t>
            </w:r>
            <w:r w:rsidRPr="00A93324">
              <w:rPr>
                <w:rFonts w:ascii="Tahoma" w:eastAsia="Times New Roman" w:hAnsi="Tahoma" w:cs="Arial"/>
                <w:b/>
                <w:bCs/>
                <w:iCs/>
                <w:sz w:val="24"/>
                <w:szCs w:val="24"/>
                <w:lang w:val="ro-RO" w:eastAsia="ro-RO"/>
              </w:rPr>
              <w:t>ţ</w:t>
            </w:r>
            <w:r w:rsidRPr="00A93324">
              <w:rPr>
                <w:rFonts w:ascii="Arial" w:eastAsia="Times New Roman" w:hAnsi="Arial" w:cs="Arial"/>
                <w:b/>
                <w:bCs/>
                <w:iCs/>
                <w:sz w:val="24"/>
                <w:szCs w:val="24"/>
                <w:lang w:val="ro-RO" w:eastAsia="ro-RO"/>
              </w:rPr>
              <w:t>ă</w:t>
            </w:r>
          </w:p>
        </w:tc>
        <w:tc>
          <w:tcPr>
            <w:tcW w:w="3276" w:type="dxa"/>
            <w:gridSpan w:val="3"/>
            <w:vMerge w:val="restart"/>
            <w:tcBorders>
              <w:top w:val="double" w:sz="4" w:space="0" w:color="auto"/>
              <w:left w:val="nil"/>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Suprafa</w:t>
            </w:r>
            <w:r w:rsidRPr="00A93324">
              <w:rPr>
                <w:rFonts w:ascii="Tahoma" w:eastAsia="Times New Roman" w:hAnsi="Tahoma" w:cs="Arial"/>
                <w:b/>
                <w:bCs/>
                <w:iCs/>
                <w:sz w:val="24"/>
                <w:szCs w:val="24"/>
                <w:lang w:val="ro-RO" w:eastAsia="ro-RO"/>
              </w:rPr>
              <w:t>ţ</w:t>
            </w:r>
            <w:r w:rsidRPr="00A93324">
              <w:rPr>
                <w:rFonts w:ascii="Arial" w:eastAsia="Times New Roman" w:hAnsi="Arial" w:cs="Arial"/>
                <w:b/>
                <w:bCs/>
                <w:iCs/>
                <w:sz w:val="24"/>
                <w:szCs w:val="24"/>
                <w:lang w:val="ro-RO" w:eastAsia="ro-RO"/>
              </w:rPr>
              <w:t xml:space="preserve">a  totală </w:t>
            </w:r>
          </w:p>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(ha)</w:t>
            </w:r>
          </w:p>
        </w:tc>
        <w:tc>
          <w:tcPr>
            <w:tcW w:w="9757" w:type="dxa"/>
            <w:gridSpan w:val="10"/>
            <w:tcBorders>
              <w:top w:val="doub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Clasa de calitate</w:t>
            </w:r>
          </w:p>
        </w:tc>
        <w:tc>
          <w:tcPr>
            <w:tcW w:w="872" w:type="dxa"/>
            <w:vMerge w:val="restart"/>
            <w:tcBorders>
              <w:top w:val="double" w:sz="4" w:space="0" w:color="auto"/>
              <w:left w:val="single" w:sz="4" w:space="0" w:color="auto"/>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Înca-</w:t>
            </w:r>
          </w:p>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 xml:space="preserve">drare </w:t>
            </w:r>
          </w:p>
          <w:p w:rsidR="00A93324" w:rsidRPr="00A93324" w:rsidRDefault="00A93324" w:rsidP="00A93324">
            <w:pPr>
              <w:spacing w:after="120" w:line="240" w:lineRule="auto"/>
              <w:jc w:val="center"/>
              <w:rPr>
                <w:rFonts w:ascii="Arial" w:eastAsia="Times New Roman" w:hAnsi="Arial" w:cs="Arial"/>
                <w:b/>
                <w:bCs/>
                <w:iCs/>
                <w:lang w:val="ro-RO" w:eastAsia="ro-RO"/>
              </w:rPr>
            </w:pPr>
            <w:r w:rsidRPr="00A93324">
              <w:rPr>
                <w:rFonts w:ascii="Arial" w:eastAsia="Times New Roman" w:hAnsi="Arial" w:cs="Arial"/>
                <w:b/>
                <w:bCs/>
                <w:iCs/>
                <w:lang w:val="ro-RO" w:eastAsia="ro-RO"/>
              </w:rPr>
              <w:t>medie</w:t>
            </w:r>
          </w:p>
        </w:tc>
      </w:tr>
      <w:tr w:rsidR="00A93324" w:rsidRPr="00A93324" w:rsidTr="00A42550">
        <w:trPr>
          <w:trHeight w:val="566"/>
        </w:trPr>
        <w:tc>
          <w:tcPr>
            <w:tcW w:w="1368" w:type="dxa"/>
            <w:vMerge/>
            <w:tcBorders>
              <w:top w:val="single" w:sz="4" w:space="0" w:color="auto"/>
              <w:left w:val="double" w:sz="4" w:space="0" w:color="auto"/>
              <w:bottom w:val="single" w:sz="4" w:space="0" w:color="auto"/>
              <w:right w:val="single" w:sz="4" w:space="0" w:color="auto"/>
            </w:tcBorders>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p>
        </w:tc>
        <w:tc>
          <w:tcPr>
            <w:tcW w:w="3276" w:type="dxa"/>
            <w:gridSpan w:val="3"/>
            <w:vMerge/>
            <w:tcBorders>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I</w:t>
            </w:r>
          </w:p>
        </w:tc>
        <w:tc>
          <w:tcPr>
            <w:tcW w:w="2146" w:type="dxa"/>
            <w:gridSpan w:val="2"/>
            <w:tcBorders>
              <w:top w:val="single" w:sz="4" w:space="0" w:color="auto"/>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II</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III</w:t>
            </w:r>
          </w:p>
        </w:tc>
        <w:tc>
          <w:tcPr>
            <w:tcW w:w="1828" w:type="dxa"/>
            <w:gridSpan w:val="2"/>
            <w:tcBorders>
              <w:top w:val="single" w:sz="4" w:space="0" w:color="auto"/>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IV</w:t>
            </w:r>
          </w:p>
        </w:tc>
        <w:tc>
          <w:tcPr>
            <w:tcW w:w="1800" w:type="dxa"/>
            <w:gridSpan w:val="2"/>
            <w:tcBorders>
              <w:top w:val="single" w:sz="4" w:space="0" w:color="auto"/>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r w:rsidRPr="00A93324">
              <w:rPr>
                <w:rFonts w:ascii="Arial" w:eastAsia="Times New Roman" w:hAnsi="Arial" w:cs="Arial"/>
                <w:b/>
                <w:bCs/>
                <w:iCs/>
                <w:sz w:val="24"/>
                <w:szCs w:val="24"/>
                <w:lang w:val="ro-RO" w:eastAsia="ro-RO"/>
              </w:rPr>
              <w:t>V</w:t>
            </w:r>
          </w:p>
        </w:tc>
        <w:tc>
          <w:tcPr>
            <w:tcW w:w="872" w:type="dxa"/>
            <w:vMerge/>
            <w:tcBorders>
              <w:top w:val="single" w:sz="4" w:space="0" w:color="auto"/>
              <w:left w:val="single" w:sz="4" w:space="0" w:color="auto"/>
              <w:bottom w:val="single" w:sz="4" w:space="0" w:color="auto"/>
              <w:right w:val="double" w:sz="4" w:space="0" w:color="auto"/>
            </w:tcBorders>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p>
        </w:tc>
      </w:tr>
      <w:tr w:rsidR="00A93324" w:rsidRPr="00A93324" w:rsidTr="00A42550">
        <w:trPr>
          <w:trHeight w:val="1006"/>
        </w:trPr>
        <w:tc>
          <w:tcPr>
            <w:tcW w:w="1368" w:type="dxa"/>
            <w:vMerge/>
            <w:tcBorders>
              <w:top w:val="single" w:sz="4" w:space="0" w:color="auto"/>
              <w:left w:val="double" w:sz="4" w:space="0" w:color="auto"/>
              <w:bottom w:val="single" w:sz="4" w:space="0" w:color="auto"/>
              <w:right w:val="single" w:sz="4" w:space="0" w:color="auto"/>
            </w:tcBorders>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p>
        </w:tc>
        <w:tc>
          <w:tcPr>
            <w:tcW w:w="1125"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2010</w:t>
            </w:r>
          </w:p>
        </w:tc>
        <w:tc>
          <w:tcPr>
            <w:tcW w:w="108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2014</w:t>
            </w:r>
          </w:p>
        </w:tc>
        <w:tc>
          <w:tcPr>
            <w:tcW w:w="1071" w:type="dxa"/>
            <w:tcBorders>
              <w:top w:val="nil"/>
              <w:left w:val="sing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cartată</w:t>
            </w:r>
          </w:p>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b/>
                <w:iCs/>
                <w:sz w:val="24"/>
                <w:szCs w:val="24"/>
                <w:lang w:val="ro-RO" w:eastAsia="ro-RO"/>
              </w:rPr>
              <w:t>în 2014</w:t>
            </w:r>
          </w:p>
        </w:tc>
        <w:tc>
          <w:tcPr>
            <w:tcW w:w="909"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2010</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2014</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2010</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2014</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2010</w:t>
            </w:r>
          </w:p>
        </w:tc>
        <w:tc>
          <w:tcPr>
            <w:tcW w:w="1101"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2014</w:t>
            </w:r>
          </w:p>
        </w:tc>
        <w:tc>
          <w:tcPr>
            <w:tcW w:w="928"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2010</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2014</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2010</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b/>
                <w:iCs/>
                <w:sz w:val="24"/>
                <w:szCs w:val="24"/>
                <w:lang w:val="ro-RO" w:eastAsia="ro-RO"/>
              </w:rPr>
            </w:pPr>
            <w:r w:rsidRPr="00A93324">
              <w:rPr>
                <w:rFonts w:ascii="Arial" w:eastAsia="Times New Roman" w:hAnsi="Arial" w:cs="Arial"/>
                <w:b/>
                <w:iCs/>
                <w:sz w:val="24"/>
                <w:szCs w:val="24"/>
                <w:lang w:val="ro-RO" w:eastAsia="ro-RO"/>
              </w:rPr>
              <w:t>2014</w:t>
            </w:r>
          </w:p>
        </w:tc>
        <w:tc>
          <w:tcPr>
            <w:tcW w:w="872" w:type="dxa"/>
            <w:vMerge/>
            <w:tcBorders>
              <w:top w:val="single" w:sz="4" w:space="0" w:color="auto"/>
              <w:left w:val="single" w:sz="4" w:space="0" w:color="auto"/>
              <w:bottom w:val="single" w:sz="4" w:space="0" w:color="auto"/>
              <w:right w:val="double" w:sz="4" w:space="0" w:color="auto"/>
            </w:tcBorders>
            <w:vAlign w:val="center"/>
          </w:tcPr>
          <w:p w:rsidR="00A93324" w:rsidRPr="00A93324" w:rsidRDefault="00A93324" w:rsidP="00A93324">
            <w:pPr>
              <w:spacing w:after="120" w:line="240" w:lineRule="auto"/>
              <w:jc w:val="center"/>
              <w:rPr>
                <w:rFonts w:ascii="Arial" w:eastAsia="Times New Roman" w:hAnsi="Arial" w:cs="Arial"/>
                <w:b/>
                <w:bCs/>
                <w:iCs/>
                <w:sz w:val="24"/>
                <w:szCs w:val="24"/>
                <w:lang w:val="ro-RO" w:eastAsia="ro-RO"/>
              </w:rPr>
            </w:pPr>
          </w:p>
        </w:tc>
      </w:tr>
      <w:tr w:rsidR="00A93324" w:rsidRPr="00A93324" w:rsidTr="00A42550">
        <w:trPr>
          <w:trHeight w:val="888"/>
        </w:trPr>
        <w:tc>
          <w:tcPr>
            <w:tcW w:w="1368"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iCs/>
                <w:sz w:val="24"/>
                <w:szCs w:val="24"/>
                <w:lang w:val="ro-RO" w:eastAsia="ro-RO"/>
              </w:rPr>
              <w:t>Arabil</w:t>
            </w:r>
          </w:p>
        </w:tc>
        <w:tc>
          <w:tcPr>
            <w:tcW w:w="1125"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257740</w:t>
            </w:r>
          </w:p>
        </w:tc>
        <w:tc>
          <w:tcPr>
            <w:tcW w:w="108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258671</w:t>
            </w:r>
          </w:p>
        </w:tc>
        <w:tc>
          <w:tcPr>
            <w:tcW w:w="10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253139</w:t>
            </w:r>
          </w:p>
        </w:tc>
        <w:tc>
          <w:tcPr>
            <w:tcW w:w="90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42390</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36521</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131168</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133854</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51041</w:t>
            </w:r>
          </w:p>
        </w:tc>
        <w:tc>
          <w:tcPr>
            <w:tcW w:w="1101"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58410</w:t>
            </w:r>
          </w:p>
        </w:tc>
        <w:tc>
          <w:tcPr>
            <w:tcW w:w="928"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26237</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23341</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6904</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6545</w:t>
            </w:r>
          </w:p>
        </w:tc>
        <w:tc>
          <w:tcPr>
            <w:tcW w:w="872"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bCs/>
                <w:iCs/>
                <w:sz w:val="24"/>
                <w:szCs w:val="24"/>
                <w:lang w:val="ro-RO" w:eastAsia="ro-RO"/>
              </w:rPr>
              <w:t>III</w:t>
            </w:r>
          </w:p>
        </w:tc>
      </w:tr>
      <w:tr w:rsidR="00A93324" w:rsidRPr="00A93324" w:rsidTr="00A42550">
        <w:trPr>
          <w:trHeight w:val="702"/>
        </w:trPr>
        <w:tc>
          <w:tcPr>
            <w:tcW w:w="1368"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iCs/>
                <w:sz w:val="24"/>
                <w:szCs w:val="24"/>
                <w:lang w:val="ro-RO" w:eastAsia="ro-RO"/>
              </w:rPr>
              <w:t>Păşuni</w:t>
            </w:r>
          </w:p>
        </w:tc>
        <w:tc>
          <w:tcPr>
            <w:tcW w:w="1125"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89206</w:t>
            </w:r>
          </w:p>
        </w:tc>
        <w:tc>
          <w:tcPr>
            <w:tcW w:w="108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89050</w:t>
            </w:r>
          </w:p>
        </w:tc>
        <w:tc>
          <w:tcPr>
            <w:tcW w:w="10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69041</w:t>
            </w:r>
          </w:p>
        </w:tc>
        <w:tc>
          <w:tcPr>
            <w:tcW w:w="90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514</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663</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10248</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9224</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28350</w:t>
            </w:r>
          </w:p>
        </w:tc>
        <w:tc>
          <w:tcPr>
            <w:tcW w:w="1101"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27419</w:t>
            </w:r>
          </w:p>
        </w:tc>
        <w:tc>
          <w:tcPr>
            <w:tcW w:w="928"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28405</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29125</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21689</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22619</w:t>
            </w:r>
          </w:p>
        </w:tc>
        <w:tc>
          <w:tcPr>
            <w:tcW w:w="872"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bCs/>
                <w:iCs/>
                <w:sz w:val="24"/>
                <w:szCs w:val="24"/>
                <w:lang w:val="ro-RO" w:eastAsia="ro-RO"/>
              </w:rPr>
              <w:t>IV</w:t>
            </w:r>
          </w:p>
        </w:tc>
      </w:tr>
      <w:tr w:rsidR="00A93324" w:rsidRPr="00A93324" w:rsidTr="00A42550">
        <w:trPr>
          <w:trHeight w:val="723"/>
        </w:trPr>
        <w:tc>
          <w:tcPr>
            <w:tcW w:w="1368"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iCs/>
                <w:sz w:val="24"/>
                <w:szCs w:val="24"/>
                <w:lang w:val="ro-RO" w:eastAsia="ro-RO"/>
              </w:rPr>
              <w:t>Fâne</w:t>
            </w:r>
            <w:r w:rsidRPr="00A93324">
              <w:rPr>
                <w:rFonts w:ascii="Tahoma" w:eastAsia="Times New Roman" w:hAnsi="Tahoma" w:cs="Arial"/>
                <w:iCs/>
                <w:sz w:val="24"/>
                <w:szCs w:val="24"/>
                <w:lang w:val="ro-RO" w:eastAsia="ro-RO"/>
              </w:rPr>
              <w:t>ţ</w:t>
            </w:r>
            <w:r w:rsidRPr="00A93324">
              <w:rPr>
                <w:rFonts w:ascii="Arial" w:eastAsia="Times New Roman" w:hAnsi="Arial" w:cs="Arial"/>
                <w:iCs/>
                <w:sz w:val="24"/>
                <w:szCs w:val="24"/>
                <w:lang w:val="ro-RO" w:eastAsia="ro-RO"/>
              </w:rPr>
              <w:t>e</w:t>
            </w:r>
          </w:p>
        </w:tc>
        <w:tc>
          <w:tcPr>
            <w:tcW w:w="1125"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28725</w:t>
            </w:r>
          </w:p>
        </w:tc>
        <w:tc>
          <w:tcPr>
            <w:tcW w:w="108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28923</w:t>
            </w:r>
          </w:p>
        </w:tc>
        <w:tc>
          <w:tcPr>
            <w:tcW w:w="10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18086</w:t>
            </w:r>
          </w:p>
        </w:tc>
        <w:tc>
          <w:tcPr>
            <w:tcW w:w="90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382</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611</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3737</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3286</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10787</w:t>
            </w:r>
          </w:p>
        </w:tc>
        <w:tc>
          <w:tcPr>
            <w:tcW w:w="1101"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10763</w:t>
            </w:r>
          </w:p>
        </w:tc>
        <w:tc>
          <w:tcPr>
            <w:tcW w:w="928"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9774</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10308</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4045</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3955</w:t>
            </w:r>
          </w:p>
        </w:tc>
        <w:tc>
          <w:tcPr>
            <w:tcW w:w="872"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bCs/>
                <w:iCs/>
                <w:sz w:val="24"/>
                <w:szCs w:val="24"/>
                <w:lang w:val="ro-RO" w:eastAsia="ro-RO"/>
              </w:rPr>
              <w:t>IV</w:t>
            </w:r>
          </w:p>
        </w:tc>
      </w:tr>
      <w:tr w:rsidR="00A93324" w:rsidRPr="00A93324" w:rsidTr="00A42550">
        <w:trPr>
          <w:trHeight w:val="703"/>
        </w:trPr>
        <w:tc>
          <w:tcPr>
            <w:tcW w:w="1368"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iCs/>
                <w:sz w:val="24"/>
                <w:szCs w:val="24"/>
                <w:lang w:val="ro-RO" w:eastAsia="ro-RO"/>
              </w:rPr>
              <w:t>Vii</w:t>
            </w:r>
          </w:p>
        </w:tc>
        <w:tc>
          <w:tcPr>
            <w:tcW w:w="1125"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15444</w:t>
            </w:r>
          </w:p>
        </w:tc>
        <w:tc>
          <w:tcPr>
            <w:tcW w:w="108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14538</w:t>
            </w:r>
          </w:p>
        </w:tc>
        <w:tc>
          <w:tcPr>
            <w:tcW w:w="10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14538</w:t>
            </w:r>
          </w:p>
        </w:tc>
        <w:tc>
          <w:tcPr>
            <w:tcW w:w="90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91</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182</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6535</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6802</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6004</w:t>
            </w:r>
          </w:p>
        </w:tc>
        <w:tc>
          <w:tcPr>
            <w:tcW w:w="1101"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5146</w:t>
            </w:r>
          </w:p>
        </w:tc>
        <w:tc>
          <w:tcPr>
            <w:tcW w:w="928"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2265</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1936</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549</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472</w:t>
            </w:r>
          </w:p>
        </w:tc>
        <w:tc>
          <w:tcPr>
            <w:tcW w:w="872"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bCs/>
                <w:iCs/>
                <w:sz w:val="24"/>
                <w:szCs w:val="24"/>
                <w:lang w:val="ro-RO" w:eastAsia="ro-RO"/>
              </w:rPr>
              <w:t>III</w:t>
            </w:r>
          </w:p>
        </w:tc>
      </w:tr>
      <w:tr w:rsidR="00A93324" w:rsidRPr="00A93324" w:rsidTr="00A42550">
        <w:trPr>
          <w:trHeight w:val="697"/>
        </w:trPr>
        <w:tc>
          <w:tcPr>
            <w:tcW w:w="1368"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iCs/>
                <w:sz w:val="24"/>
                <w:szCs w:val="24"/>
                <w:lang w:val="ro-RO" w:eastAsia="ro-RO"/>
              </w:rPr>
              <w:t>Livezi</w:t>
            </w:r>
          </w:p>
        </w:tc>
        <w:tc>
          <w:tcPr>
            <w:tcW w:w="1125"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10954</w:t>
            </w:r>
          </w:p>
        </w:tc>
        <w:tc>
          <w:tcPr>
            <w:tcW w:w="108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10713</w:t>
            </w:r>
          </w:p>
        </w:tc>
        <w:tc>
          <w:tcPr>
            <w:tcW w:w="10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8741</w:t>
            </w:r>
          </w:p>
        </w:tc>
        <w:tc>
          <w:tcPr>
            <w:tcW w:w="90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2627</w:t>
            </w:r>
          </w:p>
        </w:tc>
        <w:tc>
          <w:tcPr>
            <w:tcW w:w="1073"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2603</w:t>
            </w:r>
          </w:p>
        </w:tc>
        <w:tc>
          <w:tcPr>
            <w:tcW w:w="107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4713</w:t>
            </w:r>
          </w:p>
        </w:tc>
        <w:tc>
          <w:tcPr>
            <w:tcW w:w="1101"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4460</w:t>
            </w:r>
          </w:p>
        </w:tc>
        <w:tc>
          <w:tcPr>
            <w:tcW w:w="928"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2754</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2689</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859</w:t>
            </w:r>
          </w:p>
        </w:tc>
        <w:tc>
          <w:tcPr>
            <w:tcW w:w="900"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960</w:t>
            </w:r>
          </w:p>
        </w:tc>
        <w:tc>
          <w:tcPr>
            <w:tcW w:w="872"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bCs/>
                <w:iCs/>
                <w:sz w:val="24"/>
                <w:szCs w:val="24"/>
                <w:lang w:val="ro-RO" w:eastAsia="ro-RO"/>
              </w:rPr>
              <w:t>III</w:t>
            </w:r>
          </w:p>
        </w:tc>
      </w:tr>
      <w:tr w:rsidR="00A93324" w:rsidRPr="00A93324" w:rsidTr="00A42550">
        <w:trPr>
          <w:trHeight w:val="719"/>
        </w:trPr>
        <w:tc>
          <w:tcPr>
            <w:tcW w:w="1368" w:type="dxa"/>
            <w:tcBorders>
              <w:top w:val="nil"/>
              <w:left w:val="double" w:sz="4" w:space="0" w:color="auto"/>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iCs/>
                <w:sz w:val="24"/>
                <w:szCs w:val="24"/>
                <w:lang w:val="ro-RO" w:eastAsia="ro-RO"/>
              </w:rPr>
              <w:t>Total agricol</w:t>
            </w:r>
          </w:p>
        </w:tc>
        <w:tc>
          <w:tcPr>
            <w:tcW w:w="1125"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bCs/>
                <w:sz w:val="24"/>
                <w:szCs w:val="24"/>
                <w:lang w:val="ro-RO"/>
              </w:rPr>
            </w:pPr>
            <w:r w:rsidRPr="00A93324">
              <w:rPr>
                <w:rFonts w:ascii="Arial" w:eastAsia="Times New Roman" w:hAnsi="Arial" w:cs="Arial"/>
                <w:bCs/>
                <w:sz w:val="24"/>
                <w:szCs w:val="24"/>
                <w:lang w:val="ro-RO"/>
              </w:rPr>
              <w:t>402069</w:t>
            </w:r>
          </w:p>
        </w:tc>
        <w:tc>
          <w:tcPr>
            <w:tcW w:w="1080"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401895</w:t>
            </w:r>
          </w:p>
        </w:tc>
        <w:tc>
          <w:tcPr>
            <w:tcW w:w="1071"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363545</w:t>
            </w:r>
          </w:p>
        </w:tc>
        <w:tc>
          <w:tcPr>
            <w:tcW w:w="909"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bCs/>
                <w:sz w:val="24"/>
                <w:szCs w:val="24"/>
                <w:lang w:val="ro-RO"/>
              </w:rPr>
            </w:pPr>
            <w:r w:rsidRPr="00A93324">
              <w:rPr>
                <w:rFonts w:ascii="Arial" w:eastAsia="Times New Roman" w:hAnsi="Arial" w:cs="Arial"/>
                <w:bCs/>
                <w:sz w:val="24"/>
                <w:szCs w:val="24"/>
                <w:lang w:val="ro-RO"/>
              </w:rPr>
              <w:t>43378</w:t>
            </w:r>
          </w:p>
        </w:tc>
        <w:tc>
          <w:tcPr>
            <w:tcW w:w="900"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37978</w:t>
            </w:r>
          </w:p>
        </w:tc>
        <w:tc>
          <w:tcPr>
            <w:tcW w:w="1073"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154315</w:t>
            </w:r>
          </w:p>
        </w:tc>
        <w:tc>
          <w:tcPr>
            <w:tcW w:w="1073"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155769</w:t>
            </w:r>
          </w:p>
        </w:tc>
        <w:tc>
          <w:tcPr>
            <w:tcW w:w="1073"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100895</w:t>
            </w:r>
          </w:p>
        </w:tc>
        <w:tc>
          <w:tcPr>
            <w:tcW w:w="1101"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106198</w:t>
            </w:r>
          </w:p>
        </w:tc>
        <w:tc>
          <w:tcPr>
            <w:tcW w:w="928"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69435</w:t>
            </w:r>
          </w:p>
        </w:tc>
        <w:tc>
          <w:tcPr>
            <w:tcW w:w="900"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67399</w:t>
            </w:r>
          </w:p>
        </w:tc>
        <w:tc>
          <w:tcPr>
            <w:tcW w:w="90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Cs/>
                <w:sz w:val="24"/>
                <w:szCs w:val="24"/>
                <w:lang w:val="ro-RO"/>
              </w:rPr>
            </w:pPr>
            <w:r w:rsidRPr="00A93324">
              <w:rPr>
                <w:rFonts w:ascii="Arial" w:eastAsia="SimSun" w:hAnsi="Arial" w:cs="Arial"/>
                <w:bCs/>
                <w:sz w:val="24"/>
                <w:szCs w:val="24"/>
                <w:lang w:val="ro-RO"/>
              </w:rPr>
              <w:t>30046</w:t>
            </w:r>
          </w:p>
        </w:tc>
        <w:tc>
          <w:tcPr>
            <w:tcW w:w="900"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autoSpaceDE w:val="0"/>
              <w:autoSpaceDN w:val="0"/>
              <w:adjustRightInd w:val="0"/>
              <w:spacing w:after="120" w:line="191" w:lineRule="atLeast"/>
              <w:jc w:val="center"/>
              <w:rPr>
                <w:rFonts w:ascii="Arial" w:eastAsia="Times New Roman" w:hAnsi="Arial" w:cs="Arial"/>
                <w:sz w:val="24"/>
                <w:szCs w:val="24"/>
                <w:lang w:val="ro-RO"/>
              </w:rPr>
            </w:pPr>
            <w:r w:rsidRPr="00A93324">
              <w:rPr>
                <w:rFonts w:ascii="Arial" w:eastAsia="Times New Roman" w:hAnsi="Arial" w:cs="Arial"/>
                <w:sz w:val="24"/>
                <w:szCs w:val="24"/>
                <w:lang w:val="ro-RO"/>
              </w:rPr>
              <w:t>34551</w:t>
            </w:r>
          </w:p>
        </w:tc>
        <w:tc>
          <w:tcPr>
            <w:tcW w:w="872" w:type="dxa"/>
            <w:tcBorders>
              <w:top w:val="nil"/>
              <w:left w:val="nil"/>
              <w:bottom w:val="doub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iCs/>
                <w:sz w:val="24"/>
                <w:szCs w:val="24"/>
                <w:lang w:val="ro-RO" w:eastAsia="ro-RO"/>
              </w:rPr>
            </w:pPr>
            <w:r w:rsidRPr="00A93324">
              <w:rPr>
                <w:rFonts w:ascii="Arial" w:eastAsia="Times New Roman" w:hAnsi="Arial" w:cs="Arial"/>
                <w:iCs/>
                <w:sz w:val="24"/>
                <w:szCs w:val="24"/>
                <w:lang w:val="ro-RO" w:eastAsia="ro-RO"/>
              </w:rPr>
              <w:t>III</w:t>
            </w:r>
          </w:p>
        </w:tc>
      </w:tr>
    </w:tbl>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 xml:space="preserve">Tabelul III.1.1. - 1 Clase de calitate ale solurilor din judeţul Buzău,  comparativ intre anii  2010 si  2014 </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p>
    <w:p w:rsidR="00A93324" w:rsidRPr="00A93324" w:rsidRDefault="00A93324" w:rsidP="00A93324">
      <w:pPr>
        <w:tabs>
          <w:tab w:val="left" w:pos="1276"/>
          <w:tab w:val="left" w:leader="dot" w:pos="9356"/>
        </w:tabs>
        <w:spacing w:after="120" w:line="240" w:lineRule="auto"/>
        <w:ind w:left="708"/>
        <w:jc w:val="right"/>
        <w:rPr>
          <w:rFonts w:ascii="Arial" w:eastAsia="SimSun" w:hAnsi="Arial" w:cs="Arial"/>
          <w:i/>
          <w:iCs/>
          <w:sz w:val="24"/>
          <w:szCs w:val="24"/>
          <w:lang w:val="ro-RO"/>
        </w:rPr>
      </w:pPr>
      <w:r w:rsidRPr="00A93324">
        <w:rPr>
          <w:rFonts w:ascii="Arial" w:eastAsia="SimSun" w:hAnsi="Arial" w:cs="Arial"/>
          <w:i/>
          <w:iCs/>
          <w:sz w:val="24"/>
          <w:szCs w:val="24"/>
          <w:lang w:val="ro-RO"/>
        </w:rPr>
        <w:t>Sursa: Oficiul de Studii Pedologice şi Agrochimice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sectPr w:rsidR="00A93324" w:rsidRPr="00A93324" w:rsidSect="00A42550">
          <w:pgSz w:w="16838" w:h="11906" w:orient="landscape"/>
          <w:pgMar w:top="851" w:right="851" w:bottom="851" w:left="1418" w:header="709" w:footer="709" w:gutter="0"/>
          <w:cols w:space="708"/>
          <w:docGrid w:linePitch="360"/>
        </w:sectPr>
      </w:pPr>
    </w:p>
    <w:p w:rsidR="00A93324" w:rsidRPr="00A93324" w:rsidRDefault="00A93324" w:rsidP="00A93324">
      <w:pPr>
        <w:tabs>
          <w:tab w:val="left" w:pos="1276"/>
          <w:tab w:val="left" w:leader="dot" w:pos="9356"/>
        </w:tabs>
        <w:spacing w:after="120" w:line="240" w:lineRule="auto"/>
        <w:jc w:val="both"/>
        <w:rPr>
          <w:rFonts w:ascii="Arial" w:eastAsia="SimSun" w:hAnsi="Arial" w:cs="Arial"/>
          <w:b/>
          <w:iCs/>
          <w:sz w:val="24"/>
          <w:szCs w:val="24"/>
          <w:lang w:val="ro-RO"/>
        </w:rPr>
      </w:pPr>
      <w:r w:rsidRPr="00A93324">
        <w:rPr>
          <w:rFonts w:ascii="Arial" w:eastAsia="SimSun" w:hAnsi="Arial" w:cs="Arial"/>
          <w:b/>
          <w:i/>
          <w:iCs/>
          <w:sz w:val="24"/>
          <w:szCs w:val="24"/>
          <w:lang w:val="ro-RO"/>
        </w:rPr>
        <w:lastRenderedPageBreak/>
        <w:t>Fig.</w:t>
      </w:r>
      <w:r w:rsidRPr="00A93324">
        <w:rPr>
          <w:rFonts w:ascii="Arial" w:eastAsia="SimSun" w:hAnsi="Arial" w:cs="Arial"/>
          <w:b/>
          <w:iCs/>
          <w:sz w:val="24"/>
          <w:szCs w:val="24"/>
          <w:lang w:val="ro-RO"/>
        </w:rPr>
        <w:t xml:space="preserve"> </w:t>
      </w:r>
      <w:r w:rsidRPr="00A93324">
        <w:rPr>
          <w:rFonts w:ascii="Arial" w:eastAsia="SimSun" w:hAnsi="Arial" w:cs="Arial"/>
          <w:b/>
          <w:bCs/>
          <w:i/>
          <w:sz w:val="24"/>
          <w:szCs w:val="24"/>
          <w:lang w:val="ro-RO"/>
        </w:rPr>
        <w:t xml:space="preserve">III.1.1. – 1  Clasificarea terenurilor pe categorii de folosinţă şi clase calitate, comparaţie între anii 2010 – 2014 </w:t>
      </w:r>
    </w:p>
    <w:p w:rsidR="00A93324" w:rsidRPr="00A93324" w:rsidRDefault="00A93324" w:rsidP="00A93324">
      <w:pPr>
        <w:tabs>
          <w:tab w:val="left" w:pos="1276"/>
          <w:tab w:val="left" w:leader="dot" w:pos="9356"/>
        </w:tabs>
        <w:spacing w:after="120" w:line="240" w:lineRule="auto"/>
        <w:jc w:val="both"/>
        <w:rPr>
          <w:rFonts w:ascii="Arial" w:eastAsia="SimSun" w:hAnsi="Arial" w:cs="Arial"/>
          <w:bCs/>
          <w:sz w:val="24"/>
          <w:szCs w:val="24"/>
          <w:lang w:val="ro-RO"/>
        </w:rPr>
      </w:pPr>
      <w:r>
        <w:rPr>
          <w:rFonts w:ascii="Arial" w:eastAsia="SimSun" w:hAnsi="Arial" w:cs="Arial"/>
          <w:i/>
          <w:noProof/>
          <w:sz w:val="24"/>
          <w:szCs w:val="24"/>
          <w:lang w:val="ro-RO" w:eastAsia="ro-RO"/>
        </w:rPr>
        <w:drawing>
          <wp:inline distT="0" distB="0" distL="0" distR="0">
            <wp:extent cx="5724525" cy="2571750"/>
            <wp:effectExtent l="0" t="0" r="0" b="0"/>
            <wp:docPr id="272" name="Object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Arial" w:eastAsia="SimSun" w:hAnsi="Arial" w:cs="Arial"/>
          <w:i/>
          <w:noProof/>
          <w:sz w:val="24"/>
          <w:szCs w:val="24"/>
          <w:lang w:val="ro-RO" w:eastAsia="ro-RO"/>
        </w:rPr>
        <w:drawing>
          <wp:inline distT="0" distB="0" distL="0" distR="0">
            <wp:extent cx="5715000" cy="2819400"/>
            <wp:effectExtent l="0" t="0" r="0" b="0"/>
            <wp:docPr id="271" name="Object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93324" w:rsidRPr="00A93324" w:rsidRDefault="00A93324" w:rsidP="00A93324">
      <w:pPr>
        <w:tabs>
          <w:tab w:val="left" w:pos="1276"/>
          <w:tab w:val="left" w:leader="dot" w:pos="9356"/>
        </w:tabs>
        <w:spacing w:after="120" w:line="240" w:lineRule="auto"/>
        <w:jc w:val="right"/>
        <w:rPr>
          <w:rFonts w:ascii="Arial" w:eastAsia="SimSun" w:hAnsi="Arial" w:cs="Arial"/>
          <w:iCs/>
          <w:sz w:val="24"/>
          <w:szCs w:val="24"/>
          <w:lang w:val="ro-RO"/>
        </w:rPr>
      </w:pPr>
      <w:r w:rsidRPr="00A93324">
        <w:rPr>
          <w:rFonts w:ascii="Arial" w:eastAsia="SimSun" w:hAnsi="Arial" w:cs="Arial"/>
          <w:sz w:val="24"/>
          <w:szCs w:val="24"/>
          <w:lang w:val="ro-RO"/>
        </w:rPr>
        <w:t xml:space="preserve">Sursa: </w:t>
      </w:r>
      <w:r w:rsidRPr="00A93324">
        <w:rPr>
          <w:rFonts w:ascii="Arial" w:eastAsia="SimSun" w:hAnsi="Arial" w:cs="Arial"/>
          <w:i/>
          <w:iCs/>
          <w:sz w:val="24"/>
          <w:szCs w:val="24"/>
          <w:lang w:val="ro-RO"/>
        </w:rPr>
        <w:t>Oficiul de Studii Pedologice şi Agrochimice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b/>
          <w:i/>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bCs/>
          <w:i/>
          <w:sz w:val="24"/>
          <w:szCs w:val="24"/>
          <w:lang w:val="ro-RO"/>
        </w:rPr>
      </w:pPr>
      <w:r w:rsidRPr="00A93324">
        <w:rPr>
          <w:rFonts w:ascii="Arial" w:eastAsia="SimSun" w:hAnsi="Arial" w:cs="Arial"/>
          <w:b/>
          <w:i/>
          <w:iCs/>
          <w:sz w:val="24"/>
          <w:szCs w:val="24"/>
          <w:lang w:val="ro-RO"/>
        </w:rPr>
        <w:t>Fig.</w:t>
      </w:r>
      <w:r w:rsidRPr="00A93324">
        <w:rPr>
          <w:rFonts w:ascii="Arial" w:eastAsia="SimSun" w:hAnsi="Arial" w:cs="Arial"/>
          <w:b/>
          <w:iCs/>
          <w:sz w:val="24"/>
          <w:szCs w:val="24"/>
          <w:lang w:val="ro-RO"/>
        </w:rPr>
        <w:t xml:space="preserve"> </w:t>
      </w:r>
      <w:r w:rsidRPr="00A93324">
        <w:rPr>
          <w:rFonts w:ascii="Arial" w:eastAsia="SimSun" w:hAnsi="Arial" w:cs="Arial"/>
          <w:b/>
          <w:bCs/>
          <w:i/>
          <w:sz w:val="24"/>
          <w:szCs w:val="24"/>
          <w:lang w:val="ro-RO"/>
        </w:rPr>
        <w:t xml:space="preserve">III.1.1. – 2  Repartiţia terenurilor agricole pe categorii de folosinţă în anul 2014 </w:t>
      </w:r>
    </w:p>
    <w:p w:rsidR="00A93324" w:rsidRPr="00A93324" w:rsidRDefault="00A93324" w:rsidP="00A93324">
      <w:pPr>
        <w:tabs>
          <w:tab w:val="left" w:pos="1276"/>
          <w:tab w:val="left" w:leader="dot" w:pos="9356"/>
        </w:tabs>
        <w:spacing w:after="120" w:line="240" w:lineRule="auto"/>
        <w:jc w:val="both"/>
        <w:rPr>
          <w:rFonts w:ascii="Arial" w:eastAsia="SimSun" w:hAnsi="Arial" w:cs="Arial"/>
          <w:bCs/>
          <w:sz w:val="24"/>
          <w:szCs w:val="24"/>
          <w:lang w:val="ro-RO"/>
        </w:rPr>
      </w:pPr>
      <w:r>
        <w:rPr>
          <w:rFonts w:ascii="Times New Roman" w:eastAsia="SimSun" w:hAnsi="Times New Roman"/>
          <w:b/>
          <w:noProof/>
          <w:sz w:val="24"/>
          <w:szCs w:val="24"/>
          <w:lang w:val="ro-RO" w:eastAsia="ro-RO"/>
        </w:rPr>
        <w:lastRenderedPageBreak/>
        <w:drawing>
          <wp:inline distT="0" distB="0" distL="0" distR="0">
            <wp:extent cx="5724525" cy="2686050"/>
            <wp:effectExtent l="0" t="0" r="0" b="0"/>
            <wp:docPr id="270" name="Object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93324" w:rsidRPr="00A93324" w:rsidRDefault="00A93324" w:rsidP="00A93324">
      <w:pPr>
        <w:spacing w:after="120" w:line="240" w:lineRule="auto"/>
        <w:jc w:val="right"/>
        <w:rPr>
          <w:rFonts w:ascii="Arial" w:hAnsi="Arial" w:cs="Arial"/>
          <w:i/>
          <w:iCs/>
          <w:sz w:val="24"/>
          <w:szCs w:val="24"/>
          <w:lang w:val="ro-RO"/>
        </w:rPr>
      </w:pPr>
      <w:r w:rsidRPr="00A93324">
        <w:rPr>
          <w:rFonts w:ascii="Arial" w:hAnsi="Arial" w:cs="Arial"/>
          <w:sz w:val="24"/>
          <w:szCs w:val="24"/>
          <w:lang w:val="ro-RO"/>
        </w:rPr>
        <w:t xml:space="preserve"> </w:t>
      </w:r>
      <w:r w:rsidRPr="00A93324">
        <w:rPr>
          <w:rFonts w:ascii="Arial" w:hAnsi="Arial" w:cs="Arial"/>
          <w:i/>
          <w:sz w:val="24"/>
          <w:szCs w:val="24"/>
          <w:lang w:val="ro-RO"/>
        </w:rPr>
        <w:t xml:space="preserve">Sursa </w:t>
      </w:r>
      <w:r w:rsidRPr="00A93324">
        <w:rPr>
          <w:rFonts w:ascii="Arial" w:hAnsi="Arial" w:cs="Arial"/>
          <w:sz w:val="24"/>
          <w:szCs w:val="24"/>
          <w:lang w:val="ro-RO"/>
        </w:rPr>
        <w:t xml:space="preserve">: </w:t>
      </w:r>
      <w:r w:rsidRPr="00A93324">
        <w:rPr>
          <w:rFonts w:ascii="Arial" w:hAnsi="Arial" w:cs="Arial"/>
          <w:i/>
          <w:iCs/>
          <w:sz w:val="24"/>
          <w:szCs w:val="24"/>
          <w:lang w:val="ro-RO"/>
        </w:rPr>
        <w:t>Oficiul de Studii Pedologice şi Agrochimice Buzău</w:t>
      </w:r>
    </w:p>
    <w:p w:rsidR="00A93324" w:rsidRPr="00A93324" w:rsidRDefault="00A93324" w:rsidP="00A93324">
      <w:pPr>
        <w:spacing w:after="120" w:line="240" w:lineRule="auto"/>
        <w:jc w:val="right"/>
        <w:rPr>
          <w:rFonts w:ascii="Arial" w:hAnsi="Arial" w:cs="Arial"/>
          <w:i/>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După cum se poate observa din datele prezentate comparativ pentru anii 2010 şi 2014 suprafaţa totală a terenurilor agricole a cunoscut o uşoară scădere, nesemnificativă, cu 174 de hectare. Aceasta datorită scăderii suprafeţelor acoperite cu vii, păşuni şi livezi, care nu a compensat creşterea înregistrată în cazul suprafeţelor acoperite de terenuri arabile şi fâneţe. </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Din totalul terenurilor agricole, ponderea cea mai mare o deţin terenurile arabile (64, 36%) dintre care cele mai multe se găsesc în clasele de calitate II (50, 9% in 2010 respectiv </w:t>
      </w:r>
      <w:smartTag w:uri="urn:schemas-microsoft-com:office:smarttags" w:element="metricconverter">
        <w:smartTagPr>
          <w:attr w:name="ProductID" w:val="51,74 in"/>
        </w:smartTagPr>
        <w:r w:rsidRPr="00A93324">
          <w:rPr>
            <w:rFonts w:ascii="Arial" w:eastAsia="SimSun" w:hAnsi="Arial" w:cs="Arial"/>
            <w:iCs/>
            <w:sz w:val="24"/>
            <w:szCs w:val="24"/>
            <w:lang w:val="ro-RO"/>
          </w:rPr>
          <w:t>51,74 in</w:t>
        </w:r>
      </w:smartTag>
      <w:r w:rsidRPr="00A93324">
        <w:rPr>
          <w:rFonts w:ascii="Arial" w:eastAsia="SimSun" w:hAnsi="Arial" w:cs="Arial"/>
          <w:iCs/>
          <w:sz w:val="24"/>
          <w:szCs w:val="24"/>
          <w:lang w:val="ro-RO"/>
        </w:rPr>
        <w:t xml:space="preserve"> anul 2014 ) şi III (21,9% pentru anul 2010 şi respectiv 22,58 % pentru 2014), urmate ca pondere de păşuni (22,16% pentru 2010 şi respectiv 22,15% pentru 2014), cele mai multe dintre acestea fiind încadrate în clasele de calitate III, IV şi V, iar cea mai mică pondere o au livezile cu un procent de  2,67%.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Clasele de calitate ale terenurilor dau pretabilitatea acestora pentru folosin</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ele agricole.  Unitatea de pretabilitate a terenului reprezintă arealul rezultat prin gruparea unităţilor de teren conform unui anumit set de caracteristici specifice, în vederea stabilirii categoriilor de folosinţă.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Studiul pedologic cuprinde gruparea terenurilor agricole productive în clase de pretabilitate după folosin</w:t>
      </w:r>
      <w:r w:rsidRPr="00A93324">
        <w:rPr>
          <w:rFonts w:ascii="Arial" w:eastAsia="SimSun" w:hAnsi="Tahoma" w:cs="Arial"/>
          <w:sz w:val="24"/>
          <w:szCs w:val="24"/>
          <w:lang w:val="ro-RO"/>
        </w:rPr>
        <w:t>ţ</w:t>
      </w:r>
      <w:r w:rsidRPr="00A93324">
        <w:rPr>
          <w:rFonts w:ascii="Arial" w:eastAsia="SimSun" w:hAnsi="Arial" w:cs="Arial"/>
          <w:sz w:val="24"/>
          <w:szCs w:val="24"/>
          <w:lang w:val="ro-RO"/>
        </w:rPr>
        <w:t>ă (arabil, vii, livezi, păşuni, fâne</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e). Din acest punct de vedere terenurile variază de la cele mai bune </w:t>
      </w:r>
      <w:r w:rsidRPr="00A93324">
        <w:rPr>
          <w:rFonts w:ascii="Arial" w:eastAsia="SimSun" w:hAnsi="Tahoma" w:cs="Arial"/>
          <w:sz w:val="24"/>
          <w:szCs w:val="24"/>
          <w:lang w:val="ro-RO"/>
        </w:rPr>
        <w:t>ş</w:t>
      </w:r>
      <w:r w:rsidRPr="00A93324">
        <w:rPr>
          <w:rFonts w:ascii="Arial" w:eastAsia="SimSun" w:hAnsi="Arial" w:cs="Arial"/>
          <w:sz w:val="24"/>
          <w:szCs w:val="24"/>
          <w:lang w:val="ro-RO"/>
        </w:rPr>
        <w:t>i uşor utilizabile în agricultură până la cele fără valoare agricolă, dar care pot fi folosite în alte scopuri. Gruparea terenurilor după unitatea de pretabilitate cuprinde 6 clase de teren.</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Evoluţia repartiţiei terenurilor pe clase de pretabilitate între anii 2010 şi 2014, potrivit datelor puse la dispoziţie de Oficiul de Studii Pedologice </w:t>
      </w:r>
      <w:r w:rsidRPr="00A93324">
        <w:rPr>
          <w:rFonts w:ascii="Arial" w:eastAsia="SimSun" w:hAnsi="Tahoma" w:cs="Arial"/>
          <w:sz w:val="24"/>
          <w:szCs w:val="24"/>
          <w:lang w:val="ro-RO"/>
        </w:rPr>
        <w:t>ş</w:t>
      </w:r>
      <w:r w:rsidRPr="00A93324">
        <w:rPr>
          <w:rFonts w:ascii="Arial" w:eastAsia="SimSun" w:hAnsi="Arial" w:cs="Arial"/>
          <w:sz w:val="24"/>
          <w:szCs w:val="24"/>
          <w:lang w:val="ro-RO"/>
        </w:rPr>
        <w:t xml:space="preserve">i Agrochimice Buzău, este prezentată în tabelul III.1.1. -2 şi în graficele de mai jos.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sectPr w:rsidR="00A93324" w:rsidRPr="00A93324" w:rsidSect="00A42550">
          <w:pgSz w:w="11906" w:h="16838"/>
          <w:pgMar w:top="851" w:right="851" w:bottom="851" w:left="1418" w:header="709" w:footer="709" w:gutter="0"/>
          <w:cols w:space="708"/>
          <w:docGrid w:linePitch="360"/>
        </w:sectPr>
      </w:pPr>
    </w:p>
    <w:p w:rsidR="00A93324" w:rsidRPr="00A93324" w:rsidRDefault="00A93324" w:rsidP="00A93324">
      <w:pPr>
        <w:tabs>
          <w:tab w:val="left" w:pos="1276"/>
          <w:tab w:val="left" w:leader="dot" w:pos="9356"/>
        </w:tabs>
        <w:spacing w:after="120" w:line="240" w:lineRule="auto"/>
        <w:jc w:val="both"/>
        <w:rPr>
          <w:rFonts w:ascii="Arial" w:eastAsia="SimSun" w:hAnsi="Arial" w:cs="Arial"/>
          <w:b/>
          <w:bCs/>
          <w:i/>
          <w:sz w:val="24"/>
          <w:szCs w:val="24"/>
          <w:lang w:val="ro-RO"/>
        </w:rPr>
      </w:pPr>
      <w:r w:rsidRPr="00A93324">
        <w:rPr>
          <w:rFonts w:ascii="Arial" w:eastAsia="SimSun" w:hAnsi="Arial" w:cs="Arial"/>
          <w:b/>
          <w:bCs/>
          <w:i/>
          <w:sz w:val="24"/>
          <w:szCs w:val="24"/>
          <w:lang w:val="ro-RO"/>
        </w:rPr>
        <w:lastRenderedPageBreak/>
        <w:t>Tabelul III.1.1. - 2. Reparti</w:t>
      </w:r>
      <w:r w:rsidRPr="00A93324">
        <w:rPr>
          <w:rFonts w:ascii="Arial" w:eastAsia="SimSun" w:hAnsi="Tahoma" w:cs="Arial"/>
          <w:b/>
          <w:bCs/>
          <w:i/>
          <w:sz w:val="24"/>
          <w:szCs w:val="24"/>
          <w:lang w:val="ro-RO"/>
        </w:rPr>
        <w:t>ţ</w:t>
      </w:r>
      <w:r w:rsidRPr="00A93324">
        <w:rPr>
          <w:rFonts w:ascii="Arial" w:eastAsia="SimSun" w:hAnsi="Arial" w:cs="Arial"/>
          <w:b/>
          <w:bCs/>
          <w:i/>
          <w:sz w:val="24"/>
          <w:szCs w:val="24"/>
          <w:lang w:val="ro-RO"/>
        </w:rPr>
        <w:t>ia terenurilor pe clase de pretabilitate în jude</w:t>
      </w:r>
      <w:r w:rsidRPr="00A93324">
        <w:rPr>
          <w:rFonts w:ascii="Arial" w:eastAsia="SimSun" w:hAnsi="Tahoma" w:cs="Arial"/>
          <w:b/>
          <w:bCs/>
          <w:i/>
          <w:sz w:val="24"/>
          <w:szCs w:val="24"/>
          <w:lang w:val="ro-RO"/>
        </w:rPr>
        <w:t>ţ</w:t>
      </w:r>
      <w:r w:rsidRPr="00A93324">
        <w:rPr>
          <w:rFonts w:ascii="Arial" w:eastAsia="SimSun" w:hAnsi="Arial" w:cs="Arial"/>
          <w:b/>
          <w:bCs/>
          <w:i/>
          <w:sz w:val="24"/>
          <w:szCs w:val="24"/>
          <w:lang w:val="ro-RO"/>
        </w:rPr>
        <w:t>ul Buzău pentru anii 2010 – 2014</w:t>
      </w:r>
    </w:p>
    <w:p w:rsidR="00A93324" w:rsidRPr="00A93324" w:rsidRDefault="00A93324" w:rsidP="00A93324">
      <w:pPr>
        <w:tabs>
          <w:tab w:val="left" w:pos="1276"/>
          <w:tab w:val="left" w:leader="dot" w:pos="9356"/>
        </w:tabs>
        <w:spacing w:after="120" w:line="240" w:lineRule="auto"/>
        <w:jc w:val="both"/>
        <w:rPr>
          <w:rFonts w:ascii="Arial" w:eastAsia="SimSun" w:hAnsi="Arial" w:cs="Arial"/>
          <w:b/>
          <w:bCs/>
          <w:i/>
          <w:sz w:val="24"/>
          <w:szCs w:val="24"/>
          <w:lang w:val="ro-RO"/>
        </w:rPr>
      </w:pPr>
    </w:p>
    <w:tbl>
      <w:tblPr>
        <w:tblW w:w="15599" w:type="dxa"/>
        <w:jc w:val="center"/>
        <w:tblInd w:w="-3" w:type="dxa"/>
        <w:tblLook w:val="0000"/>
      </w:tblPr>
      <w:tblGrid>
        <w:gridCol w:w="523"/>
        <w:gridCol w:w="950"/>
        <w:gridCol w:w="723"/>
        <w:gridCol w:w="884"/>
        <w:gridCol w:w="884"/>
        <w:gridCol w:w="884"/>
        <w:gridCol w:w="884"/>
        <w:gridCol w:w="884"/>
        <w:gridCol w:w="884"/>
        <w:gridCol w:w="884"/>
        <w:gridCol w:w="884"/>
        <w:gridCol w:w="750"/>
        <w:gridCol w:w="750"/>
        <w:gridCol w:w="750"/>
        <w:gridCol w:w="750"/>
        <w:gridCol w:w="1017"/>
        <w:gridCol w:w="1017"/>
        <w:gridCol w:w="1297"/>
      </w:tblGrid>
      <w:tr w:rsidR="00A93324" w:rsidRPr="00A93324" w:rsidTr="00A42550">
        <w:trPr>
          <w:trHeight w:val="330"/>
          <w:jc w:val="center"/>
        </w:trPr>
        <w:tc>
          <w:tcPr>
            <w:tcW w:w="523" w:type="dxa"/>
            <w:vMerge w:val="restart"/>
            <w:tcBorders>
              <w:top w:val="double" w:sz="4" w:space="0" w:color="auto"/>
              <w:left w:val="double" w:sz="4" w:space="0" w:color="auto"/>
              <w:right w:val="sing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Nr crt</w:t>
            </w:r>
          </w:p>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sz w:val="24"/>
                <w:szCs w:val="24"/>
                <w:lang w:val="ro-RO" w:eastAsia="ro-RO"/>
              </w:rPr>
              <w:t> </w:t>
            </w:r>
          </w:p>
        </w:tc>
        <w:tc>
          <w:tcPr>
            <w:tcW w:w="950" w:type="dxa"/>
            <w:vMerge w:val="restart"/>
            <w:tcBorders>
              <w:top w:val="double" w:sz="4" w:space="0" w:color="auto"/>
              <w:left w:val="single" w:sz="4" w:space="0" w:color="auto"/>
              <w:right w:val="sing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Speci-fica</w:t>
            </w:r>
            <w:r w:rsidRPr="00A93324">
              <w:rPr>
                <w:rFonts w:ascii="Tahoma" w:eastAsia="Times New Roman" w:hAnsi="Tahoma" w:cs="Arial"/>
                <w:b/>
                <w:bCs/>
                <w:sz w:val="24"/>
                <w:szCs w:val="24"/>
                <w:lang w:val="ro-RO" w:eastAsia="ro-RO"/>
              </w:rPr>
              <w:t>ţ</w:t>
            </w:r>
            <w:r w:rsidRPr="00A93324">
              <w:rPr>
                <w:rFonts w:ascii="Arial" w:eastAsia="Times New Roman" w:hAnsi="Arial" w:cs="Arial"/>
                <w:b/>
                <w:bCs/>
                <w:sz w:val="24"/>
                <w:szCs w:val="24"/>
                <w:lang w:val="ro-RO" w:eastAsia="ro-RO"/>
              </w:rPr>
              <w:t>ie</w:t>
            </w:r>
          </w:p>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sz w:val="24"/>
                <w:szCs w:val="24"/>
                <w:lang w:val="ro-RO" w:eastAsia="ro-RO"/>
              </w:rPr>
              <w:t> </w:t>
            </w:r>
          </w:p>
        </w:tc>
        <w:tc>
          <w:tcPr>
            <w:tcW w:w="723" w:type="dxa"/>
            <w:vMerge w:val="restart"/>
            <w:tcBorders>
              <w:top w:val="double" w:sz="4" w:space="0" w:color="auto"/>
              <w:left w:val="single" w:sz="4" w:space="0" w:color="auto"/>
              <w:right w:val="sing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U.M.</w:t>
            </w:r>
          </w:p>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sz w:val="24"/>
                <w:szCs w:val="24"/>
                <w:lang w:val="ro-RO" w:eastAsia="ro-RO"/>
              </w:rPr>
              <w:t> </w:t>
            </w:r>
          </w:p>
        </w:tc>
        <w:tc>
          <w:tcPr>
            <w:tcW w:w="10072" w:type="dxa"/>
            <w:gridSpan w:val="12"/>
            <w:tcBorders>
              <w:top w:val="double" w:sz="4" w:space="0" w:color="auto"/>
              <w:left w:val="nil"/>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b/>
                <w:bCs/>
                <w:sz w:val="24"/>
                <w:szCs w:val="24"/>
                <w:vertAlign w:val="superscript"/>
                <w:lang w:val="ro-RO" w:eastAsia="ro-RO"/>
              </w:rPr>
            </w:pPr>
            <w:r w:rsidRPr="00A93324">
              <w:rPr>
                <w:rFonts w:ascii="Arial" w:eastAsia="Times New Roman" w:hAnsi="Arial" w:cs="Arial"/>
                <w:b/>
                <w:bCs/>
                <w:sz w:val="24"/>
                <w:szCs w:val="24"/>
                <w:lang w:val="ro-RO" w:eastAsia="ro-RO"/>
              </w:rPr>
              <w:t>Clase de bonitare ale solurilor</w:t>
            </w:r>
            <w:r w:rsidRPr="00A93324">
              <w:rPr>
                <w:rFonts w:ascii="Arial" w:eastAsia="Times New Roman" w:hAnsi="Arial" w:cs="Arial"/>
                <w:b/>
                <w:bCs/>
                <w:sz w:val="24"/>
                <w:szCs w:val="24"/>
                <w:vertAlign w:val="superscript"/>
                <w:lang w:val="ro-RO" w:eastAsia="ro-RO"/>
              </w:rPr>
              <w:t>1</w:t>
            </w:r>
          </w:p>
        </w:tc>
        <w:tc>
          <w:tcPr>
            <w:tcW w:w="2034" w:type="dxa"/>
            <w:gridSpan w:val="2"/>
            <w:vMerge w:val="restart"/>
            <w:tcBorders>
              <w:top w:val="double" w:sz="4" w:space="0" w:color="auto"/>
              <w:left w:val="single" w:sz="4" w:space="0" w:color="auto"/>
              <w:bottom w:val="single" w:sz="4" w:space="0" w:color="000000"/>
              <w:right w:val="single" w:sz="4" w:space="0" w:color="000000"/>
            </w:tcBorders>
            <w:shd w:val="clear" w:color="auto" w:fill="auto"/>
            <w:vAlign w:val="bottom"/>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Total cartat (ha)</w:t>
            </w:r>
          </w:p>
        </w:tc>
        <w:tc>
          <w:tcPr>
            <w:tcW w:w="1297" w:type="dxa"/>
            <w:vMerge w:val="restart"/>
            <w:tcBorders>
              <w:top w:val="double" w:sz="4" w:space="0" w:color="auto"/>
              <w:left w:val="single" w:sz="4" w:space="0" w:color="auto"/>
              <w:bottom w:val="single" w:sz="4" w:space="0" w:color="000000"/>
              <w:right w:val="doub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Supr. totală (ha)</w:t>
            </w:r>
          </w:p>
        </w:tc>
      </w:tr>
      <w:tr w:rsidR="00A93324" w:rsidRPr="00A93324" w:rsidTr="00A42550">
        <w:trPr>
          <w:trHeight w:val="600"/>
          <w:jc w:val="center"/>
        </w:trPr>
        <w:tc>
          <w:tcPr>
            <w:tcW w:w="523" w:type="dxa"/>
            <w:vMerge/>
            <w:tcBorders>
              <w:left w:val="double" w:sz="4" w:space="0" w:color="auto"/>
              <w:right w:val="single" w:sz="4" w:space="0" w:color="auto"/>
            </w:tcBorders>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p>
        </w:tc>
        <w:tc>
          <w:tcPr>
            <w:tcW w:w="950" w:type="dxa"/>
            <w:vMerge/>
            <w:tcBorders>
              <w:left w:val="single" w:sz="4" w:space="0" w:color="auto"/>
              <w:right w:val="single" w:sz="4" w:space="0" w:color="auto"/>
            </w:tcBorders>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p>
        </w:tc>
        <w:tc>
          <w:tcPr>
            <w:tcW w:w="723" w:type="dxa"/>
            <w:vMerge/>
            <w:tcBorders>
              <w:left w:val="single" w:sz="4" w:space="0" w:color="auto"/>
              <w:right w:val="single" w:sz="4" w:space="0" w:color="auto"/>
            </w:tcBorders>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I</w:t>
            </w: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II</w:t>
            </w: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III</w:t>
            </w:r>
          </w:p>
        </w:tc>
        <w:tc>
          <w:tcPr>
            <w:tcW w:w="1768" w:type="dxa"/>
            <w:gridSpan w:val="2"/>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IV</w:t>
            </w:r>
          </w:p>
        </w:tc>
        <w:tc>
          <w:tcPr>
            <w:tcW w:w="1500" w:type="dxa"/>
            <w:gridSpan w:val="2"/>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V</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VI</w:t>
            </w:r>
          </w:p>
        </w:tc>
        <w:tc>
          <w:tcPr>
            <w:tcW w:w="2034" w:type="dxa"/>
            <w:gridSpan w:val="2"/>
            <w:vMerge/>
            <w:tcBorders>
              <w:top w:val="nil"/>
              <w:left w:val="nil"/>
              <w:bottom w:val="single" w:sz="4" w:space="0" w:color="auto"/>
              <w:right w:val="single" w:sz="4" w:space="0" w:color="auto"/>
            </w:tcBorders>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p>
        </w:tc>
        <w:tc>
          <w:tcPr>
            <w:tcW w:w="1297" w:type="dxa"/>
            <w:vMerge/>
            <w:tcBorders>
              <w:top w:val="single" w:sz="4" w:space="0" w:color="auto"/>
              <w:left w:val="single" w:sz="4" w:space="0" w:color="auto"/>
              <w:bottom w:val="single" w:sz="4" w:space="0" w:color="000000"/>
              <w:right w:val="double" w:sz="4" w:space="0" w:color="auto"/>
            </w:tcBorders>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p>
        </w:tc>
      </w:tr>
      <w:tr w:rsidR="00A93324" w:rsidRPr="00A93324" w:rsidTr="00A42550">
        <w:trPr>
          <w:trHeight w:val="782"/>
          <w:jc w:val="center"/>
        </w:trPr>
        <w:tc>
          <w:tcPr>
            <w:tcW w:w="523" w:type="dxa"/>
            <w:vMerge/>
            <w:tcBorders>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sz w:val="24"/>
                <w:szCs w:val="24"/>
                <w:lang w:val="ro-RO" w:eastAsia="ro-RO"/>
              </w:rPr>
            </w:pPr>
          </w:p>
        </w:tc>
        <w:tc>
          <w:tcPr>
            <w:tcW w:w="950" w:type="dxa"/>
            <w:vMerge/>
            <w:tcBorders>
              <w:left w:val="sing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sz w:val="24"/>
                <w:szCs w:val="24"/>
                <w:lang w:val="ro-RO" w:eastAsia="ro-RO"/>
              </w:rPr>
            </w:pPr>
          </w:p>
        </w:tc>
        <w:tc>
          <w:tcPr>
            <w:tcW w:w="723" w:type="dxa"/>
            <w:vMerge/>
            <w:tcBorders>
              <w:left w:val="sing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center"/>
              <w:rPr>
                <w:rFonts w:ascii="Arial" w:eastAsia="Times New Roman" w:hAnsi="Arial" w:cs="Arial"/>
                <w:sz w:val="24"/>
                <w:szCs w:val="24"/>
                <w:lang w:val="ro-RO" w:eastAsia="ro-RO"/>
              </w:rPr>
            </w:pP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2010</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2014</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2010</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2014</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2010</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2014</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2010</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2014</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2010</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2014</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2010</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2014</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2010</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r w:rsidRPr="00A93324">
              <w:rPr>
                <w:rFonts w:ascii="Arial" w:eastAsia="Times New Roman" w:hAnsi="Arial" w:cs="Arial"/>
                <w:b/>
                <w:bCs/>
                <w:sz w:val="24"/>
                <w:szCs w:val="24"/>
                <w:lang w:val="ro-RO" w:eastAsia="ro-RO"/>
              </w:rPr>
              <w:t>2014</w:t>
            </w:r>
          </w:p>
        </w:tc>
        <w:tc>
          <w:tcPr>
            <w:tcW w:w="1297" w:type="dxa"/>
            <w:vMerge/>
            <w:tcBorders>
              <w:top w:val="single" w:sz="4" w:space="0" w:color="auto"/>
              <w:left w:val="single" w:sz="4" w:space="0" w:color="auto"/>
              <w:bottom w:val="single" w:sz="4" w:space="0" w:color="000000"/>
              <w:right w:val="double" w:sz="4" w:space="0" w:color="auto"/>
            </w:tcBorders>
            <w:vAlign w:val="center"/>
          </w:tcPr>
          <w:p w:rsidR="00A93324" w:rsidRPr="00A93324" w:rsidRDefault="00A93324" w:rsidP="00A93324">
            <w:pPr>
              <w:spacing w:after="120" w:line="240" w:lineRule="auto"/>
              <w:jc w:val="center"/>
              <w:rPr>
                <w:rFonts w:ascii="Arial" w:eastAsia="Times New Roman" w:hAnsi="Arial" w:cs="Arial"/>
                <w:b/>
                <w:bCs/>
                <w:sz w:val="24"/>
                <w:szCs w:val="24"/>
                <w:lang w:val="ro-RO" w:eastAsia="ro-RO"/>
              </w:rPr>
            </w:pPr>
          </w:p>
        </w:tc>
      </w:tr>
      <w:tr w:rsidR="00A93324" w:rsidRPr="00A93324" w:rsidTr="00A42550">
        <w:trPr>
          <w:trHeight w:val="708"/>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w:t>
            </w:r>
          </w:p>
        </w:tc>
        <w:tc>
          <w:tcPr>
            <w:tcW w:w="9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Arabil</w:t>
            </w:r>
          </w:p>
        </w:tc>
        <w:tc>
          <w:tcPr>
            <w:tcW w:w="72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ha</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23853</w:t>
            </w:r>
          </w:p>
        </w:tc>
        <w:tc>
          <w:tcPr>
            <w:tcW w:w="884"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35206</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18752</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39298</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4682</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6414</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4678</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3218</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8104</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1134</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560</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209</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53329</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85480</w:t>
            </w:r>
          </w:p>
        </w:tc>
        <w:tc>
          <w:tcPr>
            <w:tcW w:w="1297"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258671</w:t>
            </w:r>
          </w:p>
        </w:tc>
      </w:tr>
      <w:tr w:rsidR="00A93324" w:rsidRPr="00A93324" w:rsidTr="00A42550">
        <w:trPr>
          <w:trHeight w:val="608"/>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2</w:t>
            </w:r>
          </w:p>
        </w:tc>
        <w:tc>
          <w:tcPr>
            <w:tcW w:w="9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Pajişti*</w:t>
            </w:r>
          </w:p>
        </w:tc>
        <w:tc>
          <w:tcPr>
            <w:tcW w:w="72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ha</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70</w:t>
            </w:r>
          </w:p>
        </w:tc>
        <w:tc>
          <w:tcPr>
            <w:tcW w:w="884"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65</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8190</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9717</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9164</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7051</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12849</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16385</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171</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2044</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1837</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138</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32281</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35400</w:t>
            </w:r>
          </w:p>
        </w:tc>
        <w:tc>
          <w:tcPr>
            <w:tcW w:w="1297"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117973</w:t>
            </w:r>
          </w:p>
        </w:tc>
      </w:tr>
      <w:tr w:rsidR="00A93324" w:rsidRPr="00A93324" w:rsidTr="00A42550">
        <w:trPr>
          <w:trHeight w:val="661"/>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w:t>
            </w:r>
          </w:p>
        </w:tc>
        <w:tc>
          <w:tcPr>
            <w:tcW w:w="9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Vii</w:t>
            </w:r>
          </w:p>
        </w:tc>
        <w:tc>
          <w:tcPr>
            <w:tcW w:w="72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ha</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327</w:t>
            </w:r>
          </w:p>
        </w:tc>
        <w:tc>
          <w:tcPr>
            <w:tcW w:w="884"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585</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471</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1433</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441</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689</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2540</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1090</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257</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355</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62</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654</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4098</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4805</w:t>
            </w:r>
          </w:p>
        </w:tc>
        <w:tc>
          <w:tcPr>
            <w:tcW w:w="1297"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14538</w:t>
            </w:r>
          </w:p>
        </w:tc>
      </w:tr>
      <w:tr w:rsidR="00A93324" w:rsidRPr="00A93324" w:rsidTr="00A42550">
        <w:trPr>
          <w:trHeight w:val="740"/>
          <w:jc w:val="center"/>
        </w:trPr>
        <w:tc>
          <w:tcPr>
            <w:tcW w:w="523"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4</w:t>
            </w:r>
          </w:p>
        </w:tc>
        <w:tc>
          <w:tcPr>
            <w:tcW w:w="9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Livezi</w:t>
            </w:r>
          </w:p>
        </w:tc>
        <w:tc>
          <w:tcPr>
            <w:tcW w:w="723"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ha</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107</w:t>
            </w:r>
          </w:p>
        </w:tc>
        <w:tc>
          <w:tcPr>
            <w:tcW w:w="884" w:type="dxa"/>
            <w:tcBorders>
              <w:top w:val="nil"/>
              <w:left w:val="nil"/>
              <w:bottom w:val="sing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91</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559</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312</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517</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398</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506</w:t>
            </w:r>
          </w:p>
        </w:tc>
        <w:tc>
          <w:tcPr>
            <w:tcW w:w="884"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551</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110</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70</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310</w:t>
            </w:r>
          </w:p>
        </w:tc>
        <w:tc>
          <w:tcPr>
            <w:tcW w:w="75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723</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2108</w:t>
            </w:r>
          </w:p>
        </w:tc>
        <w:tc>
          <w:tcPr>
            <w:tcW w:w="1017"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2145</w:t>
            </w:r>
          </w:p>
        </w:tc>
        <w:tc>
          <w:tcPr>
            <w:tcW w:w="1297"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10713</w:t>
            </w:r>
          </w:p>
        </w:tc>
      </w:tr>
      <w:tr w:rsidR="00A93324" w:rsidRPr="00A93324" w:rsidTr="00A42550">
        <w:trPr>
          <w:trHeight w:val="1000"/>
          <w:jc w:val="center"/>
        </w:trPr>
        <w:tc>
          <w:tcPr>
            <w:tcW w:w="1473" w:type="dxa"/>
            <w:gridSpan w:val="2"/>
            <w:tcBorders>
              <w:top w:val="single" w:sz="4" w:space="0" w:color="auto"/>
              <w:left w:val="double" w:sz="4" w:space="0" w:color="auto"/>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b/>
                <w:sz w:val="24"/>
                <w:szCs w:val="24"/>
                <w:lang w:val="ro-RO" w:eastAsia="ro-RO"/>
              </w:rPr>
            </w:pPr>
            <w:r w:rsidRPr="00A93324">
              <w:rPr>
                <w:rFonts w:ascii="Arial" w:eastAsia="Times New Roman" w:hAnsi="Arial" w:cs="Arial"/>
                <w:b/>
                <w:sz w:val="24"/>
                <w:szCs w:val="24"/>
                <w:lang w:val="ro-RO" w:eastAsia="ro-RO"/>
              </w:rPr>
              <w:t xml:space="preserve">Total </w:t>
            </w:r>
          </w:p>
        </w:tc>
        <w:tc>
          <w:tcPr>
            <w:tcW w:w="723"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ha</w:t>
            </w:r>
          </w:p>
        </w:tc>
        <w:tc>
          <w:tcPr>
            <w:tcW w:w="884"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bCs/>
                <w:sz w:val="24"/>
                <w:szCs w:val="24"/>
                <w:lang w:val="ro-RO" w:eastAsia="ro-RO"/>
              </w:rPr>
              <w:t>24357</w:t>
            </w:r>
          </w:p>
        </w:tc>
        <w:tc>
          <w:tcPr>
            <w:tcW w:w="884" w:type="dxa"/>
            <w:tcBorders>
              <w:top w:val="nil"/>
              <w:left w:val="nil"/>
              <w:bottom w:val="double" w:sz="4" w:space="0" w:color="auto"/>
              <w:right w:val="single" w:sz="4" w:space="0" w:color="auto"/>
            </w:tcBorders>
            <w:shd w:val="clear" w:color="auto" w:fill="auto"/>
            <w:noWrap/>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35947</w:t>
            </w:r>
          </w:p>
        </w:tc>
        <w:tc>
          <w:tcPr>
            <w:tcW w:w="884"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bCs/>
                <w:sz w:val="24"/>
                <w:szCs w:val="24"/>
                <w:lang w:val="ro-RO" w:eastAsia="ro-RO"/>
              </w:rPr>
              <w:t>27972</w:t>
            </w:r>
          </w:p>
        </w:tc>
        <w:tc>
          <w:tcPr>
            <w:tcW w:w="884"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50760</w:t>
            </w:r>
          </w:p>
        </w:tc>
        <w:tc>
          <w:tcPr>
            <w:tcW w:w="884"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SimSun" w:hAnsi="Arial" w:cs="Arial"/>
                <w:bCs/>
                <w:sz w:val="24"/>
                <w:szCs w:val="24"/>
                <w:lang w:val="ro-RO"/>
              </w:rPr>
              <w:t>14803</w:t>
            </w:r>
          </w:p>
        </w:tc>
        <w:tc>
          <w:tcPr>
            <w:tcW w:w="884"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14552</w:t>
            </w:r>
          </w:p>
        </w:tc>
        <w:tc>
          <w:tcPr>
            <w:tcW w:w="884"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bCs/>
                <w:sz w:val="24"/>
                <w:szCs w:val="24"/>
                <w:lang w:val="ro-RO" w:eastAsia="ro-RO"/>
              </w:rPr>
              <w:t>20573</w:t>
            </w:r>
          </w:p>
        </w:tc>
        <w:tc>
          <w:tcPr>
            <w:tcW w:w="884"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21244</w:t>
            </w:r>
          </w:p>
        </w:tc>
        <w:tc>
          <w:tcPr>
            <w:tcW w:w="75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bCs/>
                <w:sz w:val="24"/>
                <w:szCs w:val="24"/>
                <w:lang w:val="ro-RO" w:eastAsia="ro-RO"/>
              </w:rPr>
              <w:t>1342</w:t>
            </w:r>
          </w:p>
        </w:tc>
        <w:tc>
          <w:tcPr>
            <w:tcW w:w="75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3603</w:t>
            </w:r>
          </w:p>
        </w:tc>
        <w:tc>
          <w:tcPr>
            <w:tcW w:w="75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SimSun" w:hAnsi="Arial" w:cs="Arial"/>
                <w:bCs/>
                <w:sz w:val="24"/>
                <w:szCs w:val="24"/>
                <w:lang w:val="ro-RO"/>
              </w:rPr>
              <w:t>2769</w:t>
            </w:r>
          </w:p>
        </w:tc>
        <w:tc>
          <w:tcPr>
            <w:tcW w:w="75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1724</w:t>
            </w:r>
          </w:p>
        </w:tc>
        <w:tc>
          <w:tcPr>
            <w:tcW w:w="1017"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bCs/>
                <w:sz w:val="24"/>
                <w:szCs w:val="24"/>
                <w:lang w:val="ro-RO" w:eastAsia="ro-RO"/>
              </w:rPr>
              <w:t>91816</w:t>
            </w:r>
          </w:p>
        </w:tc>
        <w:tc>
          <w:tcPr>
            <w:tcW w:w="1017"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127830</w:t>
            </w:r>
          </w:p>
        </w:tc>
        <w:tc>
          <w:tcPr>
            <w:tcW w:w="1297" w:type="dxa"/>
            <w:tcBorders>
              <w:top w:val="nil"/>
              <w:left w:val="nil"/>
              <w:bottom w:val="doub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eastAsia="ro-RO"/>
              </w:rPr>
            </w:pPr>
            <w:r w:rsidRPr="00A93324">
              <w:rPr>
                <w:rFonts w:ascii="Arial" w:eastAsia="Times New Roman" w:hAnsi="Arial" w:cs="Arial"/>
                <w:sz w:val="24"/>
                <w:szCs w:val="24"/>
                <w:lang w:val="ro-RO" w:eastAsia="ro-RO"/>
              </w:rPr>
              <w:t>401895</w:t>
            </w:r>
          </w:p>
        </w:tc>
      </w:tr>
    </w:tbl>
    <w:p w:rsidR="00A93324" w:rsidRPr="00A93324" w:rsidRDefault="00A93324" w:rsidP="00A93324">
      <w:pPr>
        <w:tabs>
          <w:tab w:val="left" w:pos="1276"/>
          <w:tab w:val="left" w:leader="dot" w:pos="9356"/>
        </w:tabs>
        <w:spacing w:after="120" w:line="240" w:lineRule="auto"/>
        <w:rPr>
          <w:rFonts w:ascii="Arial" w:eastAsia="SimSun" w:hAnsi="Arial" w:cs="Arial"/>
          <w:i/>
          <w:iCs/>
          <w:sz w:val="20"/>
          <w:szCs w:val="20"/>
          <w:lang w:val="ro-RO"/>
        </w:rPr>
      </w:pPr>
    </w:p>
    <w:p w:rsidR="00A93324" w:rsidRPr="00A93324" w:rsidRDefault="00A93324" w:rsidP="00A93324">
      <w:pPr>
        <w:tabs>
          <w:tab w:val="left" w:pos="1276"/>
          <w:tab w:val="left" w:leader="dot" w:pos="9356"/>
        </w:tabs>
        <w:spacing w:after="120" w:line="240" w:lineRule="auto"/>
        <w:rPr>
          <w:rFonts w:ascii="Arial" w:eastAsia="SimSun" w:hAnsi="Arial" w:cs="Arial"/>
          <w:i/>
          <w:iCs/>
          <w:sz w:val="20"/>
          <w:szCs w:val="20"/>
          <w:lang w:val="ro-RO"/>
        </w:rPr>
      </w:pPr>
      <w:r w:rsidRPr="00A93324">
        <w:rPr>
          <w:rFonts w:ascii="Arial" w:eastAsia="SimSun" w:hAnsi="Arial" w:cs="Arial"/>
          <w:i/>
          <w:iCs/>
          <w:sz w:val="20"/>
          <w:szCs w:val="20"/>
          <w:lang w:val="ro-RO"/>
        </w:rPr>
        <w:t xml:space="preserve">Nota: </w:t>
      </w:r>
      <w:r w:rsidRPr="00A93324">
        <w:rPr>
          <w:rFonts w:ascii="Arial" w:eastAsia="SimSun" w:hAnsi="Arial" w:cs="Arial"/>
          <w:i/>
          <w:iCs/>
          <w:sz w:val="20"/>
          <w:szCs w:val="20"/>
          <w:vertAlign w:val="superscript"/>
          <w:lang w:val="ro-RO"/>
        </w:rPr>
        <w:t>1</w:t>
      </w:r>
      <w:r w:rsidRPr="00A93324">
        <w:rPr>
          <w:rFonts w:ascii="Arial" w:eastAsia="SimSun" w:hAnsi="Arial" w:cs="Arial"/>
          <w:i/>
          <w:iCs/>
          <w:sz w:val="20"/>
          <w:szCs w:val="20"/>
          <w:lang w:val="ro-RO"/>
        </w:rPr>
        <w:t>Încadrarea în clase de pretabilitate se referă numai la suprafaţa cartată</w:t>
      </w:r>
    </w:p>
    <w:p w:rsidR="00A93324" w:rsidRPr="00A93324" w:rsidRDefault="00A93324" w:rsidP="00A93324">
      <w:pPr>
        <w:tabs>
          <w:tab w:val="left" w:pos="1276"/>
          <w:tab w:val="left" w:leader="dot" w:pos="9356"/>
        </w:tabs>
        <w:spacing w:after="120" w:line="240" w:lineRule="auto"/>
        <w:rPr>
          <w:rFonts w:ascii="Arial" w:eastAsia="SimSun" w:hAnsi="Arial" w:cs="Arial"/>
          <w:i/>
          <w:iCs/>
          <w:sz w:val="20"/>
          <w:szCs w:val="20"/>
          <w:lang w:val="ro-RO"/>
        </w:rPr>
      </w:pPr>
      <w:r w:rsidRPr="00A93324">
        <w:rPr>
          <w:rFonts w:ascii="Arial" w:eastAsia="SimSun" w:hAnsi="Arial" w:cs="Arial"/>
          <w:i/>
          <w:iCs/>
          <w:sz w:val="20"/>
          <w:szCs w:val="20"/>
          <w:lang w:val="ro-RO"/>
        </w:rPr>
        <w:t xml:space="preserve">            *Încadrarea în clase de pretabilitate ale solurilor se efectuează pentru pajişti (păşuni şi fâneţe)</w:t>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r w:rsidRPr="00A93324">
        <w:rPr>
          <w:rFonts w:ascii="Arial" w:eastAsia="SimSun" w:hAnsi="Arial" w:cs="Arial"/>
          <w:i/>
          <w:iCs/>
          <w:sz w:val="24"/>
          <w:szCs w:val="24"/>
          <w:lang w:val="ro-RO"/>
        </w:rPr>
        <w:t>Sursa: Oficiul de Studii Pedologice şi Agrochimice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sectPr w:rsidR="00A93324" w:rsidRPr="00A93324" w:rsidSect="00A42550">
          <w:pgSz w:w="16838" w:h="11906" w:orient="landscape"/>
          <w:pgMar w:top="851" w:right="851" w:bottom="851" w:left="1418" w:header="709" w:footer="709" w:gutter="0"/>
          <w:cols w:space="708"/>
          <w:docGrid w:linePitch="360"/>
        </w:sect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lastRenderedPageBreak/>
        <w:t xml:space="preserve">După cum se poate vedea în tabelul de mai sus, în perioada analizată, se poate remarca o creştere semnificativă a suprafeţelor cartate pentru toate categoriile de folosinţe. De asemenea, pot fi evidenţiate creşteri substanţiale şi pentru suprafeţele arabile încadrate la clasele I ,II , III şi IV de pretabilitate, pentru pajiştile încadrate la clasele II, IV şi V de pretabilitate, precum şi pentru suprafeţele acoperite cu vii încadrate în clasele I, II şi III de pretabilitate.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Figura III.1.1.-3 este o reprezentare grafică a repartiţiei terenurilor pe clase de pretabilitate pentru anul 2014. </w:t>
      </w:r>
    </w:p>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bCs/>
          <w:i/>
          <w:sz w:val="24"/>
          <w:szCs w:val="24"/>
          <w:lang w:val="ro-RO"/>
        </w:rPr>
      </w:pPr>
      <w:r w:rsidRPr="00A93324">
        <w:rPr>
          <w:rFonts w:ascii="Arial" w:eastAsia="SimSun" w:hAnsi="Arial" w:cs="Arial"/>
          <w:b/>
          <w:bCs/>
          <w:i/>
          <w:sz w:val="24"/>
          <w:szCs w:val="24"/>
          <w:lang w:val="ro-RO"/>
        </w:rPr>
        <w:t>Figura III.1.1.- 3. Repartiţia terenurilor pe clase de pretabilitate în jude</w:t>
      </w:r>
      <w:r w:rsidRPr="00A93324">
        <w:rPr>
          <w:rFonts w:ascii="Arial" w:eastAsia="SimSun" w:hAnsi="Tahoma" w:cs="Arial"/>
          <w:b/>
          <w:bCs/>
          <w:i/>
          <w:sz w:val="24"/>
          <w:szCs w:val="24"/>
          <w:lang w:val="ro-RO"/>
        </w:rPr>
        <w:t>ţ</w:t>
      </w:r>
      <w:r w:rsidRPr="00A93324">
        <w:rPr>
          <w:rFonts w:ascii="Arial" w:eastAsia="SimSun" w:hAnsi="Arial" w:cs="Arial"/>
          <w:b/>
          <w:bCs/>
          <w:i/>
          <w:sz w:val="24"/>
          <w:szCs w:val="24"/>
          <w:lang w:val="ro-RO"/>
        </w:rPr>
        <w:t xml:space="preserve">ul Buzău  </w:t>
      </w:r>
    </w:p>
    <w:p w:rsidR="00A93324" w:rsidRPr="00A93324" w:rsidRDefault="00A93324" w:rsidP="00A93324">
      <w:pPr>
        <w:tabs>
          <w:tab w:val="left" w:pos="1276"/>
          <w:tab w:val="left" w:leader="dot" w:pos="9356"/>
        </w:tabs>
        <w:spacing w:after="120" w:line="240" w:lineRule="auto"/>
        <w:jc w:val="both"/>
        <w:rPr>
          <w:rFonts w:ascii="Arial" w:eastAsia="SimSun" w:hAnsi="Arial" w:cs="Arial"/>
          <w:b/>
          <w:bCs/>
          <w:i/>
          <w:sz w:val="24"/>
          <w:szCs w:val="24"/>
          <w:lang w:val="ro-RO"/>
        </w:rPr>
      </w:pPr>
      <w:r w:rsidRPr="00A93324">
        <w:rPr>
          <w:rFonts w:ascii="Arial" w:eastAsia="SimSun" w:hAnsi="Arial" w:cs="Arial"/>
          <w:b/>
          <w:bCs/>
          <w:i/>
          <w:sz w:val="24"/>
          <w:szCs w:val="24"/>
          <w:lang w:val="ro-RO"/>
        </w:rPr>
        <w:t xml:space="preserve">În anul 2014 </w:t>
      </w:r>
    </w:p>
    <w:p w:rsidR="00A93324" w:rsidRPr="00A93324" w:rsidRDefault="00A93324" w:rsidP="00A93324">
      <w:pPr>
        <w:tabs>
          <w:tab w:val="left" w:pos="1276"/>
          <w:tab w:val="left" w:leader="dot" w:pos="9356"/>
        </w:tabs>
        <w:spacing w:after="120" w:line="240" w:lineRule="auto"/>
        <w:jc w:val="both"/>
        <w:rPr>
          <w:rFonts w:ascii="Arial" w:eastAsia="SimSun" w:hAnsi="Arial" w:cs="Arial"/>
          <w:i/>
          <w:sz w:val="24"/>
          <w:szCs w:val="24"/>
          <w:lang w:val="ro-RO"/>
        </w:rPr>
      </w:pPr>
    </w:p>
    <w:p w:rsidR="00A93324" w:rsidRPr="00A93324" w:rsidRDefault="00A93324" w:rsidP="00A93324">
      <w:pPr>
        <w:tabs>
          <w:tab w:val="left" w:pos="1276"/>
          <w:tab w:val="left" w:leader="dot" w:pos="9356"/>
        </w:tabs>
        <w:spacing w:after="120" w:line="240" w:lineRule="auto"/>
        <w:rPr>
          <w:rFonts w:ascii="Arial" w:eastAsia="SimSun" w:hAnsi="Arial" w:cs="Arial"/>
          <w:i/>
          <w:iCs/>
          <w:sz w:val="24"/>
          <w:szCs w:val="24"/>
          <w:lang w:val="ro-RO"/>
        </w:rPr>
      </w:pPr>
      <w:r w:rsidRPr="00A93324">
        <w:rPr>
          <w:rFonts w:ascii="Arial" w:eastAsia="SimSun" w:hAnsi="Arial" w:cs="Arial"/>
          <w:i/>
          <w:iCs/>
          <w:sz w:val="24"/>
          <w:szCs w:val="24"/>
          <w:lang w:val="ro-RO"/>
        </w:rPr>
        <w:t xml:space="preserve">      </w:t>
      </w:r>
      <w:r>
        <w:rPr>
          <w:rFonts w:ascii="Arial" w:eastAsia="SimSun" w:hAnsi="Arial" w:cs="Arial"/>
          <w:i/>
          <w:noProof/>
          <w:sz w:val="24"/>
          <w:szCs w:val="24"/>
          <w:lang w:val="ro-RO" w:eastAsia="ro-RO"/>
        </w:rPr>
        <w:drawing>
          <wp:inline distT="0" distB="0" distL="0" distR="0">
            <wp:extent cx="5572125" cy="3695700"/>
            <wp:effectExtent l="0" t="0" r="0" b="0"/>
            <wp:docPr id="150" name="Object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Pr="00A93324">
        <w:rPr>
          <w:rFonts w:ascii="Arial" w:eastAsia="SimSun" w:hAnsi="Arial" w:cs="Arial"/>
          <w:i/>
          <w:iCs/>
          <w:sz w:val="24"/>
          <w:szCs w:val="24"/>
          <w:lang w:val="ro-RO"/>
        </w:rPr>
        <w:t xml:space="preserve">                         </w:t>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Oficiul de Studii Pedologice şi Agrochimice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După cum se poate urmări, terenurile cartate arabile se încadrează în cea mai mare parte în clasele de bonitare I şi II, terenurile cartate agricole cu vii se încadrează în clasa II, terenurile cartate cu livezi în VI iar terenurile cartate cu pajişti în clasele II şi IV.</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ind w:left="350"/>
        <w:rPr>
          <w:rFonts w:ascii="Arial" w:eastAsia="SimSun" w:hAnsi="Arial" w:cs="Arial"/>
          <w:b/>
          <w:i/>
          <w:sz w:val="24"/>
          <w:szCs w:val="24"/>
          <w:lang w:val="ro-RO"/>
        </w:rPr>
      </w:pPr>
      <w:r w:rsidRPr="00A93324">
        <w:rPr>
          <w:rFonts w:ascii="Arial" w:eastAsia="SimSun" w:hAnsi="Arial" w:cs="Arial"/>
          <w:b/>
          <w:i/>
          <w:sz w:val="24"/>
          <w:szCs w:val="24"/>
          <w:lang w:val="ro-RO"/>
        </w:rPr>
        <w:t xml:space="preserve">III.1.2 Terenuri afectate de diverşi factori limitativi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Solul poate fi afectat fie de factori naturali (clima, forme de relief, etc.), fie de acţiuni antropice agricole şi industriale. Factorii menţionaţi pot acţiona sinergic în sens negativ, având ca efect scăderea calităţii solului şi chiar anularea funcţiilor acestuia. Activităţile antropice produc dereglarea funcţionării normale a solului ca biotop în cadrul diferitelor ecosisteme naturale sau artificiale, afectând fertilitatea şi capacitatea sa bioproductivă, atât din punct de vedere cantitativ cât şi calitativ.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lastRenderedPageBreak/>
        <w:t>Deoarece reprezintă o resursă limitată şi neregenerabilă, degradarea solului are un impact puternic asupra altor zone de interes, precum: apa, sănătatea populaţiei, schimbările climatice, protecţia naturii, supravieţuirea ecosistemelor, securitate alimentară.</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Datele primite de </w:t>
      </w:r>
      <w:smartTag w:uri="urn:schemas-microsoft-com:office:smarttags" w:element="PersonName">
        <w:smartTagPr>
          <w:attr w:name="ProductID" w:val="la Oficiul"/>
        </w:smartTagPr>
        <w:r w:rsidRPr="00A93324">
          <w:rPr>
            <w:rFonts w:ascii="Arial" w:eastAsia="SimSun" w:hAnsi="Arial" w:cs="Arial"/>
            <w:sz w:val="24"/>
            <w:szCs w:val="24"/>
            <w:lang w:val="ro-RO"/>
          </w:rPr>
          <w:t>la Oficiul</w:t>
        </w:r>
      </w:smartTag>
      <w:r w:rsidRPr="00A93324">
        <w:rPr>
          <w:rFonts w:ascii="Arial" w:eastAsia="SimSun" w:hAnsi="Arial" w:cs="Arial"/>
          <w:sz w:val="24"/>
          <w:szCs w:val="24"/>
          <w:lang w:val="ro-RO"/>
        </w:rPr>
        <w:t xml:space="preserve"> de Studii Pedologice şi Agrochimice Buzău, privind  inventarul terenurilor afectate de diferite procese  pentru perioada 2010 - 2014 sunt prezentate în Tabelul III.1.2.- 1 de mai jos:</w:t>
      </w:r>
    </w:p>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Tabelul III.1.2. - 1. Inventarul terenurilor afectate de diferite procese naturale şi antropice în perioada 2010 - 2014</w:t>
      </w:r>
    </w:p>
    <w:tbl>
      <w:tblPr>
        <w:tblW w:w="9639" w:type="dxa"/>
        <w:tblInd w:w="108" w:type="dxa"/>
        <w:tblBorders>
          <w:top w:val="double" w:sz="4" w:space="0" w:color="auto"/>
          <w:left w:val="double" w:sz="4" w:space="0" w:color="auto"/>
          <w:bottom w:val="double" w:sz="4" w:space="0" w:color="auto"/>
          <w:right w:val="double" w:sz="4" w:space="0" w:color="auto"/>
        </w:tblBorders>
        <w:tblLayout w:type="fixed"/>
        <w:tblLook w:val="00BF"/>
      </w:tblPr>
      <w:tblGrid>
        <w:gridCol w:w="718"/>
        <w:gridCol w:w="3110"/>
        <w:gridCol w:w="1275"/>
        <w:gridCol w:w="1134"/>
        <w:gridCol w:w="1134"/>
        <w:gridCol w:w="1134"/>
        <w:gridCol w:w="1134"/>
      </w:tblGrid>
      <w:tr w:rsidR="00A93324" w:rsidRPr="00A93324" w:rsidTr="00A42550">
        <w:tc>
          <w:tcPr>
            <w:tcW w:w="718" w:type="dxa"/>
            <w:vMerge w:val="restart"/>
            <w:tcBorders>
              <w:top w:val="double" w:sz="4" w:space="0" w:color="auto"/>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Nr.</w:t>
            </w:r>
          </w:p>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Crt.</w:t>
            </w:r>
          </w:p>
        </w:tc>
        <w:tc>
          <w:tcPr>
            <w:tcW w:w="3110" w:type="dxa"/>
            <w:vMerge w:val="restart"/>
            <w:tcBorders>
              <w:top w:val="double" w:sz="4" w:space="0" w:color="auto"/>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Procese naturale/antropice</w:t>
            </w:r>
          </w:p>
        </w:tc>
        <w:tc>
          <w:tcPr>
            <w:tcW w:w="5811" w:type="dxa"/>
            <w:gridSpan w:val="5"/>
            <w:tcBorders>
              <w:top w:val="double" w:sz="4" w:space="0" w:color="auto"/>
              <w:left w:val="single" w:sz="6" w:space="0" w:color="000000"/>
              <w:bottom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b/>
                <w:sz w:val="24"/>
                <w:szCs w:val="24"/>
                <w:lang w:val="ro-RO"/>
              </w:rPr>
            </w:pPr>
            <w:r w:rsidRPr="00A93324">
              <w:rPr>
                <w:rFonts w:ascii="Arial" w:hAnsi="Arial" w:cs="Arial"/>
                <w:b/>
                <w:sz w:val="24"/>
                <w:szCs w:val="24"/>
                <w:lang w:val="ro-RO"/>
              </w:rPr>
              <w:t>Suprafe</w:t>
            </w:r>
            <w:r w:rsidRPr="00A93324">
              <w:rPr>
                <w:rFonts w:ascii="Arial" w:hAnsi="Tahoma" w:cs="Arial"/>
                <w:b/>
                <w:sz w:val="24"/>
                <w:szCs w:val="24"/>
                <w:lang w:val="ro-RO"/>
              </w:rPr>
              <w:t>ţ</w:t>
            </w:r>
            <w:r w:rsidRPr="00A93324">
              <w:rPr>
                <w:rFonts w:ascii="Arial" w:hAnsi="Arial" w:cs="Arial"/>
                <w:b/>
                <w:sz w:val="24"/>
                <w:szCs w:val="24"/>
                <w:lang w:val="ro-RO"/>
              </w:rPr>
              <w:t>e afectate de diferite  procese  (ha)</w:t>
            </w:r>
          </w:p>
        </w:tc>
      </w:tr>
      <w:tr w:rsidR="00A93324" w:rsidRPr="00A93324" w:rsidTr="00A42550">
        <w:tc>
          <w:tcPr>
            <w:tcW w:w="718" w:type="dxa"/>
            <w:vMerge/>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i/>
                <w:sz w:val="24"/>
                <w:szCs w:val="24"/>
                <w:lang w:val="ro-RO"/>
              </w:rPr>
            </w:pPr>
          </w:p>
        </w:tc>
        <w:tc>
          <w:tcPr>
            <w:tcW w:w="3110" w:type="dxa"/>
            <w:vMerge/>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i/>
                <w:sz w:val="24"/>
                <w:szCs w:val="24"/>
                <w:lang w:val="ro-RO"/>
              </w:rPr>
            </w:pPr>
          </w:p>
        </w:tc>
        <w:tc>
          <w:tcPr>
            <w:tcW w:w="1275"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b/>
                <w:sz w:val="24"/>
                <w:szCs w:val="24"/>
                <w:lang w:val="ro-RO"/>
              </w:rPr>
            </w:pPr>
            <w:r w:rsidRPr="00A93324">
              <w:rPr>
                <w:rFonts w:ascii="Arial" w:hAnsi="Arial" w:cs="Arial"/>
                <w:b/>
                <w:sz w:val="24"/>
                <w:szCs w:val="24"/>
                <w:lang w:val="ro-RO"/>
              </w:rPr>
              <w:t>2010</w:t>
            </w: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b/>
                <w:sz w:val="24"/>
                <w:szCs w:val="24"/>
                <w:lang w:val="ro-RO"/>
              </w:rPr>
            </w:pPr>
            <w:r w:rsidRPr="00A93324">
              <w:rPr>
                <w:rFonts w:ascii="Arial" w:hAnsi="Arial" w:cs="Arial"/>
                <w:b/>
                <w:sz w:val="24"/>
                <w:szCs w:val="24"/>
                <w:lang w:val="ro-RO"/>
              </w:rPr>
              <w:t>2011</w:t>
            </w: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b/>
                <w:sz w:val="24"/>
                <w:szCs w:val="24"/>
                <w:lang w:val="ro-RO"/>
              </w:rPr>
            </w:pPr>
            <w:r w:rsidRPr="00A93324">
              <w:rPr>
                <w:rFonts w:ascii="Arial" w:hAnsi="Arial" w:cs="Arial"/>
                <w:b/>
                <w:sz w:val="24"/>
                <w:szCs w:val="24"/>
                <w:lang w:val="ro-RO"/>
              </w:rPr>
              <w:t>2012</w:t>
            </w: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b/>
                <w:sz w:val="24"/>
                <w:szCs w:val="24"/>
                <w:lang w:val="ro-RO"/>
              </w:rPr>
            </w:pPr>
            <w:r w:rsidRPr="00A93324">
              <w:rPr>
                <w:rFonts w:ascii="Arial" w:hAnsi="Arial" w:cs="Arial"/>
                <w:b/>
                <w:sz w:val="24"/>
                <w:szCs w:val="24"/>
                <w:lang w:val="ro-RO"/>
              </w:rPr>
              <w:t>2013</w:t>
            </w:r>
          </w:p>
        </w:tc>
        <w:tc>
          <w:tcPr>
            <w:tcW w:w="1134" w:type="dxa"/>
            <w:tcBorders>
              <w:top w:val="single" w:sz="6" w:space="0" w:color="000000"/>
              <w:left w:val="single" w:sz="6" w:space="0" w:color="000000"/>
              <w:bottom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b/>
                <w:sz w:val="24"/>
                <w:szCs w:val="24"/>
                <w:lang w:val="ro-RO"/>
              </w:rPr>
            </w:pPr>
            <w:r w:rsidRPr="00A93324">
              <w:rPr>
                <w:rFonts w:ascii="Arial" w:hAnsi="Arial" w:cs="Arial"/>
                <w:b/>
                <w:sz w:val="24"/>
                <w:szCs w:val="24"/>
                <w:lang w:val="ro-RO"/>
              </w:rPr>
              <w:t>2014</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Secetă</w:t>
            </w:r>
          </w:p>
        </w:tc>
        <w:tc>
          <w:tcPr>
            <w:tcW w:w="1275"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i/>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i/>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i/>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i/>
                <w:sz w:val="24"/>
                <w:szCs w:val="24"/>
                <w:lang w:val="ro-RO"/>
              </w:rPr>
            </w:pPr>
          </w:p>
        </w:tc>
        <w:tc>
          <w:tcPr>
            <w:tcW w:w="1134" w:type="dxa"/>
            <w:tcBorders>
              <w:top w:val="single" w:sz="6" w:space="0" w:color="000000"/>
              <w:left w:val="single" w:sz="6" w:space="0" w:color="000000"/>
              <w:bottom w:val="single" w:sz="6" w:space="0" w:color="000000"/>
            </w:tcBorders>
          </w:tcPr>
          <w:p w:rsidR="00A93324" w:rsidRPr="00A93324" w:rsidRDefault="00A93324" w:rsidP="00A93324">
            <w:pPr>
              <w:tabs>
                <w:tab w:val="center" w:pos="4153"/>
                <w:tab w:val="right" w:pos="8306"/>
              </w:tabs>
              <w:spacing w:after="120" w:line="240" w:lineRule="auto"/>
              <w:jc w:val="center"/>
              <w:rPr>
                <w:rFonts w:ascii="Arial" w:hAnsi="Arial" w:cs="Arial"/>
                <w:i/>
                <w:sz w:val="24"/>
                <w:szCs w:val="24"/>
                <w:lang w:val="ro-RO"/>
              </w:rPr>
            </w:pP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Exces de umiditate</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18771</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19175</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19664</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19664</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19683</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Eroziunea solului prin apă</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45929</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38408</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38551</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38551</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38551</w:t>
            </w:r>
          </w:p>
        </w:tc>
      </w:tr>
      <w:tr w:rsidR="00A93324" w:rsidRPr="00A93324" w:rsidTr="00A42550">
        <w:tc>
          <w:tcPr>
            <w:tcW w:w="718" w:type="dxa"/>
            <w:vMerge w:val="restart"/>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Alunecări de teren                                               din care:</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6135</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5974</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5974</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5974</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i/>
                <w:sz w:val="24"/>
                <w:szCs w:val="24"/>
                <w:lang w:val="ro-RO"/>
              </w:rPr>
            </w:pPr>
            <w:r w:rsidRPr="00A93324">
              <w:rPr>
                <w:rFonts w:ascii="Arial" w:eastAsia="SimSun" w:hAnsi="Arial" w:cs="Arial"/>
                <w:sz w:val="24"/>
                <w:szCs w:val="24"/>
                <w:lang w:val="ro-RO"/>
              </w:rPr>
              <w:t>5974</w:t>
            </w:r>
          </w:p>
        </w:tc>
      </w:tr>
      <w:tr w:rsidR="00A93324" w:rsidRPr="00A93324" w:rsidTr="00A42550">
        <w:tc>
          <w:tcPr>
            <w:tcW w:w="718" w:type="dxa"/>
            <w:vMerge/>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alunecări în brazde</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2057</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2057</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2057</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2057</w:t>
            </w:r>
          </w:p>
        </w:tc>
      </w:tr>
      <w:tr w:rsidR="00A93324" w:rsidRPr="00A93324" w:rsidTr="00A42550">
        <w:tc>
          <w:tcPr>
            <w:tcW w:w="718" w:type="dxa"/>
            <w:vMerge/>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alunecări în valuri</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3405</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3405</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3405</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3405</w:t>
            </w:r>
          </w:p>
        </w:tc>
      </w:tr>
      <w:tr w:rsidR="00A93324" w:rsidRPr="00A93324" w:rsidTr="00A42550">
        <w:tc>
          <w:tcPr>
            <w:tcW w:w="718" w:type="dxa"/>
            <w:vMerge/>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alunecări în trepte</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512</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512</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512</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512</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Risc eroziunea solului prin vânt (terenuri nisipoase)</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4205</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4303</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4641</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4641</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4721</w:t>
            </w:r>
          </w:p>
        </w:tc>
      </w:tr>
      <w:tr w:rsidR="00A93324" w:rsidRPr="00A93324" w:rsidTr="00A42550">
        <w:trPr>
          <w:trHeight w:val="446"/>
        </w:trPr>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Salinizarea solului </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40226</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39529</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41218</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41218</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41265</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Compactarea primară a solului</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Formarea crustei</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Rezervă mică de humus </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62841</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91179</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101745</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101745</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101781</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Aciditate puternică şi moderată</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11512</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5926</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8039</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8039</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8039</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Asigurarea slabă cu fosfor mobil</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46600</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74063</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84972</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84972</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89372</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12</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Asigurarea slabă cu potasiu mobil</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7947</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13090</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13264</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13264</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13740</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 Asigurarea slabă cu azot</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23892</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30869</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31186</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31186</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32237</w:t>
            </w: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Carenţe de microelemente (zinc)</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p>
        </w:tc>
      </w:tr>
      <w:tr w:rsidR="00A93324" w:rsidRPr="00A93324" w:rsidTr="00A42550">
        <w:tc>
          <w:tcPr>
            <w:tcW w:w="718" w:type="dxa"/>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w:t>
            </w:r>
          </w:p>
        </w:tc>
        <w:tc>
          <w:tcPr>
            <w:tcW w:w="3110"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Acoperirea terenurilor cu deşeuri şi reziduuri solide</w:t>
            </w:r>
          </w:p>
        </w:tc>
        <w:tc>
          <w:tcPr>
            <w:tcW w:w="1275"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113</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157</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157</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157</w:t>
            </w:r>
          </w:p>
        </w:tc>
        <w:tc>
          <w:tcPr>
            <w:tcW w:w="1134"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172</w:t>
            </w:r>
          </w:p>
        </w:tc>
      </w:tr>
      <w:tr w:rsidR="00A93324" w:rsidRPr="00A93324" w:rsidTr="00A42550">
        <w:tc>
          <w:tcPr>
            <w:tcW w:w="718" w:type="dxa"/>
            <w:vMerge w:val="restart"/>
            <w:tcBorders>
              <w:top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w:t>
            </w: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Poluarea chimică a solului, din care:</w:t>
            </w:r>
          </w:p>
        </w:tc>
        <w:tc>
          <w:tcPr>
            <w:tcW w:w="1275"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r>
      <w:tr w:rsidR="00A93324" w:rsidRPr="00A93324" w:rsidTr="00A42550">
        <w:tc>
          <w:tcPr>
            <w:tcW w:w="718" w:type="dxa"/>
            <w:vMerge/>
            <w:tcBorders>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excesiv poluate</w:t>
            </w:r>
          </w:p>
        </w:tc>
        <w:tc>
          <w:tcPr>
            <w:tcW w:w="1275"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r>
      <w:tr w:rsidR="00A93324" w:rsidRPr="00A93324" w:rsidTr="00A42550">
        <w:tc>
          <w:tcPr>
            <w:tcW w:w="718" w:type="dxa"/>
            <w:vMerge/>
            <w:tcBorders>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3110"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-poluate cu petrol</w:t>
            </w:r>
          </w:p>
        </w:tc>
        <w:tc>
          <w:tcPr>
            <w:tcW w:w="1275"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r>
      <w:tr w:rsidR="00A93324" w:rsidRPr="00A93324" w:rsidTr="00A42550">
        <w:tc>
          <w:tcPr>
            <w:tcW w:w="718" w:type="dxa"/>
            <w:vMerge/>
            <w:tcBorders>
              <w:bottom w:val="double" w:sz="4" w:space="0" w:color="auto"/>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3110" w:type="dxa"/>
            <w:tcBorders>
              <w:top w:val="single" w:sz="6" w:space="0" w:color="000000"/>
              <w:left w:val="single" w:sz="6" w:space="0" w:color="000000"/>
              <w:bottom w:val="double" w:sz="4" w:space="0" w:color="auto"/>
              <w:right w:val="single" w:sz="6" w:space="0" w:color="000000"/>
            </w:tcBorders>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poluare cu substanţe purtate de vânt</w:t>
            </w:r>
          </w:p>
        </w:tc>
        <w:tc>
          <w:tcPr>
            <w:tcW w:w="1275" w:type="dxa"/>
            <w:tcBorders>
              <w:top w:val="single" w:sz="6" w:space="0" w:color="000000"/>
              <w:left w:val="single" w:sz="6" w:space="0" w:color="000000"/>
              <w:bottom w:val="double" w:sz="4" w:space="0" w:color="auto"/>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double" w:sz="4" w:space="0" w:color="auto"/>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double" w:sz="4" w:space="0" w:color="auto"/>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double" w:sz="4" w:space="0" w:color="auto"/>
              <w:right w:val="single" w:sz="6" w:space="0" w:color="000000"/>
            </w:tcBorders>
          </w:tcPr>
          <w:p w:rsidR="00A93324" w:rsidRPr="00A93324" w:rsidRDefault="00A93324" w:rsidP="00A93324">
            <w:pPr>
              <w:spacing w:after="120" w:line="240" w:lineRule="auto"/>
              <w:jc w:val="center"/>
              <w:rPr>
                <w:rFonts w:ascii="Arial" w:eastAsia="SimSun" w:hAnsi="Arial" w:cs="Arial"/>
                <w:sz w:val="24"/>
                <w:szCs w:val="24"/>
                <w:lang w:val="ro-RO"/>
              </w:rPr>
            </w:pPr>
          </w:p>
        </w:tc>
        <w:tc>
          <w:tcPr>
            <w:tcW w:w="1134" w:type="dxa"/>
            <w:tcBorders>
              <w:top w:val="single" w:sz="6" w:space="0" w:color="000000"/>
              <w:left w:val="single" w:sz="6" w:space="0" w:color="000000"/>
              <w:bottom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p>
        </w:tc>
      </w:tr>
    </w:tbl>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Oficiul de Studii Pedologice şi Agrochimice Buzău</w:t>
      </w:r>
    </w:p>
    <w:p w:rsidR="00A93324" w:rsidRPr="00A93324" w:rsidRDefault="00A93324" w:rsidP="00A93324">
      <w:pPr>
        <w:spacing w:after="120" w:line="240" w:lineRule="auto"/>
        <w:jc w:val="both"/>
        <w:rPr>
          <w:rFonts w:ascii="Arial" w:eastAsia="SimSun" w:hAnsi="Arial" w:cs="Arial"/>
          <w:i/>
          <w:iCs/>
          <w:sz w:val="24"/>
          <w:szCs w:val="24"/>
          <w:lang w:val="ro-RO"/>
        </w:rPr>
      </w:pPr>
      <w:r w:rsidRPr="00A93324">
        <w:rPr>
          <w:rFonts w:ascii="Arial" w:eastAsia="SimSun" w:hAnsi="Arial" w:cs="Arial"/>
          <w:sz w:val="24"/>
          <w:szCs w:val="24"/>
          <w:lang w:val="ro-RO"/>
        </w:rPr>
        <w:t xml:space="preserve">Conform datelor prezentate mai sus se remarcă o creştere a suprafeţelor terenurilor afectate de exces de umiditate, a celor cu o rezervă mică de humus, a terenurilor cu risc de eroziune a solului prin vânt, a terenurilor sărăturate, precum şi a celor cu o asigurare slabă cu fosfor, potasiu mobil şi azot sau acoperite cu deşeuri şi reziduuri solide. </w:t>
      </w:r>
    </w:p>
    <w:p w:rsidR="00A93324" w:rsidRPr="00A93324" w:rsidRDefault="00A93324" w:rsidP="00A93324">
      <w:pPr>
        <w:spacing w:after="120" w:line="240" w:lineRule="auto"/>
        <w:rPr>
          <w:rFonts w:ascii="Arial" w:eastAsia="SimSun" w:hAnsi="Arial" w:cs="Arial"/>
          <w:b/>
          <w:i/>
          <w:iCs/>
          <w:sz w:val="24"/>
          <w:szCs w:val="24"/>
          <w:lang w:val="ro-RO"/>
        </w:rPr>
      </w:pPr>
      <w:r w:rsidRPr="00A93324">
        <w:rPr>
          <w:rFonts w:ascii="Arial" w:eastAsia="SimSun" w:hAnsi="Arial" w:cs="Arial"/>
          <w:b/>
          <w:i/>
          <w:iCs/>
          <w:sz w:val="24"/>
          <w:szCs w:val="24"/>
          <w:lang w:val="ro-RO"/>
        </w:rPr>
        <w:t xml:space="preserve">Fig. III.1.2.-1 Evoluţia suprafeţelor afectate de procese limitative naturale şi antropice în perioada 2010 – 2014 </w:t>
      </w:r>
    </w:p>
    <w:p w:rsidR="00A93324" w:rsidRPr="00A93324" w:rsidRDefault="00A93324" w:rsidP="00A93324">
      <w:pPr>
        <w:spacing w:after="120" w:line="240" w:lineRule="auto"/>
        <w:jc w:val="right"/>
        <w:rPr>
          <w:rFonts w:ascii="Arial" w:eastAsia="SimSun" w:hAnsi="Arial" w:cs="Arial"/>
          <w:sz w:val="24"/>
          <w:szCs w:val="24"/>
          <w:lang w:val="ro-RO"/>
        </w:rPr>
      </w:pPr>
      <w:r>
        <w:rPr>
          <w:rFonts w:ascii="Arial" w:eastAsia="SimSun" w:hAnsi="Arial" w:cs="Arial"/>
          <w:noProof/>
          <w:sz w:val="24"/>
          <w:szCs w:val="24"/>
          <w:lang w:val="ro-RO" w:eastAsia="ro-RO"/>
        </w:rPr>
        <w:drawing>
          <wp:inline distT="0" distB="0" distL="0" distR="0">
            <wp:extent cx="6124575" cy="3867150"/>
            <wp:effectExtent l="0" t="0" r="0" b="0"/>
            <wp:docPr id="151" name="Object 1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A93324">
        <w:rPr>
          <w:rFonts w:ascii="Arial" w:eastAsia="SimSun" w:hAnsi="Arial" w:cs="Arial"/>
          <w:i/>
          <w:iCs/>
          <w:sz w:val="24"/>
          <w:szCs w:val="24"/>
          <w:lang w:val="ro-RO"/>
        </w:rPr>
        <w:t xml:space="preserve">Sursa: </w:t>
      </w:r>
      <w:r w:rsidRPr="00A93324">
        <w:rPr>
          <w:rFonts w:ascii="Times New Roman" w:eastAsia="SimSun" w:hAnsi="Times New Roman"/>
          <w:i/>
          <w:sz w:val="24"/>
          <w:szCs w:val="24"/>
          <w:lang w:val="ro-RO"/>
        </w:rPr>
        <w:t>Oficiul de Studii Pedologice şi Agrochimice Buzău</w:t>
      </w:r>
    </w:p>
    <w:p w:rsidR="00A93324" w:rsidRPr="00A93324" w:rsidRDefault="00A93324" w:rsidP="00A93324">
      <w:pPr>
        <w:spacing w:after="120" w:line="240" w:lineRule="auto"/>
        <w:jc w:val="both"/>
        <w:rPr>
          <w:rFonts w:ascii="Arial" w:eastAsia="SimSun" w:hAnsi="Arial" w:cs="Arial"/>
          <w:iCs/>
          <w:sz w:val="24"/>
          <w:szCs w:val="24"/>
          <w:lang w:val="ro-RO"/>
        </w:rPr>
      </w:pPr>
      <w:r w:rsidRPr="00A93324">
        <w:rPr>
          <w:rFonts w:ascii="Arial" w:eastAsia="SimSun" w:hAnsi="Arial" w:cs="Arial"/>
          <w:sz w:val="24"/>
          <w:szCs w:val="24"/>
          <w:lang w:val="ro-RO"/>
        </w:rPr>
        <w:t xml:space="preserve">În tabelul </w:t>
      </w:r>
      <w:r w:rsidRPr="00A93324">
        <w:rPr>
          <w:rFonts w:ascii="Arial" w:eastAsia="SimSun" w:hAnsi="Arial" w:cs="Arial"/>
          <w:i/>
          <w:iCs/>
          <w:sz w:val="24"/>
          <w:szCs w:val="24"/>
          <w:lang w:val="ro-RO"/>
        </w:rPr>
        <w:t>III.1.2.-2</w:t>
      </w:r>
      <w:r w:rsidRPr="00A93324">
        <w:rPr>
          <w:rFonts w:ascii="Arial" w:eastAsia="SimSun" w:hAnsi="Arial" w:cs="Arial"/>
          <w:iCs/>
          <w:sz w:val="24"/>
          <w:szCs w:val="24"/>
          <w:lang w:val="ro-RO"/>
        </w:rPr>
        <w:t xml:space="preserve"> de mai jos,</w:t>
      </w:r>
      <w:r w:rsidRPr="00A93324">
        <w:rPr>
          <w:rFonts w:ascii="Arial" w:eastAsia="SimSun" w:hAnsi="Arial" w:cs="Arial"/>
          <w:b/>
          <w:i/>
          <w:iCs/>
          <w:sz w:val="24"/>
          <w:szCs w:val="24"/>
          <w:lang w:val="ro-RO"/>
        </w:rPr>
        <w:t xml:space="preserve"> </w:t>
      </w:r>
      <w:r w:rsidRPr="00A93324">
        <w:rPr>
          <w:rFonts w:ascii="Arial" w:eastAsia="SimSun" w:hAnsi="Arial" w:cs="Arial"/>
          <w:iCs/>
          <w:sz w:val="24"/>
          <w:szCs w:val="24"/>
          <w:lang w:val="ro-RO"/>
        </w:rPr>
        <w:t>e</w:t>
      </w:r>
      <w:r w:rsidRPr="00A93324">
        <w:rPr>
          <w:rFonts w:ascii="Arial" w:eastAsia="SimSun" w:hAnsi="Arial" w:cs="Arial"/>
          <w:sz w:val="24"/>
          <w:szCs w:val="24"/>
          <w:lang w:val="ro-RO"/>
        </w:rPr>
        <w:t>ste prezentată evoluţia terenurilor ocupate de depozite de deşeuri</w:t>
      </w:r>
      <w:r w:rsidRPr="00A93324">
        <w:rPr>
          <w:rFonts w:ascii="Arial" w:eastAsia="SimSun" w:hAnsi="Arial" w:cs="Arial"/>
          <w:iCs/>
          <w:sz w:val="24"/>
          <w:szCs w:val="24"/>
          <w:lang w:val="ro-RO"/>
        </w:rPr>
        <w:t xml:space="preserve">, elaborată pe baza datelor furnizate de autorităţile administraţiei publice locale </w:t>
      </w:r>
      <w:r w:rsidRPr="00A93324">
        <w:rPr>
          <w:rFonts w:ascii="Arial" w:eastAsia="SimSun" w:hAnsi="Tahoma" w:cs="Arial"/>
          <w:iCs/>
          <w:sz w:val="24"/>
          <w:szCs w:val="24"/>
          <w:lang w:val="ro-RO"/>
        </w:rPr>
        <w:t>ş</w:t>
      </w:r>
      <w:r w:rsidRPr="00A93324">
        <w:rPr>
          <w:rFonts w:ascii="Arial" w:eastAsia="SimSun" w:hAnsi="Arial" w:cs="Arial"/>
          <w:iCs/>
          <w:sz w:val="24"/>
          <w:szCs w:val="24"/>
          <w:lang w:val="ro-RO"/>
        </w:rPr>
        <w:t>i de operatorii depozitelor de de</w:t>
      </w:r>
      <w:r w:rsidRPr="00A93324">
        <w:rPr>
          <w:rFonts w:ascii="Arial" w:eastAsia="SimSun" w:hAnsi="Tahoma" w:cs="Arial"/>
          <w:iCs/>
          <w:sz w:val="24"/>
          <w:szCs w:val="24"/>
          <w:lang w:val="ro-RO"/>
        </w:rPr>
        <w:t>ş</w:t>
      </w:r>
      <w:r w:rsidRPr="00A93324">
        <w:rPr>
          <w:rFonts w:ascii="Arial" w:eastAsia="SimSun" w:hAnsi="Arial" w:cs="Arial"/>
          <w:iCs/>
          <w:sz w:val="24"/>
          <w:szCs w:val="24"/>
          <w:lang w:val="ro-RO"/>
        </w:rPr>
        <w:t xml:space="preserve">euri.  </w:t>
      </w:r>
    </w:p>
    <w:p w:rsidR="00A93324" w:rsidRPr="00A93324" w:rsidRDefault="00A93324" w:rsidP="00A93324">
      <w:pPr>
        <w:spacing w:after="120" w:line="240" w:lineRule="auto"/>
        <w:jc w:val="both"/>
        <w:rPr>
          <w:rFonts w:ascii="Arial" w:eastAsia="SimSun" w:hAnsi="Arial" w:cs="Arial"/>
          <w:b/>
          <w:bCs/>
          <w:i/>
          <w:sz w:val="24"/>
          <w:szCs w:val="24"/>
          <w:lang w:val="ro-RO"/>
        </w:rPr>
      </w:pPr>
      <w:r w:rsidRPr="00A93324">
        <w:rPr>
          <w:rFonts w:ascii="Arial" w:eastAsia="SimSun" w:hAnsi="Arial" w:cs="Arial"/>
          <w:b/>
          <w:bCs/>
          <w:i/>
          <w:sz w:val="24"/>
          <w:szCs w:val="24"/>
          <w:lang w:val="ro-RO"/>
        </w:rPr>
        <w:t>Tabelul III.1.2. - 2</w:t>
      </w:r>
      <w:r w:rsidRPr="00A93324">
        <w:rPr>
          <w:rFonts w:ascii="Arial" w:eastAsia="SimSun" w:hAnsi="Arial" w:cs="Arial"/>
          <w:sz w:val="24"/>
          <w:szCs w:val="24"/>
          <w:lang w:val="ro-RO"/>
        </w:rPr>
        <w:t xml:space="preserve"> </w:t>
      </w:r>
      <w:r w:rsidRPr="00A93324">
        <w:rPr>
          <w:rFonts w:ascii="Arial" w:eastAsia="SimSun" w:hAnsi="Arial" w:cs="Arial"/>
          <w:b/>
          <w:bCs/>
          <w:i/>
          <w:sz w:val="24"/>
          <w:szCs w:val="24"/>
          <w:lang w:val="ro-RO"/>
        </w:rPr>
        <w:t>Evoluţia terenurilor ocupate cu depozite neconforme de deşeuri în perioada 2009 - 2014</w:t>
      </w:r>
    </w:p>
    <w:tbl>
      <w:tblPr>
        <w:tblW w:w="0" w:type="auto"/>
        <w:tblInd w:w="108" w:type="dxa"/>
        <w:tblBorders>
          <w:top w:val="double" w:sz="4" w:space="0" w:color="auto"/>
          <w:left w:val="double" w:sz="4" w:space="0" w:color="auto"/>
          <w:bottom w:val="double" w:sz="4" w:space="0" w:color="auto"/>
          <w:right w:val="double" w:sz="4" w:space="0" w:color="auto"/>
        </w:tblBorders>
        <w:tblLayout w:type="fixed"/>
        <w:tblLook w:val="00BF"/>
      </w:tblPr>
      <w:tblGrid>
        <w:gridCol w:w="582"/>
        <w:gridCol w:w="1828"/>
        <w:gridCol w:w="1134"/>
        <w:gridCol w:w="1056"/>
        <w:gridCol w:w="1029"/>
        <w:gridCol w:w="1029"/>
        <w:gridCol w:w="1029"/>
        <w:gridCol w:w="1029"/>
        <w:gridCol w:w="1029"/>
      </w:tblGrid>
      <w:tr w:rsidR="00A93324" w:rsidRPr="00A93324" w:rsidTr="00A42550">
        <w:tc>
          <w:tcPr>
            <w:tcW w:w="582" w:type="dxa"/>
            <w:vMerge w:val="restart"/>
            <w:tcBorders>
              <w:top w:val="double" w:sz="4" w:space="0" w:color="auto"/>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Nr.</w:t>
            </w:r>
          </w:p>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crt.</w:t>
            </w:r>
          </w:p>
        </w:tc>
        <w:tc>
          <w:tcPr>
            <w:tcW w:w="1828" w:type="dxa"/>
            <w:vMerge w:val="restart"/>
            <w:tcBorders>
              <w:top w:val="double" w:sz="4" w:space="0" w:color="auto"/>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Tip depozit de deşeuri</w:t>
            </w:r>
          </w:p>
        </w:tc>
        <w:tc>
          <w:tcPr>
            <w:tcW w:w="7335" w:type="dxa"/>
            <w:gridSpan w:val="7"/>
            <w:tcBorders>
              <w:top w:val="double" w:sz="4" w:space="0" w:color="auto"/>
              <w:left w:val="single" w:sz="6" w:space="0" w:color="000000"/>
              <w:bottom w:val="single" w:sz="6" w:space="0" w:color="000000"/>
            </w:tcBorders>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Suprafe</w:t>
            </w:r>
            <w:r w:rsidRPr="00A93324">
              <w:rPr>
                <w:rFonts w:ascii="Tahoma" w:eastAsia="SimSun" w:hAnsi="Tahoma" w:cs="Tahoma"/>
                <w:b/>
                <w:iCs/>
                <w:lang w:val="ro-RO"/>
              </w:rPr>
              <w:t>ţ</w:t>
            </w:r>
            <w:r w:rsidRPr="00A93324">
              <w:rPr>
                <w:rFonts w:ascii="Arial" w:eastAsia="SimSun" w:hAnsi="Arial" w:cs="Arial"/>
                <w:b/>
                <w:iCs/>
                <w:lang w:val="ro-RO"/>
              </w:rPr>
              <w:t>e ocupate (ha)</w:t>
            </w:r>
          </w:p>
        </w:tc>
      </w:tr>
      <w:tr w:rsidR="00A93324" w:rsidRPr="00A93324" w:rsidTr="00A42550">
        <w:trPr>
          <w:trHeight w:val="753"/>
        </w:trPr>
        <w:tc>
          <w:tcPr>
            <w:tcW w:w="582" w:type="dxa"/>
            <w:vMerge/>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
                <w:iCs/>
                <w:lang w:val="ro-RO"/>
              </w:rPr>
            </w:pPr>
          </w:p>
        </w:tc>
        <w:tc>
          <w:tcPr>
            <w:tcW w:w="1828" w:type="dxa"/>
            <w:vMerge/>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
                <w:iCs/>
                <w:lang w:val="ro-RO"/>
              </w:rPr>
            </w:pPr>
          </w:p>
        </w:tc>
        <w:tc>
          <w:tcPr>
            <w:tcW w:w="2190" w:type="dxa"/>
            <w:gridSpan w:val="2"/>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2009</w:t>
            </w:r>
          </w:p>
        </w:tc>
        <w:tc>
          <w:tcPr>
            <w:tcW w:w="1029" w:type="dxa"/>
            <w:vMerge w:val="restart"/>
            <w:tcBorders>
              <w:top w:val="single" w:sz="6" w:space="0" w:color="000000"/>
              <w:left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31.12. 2010</w:t>
            </w:r>
          </w:p>
        </w:tc>
        <w:tc>
          <w:tcPr>
            <w:tcW w:w="1029" w:type="dxa"/>
            <w:vMerge w:val="restart"/>
            <w:tcBorders>
              <w:top w:val="single" w:sz="6" w:space="0" w:color="000000"/>
              <w:left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31.12. 2011</w:t>
            </w:r>
          </w:p>
        </w:tc>
        <w:tc>
          <w:tcPr>
            <w:tcW w:w="1029" w:type="dxa"/>
            <w:vMerge w:val="restart"/>
            <w:tcBorders>
              <w:top w:val="single" w:sz="6" w:space="0" w:color="000000"/>
              <w:left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31.12. 2012</w:t>
            </w:r>
          </w:p>
        </w:tc>
        <w:tc>
          <w:tcPr>
            <w:tcW w:w="1029" w:type="dxa"/>
            <w:vMerge w:val="restart"/>
            <w:tcBorders>
              <w:top w:val="single" w:sz="6" w:space="0" w:color="000000"/>
              <w:left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31.12. 2013</w:t>
            </w:r>
          </w:p>
        </w:tc>
        <w:tc>
          <w:tcPr>
            <w:tcW w:w="1029" w:type="dxa"/>
            <w:vMerge w:val="restart"/>
            <w:tcBorders>
              <w:top w:val="single" w:sz="6" w:space="0" w:color="000000"/>
              <w:lef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31.12. 2014</w:t>
            </w:r>
          </w:p>
        </w:tc>
      </w:tr>
      <w:tr w:rsidR="00A93324" w:rsidRPr="00A93324" w:rsidTr="00A42550">
        <w:trPr>
          <w:trHeight w:val="753"/>
        </w:trPr>
        <w:tc>
          <w:tcPr>
            <w:tcW w:w="582" w:type="dxa"/>
            <w:vMerge/>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
                <w:iCs/>
                <w:lang w:val="ro-RO"/>
              </w:rPr>
            </w:pPr>
          </w:p>
        </w:tc>
        <w:tc>
          <w:tcPr>
            <w:tcW w:w="1828" w:type="dxa"/>
            <w:vMerge/>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
                <w:iCs/>
                <w:lang w:val="ro-RO"/>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 xml:space="preserve">16. 07. </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31.12.</w:t>
            </w:r>
          </w:p>
        </w:tc>
        <w:tc>
          <w:tcPr>
            <w:tcW w:w="1029" w:type="dxa"/>
            <w:vMerge/>
            <w:tcBorders>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p>
        </w:tc>
        <w:tc>
          <w:tcPr>
            <w:tcW w:w="1029" w:type="dxa"/>
            <w:vMerge/>
            <w:tcBorders>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p>
        </w:tc>
        <w:tc>
          <w:tcPr>
            <w:tcW w:w="1029" w:type="dxa"/>
            <w:vMerge/>
            <w:tcBorders>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p>
        </w:tc>
        <w:tc>
          <w:tcPr>
            <w:tcW w:w="1029" w:type="dxa"/>
            <w:vMerge/>
            <w:tcBorders>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p>
        </w:tc>
        <w:tc>
          <w:tcPr>
            <w:tcW w:w="1029" w:type="dxa"/>
            <w:vMerge/>
            <w:tcBorders>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p>
        </w:tc>
      </w:tr>
      <w:tr w:rsidR="00A93324" w:rsidRPr="00A93324" w:rsidTr="00A42550">
        <w:trPr>
          <w:trHeight w:val="869"/>
        </w:trPr>
        <w:tc>
          <w:tcPr>
            <w:tcW w:w="582" w:type="dxa"/>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w:t>
            </w:r>
          </w:p>
        </w:tc>
        <w:tc>
          <w:tcPr>
            <w:tcW w:w="1828"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Depozite neconforme de de</w:t>
            </w:r>
            <w:r w:rsidRPr="00A93324">
              <w:rPr>
                <w:rFonts w:ascii="Tahoma" w:eastAsia="SimSun" w:hAnsi="Tahoma" w:cs="Tahoma"/>
                <w:iCs/>
                <w:lang w:val="ro-RO"/>
              </w:rPr>
              <w:t>ş</w:t>
            </w:r>
            <w:r w:rsidRPr="00A93324">
              <w:rPr>
                <w:rFonts w:ascii="Arial" w:eastAsia="SimSun" w:hAnsi="Arial" w:cs="Arial"/>
                <w:iCs/>
                <w:lang w:val="ro-RO"/>
              </w:rPr>
              <w:t>euri municipale din zona urbană</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18,42</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18,42</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18,42</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18,42</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18,42</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18,42</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18,42</w:t>
            </w:r>
          </w:p>
        </w:tc>
      </w:tr>
      <w:tr w:rsidR="00A93324" w:rsidRPr="00A93324" w:rsidTr="00A42550">
        <w:tc>
          <w:tcPr>
            <w:tcW w:w="582" w:type="dxa"/>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lastRenderedPageBreak/>
              <w:t>2.</w:t>
            </w:r>
          </w:p>
        </w:tc>
        <w:tc>
          <w:tcPr>
            <w:tcW w:w="1828"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Spaţii neconforme de depozitare a de</w:t>
            </w:r>
            <w:r w:rsidRPr="00A93324">
              <w:rPr>
                <w:rFonts w:ascii="Tahoma" w:eastAsia="SimSun" w:hAnsi="Tahoma" w:cs="Tahoma"/>
                <w:iCs/>
                <w:lang w:val="ro-RO"/>
              </w:rPr>
              <w:t>ş</w:t>
            </w:r>
            <w:r w:rsidRPr="00A93324">
              <w:rPr>
                <w:rFonts w:ascii="Arial" w:eastAsia="SimSun" w:hAnsi="Arial" w:cs="Arial"/>
                <w:iCs/>
                <w:lang w:val="ro-RO"/>
              </w:rPr>
              <w:t>eurilor din zona rurală</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160,94</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157,77</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157,77</w:t>
            </w:r>
            <w:r w:rsidRPr="00A93324">
              <w:rPr>
                <w:rFonts w:ascii="Arial" w:eastAsia="SimSun" w:hAnsi="Arial" w:cs="Arial"/>
                <w:b/>
                <w:iCs/>
                <w:lang w:val="ro-RO"/>
              </w:rPr>
              <w:t>*</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157,77</w:t>
            </w:r>
            <w:r w:rsidRPr="00A93324">
              <w:rPr>
                <w:rFonts w:ascii="Arial" w:eastAsia="SimSun" w:hAnsi="Arial" w:cs="Arial"/>
                <w:b/>
                <w:iCs/>
                <w:lang w:val="ro-RO"/>
              </w:rPr>
              <w:t>*</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157,77</w:t>
            </w:r>
            <w:r w:rsidRPr="00A93324">
              <w:rPr>
                <w:rFonts w:ascii="Arial" w:eastAsia="SimSun" w:hAnsi="Arial" w:cs="Arial"/>
                <w:b/>
                <w:iCs/>
                <w:lang w:val="ro-RO"/>
              </w:rPr>
              <w:t>*</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157,77</w:t>
            </w:r>
            <w:r w:rsidRPr="00A93324">
              <w:rPr>
                <w:rFonts w:ascii="Arial" w:eastAsia="SimSun" w:hAnsi="Arial" w:cs="Arial"/>
                <w:b/>
                <w:iCs/>
                <w:lang w:val="ro-RO"/>
              </w:rPr>
              <w:t>*</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157,77</w:t>
            </w:r>
            <w:r w:rsidRPr="00A93324">
              <w:rPr>
                <w:rFonts w:ascii="Arial" w:eastAsia="SimSun" w:hAnsi="Arial" w:cs="Arial"/>
                <w:b/>
                <w:iCs/>
                <w:lang w:val="ro-RO"/>
              </w:rPr>
              <w:t>*</w:t>
            </w:r>
          </w:p>
        </w:tc>
      </w:tr>
      <w:tr w:rsidR="00A93324" w:rsidRPr="00A93324" w:rsidTr="00A42550">
        <w:tc>
          <w:tcPr>
            <w:tcW w:w="582" w:type="dxa"/>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3.</w:t>
            </w:r>
          </w:p>
        </w:tc>
        <w:tc>
          <w:tcPr>
            <w:tcW w:w="1828"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Depozite neconforme de deşeuri industriale nepericuloase</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0,3</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0,3</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0,3</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0,3</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0,3</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w:t>
            </w:r>
          </w:p>
        </w:tc>
      </w:tr>
      <w:tr w:rsidR="00A93324" w:rsidRPr="00A93324" w:rsidTr="00A42550">
        <w:tc>
          <w:tcPr>
            <w:tcW w:w="582" w:type="dxa"/>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4.</w:t>
            </w:r>
          </w:p>
        </w:tc>
        <w:tc>
          <w:tcPr>
            <w:tcW w:w="1828"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 xml:space="preserve">Depozite neconforme de deşeuri industriale periculoase </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8,86</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8,86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8,86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8,86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8,86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8,86</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7,87</w:t>
            </w:r>
          </w:p>
        </w:tc>
      </w:tr>
      <w:tr w:rsidR="00A93324" w:rsidRPr="00A93324" w:rsidTr="00A42550">
        <w:tc>
          <w:tcPr>
            <w:tcW w:w="2410" w:type="dxa"/>
            <w:gridSpan w:val="2"/>
            <w:tcBorders>
              <w:top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Total suprafaţă depozite neconforme</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188,52</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185,35</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185,35</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185,35</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185,35</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185,05</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184,06</w:t>
            </w:r>
          </w:p>
        </w:tc>
      </w:tr>
      <w:tr w:rsidR="00A93324" w:rsidRPr="00A93324" w:rsidTr="00A42550">
        <w:tc>
          <w:tcPr>
            <w:tcW w:w="582" w:type="dxa"/>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5.</w:t>
            </w:r>
          </w:p>
        </w:tc>
        <w:tc>
          <w:tcPr>
            <w:tcW w:w="1828"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 xml:space="preserve">Depozite conforme de deşeuri nepericuloase </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15,2</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15,2</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15,2</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15,2</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15,7</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15,7</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15,7</w:t>
            </w:r>
          </w:p>
        </w:tc>
      </w:tr>
      <w:tr w:rsidR="00A93324" w:rsidRPr="00A93324" w:rsidTr="00A42550">
        <w:tc>
          <w:tcPr>
            <w:tcW w:w="582" w:type="dxa"/>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6.</w:t>
            </w:r>
          </w:p>
        </w:tc>
        <w:tc>
          <w:tcPr>
            <w:tcW w:w="1828" w:type="dxa"/>
            <w:tcBorders>
              <w:top w:val="single" w:sz="6" w:space="0" w:color="000000"/>
              <w:left w:val="single" w:sz="6" w:space="0" w:color="000000"/>
              <w:bottom w:val="single" w:sz="6" w:space="0" w:color="000000"/>
              <w:right w:val="single" w:sz="6" w:space="0" w:color="000000"/>
            </w:tcBorders>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Depozite conforme de deşeuri periculoase</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0,71</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iCs/>
                <w:lang w:val="ro-RO"/>
              </w:rPr>
            </w:pPr>
            <w:r w:rsidRPr="00A93324">
              <w:rPr>
                <w:rFonts w:ascii="Arial" w:eastAsia="SimSun" w:hAnsi="Arial" w:cs="Arial"/>
                <w:iCs/>
                <w:lang w:val="ro-RO"/>
              </w:rPr>
              <w:t>0,71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0,71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0,71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0,71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0,71</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iCs/>
                <w:lang w:val="ro-RO"/>
              </w:rPr>
              <w:t>0,71</w:t>
            </w:r>
          </w:p>
        </w:tc>
      </w:tr>
      <w:tr w:rsidR="00A93324" w:rsidRPr="00A93324" w:rsidTr="00A42550">
        <w:tc>
          <w:tcPr>
            <w:tcW w:w="2410" w:type="dxa"/>
            <w:gridSpan w:val="2"/>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iCs/>
                <w:lang w:val="ro-RO"/>
              </w:rPr>
            </w:pPr>
            <w:r w:rsidRPr="00A93324">
              <w:rPr>
                <w:rFonts w:ascii="Arial" w:eastAsia="SimSun" w:hAnsi="Arial" w:cs="Arial"/>
                <w:b/>
                <w:iCs/>
                <w:lang w:val="ro-RO"/>
              </w:rPr>
              <w:t>Total suprafaţă depozite conforme</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15,91</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15,91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15,91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15,91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16,41</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16,41</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16,41</w:t>
            </w:r>
          </w:p>
        </w:tc>
      </w:tr>
      <w:tr w:rsidR="00A93324" w:rsidRPr="00A93324" w:rsidTr="00A42550">
        <w:tc>
          <w:tcPr>
            <w:tcW w:w="2410" w:type="dxa"/>
            <w:gridSpan w:val="2"/>
            <w:tcBorders>
              <w:top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Total suprafaţă depozite</w:t>
            </w:r>
          </w:p>
        </w:tc>
        <w:tc>
          <w:tcPr>
            <w:tcW w:w="1134"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204,43</w:t>
            </w:r>
          </w:p>
        </w:tc>
        <w:tc>
          <w:tcPr>
            <w:tcW w:w="1056"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center"/>
              <w:rPr>
                <w:rFonts w:ascii="Arial" w:eastAsia="SimSun" w:hAnsi="Arial" w:cs="Arial"/>
                <w:b/>
                <w:iCs/>
                <w:lang w:val="ro-RO"/>
              </w:rPr>
            </w:pPr>
            <w:r w:rsidRPr="00A93324">
              <w:rPr>
                <w:rFonts w:ascii="Arial" w:eastAsia="SimSun" w:hAnsi="Arial" w:cs="Arial"/>
                <w:b/>
                <w:iCs/>
                <w:lang w:val="ro-RO"/>
              </w:rPr>
              <w:t>201,26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201,26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201,26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201,76</w:t>
            </w:r>
          </w:p>
        </w:tc>
        <w:tc>
          <w:tcPr>
            <w:tcW w:w="1029" w:type="dxa"/>
            <w:tcBorders>
              <w:top w:val="single" w:sz="6" w:space="0" w:color="000000"/>
              <w:left w:val="single" w:sz="6" w:space="0" w:color="000000"/>
              <w:bottom w:val="single" w:sz="6" w:space="0" w:color="000000"/>
              <w:right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201,46</w:t>
            </w:r>
          </w:p>
        </w:tc>
        <w:tc>
          <w:tcPr>
            <w:tcW w:w="1029" w:type="dxa"/>
            <w:tcBorders>
              <w:top w:val="single" w:sz="6" w:space="0" w:color="000000"/>
              <w:left w:val="single" w:sz="6" w:space="0" w:color="000000"/>
              <w:bottom w:val="single" w:sz="6" w:space="0" w:color="000000"/>
            </w:tcBorders>
            <w:vAlign w:val="center"/>
          </w:tcPr>
          <w:p w:rsidR="00A93324" w:rsidRPr="00A93324" w:rsidRDefault="00A93324" w:rsidP="00A93324">
            <w:pPr>
              <w:spacing w:after="120" w:line="240" w:lineRule="auto"/>
              <w:jc w:val="both"/>
              <w:rPr>
                <w:rFonts w:ascii="Arial" w:eastAsia="SimSun" w:hAnsi="Arial" w:cs="Arial"/>
                <w:b/>
                <w:iCs/>
                <w:lang w:val="ro-RO"/>
              </w:rPr>
            </w:pPr>
            <w:r w:rsidRPr="00A93324">
              <w:rPr>
                <w:rFonts w:ascii="Arial" w:eastAsia="SimSun" w:hAnsi="Arial" w:cs="Arial"/>
                <w:b/>
                <w:iCs/>
                <w:lang w:val="ro-RO"/>
              </w:rPr>
              <w:t>200,47</w:t>
            </w:r>
          </w:p>
        </w:tc>
      </w:tr>
    </w:tbl>
    <w:p w:rsidR="00A93324" w:rsidRPr="00A93324" w:rsidRDefault="00A93324" w:rsidP="00A93324">
      <w:pPr>
        <w:spacing w:after="120" w:line="240" w:lineRule="auto"/>
        <w:jc w:val="right"/>
        <w:rPr>
          <w:rFonts w:ascii="Arial" w:eastAsia="SimSun" w:hAnsi="Arial" w:cs="Arial"/>
          <w:i/>
          <w:iCs/>
          <w:sz w:val="24"/>
          <w:szCs w:val="24"/>
          <w:lang w:val="ro-RO"/>
        </w:rPr>
      </w:pPr>
      <w:r w:rsidRPr="00A93324">
        <w:rPr>
          <w:rFonts w:ascii="Arial" w:eastAsia="SimSun" w:hAnsi="Arial" w:cs="Arial"/>
          <w:iCs/>
          <w:sz w:val="24"/>
          <w:szCs w:val="24"/>
          <w:lang w:val="ro-RO"/>
        </w:rPr>
        <w:tab/>
      </w:r>
      <w:r w:rsidRPr="00A93324">
        <w:rPr>
          <w:rFonts w:ascii="Arial" w:eastAsia="SimSun" w:hAnsi="Arial" w:cs="Arial"/>
          <w:iCs/>
          <w:sz w:val="24"/>
          <w:szCs w:val="24"/>
          <w:lang w:val="ro-RO"/>
        </w:rPr>
        <w:tab/>
      </w:r>
      <w:r w:rsidRPr="00A93324">
        <w:rPr>
          <w:rFonts w:ascii="Arial" w:eastAsia="SimSun" w:hAnsi="Arial" w:cs="Arial"/>
          <w:iCs/>
          <w:sz w:val="24"/>
          <w:szCs w:val="24"/>
          <w:lang w:val="ro-RO"/>
        </w:rPr>
        <w:tab/>
      </w:r>
      <w:r w:rsidRPr="00A93324">
        <w:rPr>
          <w:rFonts w:ascii="Arial" w:eastAsia="SimSun" w:hAnsi="Arial" w:cs="Arial"/>
          <w:iCs/>
          <w:sz w:val="24"/>
          <w:szCs w:val="24"/>
          <w:lang w:val="ro-RO"/>
        </w:rPr>
        <w:tab/>
      </w:r>
      <w:r w:rsidRPr="00A93324">
        <w:rPr>
          <w:rFonts w:ascii="Arial" w:eastAsia="SimSun" w:hAnsi="Arial" w:cs="Arial"/>
          <w:iCs/>
          <w:sz w:val="24"/>
          <w:szCs w:val="24"/>
          <w:lang w:val="ro-RO"/>
        </w:rPr>
        <w:tab/>
      </w:r>
      <w:r w:rsidRPr="00A93324">
        <w:rPr>
          <w:rFonts w:ascii="Arial" w:eastAsia="SimSun" w:hAnsi="Arial" w:cs="Arial"/>
          <w:iCs/>
          <w:sz w:val="24"/>
          <w:szCs w:val="24"/>
          <w:lang w:val="ro-RO"/>
        </w:rPr>
        <w:tab/>
      </w:r>
      <w:r w:rsidRPr="00A93324">
        <w:rPr>
          <w:rFonts w:ascii="Arial" w:eastAsia="SimSun" w:hAnsi="Arial" w:cs="Arial"/>
          <w:iCs/>
          <w:sz w:val="24"/>
          <w:szCs w:val="24"/>
          <w:lang w:val="ro-RO"/>
        </w:rPr>
        <w:tab/>
      </w:r>
      <w:r w:rsidRPr="00A93324">
        <w:rPr>
          <w:rFonts w:ascii="Arial" w:eastAsia="SimSun" w:hAnsi="Arial" w:cs="Arial"/>
          <w:i/>
          <w:iCs/>
          <w:sz w:val="24"/>
          <w:szCs w:val="24"/>
          <w:lang w:val="ro-RO"/>
        </w:rPr>
        <w:t>Sursa: APM Buzău</w:t>
      </w:r>
    </w:p>
    <w:p w:rsidR="00A93324" w:rsidRPr="00A93324" w:rsidRDefault="00A93324" w:rsidP="00A93324">
      <w:pPr>
        <w:spacing w:after="120" w:line="240" w:lineRule="auto"/>
        <w:jc w:val="both"/>
        <w:rPr>
          <w:rFonts w:ascii="Arial" w:eastAsia="SimSun" w:hAnsi="Arial" w:cs="Arial"/>
          <w:iCs/>
          <w:sz w:val="24"/>
          <w:szCs w:val="24"/>
          <w:lang w:val="ro-RO"/>
        </w:rPr>
      </w:pPr>
      <w:r w:rsidRPr="00A93324">
        <w:rPr>
          <w:rFonts w:ascii="Arial" w:eastAsia="SimSun" w:hAnsi="Arial" w:cs="Arial"/>
          <w:b/>
          <w:i/>
          <w:iCs/>
          <w:sz w:val="24"/>
          <w:szCs w:val="24"/>
          <w:lang w:val="ro-RO"/>
        </w:rPr>
        <w:t xml:space="preserve">* Menţiune: </w:t>
      </w:r>
      <w:r w:rsidRPr="00A93324">
        <w:rPr>
          <w:rFonts w:ascii="Arial" w:eastAsia="SimSun" w:hAnsi="Arial" w:cs="Arial"/>
          <w:i/>
          <w:iCs/>
          <w:sz w:val="24"/>
          <w:szCs w:val="24"/>
          <w:lang w:val="ro-RO"/>
        </w:rPr>
        <w:t xml:space="preserve">este posibil ca după noiembrie 2009, data finalizării lucrărilor de închidere şi ecologizare a spaţiilor neconforme de depozitare a deşeurilor din zona rurală, să se fi executat lucrări de readucere a acestor terenurilor la starea iniţială; deoarece autorităţile administraţiei publice locale nu au notificat astfel de lucrări, s-a considerat că suprafaţa acestora a rămas aceeaşi ca la 31.12.2009, </w:t>
      </w:r>
      <w:smartTag w:uri="urn:schemas-microsoft-com:office:smarttags" w:element="metricconverter">
        <w:smartTagPr>
          <w:attr w:name="ProductID" w:val="157,77 ha"/>
        </w:smartTagPr>
        <w:r w:rsidRPr="00A93324">
          <w:rPr>
            <w:rFonts w:ascii="Arial" w:eastAsia="SimSun" w:hAnsi="Arial" w:cs="Arial"/>
            <w:i/>
            <w:iCs/>
            <w:sz w:val="24"/>
            <w:szCs w:val="24"/>
            <w:lang w:val="ro-RO"/>
          </w:rPr>
          <w:t>157,77 ha</w:t>
        </w:r>
      </w:smartTag>
      <w:r w:rsidRPr="00A93324">
        <w:rPr>
          <w:rFonts w:ascii="Arial" w:eastAsia="SimSun" w:hAnsi="Arial" w:cs="Arial"/>
          <w:i/>
          <w:iCs/>
          <w:sz w:val="24"/>
          <w:szCs w:val="24"/>
          <w:lang w:val="ro-RO"/>
        </w:rPr>
        <w:t xml:space="preserve">).  </w:t>
      </w:r>
      <w:r w:rsidRPr="00A93324">
        <w:rPr>
          <w:rFonts w:ascii="Arial" w:eastAsia="SimSun" w:hAnsi="Arial" w:cs="Arial"/>
          <w:iCs/>
          <w:sz w:val="24"/>
          <w:szCs w:val="24"/>
          <w:lang w:val="ro-RO"/>
        </w:rPr>
        <w:t xml:space="preserve"> </w:t>
      </w:r>
    </w:p>
    <w:p w:rsidR="00A93324" w:rsidRPr="00A93324" w:rsidRDefault="00A93324" w:rsidP="00A93324">
      <w:pPr>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Înainte de 16 iulie 2009, în zona rurală existau 315 spaţii neconforme de depozitare a deşeurilor, care ocupau cca. </w:t>
      </w:r>
      <w:smartTag w:uri="urn:schemas-microsoft-com:office:smarttags" w:element="metricconverter">
        <w:smartTagPr>
          <w:attr w:name="ProductID" w:val="160,94 ha"/>
        </w:smartTagPr>
        <w:r w:rsidRPr="00A93324">
          <w:rPr>
            <w:rFonts w:ascii="Arial" w:eastAsia="SimSun" w:hAnsi="Arial" w:cs="Arial"/>
            <w:iCs/>
            <w:sz w:val="24"/>
            <w:szCs w:val="24"/>
            <w:lang w:val="ro-RO"/>
          </w:rPr>
          <w:t>160,94 ha</w:t>
        </w:r>
      </w:smartTag>
      <w:r w:rsidRPr="00A93324">
        <w:rPr>
          <w:rFonts w:ascii="Arial" w:eastAsia="SimSun" w:hAnsi="Arial" w:cs="Arial"/>
          <w:iCs/>
          <w:sz w:val="24"/>
          <w:szCs w:val="24"/>
          <w:lang w:val="ro-RO"/>
        </w:rPr>
        <w:t xml:space="preserve">. După finalizarea lucrărilor de închidere şi ecologizare, suprafaţa acestora s-a redus cu </w:t>
      </w:r>
      <w:smartTag w:uri="urn:schemas-microsoft-com:office:smarttags" w:element="metricconverter">
        <w:smartTagPr>
          <w:attr w:name="ProductID" w:val="3,17 ha"/>
        </w:smartTagPr>
        <w:r w:rsidRPr="00A93324">
          <w:rPr>
            <w:rFonts w:ascii="Arial" w:eastAsia="SimSun" w:hAnsi="Arial" w:cs="Arial"/>
            <w:iCs/>
            <w:sz w:val="24"/>
            <w:szCs w:val="24"/>
            <w:lang w:val="ro-RO"/>
          </w:rPr>
          <w:t>3,17 ha</w:t>
        </w:r>
      </w:smartTag>
      <w:r w:rsidRPr="00A93324">
        <w:rPr>
          <w:rFonts w:ascii="Arial" w:eastAsia="SimSun" w:hAnsi="Arial" w:cs="Arial"/>
          <w:iCs/>
          <w:sz w:val="24"/>
          <w:szCs w:val="24"/>
          <w:lang w:val="ro-RO"/>
        </w:rPr>
        <w:t xml:space="preserve"> datorită faptului că pentru 9 spaţii autorităţile administraţiei publice locale au luat decizia mutării deşeurilor şi aducerii terenurilor la starea iniţială.    </w:t>
      </w:r>
    </w:p>
    <w:p w:rsidR="00A93324" w:rsidRPr="00A93324" w:rsidRDefault="00A93324" w:rsidP="00A93324">
      <w:pPr>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Conform datelor prezentate, suprafe</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ele de terenuri ocupate cu depozite neconforme de de</w:t>
      </w:r>
      <w:r w:rsidRPr="00A93324">
        <w:rPr>
          <w:rFonts w:ascii="Arial" w:eastAsia="SimSun" w:hAnsi="Tahoma" w:cs="Arial"/>
          <w:iCs/>
          <w:sz w:val="24"/>
          <w:szCs w:val="24"/>
          <w:lang w:val="ro-RO"/>
        </w:rPr>
        <w:t>ş</w:t>
      </w:r>
      <w:r w:rsidRPr="00A93324">
        <w:rPr>
          <w:rFonts w:ascii="Arial" w:eastAsia="SimSun" w:hAnsi="Arial" w:cs="Arial"/>
          <w:iCs/>
          <w:sz w:val="24"/>
          <w:szCs w:val="24"/>
          <w:lang w:val="ro-RO"/>
        </w:rPr>
        <w:t>euri au înregistrat o evoluţie descrescătoare. Astfel, înainte de data de 16 iulie 2009 (data limită pentru sistarea activită</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ii anumitor depozite neconforme, stabilită prin HG nr. 349/2005), aceste suprafe</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 xml:space="preserve">e însumau în total cca. </w:t>
      </w:r>
      <w:smartTag w:uri="urn:schemas-microsoft-com:office:smarttags" w:element="metricconverter">
        <w:smartTagPr>
          <w:attr w:name="ProductID" w:val="188,52 ha"/>
        </w:smartTagPr>
        <w:r w:rsidRPr="00A93324">
          <w:rPr>
            <w:rFonts w:ascii="Arial" w:eastAsia="SimSun" w:hAnsi="Arial" w:cs="Arial"/>
            <w:iCs/>
            <w:sz w:val="24"/>
            <w:szCs w:val="24"/>
            <w:lang w:val="ro-RO"/>
          </w:rPr>
          <w:t>188,52 ha</w:t>
        </w:r>
      </w:smartTag>
      <w:r w:rsidRPr="00A93324">
        <w:rPr>
          <w:rFonts w:ascii="Arial" w:eastAsia="SimSun" w:hAnsi="Arial" w:cs="Arial"/>
          <w:iCs/>
          <w:sz w:val="24"/>
          <w:szCs w:val="24"/>
          <w:lang w:val="ro-RO"/>
        </w:rPr>
        <w:t xml:space="preserve">, iar la finele anului 2014, </w:t>
      </w:r>
      <w:smartTag w:uri="urn:schemas-microsoft-com:office:smarttags" w:element="metricconverter">
        <w:smartTagPr>
          <w:attr w:name="ProductID" w:val="184,09 ha"/>
        </w:smartTagPr>
        <w:r w:rsidRPr="00A93324">
          <w:rPr>
            <w:rFonts w:ascii="Arial" w:eastAsia="SimSun" w:hAnsi="Arial" w:cs="Arial"/>
            <w:iCs/>
            <w:sz w:val="24"/>
            <w:szCs w:val="24"/>
            <w:lang w:val="ro-RO"/>
          </w:rPr>
          <w:t>184,09 ha</w:t>
        </w:r>
      </w:smartTag>
      <w:r w:rsidRPr="00A93324">
        <w:rPr>
          <w:rFonts w:ascii="Arial" w:eastAsia="SimSun" w:hAnsi="Arial" w:cs="Arial"/>
          <w:iCs/>
          <w:sz w:val="24"/>
          <w:szCs w:val="24"/>
          <w:lang w:val="ro-RO"/>
        </w:rPr>
        <w:t>. Diferen</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 xml:space="preserve">a de </w:t>
      </w:r>
      <w:smartTag w:uri="urn:schemas-microsoft-com:office:smarttags" w:element="metricconverter">
        <w:smartTagPr>
          <w:attr w:name="ProductID" w:val="4,43 ha"/>
        </w:smartTagPr>
        <w:r w:rsidRPr="00A93324">
          <w:rPr>
            <w:rFonts w:ascii="Arial" w:eastAsia="SimSun" w:hAnsi="Arial" w:cs="Arial"/>
            <w:iCs/>
            <w:sz w:val="24"/>
            <w:szCs w:val="24"/>
            <w:lang w:val="ro-RO"/>
          </w:rPr>
          <w:t>4,43 ha</w:t>
        </w:r>
      </w:smartTag>
      <w:r w:rsidRPr="00A93324">
        <w:rPr>
          <w:rFonts w:ascii="Arial" w:eastAsia="SimSun" w:hAnsi="Arial" w:cs="Arial"/>
          <w:iCs/>
          <w:sz w:val="24"/>
          <w:szCs w:val="24"/>
          <w:lang w:val="ro-RO"/>
        </w:rPr>
        <w:t xml:space="preserve"> este reprezentată de suprafe</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ele de teren ocupate de depozite neconforme care au fost aduse la starea ini</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 xml:space="preserve">ială prin dezafectare, remediere </w:t>
      </w:r>
      <w:r w:rsidRPr="00A93324">
        <w:rPr>
          <w:rFonts w:ascii="Arial" w:eastAsia="SimSun" w:hAnsi="Tahoma" w:cs="Arial"/>
          <w:iCs/>
          <w:sz w:val="24"/>
          <w:szCs w:val="24"/>
          <w:lang w:val="ro-RO"/>
        </w:rPr>
        <w:t>ş</w:t>
      </w:r>
      <w:r w:rsidRPr="00A93324">
        <w:rPr>
          <w:rFonts w:ascii="Arial" w:eastAsia="SimSun" w:hAnsi="Arial" w:cs="Arial"/>
          <w:iCs/>
          <w:sz w:val="24"/>
          <w:szCs w:val="24"/>
          <w:lang w:val="ro-RO"/>
        </w:rPr>
        <w:t>i reconstruc</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 xml:space="preserve">ie ecologică, după caz.  </w:t>
      </w:r>
    </w:p>
    <w:p w:rsidR="00A93324" w:rsidRPr="00A93324" w:rsidRDefault="00A93324" w:rsidP="00A93324">
      <w:pPr>
        <w:spacing w:after="120" w:line="240" w:lineRule="auto"/>
        <w:rPr>
          <w:rFonts w:ascii="Arial" w:eastAsia="SimSun" w:hAnsi="Arial" w:cs="Arial"/>
          <w:i/>
          <w:iCs/>
          <w:sz w:val="24"/>
          <w:szCs w:val="24"/>
          <w:lang w:val="ro-RO"/>
        </w:rPr>
      </w:pPr>
    </w:p>
    <w:p w:rsidR="00A93324" w:rsidRPr="00A93324" w:rsidRDefault="00A93324" w:rsidP="00A93324">
      <w:pPr>
        <w:shd w:val="clear" w:color="auto" w:fill="D9D9D9"/>
        <w:tabs>
          <w:tab w:val="left" w:leader="dot" w:pos="9356"/>
        </w:tabs>
        <w:spacing w:after="120" w:line="240" w:lineRule="auto"/>
        <w:ind w:left="293"/>
        <w:rPr>
          <w:rFonts w:ascii="Arial" w:eastAsia="SimSun" w:hAnsi="Arial" w:cs="Arial"/>
          <w:b/>
          <w:sz w:val="24"/>
          <w:szCs w:val="24"/>
          <w:lang w:val="ro-RO"/>
        </w:rPr>
      </w:pPr>
      <w:r w:rsidRPr="00A93324">
        <w:rPr>
          <w:rFonts w:ascii="Arial" w:eastAsia="SimSun" w:hAnsi="Arial" w:cs="Arial"/>
          <w:b/>
          <w:sz w:val="24"/>
          <w:szCs w:val="24"/>
          <w:lang w:val="ro-RO"/>
        </w:rPr>
        <w:lastRenderedPageBreak/>
        <w:t xml:space="preserve">III.2. Zone critice sub aspectul deteriorării solurilor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Solul este principalul suport al tuturor activităţilor socio-economice şi constituie factorul de mediu expus cel mai uşor la poluare. Deversările de substan</w:t>
      </w:r>
      <w:r w:rsidRPr="00A93324">
        <w:rPr>
          <w:rFonts w:ascii="Arial" w:eastAsia="SimSun" w:hAnsi="Tahoma" w:cs="Arial"/>
          <w:sz w:val="24"/>
          <w:szCs w:val="24"/>
          <w:lang w:val="ro-RO"/>
        </w:rPr>
        <w:t>ţ</w:t>
      </w:r>
      <w:r w:rsidRPr="00A93324">
        <w:rPr>
          <w:rFonts w:ascii="Arial" w:eastAsia="SimSun" w:hAnsi="Arial" w:cs="Arial"/>
          <w:sz w:val="24"/>
          <w:szCs w:val="24"/>
          <w:lang w:val="ro-RO"/>
        </w:rPr>
        <w:t>e chimice periculoase, depozitările de deşeuri de toate categoriile, tratamentele şi fertilizările necorespunzătoare, făcute fără fundamentare agro-pedologică, agrotehnică, la care se adaugă degradările naturale ale calită</w:t>
      </w:r>
      <w:r w:rsidRPr="00A93324">
        <w:rPr>
          <w:rFonts w:ascii="Arial" w:eastAsia="SimSun" w:hAnsi="Tahoma" w:cs="Arial"/>
          <w:sz w:val="24"/>
          <w:szCs w:val="24"/>
          <w:lang w:val="ro-RO"/>
        </w:rPr>
        <w:t>ţ</w:t>
      </w:r>
      <w:r w:rsidRPr="00A93324">
        <w:rPr>
          <w:rFonts w:ascii="Arial" w:eastAsia="SimSun" w:hAnsi="Arial" w:cs="Arial"/>
          <w:sz w:val="24"/>
          <w:szCs w:val="24"/>
          <w:lang w:val="ro-RO"/>
        </w:rPr>
        <w:t>ii solului (eroziune, alunecări, tasări, rupturi şi prăbuşiri) conferă imaginea completă a impactului produs de activitatea antropică asupra acestui factor de mediu.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Datorită aşezării geografice a jude</w:t>
      </w:r>
      <w:r w:rsidRPr="00A93324">
        <w:rPr>
          <w:rFonts w:ascii="Arial" w:eastAsia="SimSun" w:hAnsi="Tahoma" w:cs="Arial"/>
          <w:sz w:val="24"/>
          <w:szCs w:val="24"/>
          <w:lang w:val="ro-RO"/>
        </w:rPr>
        <w:t>ţ</w:t>
      </w:r>
      <w:r w:rsidRPr="00A93324">
        <w:rPr>
          <w:rFonts w:ascii="Arial" w:eastAsia="SimSun" w:hAnsi="Arial" w:cs="Arial"/>
          <w:sz w:val="24"/>
          <w:szCs w:val="24"/>
          <w:lang w:val="ro-RO"/>
        </w:rPr>
        <w:t>ului Buzău, aspectele de vulnerabilitate a solului identificate acoperă aproape toată gama de probleme datorate impactului antropic sau natural.</w:t>
      </w:r>
    </w:p>
    <w:p w:rsidR="00A93324" w:rsidRPr="00A93324" w:rsidRDefault="00A93324" w:rsidP="00A93324">
      <w:pPr>
        <w:tabs>
          <w:tab w:val="left" w:pos="1276"/>
          <w:tab w:val="left" w:leader="dot" w:pos="9356"/>
        </w:tabs>
        <w:spacing w:after="120" w:line="240" w:lineRule="auto"/>
        <w:ind w:left="352"/>
        <w:rPr>
          <w:rFonts w:ascii="Arial" w:eastAsia="SimSun" w:hAnsi="Arial" w:cs="Arial"/>
          <w:b/>
          <w:i/>
          <w:sz w:val="24"/>
          <w:szCs w:val="24"/>
          <w:lang w:val="ro-RO"/>
        </w:rPr>
      </w:pPr>
      <w:r w:rsidRPr="00A93324">
        <w:rPr>
          <w:rFonts w:ascii="Arial" w:eastAsia="SimSun" w:hAnsi="Arial" w:cs="Arial"/>
          <w:b/>
          <w:i/>
          <w:sz w:val="24"/>
          <w:szCs w:val="24"/>
          <w:lang w:val="ro-RO"/>
        </w:rPr>
        <w:t xml:space="preserve">III.2.1 Zone afectate de procese naturale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La nivelul judeţului Buzău nu există date care să permită separarea proceselor limitative antropice de cele naturale, iar pentru o parte din procesele limitative precum compactarea solurilor sau formarea crustei la nivelul acestuia nu există nicio informaţie.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Centralizarea datelor deţinute privind inventarul terenurilor afectate de procese limitative naturale şi antropice în ultimii 5 ani a fost prezentată în tabelul III.1.2. – 1, iar mai jos, în tabelul III.1.2-3 este prezentată comparativ situaţia existentă în anul 2010 , respectiv în anul 2014:</w:t>
      </w:r>
    </w:p>
    <w:p w:rsidR="00A93324" w:rsidRPr="00A93324" w:rsidRDefault="00A93324" w:rsidP="00A93324">
      <w:pPr>
        <w:spacing w:after="120" w:line="240" w:lineRule="auto"/>
        <w:jc w:val="both"/>
        <w:rPr>
          <w:rFonts w:ascii="Arial" w:eastAsia="SimSun" w:hAnsi="Arial" w:cs="Arial"/>
          <w:b/>
          <w:bCs/>
          <w:sz w:val="24"/>
          <w:szCs w:val="24"/>
          <w:lang w:val="ro-RO"/>
        </w:rPr>
      </w:pPr>
      <w:r w:rsidRPr="00A93324">
        <w:rPr>
          <w:rFonts w:ascii="Arial" w:eastAsia="SimSun" w:hAnsi="Arial" w:cs="Arial"/>
          <w:b/>
          <w:bCs/>
          <w:sz w:val="24"/>
          <w:szCs w:val="24"/>
          <w:lang w:val="ro-RO"/>
        </w:rPr>
        <w:t>Tabelul III.1.2.-3  Inventarul terenurilor afectate de diferite procese, prezentat comparativ  în anii 2010 -2014</w:t>
      </w:r>
    </w:p>
    <w:tbl>
      <w:tblPr>
        <w:tblW w:w="912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718"/>
        <w:gridCol w:w="4132"/>
        <w:gridCol w:w="1151"/>
        <w:gridCol w:w="800"/>
        <w:gridCol w:w="13"/>
        <w:gridCol w:w="1133"/>
        <w:gridCol w:w="1164"/>
        <w:gridCol w:w="13"/>
      </w:tblGrid>
      <w:tr w:rsidR="00A93324" w:rsidRPr="00A93324" w:rsidTr="00A42550">
        <w:trPr>
          <w:gridAfter w:val="1"/>
          <w:wAfter w:w="13" w:type="dxa"/>
          <w:trHeight w:val="390"/>
          <w:jc w:val="center"/>
        </w:trPr>
        <w:tc>
          <w:tcPr>
            <w:tcW w:w="718" w:type="dxa"/>
            <w:vMerge w:val="restart"/>
            <w:tcBorders>
              <w:top w:val="double" w:sz="6" w:space="0" w:color="000000"/>
            </w:tcBorders>
            <w:vAlign w:val="center"/>
          </w:tcPr>
          <w:p w:rsidR="00A93324" w:rsidRPr="00A93324" w:rsidRDefault="00A93324" w:rsidP="00A93324">
            <w:pPr>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Nr. crt.</w:t>
            </w:r>
          </w:p>
        </w:tc>
        <w:tc>
          <w:tcPr>
            <w:tcW w:w="4132" w:type="dxa"/>
            <w:vMerge w:val="restart"/>
            <w:tcBorders>
              <w:top w:val="double" w:sz="6" w:space="0" w:color="000000"/>
            </w:tcBorders>
            <w:vAlign w:val="center"/>
          </w:tcPr>
          <w:p w:rsidR="00A93324" w:rsidRPr="00A93324" w:rsidRDefault="00A93324" w:rsidP="00A93324">
            <w:pPr>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Terenuri afectate de:</w:t>
            </w:r>
          </w:p>
        </w:tc>
        <w:tc>
          <w:tcPr>
            <w:tcW w:w="4261" w:type="dxa"/>
            <w:gridSpan w:val="5"/>
            <w:tcBorders>
              <w:top w:val="double" w:sz="6" w:space="0" w:color="000000"/>
            </w:tcBorders>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Suprafa</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ă cartată</w:t>
            </w:r>
          </w:p>
        </w:tc>
      </w:tr>
      <w:tr w:rsidR="00A93324" w:rsidRPr="00A93324" w:rsidTr="00A42550">
        <w:trPr>
          <w:gridAfter w:val="1"/>
          <w:wAfter w:w="13" w:type="dxa"/>
          <w:trHeight w:val="390"/>
          <w:jc w:val="center"/>
        </w:trPr>
        <w:tc>
          <w:tcPr>
            <w:tcW w:w="718" w:type="dxa"/>
            <w:vMerge/>
            <w:vAlign w:val="center"/>
          </w:tcPr>
          <w:p w:rsidR="00A93324" w:rsidRPr="00A93324" w:rsidRDefault="00A93324" w:rsidP="00A93324">
            <w:pPr>
              <w:spacing w:after="120" w:line="240" w:lineRule="auto"/>
              <w:rPr>
                <w:rFonts w:ascii="Arial" w:eastAsia="SimSun" w:hAnsi="Arial" w:cs="Arial"/>
                <w:b/>
                <w:bCs/>
                <w:sz w:val="24"/>
                <w:szCs w:val="24"/>
                <w:lang w:val="ro-RO"/>
              </w:rPr>
            </w:pPr>
          </w:p>
        </w:tc>
        <w:tc>
          <w:tcPr>
            <w:tcW w:w="4132" w:type="dxa"/>
            <w:vMerge/>
          </w:tcPr>
          <w:p w:rsidR="00A93324" w:rsidRPr="00A93324" w:rsidRDefault="00A93324" w:rsidP="00A93324">
            <w:pPr>
              <w:spacing w:after="120" w:line="240" w:lineRule="auto"/>
              <w:rPr>
                <w:rFonts w:ascii="Arial" w:eastAsia="SimSun" w:hAnsi="Arial" w:cs="Arial"/>
                <w:b/>
                <w:bCs/>
                <w:sz w:val="24"/>
                <w:szCs w:val="24"/>
                <w:lang w:val="ro-RO"/>
              </w:rPr>
            </w:pPr>
          </w:p>
        </w:tc>
        <w:tc>
          <w:tcPr>
            <w:tcW w:w="1951" w:type="dxa"/>
            <w:gridSpan w:val="2"/>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2010</w:t>
            </w:r>
          </w:p>
        </w:tc>
        <w:tc>
          <w:tcPr>
            <w:tcW w:w="2310" w:type="dxa"/>
            <w:gridSpan w:val="3"/>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2014</w:t>
            </w:r>
          </w:p>
        </w:tc>
      </w:tr>
      <w:tr w:rsidR="00A93324" w:rsidRPr="00A93324" w:rsidTr="00A42550">
        <w:trPr>
          <w:gridAfter w:val="1"/>
          <w:wAfter w:w="13" w:type="dxa"/>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p>
        </w:tc>
        <w:tc>
          <w:tcPr>
            <w:tcW w:w="4261" w:type="dxa"/>
            <w:gridSpan w:val="5"/>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b/>
                <w:bCs/>
                <w:sz w:val="24"/>
                <w:szCs w:val="24"/>
                <w:lang w:val="ro-RO"/>
              </w:rPr>
              <w:t>Suprafa</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a (ha) / %</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Secetă</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2</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Amenajări pentru iriga</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ii</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3</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Exces de umiditate</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18771</w:t>
            </w: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6,7</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19683</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5,41</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4</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Amenajări pentru drenaj</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5</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Eroziunea solului prin apă</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45929</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16,4</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38551</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10,6</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6</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Amenajări antierozionale</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vMerge w:val="restart"/>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7</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Alunecări de teren                                               din care:</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6135</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2,2</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5974</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4,8</w:t>
            </w:r>
          </w:p>
        </w:tc>
      </w:tr>
      <w:tr w:rsidR="00A93324" w:rsidRPr="00A93324" w:rsidTr="00A42550">
        <w:trPr>
          <w:jc w:val="center"/>
        </w:trPr>
        <w:tc>
          <w:tcPr>
            <w:tcW w:w="718" w:type="dxa"/>
            <w:vMerge/>
          </w:tcPr>
          <w:p w:rsidR="00A93324" w:rsidRPr="00A93324" w:rsidRDefault="00A93324" w:rsidP="00A93324">
            <w:pPr>
              <w:spacing w:after="120" w:line="240" w:lineRule="auto"/>
              <w:rPr>
                <w:rFonts w:ascii="Arial" w:eastAsia="SimSun" w:hAnsi="Arial" w:cs="Arial"/>
                <w:sz w:val="24"/>
                <w:szCs w:val="24"/>
                <w:lang w:val="ro-RO"/>
              </w:rPr>
            </w:pP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 alunecări în brazde</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2057</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vMerge/>
          </w:tcPr>
          <w:p w:rsidR="00A93324" w:rsidRPr="00A93324" w:rsidRDefault="00A93324" w:rsidP="00A93324">
            <w:pPr>
              <w:spacing w:after="120" w:line="240" w:lineRule="auto"/>
              <w:rPr>
                <w:rFonts w:ascii="Arial" w:eastAsia="SimSun" w:hAnsi="Arial" w:cs="Arial"/>
                <w:sz w:val="24"/>
                <w:szCs w:val="24"/>
                <w:lang w:val="ro-RO"/>
              </w:rPr>
            </w:pP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 alunecări în valuri</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3405</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vMerge/>
          </w:tcPr>
          <w:p w:rsidR="00A93324" w:rsidRPr="00A93324" w:rsidRDefault="00A93324" w:rsidP="00A93324">
            <w:pPr>
              <w:spacing w:after="120" w:line="240" w:lineRule="auto"/>
              <w:rPr>
                <w:rFonts w:ascii="Arial" w:eastAsia="SimSun" w:hAnsi="Arial" w:cs="Arial"/>
                <w:sz w:val="24"/>
                <w:szCs w:val="24"/>
                <w:lang w:val="ro-RO"/>
              </w:rPr>
            </w:pP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 alunecări în trepte</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512</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8</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Risc de eroziunea solului prin vânt (terenuri nisipoase)</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4205</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1,5</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4721</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1,3</w:t>
            </w:r>
          </w:p>
        </w:tc>
      </w:tr>
      <w:tr w:rsidR="00A93324" w:rsidRPr="00A93324" w:rsidTr="00A42550">
        <w:trPr>
          <w:trHeight w:val="446"/>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9</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 xml:space="preserve">Sărăturarea solului (salinizare + alcalizare) </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40226</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14,4</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41265</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11,35</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10</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 xml:space="preserve"> Compactarea solurilor datorită lucrărilor necorespunzătoare</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lastRenderedPageBreak/>
              <w:t>11</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Compactarea primară a solului</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12</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Formarea crustei</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13"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33" w:type="dxa"/>
          </w:tcPr>
          <w:p w:rsidR="00A93324" w:rsidRPr="00A93324" w:rsidRDefault="00A93324" w:rsidP="00A93324">
            <w:pPr>
              <w:spacing w:after="120" w:line="240" w:lineRule="auto"/>
              <w:rPr>
                <w:rFonts w:ascii="Arial" w:eastAsia="SimSun" w:hAnsi="Arial" w:cs="Arial"/>
                <w:sz w:val="24"/>
                <w:szCs w:val="24"/>
                <w:lang w:val="ro-RO"/>
              </w:rPr>
            </w:pP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13</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Rezervă mică de humus în sol</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62841</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79</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101781</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82,32</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14</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 xml:space="preserve">Aciditatea moderată şi puternică </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11512</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14,5</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8039</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6,2</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15</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Asigurarea slabă cu fosfor mobil</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46600</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58,6</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89372</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68,9</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16</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Asigurarea slabă cu potasiu mobil</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7947</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10</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13740</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10,59</w:t>
            </w:r>
          </w:p>
        </w:tc>
      </w:tr>
      <w:tr w:rsidR="00A93324" w:rsidRPr="00A93324" w:rsidTr="00A42550">
        <w:trPr>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17</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 xml:space="preserve"> Asigurarea slabă cu azot</w:t>
            </w:r>
          </w:p>
        </w:tc>
        <w:tc>
          <w:tcPr>
            <w:tcW w:w="1151" w:type="dxa"/>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23892</w:t>
            </w:r>
          </w:p>
        </w:tc>
        <w:tc>
          <w:tcPr>
            <w:tcW w:w="813" w:type="dxa"/>
            <w:gridSpan w:val="2"/>
          </w:tcPr>
          <w:p w:rsidR="00A93324" w:rsidRPr="00A93324" w:rsidRDefault="00A93324" w:rsidP="00A93324">
            <w:pPr>
              <w:spacing w:after="120" w:line="240" w:lineRule="auto"/>
              <w:rPr>
                <w:rFonts w:ascii="Arial" w:eastAsia="SimSun" w:hAnsi="Arial" w:cs="Arial"/>
                <w:sz w:val="24"/>
                <w:szCs w:val="20"/>
                <w:lang w:val="ro-RO"/>
              </w:rPr>
            </w:pPr>
            <w:r w:rsidRPr="00A93324">
              <w:rPr>
                <w:rFonts w:ascii="Arial" w:eastAsia="SimSun" w:hAnsi="Arial" w:cs="Arial"/>
                <w:sz w:val="24"/>
                <w:szCs w:val="20"/>
                <w:lang w:val="ro-RO"/>
              </w:rPr>
              <w:t>30</w:t>
            </w:r>
          </w:p>
        </w:tc>
        <w:tc>
          <w:tcPr>
            <w:tcW w:w="1133"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32237</w:t>
            </w:r>
          </w:p>
        </w:tc>
        <w:tc>
          <w:tcPr>
            <w:tcW w:w="1177" w:type="dxa"/>
            <w:gridSpan w:val="2"/>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24,85</w:t>
            </w:r>
          </w:p>
        </w:tc>
      </w:tr>
      <w:tr w:rsidR="00A93324" w:rsidRPr="00A93324" w:rsidTr="00A42550">
        <w:trPr>
          <w:gridAfter w:val="1"/>
          <w:wAfter w:w="13" w:type="dxa"/>
          <w:jc w:val="center"/>
        </w:trPr>
        <w:tc>
          <w:tcPr>
            <w:tcW w:w="718" w:type="dxa"/>
          </w:tcPr>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18</w:t>
            </w:r>
          </w:p>
        </w:tc>
        <w:tc>
          <w:tcPr>
            <w:tcW w:w="4132" w:type="dxa"/>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Caren</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e de microelemente (zinc)</w:t>
            </w:r>
          </w:p>
        </w:tc>
        <w:tc>
          <w:tcPr>
            <w:tcW w:w="1151" w:type="dxa"/>
          </w:tcPr>
          <w:p w:rsidR="00A93324" w:rsidRPr="00A93324" w:rsidRDefault="00A93324" w:rsidP="00A93324">
            <w:pPr>
              <w:spacing w:after="120" w:line="240" w:lineRule="auto"/>
              <w:rPr>
                <w:rFonts w:ascii="Arial" w:eastAsia="SimSun" w:hAnsi="Arial" w:cs="Arial"/>
                <w:sz w:val="24"/>
                <w:szCs w:val="24"/>
                <w:lang w:val="ro-RO"/>
              </w:rPr>
            </w:pPr>
          </w:p>
        </w:tc>
        <w:tc>
          <w:tcPr>
            <w:tcW w:w="800" w:type="dxa"/>
          </w:tcPr>
          <w:p w:rsidR="00A93324" w:rsidRPr="00A93324" w:rsidRDefault="00A93324" w:rsidP="00A93324">
            <w:pPr>
              <w:spacing w:after="120" w:line="240" w:lineRule="auto"/>
              <w:rPr>
                <w:rFonts w:ascii="Arial" w:eastAsia="SimSun" w:hAnsi="Arial" w:cs="Arial"/>
                <w:sz w:val="24"/>
                <w:szCs w:val="24"/>
                <w:lang w:val="ro-RO"/>
              </w:rPr>
            </w:pPr>
          </w:p>
        </w:tc>
        <w:tc>
          <w:tcPr>
            <w:tcW w:w="1146" w:type="dxa"/>
            <w:gridSpan w:val="2"/>
          </w:tcPr>
          <w:p w:rsidR="00A93324" w:rsidRPr="00A93324" w:rsidRDefault="00A93324" w:rsidP="00A93324">
            <w:pPr>
              <w:spacing w:after="120" w:line="240" w:lineRule="auto"/>
              <w:rPr>
                <w:rFonts w:ascii="Arial" w:eastAsia="SimSun" w:hAnsi="Arial" w:cs="Arial"/>
                <w:sz w:val="24"/>
                <w:szCs w:val="24"/>
                <w:lang w:val="ro-RO"/>
              </w:rPr>
            </w:pPr>
          </w:p>
        </w:tc>
        <w:tc>
          <w:tcPr>
            <w:tcW w:w="1164" w:type="dxa"/>
          </w:tcPr>
          <w:p w:rsidR="00A93324" w:rsidRPr="00A93324" w:rsidRDefault="00A93324" w:rsidP="00A93324">
            <w:pPr>
              <w:spacing w:after="120" w:line="240" w:lineRule="auto"/>
              <w:rPr>
                <w:rFonts w:ascii="Arial" w:eastAsia="SimSun" w:hAnsi="Arial" w:cs="Arial"/>
                <w:sz w:val="24"/>
                <w:szCs w:val="24"/>
                <w:lang w:val="ro-RO"/>
              </w:rPr>
            </w:pPr>
          </w:p>
        </w:tc>
      </w:tr>
    </w:tbl>
    <w:p w:rsidR="00A93324" w:rsidRPr="00A93324" w:rsidRDefault="00A93324" w:rsidP="00A93324">
      <w:pPr>
        <w:spacing w:after="120" w:line="240" w:lineRule="auto"/>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Oficiul de Studii Pedologice şi Agrochimice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bCs/>
          <w:sz w:val="24"/>
          <w:szCs w:val="24"/>
          <w:lang w:val="ro-RO"/>
        </w:rPr>
      </w:pPr>
      <w:r w:rsidRPr="00A93324">
        <w:rPr>
          <w:rFonts w:ascii="Arial" w:eastAsia="SimSun" w:hAnsi="Arial" w:cs="Arial"/>
          <w:bCs/>
          <w:sz w:val="24"/>
          <w:szCs w:val="24"/>
          <w:lang w:val="ro-RO"/>
        </w:rPr>
        <w:t xml:space="preserve">Din analiza datelor la dispoziţie, se observă, pentru anul 2014 o creştere a suprafeţelor cu exces de umiditate, sol salinizat,  cu risc de eroziune prin vânt concomitent  cu o scădere a suprafeţelor cu aciditate mare şi moderată, cu alunecări de teren sau risc de eroziune prin apă. În ceea ce priveşte compoziţia şi asigurarea cu nutrienţi, respectiv existenţa solurilor cu o rezervă mică de humus, a celor cu o asigurare slabă cu potasiu mobil, cu fosfor mobil şi azot se observă ca suprafeţele acestor soluri au crescut, raportat la suprafeţele cu astfel de limitări din anul 2010. </w:t>
      </w:r>
    </w:p>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p>
    <w:p w:rsidR="00A93324" w:rsidRPr="00A93324" w:rsidRDefault="00A93324" w:rsidP="00A93324">
      <w:pPr>
        <w:shd w:val="clear" w:color="auto" w:fill="D9D9D9"/>
        <w:tabs>
          <w:tab w:val="left" w:leader="dot" w:pos="9356"/>
        </w:tabs>
        <w:spacing w:after="120" w:line="240" w:lineRule="auto"/>
        <w:ind w:left="293"/>
        <w:rPr>
          <w:rFonts w:ascii="Arial" w:eastAsia="SimSun" w:hAnsi="Arial" w:cs="Arial"/>
          <w:b/>
          <w:sz w:val="24"/>
          <w:szCs w:val="24"/>
          <w:lang w:val="ro-RO"/>
        </w:rPr>
      </w:pPr>
      <w:r w:rsidRPr="00A93324">
        <w:rPr>
          <w:rFonts w:ascii="Arial" w:eastAsia="SimSun" w:hAnsi="Arial" w:cs="Arial"/>
          <w:b/>
          <w:sz w:val="24"/>
          <w:szCs w:val="24"/>
          <w:lang w:val="ro-RO"/>
        </w:rPr>
        <w:t xml:space="preserve">III.3. Presiuni asupra stării de calitate a  solurilor   </w:t>
      </w:r>
    </w:p>
    <w:p w:rsidR="00A93324" w:rsidRPr="00A93324" w:rsidRDefault="00A93324" w:rsidP="00A93324">
      <w:pPr>
        <w:tabs>
          <w:tab w:val="left" w:pos="1276"/>
          <w:tab w:val="left" w:leader="dot" w:pos="9356"/>
        </w:tabs>
        <w:spacing w:after="120" w:line="240" w:lineRule="auto"/>
        <w:ind w:left="352"/>
        <w:rPr>
          <w:rFonts w:ascii="Arial" w:eastAsia="SimSun" w:hAnsi="Arial" w:cs="Arial"/>
          <w:b/>
          <w:i/>
          <w:sz w:val="24"/>
          <w:szCs w:val="24"/>
          <w:lang w:val="ro-RO"/>
        </w:rPr>
      </w:pPr>
    </w:p>
    <w:p w:rsidR="00A93324" w:rsidRPr="00A93324" w:rsidRDefault="00A93324" w:rsidP="00A93324">
      <w:pPr>
        <w:tabs>
          <w:tab w:val="left" w:pos="1276"/>
          <w:tab w:val="left" w:leader="dot" w:pos="9356"/>
        </w:tabs>
        <w:spacing w:after="120" w:line="240" w:lineRule="auto"/>
        <w:ind w:left="352"/>
        <w:rPr>
          <w:rFonts w:ascii="Arial" w:eastAsia="SimSun" w:hAnsi="Arial" w:cs="Arial"/>
          <w:b/>
          <w:i/>
          <w:sz w:val="24"/>
          <w:szCs w:val="24"/>
          <w:lang w:val="ro-RO"/>
        </w:rPr>
      </w:pPr>
      <w:r w:rsidRPr="00A93324">
        <w:rPr>
          <w:rFonts w:ascii="Arial" w:eastAsia="SimSun" w:hAnsi="Arial" w:cs="Arial"/>
          <w:b/>
          <w:i/>
          <w:sz w:val="24"/>
          <w:szCs w:val="24"/>
          <w:lang w:val="ro-RO"/>
        </w:rPr>
        <w:t xml:space="preserve">III.3.1 Utilizare şi consumul de îngrăşăminte </w:t>
      </w:r>
    </w:p>
    <w:p w:rsidR="00A93324" w:rsidRPr="00A93324" w:rsidRDefault="00A93324" w:rsidP="00A93324">
      <w:pPr>
        <w:autoSpaceDE w:val="0"/>
        <w:autoSpaceDN w:val="0"/>
        <w:adjustRightInd w:val="0"/>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Îngrăşămintele sunt substan</w:t>
      </w:r>
      <w:r w:rsidRPr="00A93324">
        <w:rPr>
          <w:rFonts w:ascii="Arial" w:eastAsia="SimSun" w:hAnsi="Tahoma" w:cs="Arial"/>
          <w:sz w:val="24"/>
          <w:szCs w:val="24"/>
          <w:lang w:val="ro-RO"/>
        </w:rPr>
        <w:t>ţ</w:t>
      </w:r>
      <w:r w:rsidRPr="00A93324">
        <w:rPr>
          <w:rFonts w:ascii="Arial" w:eastAsia="SimSun" w:hAnsi="Arial" w:cs="Arial"/>
          <w:sz w:val="24"/>
          <w:szCs w:val="24"/>
          <w:lang w:val="ro-RO"/>
        </w:rPr>
        <w:t>e care se aplică în sol, la suprafa</w:t>
      </w:r>
      <w:r w:rsidRPr="00A93324">
        <w:rPr>
          <w:rFonts w:ascii="Arial" w:eastAsia="SimSun" w:hAnsi="Tahoma" w:cs="Arial"/>
          <w:sz w:val="24"/>
          <w:szCs w:val="24"/>
          <w:lang w:val="ro-RO"/>
        </w:rPr>
        <w:t>ţ</w:t>
      </w:r>
      <w:r w:rsidRPr="00A93324">
        <w:rPr>
          <w:rFonts w:ascii="Arial" w:eastAsia="SimSun" w:hAnsi="Arial" w:cs="Arial"/>
          <w:sz w:val="24"/>
          <w:szCs w:val="24"/>
          <w:lang w:val="ro-RO"/>
        </w:rPr>
        <w:t>a lui şi pe plante cu scopul de a completa hrana necesară plantelor cultivate în vederea creşterii cantitative şi calitative a produc</w:t>
      </w:r>
      <w:r w:rsidRPr="00A93324">
        <w:rPr>
          <w:rFonts w:ascii="Arial" w:eastAsia="SimSun" w:hAnsi="Tahoma" w:cs="Arial"/>
          <w:sz w:val="24"/>
          <w:szCs w:val="24"/>
          <w:lang w:val="ro-RO"/>
        </w:rPr>
        <w:t>ţ</w:t>
      </w:r>
      <w:r w:rsidRPr="00A93324">
        <w:rPr>
          <w:rFonts w:ascii="Arial" w:eastAsia="SimSun" w:hAnsi="Tahoma" w:cs="Arial"/>
          <w:sz w:val="24"/>
          <w:szCs w:val="24"/>
          <w:lang w:val="ro-RO"/>
        </w:rPr>
        <w:t>i</w:t>
      </w:r>
      <w:r w:rsidRPr="00A93324">
        <w:rPr>
          <w:rFonts w:ascii="Arial" w:eastAsia="SimSun" w:hAnsi="Arial" w:cs="Arial"/>
          <w:sz w:val="24"/>
          <w:szCs w:val="24"/>
          <w:lang w:val="ro-RO"/>
        </w:rPr>
        <w:t>ei agricole. Cantită</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ile de îngrăşăminte chimice şi/sau îngrăşăminte organice naturale </w:t>
      </w:r>
      <w:r w:rsidRPr="00A93324">
        <w:rPr>
          <w:rFonts w:ascii="Arial" w:eastAsia="SimSun" w:hAnsi="Arial" w:cs="Arial"/>
          <w:sz w:val="24"/>
          <w:lang w:val="ro-RO"/>
        </w:rPr>
        <w:t>trebuie să fie în acord cu cerin</w:t>
      </w:r>
      <w:r w:rsidRPr="00A93324">
        <w:rPr>
          <w:rFonts w:ascii="Arial" w:eastAsia="SimSun" w:hAnsi="Tahoma" w:cs="Arial"/>
          <w:sz w:val="24"/>
          <w:lang w:val="ro-RO"/>
        </w:rPr>
        <w:t>ţ</w:t>
      </w:r>
      <w:r w:rsidRPr="00A93324">
        <w:rPr>
          <w:rFonts w:ascii="Arial" w:eastAsia="SimSun" w:hAnsi="Arial" w:cs="Arial"/>
          <w:sz w:val="24"/>
          <w:lang w:val="ro-RO"/>
        </w:rPr>
        <w:t>ele plantelor</w:t>
      </w:r>
      <w:r w:rsidRPr="00A93324">
        <w:rPr>
          <w:rFonts w:ascii="Arial" w:eastAsia="SimSun" w:hAnsi="Arial" w:cs="Arial"/>
          <w:sz w:val="24"/>
          <w:szCs w:val="24"/>
          <w:lang w:val="ro-RO"/>
        </w:rPr>
        <w:t>.</w:t>
      </w:r>
    </w:p>
    <w:p w:rsidR="00A93324" w:rsidRPr="00A93324" w:rsidRDefault="00A93324" w:rsidP="00A93324">
      <w:pPr>
        <w:autoSpaceDE w:val="0"/>
        <w:autoSpaceDN w:val="0"/>
        <w:adjustRightInd w:val="0"/>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Îngrăşămintele chimice de sinteză con</w:t>
      </w:r>
      <w:r w:rsidRPr="00A93324">
        <w:rPr>
          <w:rFonts w:ascii="Arial" w:eastAsia="SimSun" w:hAnsi="Tahoma" w:cs="Arial"/>
          <w:sz w:val="24"/>
          <w:szCs w:val="24"/>
          <w:lang w:val="ro-RO"/>
        </w:rPr>
        <w:t>ţ</w:t>
      </w:r>
      <w:r w:rsidRPr="00A93324">
        <w:rPr>
          <w:rFonts w:ascii="Arial" w:eastAsia="SimSun" w:hAnsi="Arial" w:cs="Arial"/>
          <w:sz w:val="24"/>
          <w:szCs w:val="24"/>
          <w:lang w:val="ro-RO"/>
        </w:rPr>
        <w:t>in elemente nutritive care completează rezerva de substan</w:t>
      </w:r>
      <w:r w:rsidRPr="00A93324">
        <w:rPr>
          <w:rFonts w:ascii="Arial" w:eastAsia="SimSun" w:hAnsi="Tahoma" w:cs="Arial"/>
          <w:sz w:val="24"/>
          <w:szCs w:val="24"/>
          <w:lang w:val="ro-RO"/>
        </w:rPr>
        <w:t>ţ</w:t>
      </w:r>
      <w:r w:rsidRPr="00A93324">
        <w:rPr>
          <w:rFonts w:ascii="Arial" w:eastAsia="SimSun" w:hAnsi="Arial" w:cs="Arial"/>
          <w:sz w:val="24"/>
          <w:szCs w:val="24"/>
          <w:lang w:val="ro-RO"/>
        </w:rPr>
        <w:t>e nutritive, în forme uşor asimilabile în scopul fertilizării solului şi creşterii produc</w:t>
      </w:r>
      <w:r w:rsidRPr="00A93324">
        <w:rPr>
          <w:rFonts w:ascii="Arial" w:eastAsia="SimSun" w:hAnsi="Tahoma" w:cs="Arial"/>
          <w:sz w:val="24"/>
          <w:szCs w:val="24"/>
          <w:lang w:val="ro-RO"/>
        </w:rPr>
        <w:t>ţ</w:t>
      </w:r>
      <w:r w:rsidRPr="00A93324">
        <w:rPr>
          <w:rFonts w:ascii="Arial" w:eastAsia="SimSun" w:hAnsi="Tahoma" w:cs="Arial"/>
          <w:sz w:val="24"/>
          <w:szCs w:val="24"/>
          <w:lang w:val="ro-RO"/>
        </w:rPr>
        <w:t>i</w:t>
      </w:r>
      <w:r w:rsidRPr="00A93324">
        <w:rPr>
          <w:rFonts w:ascii="Arial" w:eastAsia="SimSun" w:hAnsi="Arial" w:cs="Arial"/>
          <w:sz w:val="24"/>
          <w:szCs w:val="24"/>
          <w:lang w:val="ro-RO"/>
        </w:rPr>
        <w:t>ei vegetale. Creşterea produc</w:t>
      </w:r>
      <w:r w:rsidRPr="00A93324">
        <w:rPr>
          <w:rFonts w:ascii="Arial" w:eastAsia="SimSun" w:hAnsi="Tahoma" w:cs="Arial"/>
          <w:sz w:val="24"/>
          <w:szCs w:val="24"/>
          <w:lang w:val="ro-RO"/>
        </w:rPr>
        <w:t>ţ</w:t>
      </w:r>
      <w:r w:rsidRPr="00A93324">
        <w:rPr>
          <w:rFonts w:ascii="Arial" w:eastAsia="SimSun" w:hAnsi="Arial" w:cs="Arial"/>
          <w:sz w:val="24"/>
          <w:szCs w:val="24"/>
          <w:lang w:val="ro-RO"/>
        </w:rPr>
        <w:t>iei agricole a condus în timp la reducerea rezervelor de substan</w:t>
      </w:r>
      <w:r w:rsidRPr="00A93324">
        <w:rPr>
          <w:rFonts w:ascii="Arial" w:eastAsia="SimSun" w:hAnsi="Tahoma" w:cs="Arial"/>
          <w:sz w:val="24"/>
          <w:szCs w:val="24"/>
          <w:lang w:val="ro-RO"/>
        </w:rPr>
        <w:t>ţ</w:t>
      </w:r>
      <w:r w:rsidRPr="00A93324">
        <w:rPr>
          <w:rFonts w:ascii="Arial" w:eastAsia="SimSun" w:hAnsi="Arial" w:cs="Arial"/>
          <w:sz w:val="24"/>
          <w:szCs w:val="24"/>
          <w:lang w:val="ro-RO"/>
        </w:rPr>
        <w:t>e nutritive disponibile plantelor şi la utilizarea unor cantită</w:t>
      </w:r>
      <w:r w:rsidRPr="00A93324">
        <w:rPr>
          <w:rFonts w:ascii="Arial" w:eastAsia="SimSun" w:hAnsi="Tahoma" w:cs="Arial"/>
          <w:sz w:val="24"/>
          <w:szCs w:val="24"/>
          <w:lang w:val="ro-RO"/>
        </w:rPr>
        <w:t>ţ</w:t>
      </w:r>
      <w:r w:rsidRPr="00A93324">
        <w:rPr>
          <w:rFonts w:ascii="Arial" w:eastAsia="SimSun" w:hAnsi="Arial" w:cs="Arial"/>
          <w:sz w:val="24"/>
          <w:szCs w:val="24"/>
          <w:lang w:val="ro-RO"/>
        </w:rPr>
        <w:t>i însemnate de îngrăşăminte care au avut o serie de efecte colaterale, nedorite.</w:t>
      </w:r>
    </w:p>
    <w:p w:rsidR="00A93324" w:rsidRPr="00A93324" w:rsidRDefault="00A93324" w:rsidP="00A93324">
      <w:pPr>
        <w:autoSpaceDE w:val="0"/>
        <w:autoSpaceDN w:val="0"/>
        <w:adjustRightInd w:val="0"/>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În cazul în care sunt folosite fără a lua în considerare natura solurilor, condi</w:t>
      </w:r>
      <w:r w:rsidRPr="00A93324">
        <w:rPr>
          <w:rFonts w:ascii="Arial" w:eastAsia="SimSun" w:hAnsi="Tahoma" w:cs="Arial"/>
          <w:sz w:val="24"/>
          <w:szCs w:val="24"/>
          <w:lang w:val="ro-RO"/>
        </w:rPr>
        <w:t>ţ</w:t>
      </w:r>
      <w:r w:rsidRPr="00A93324">
        <w:rPr>
          <w:rFonts w:ascii="Arial" w:eastAsia="SimSun" w:hAnsi="Arial" w:cs="Arial"/>
          <w:sz w:val="24"/>
          <w:szCs w:val="24"/>
          <w:lang w:val="ro-RO"/>
        </w:rPr>
        <w:t>iile meteorologice sau necesită</w:t>
      </w:r>
      <w:r w:rsidRPr="00A93324">
        <w:rPr>
          <w:rFonts w:ascii="Arial" w:eastAsia="SimSun" w:hAnsi="Tahoma" w:cs="Arial"/>
          <w:sz w:val="24"/>
          <w:szCs w:val="24"/>
          <w:lang w:val="ro-RO"/>
        </w:rPr>
        <w:t>ţ</w:t>
      </w:r>
      <w:r w:rsidRPr="00A93324">
        <w:rPr>
          <w:rFonts w:ascii="Arial" w:eastAsia="SimSun" w:hAnsi="Arial" w:cs="Arial"/>
          <w:sz w:val="24"/>
          <w:szCs w:val="24"/>
          <w:lang w:val="ro-RO"/>
        </w:rPr>
        <w:t>ile plantelor, îngrăşămintele pot provoca dereglarea echilibrului ecologic. Astfel, cunoaşterea stării de fertilitate a solului permite aplicarea ra</w:t>
      </w:r>
      <w:r w:rsidRPr="00A93324">
        <w:rPr>
          <w:rFonts w:ascii="Arial" w:eastAsia="SimSun" w:hAnsi="Tahoma" w:cs="Arial"/>
          <w:sz w:val="24"/>
          <w:szCs w:val="24"/>
          <w:lang w:val="ro-RO"/>
        </w:rPr>
        <w:t>ţ</w:t>
      </w:r>
      <w:r w:rsidRPr="00A93324">
        <w:rPr>
          <w:rFonts w:ascii="Arial" w:eastAsia="SimSun" w:hAnsi="Arial" w:cs="Arial"/>
          <w:sz w:val="24"/>
          <w:szCs w:val="24"/>
          <w:lang w:val="ro-RO"/>
        </w:rPr>
        <w:t>ională, corectă şi echilibrată a îngrăşămintelor chimice, evitându-se apari</w:t>
      </w:r>
      <w:r w:rsidRPr="00A93324">
        <w:rPr>
          <w:rFonts w:ascii="Arial" w:eastAsia="SimSun" w:hAnsi="Tahoma" w:cs="Arial"/>
          <w:sz w:val="24"/>
          <w:szCs w:val="24"/>
          <w:lang w:val="ro-RO"/>
        </w:rPr>
        <w:t>ţ</w:t>
      </w:r>
      <w:r w:rsidRPr="00A93324">
        <w:rPr>
          <w:rFonts w:ascii="Arial" w:eastAsia="SimSun" w:hAnsi="Arial" w:cs="Arial"/>
          <w:sz w:val="24"/>
          <w:szCs w:val="24"/>
          <w:lang w:val="ro-RO"/>
        </w:rPr>
        <w:t>ia excesului de azotaţi şi fosfaţi care au efect toxic asupra microflorei din sol şi duce la acumularea în vegeta</w:t>
      </w:r>
      <w:r w:rsidRPr="00A93324">
        <w:rPr>
          <w:rFonts w:ascii="Arial" w:eastAsia="SimSun" w:hAnsi="Tahoma" w:cs="Arial"/>
          <w:sz w:val="24"/>
          <w:szCs w:val="24"/>
          <w:lang w:val="ro-RO"/>
        </w:rPr>
        <w:t>ţ</w:t>
      </w:r>
      <w:r w:rsidRPr="00A93324">
        <w:rPr>
          <w:rFonts w:ascii="Arial" w:eastAsia="SimSun" w:hAnsi="Arial" w:cs="Arial"/>
          <w:sz w:val="24"/>
          <w:szCs w:val="24"/>
          <w:lang w:val="ro-RO"/>
        </w:rPr>
        <w:t>ie a acestor elemente. Efectul poluant cel mai intens îl determină utilizarea în exces a azota</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ilor. </w:t>
      </w:r>
    </w:p>
    <w:p w:rsidR="00A93324" w:rsidRPr="00A93324" w:rsidRDefault="00A93324" w:rsidP="00A93324">
      <w:pPr>
        <w:autoSpaceDE w:val="0"/>
        <w:autoSpaceDN w:val="0"/>
        <w:adjustRightInd w:val="0"/>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Un alt fenomen produs ca urmare a excesivei utilizări a îngrăşămintelor chimice se produce din cauza fenomenului de spălare a componentelor nutritive din şi de pe sol de către apele de iriga</w:t>
      </w:r>
      <w:r w:rsidRPr="00A93324">
        <w:rPr>
          <w:rFonts w:ascii="Arial" w:eastAsia="SimSun" w:hAnsi="Tahoma" w:cs="Arial"/>
          <w:sz w:val="24"/>
          <w:szCs w:val="24"/>
          <w:lang w:val="ro-RO"/>
        </w:rPr>
        <w:t>ţ</w:t>
      </w:r>
      <w:r w:rsidRPr="00A93324">
        <w:rPr>
          <w:rFonts w:ascii="Arial" w:eastAsia="SimSun" w:hAnsi="Arial" w:cs="Arial"/>
          <w:sz w:val="24"/>
          <w:szCs w:val="24"/>
          <w:lang w:val="ro-RO"/>
        </w:rPr>
        <w:t>ie sau ploi şi infiltrarea acestora în apele freatice, contribuind la accentuarea procesului de eutrofizare a cursurilor de apă.</w:t>
      </w:r>
    </w:p>
    <w:p w:rsidR="00A93324" w:rsidRPr="00A93324" w:rsidRDefault="00A93324" w:rsidP="00A93324">
      <w:pPr>
        <w:autoSpaceDE w:val="0"/>
        <w:autoSpaceDN w:val="0"/>
        <w:adjustRightInd w:val="0"/>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Cantită</w:t>
      </w:r>
      <w:r w:rsidRPr="00A93324">
        <w:rPr>
          <w:rFonts w:ascii="Arial" w:eastAsia="SimSun" w:hAnsi="Tahoma" w:cs="Arial"/>
          <w:sz w:val="24"/>
          <w:szCs w:val="24"/>
          <w:lang w:val="ro-RO"/>
        </w:rPr>
        <w:t>ţ</w:t>
      </w:r>
      <w:r w:rsidRPr="00A93324">
        <w:rPr>
          <w:rFonts w:ascii="Arial" w:eastAsia="SimSun" w:hAnsi="Arial" w:cs="Arial"/>
          <w:sz w:val="24"/>
          <w:szCs w:val="24"/>
          <w:lang w:val="ro-RO"/>
        </w:rPr>
        <w:t>ile de îngrăşăminte chimice folosite în jude</w:t>
      </w:r>
      <w:r w:rsidRPr="00A93324">
        <w:rPr>
          <w:rFonts w:ascii="Arial" w:eastAsia="SimSun" w:hAnsi="Tahoma" w:cs="Arial"/>
          <w:sz w:val="24"/>
          <w:szCs w:val="24"/>
          <w:lang w:val="ro-RO"/>
        </w:rPr>
        <w:t>ţ</w:t>
      </w:r>
      <w:r w:rsidRPr="00A93324">
        <w:rPr>
          <w:rFonts w:ascii="Arial" w:eastAsia="SimSun" w:hAnsi="Arial" w:cs="Arial"/>
          <w:sz w:val="24"/>
          <w:szCs w:val="24"/>
          <w:lang w:val="ro-RO"/>
        </w:rPr>
        <w:t>ul Buzău în perioada 2000-2014 sunt prezentate în tabelul III.3.1. – 1, iar evolu</w:t>
      </w:r>
      <w:r w:rsidRPr="00A93324">
        <w:rPr>
          <w:rFonts w:ascii="Arial" w:eastAsia="SimSun" w:hAnsi="Tahoma" w:cs="Arial"/>
          <w:sz w:val="24"/>
          <w:szCs w:val="24"/>
          <w:lang w:val="ro-RO"/>
        </w:rPr>
        <w:t>ţ</w:t>
      </w:r>
      <w:r w:rsidRPr="00A93324">
        <w:rPr>
          <w:rFonts w:ascii="Arial" w:eastAsia="SimSun" w:hAnsi="Arial" w:cs="Arial"/>
          <w:sz w:val="24"/>
          <w:szCs w:val="24"/>
          <w:lang w:val="ro-RO"/>
        </w:rPr>
        <w:t>ia  utilizării acestora în figura III.3.1.- 1:</w:t>
      </w:r>
    </w:p>
    <w:p w:rsidR="00A93324" w:rsidRPr="00A93324" w:rsidRDefault="00A93324" w:rsidP="00A93324">
      <w:pPr>
        <w:autoSpaceDE w:val="0"/>
        <w:autoSpaceDN w:val="0"/>
        <w:adjustRightInd w:val="0"/>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Tabelul III.3.1. – 1  Utilizarea îngrăşămintelor  chimice în anii 2000-2014</w:t>
      </w:r>
    </w:p>
    <w:tbl>
      <w:tblPr>
        <w:tblW w:w="4841"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080"/>
        <w:gridCol w:w="1261"/>
        <w:gridCol w:w="1439"/>
        <w:gridCol w:w="1441"/>
        <w:gridCol w:w="1801"/>
        <w:gridCol w:w="1259"/>
        <w:gridCol w:w="1259"/>
      </w:tblGrid>
      <w:tr w:rsidR="00A93324" w:rsidRPr="00A93324" w:rsidTr="00A42550">
        <w:trPr>
          <w:cantSplit/>
          <w:trHeight w:val="356"/>
        </w:trPr>
        <w:tc>
          <w:tcPr>
            <w:tcW w:w="566" w:type="pct"/>
            <w:vMerge w:val="restart"/>
            <w:tcBorders>
              <w:top w:val="double" w:sz="6" w:space="0" w:color="000000"/>
            </w:tcBorders>
            <w:vAlign w:val="center"/>
          </w:tcPr>
          <w:p w:rsidR="00A93324" w:rsidRPr="00A93324" w:rsidRDefault="00A93324" w:rsidP="00A93324">
            <w:pPr>
              <w:keepNext/>
              <w:keepLines/>
              <w:spacing w:before="200" w:after="120" w:line="240" w:lineRule="auto"/>
              <w:jc w:val="center"/>
              <w:outlineLvl w:val="1"/>
              <w:rPr>
                <w:rFonts w:ascii="Arial" w:hAnsi="Arial" w:cs="Arial"/>
                <w:b/>
                <w:bCs/>
                <w:caps/>
                <w:sz w:val="24"/>
                <w:szCs w:val="24"/>
                <w:lang w:val="ro-RO"/>
              </w:rPr>
            </w:pPr>
            <w:r w:rsidRPr="00A93324">
              <w:rPr>
                <w:rFonts w:ascii="Arial" w:hAnsi="Arial" w:cs="Arial"/>
                <w:b/>
                <w:bCs/>
                <w:caps/>
                <w:sz w:val="24"/>
                <w:szCs w:val="24"/>
                <w:lang w:val="ro-RO"/>
              </w:rPr>
              <w:lastRenderedPageBreak/>
              <w:t>Anul</w:t>
            </w:r>
          </w:p>
        </w:tc>
        <w:tc>
          <w:tcPr>
            <w:tcW w:w="3114" w:type="pct"/>
            <w:gridSpan w:val="4"/>
            <w:tcBorders>
              <w:top w:val="double" w:sz="6" w:space="0" w:color="000000"/>
            </w:tcBorders>
          </w:tcPr>
          <w:p w:rsidR="00A93324" w:rsidRPr="00A93324" w:rsidRDefault="00A93324" w:rsidP="00A93324">
            <w:pPr>
              <w:spacing w:after="120" w:line="240" w:lineRule="auto"/>
              <w:jc w:val="center"/>
              <w:rPr>
                <w:rFonts w:ascii="Arial" w:eastAsia="SimSun" w:hAnsi="Arial" w:cs="Arial"/>
                <w:b/>
                <w:bCs/>
                <w:caps/>
                <w:sz w:val="24"/>
                <w:szCs w:val="24"/>
                <w:lang w:val="ro-RO"/>
              </w:rPr>
            </w:pPr>
            <w:r w:rsidRPr="00A93324">
              <w:rPr>
                <w:rFonts w:ascii="Arial" w:eastAsia="SimSun" w:hAnsi="Arial" w:cs="Arial"/>
                <w:b/>
                <w:bCs/>
                <w:caps/>
                <w:sz w:val="24"/>
                <w:szCs w:val="24"/>
                <w:lang w:val="ro-RO"/>
              </w:rPr>
              <w:t>Îngrăşăminte chimice folosite</w:t>
            </w:r>
          </w:p>
          <w:p w:rsidR="00A93324" w:rsidRPr="00A93324" w:rsidRDefault="00A93324" w:rsidP="00A93324">
            <w:pPr>
              <w:spacing w:after="120" w:line="240" w:lineRule="auto"/>
              <w:jc w:val="center"/>
              <w:rPr>
                <w:rFonts w:ascii="Arial" w:eastAsia="SimSun" w:hAnsi="Arial" w:cs="Arial"/>
                <w:b/>
                <w:bCs/>
                <w:caps/>
                <w:sz w:val="24"/>
                <w:szCs w:val="24"/>
                <w:lang w:val="ro-RO"/>
              </w:rPr>
            </w:pPr>
            <w:r w:rsidRPr="00A93324">
              <w:rPr>
                <w:rFonts w:ascii="Arial" w:eastAsia="SimSun" w:hAnsi="Arial" w:cs="Arial"/>
                <w:b/>
                <w:bCs/>
                <w:caps/>
                <w:sz w:val="24"/>
                <w:szCs w:val="24"/>
                <w:lang w:val="ro-RO"/>
              </w:rPr>
              <w:t>(</w:t>
            </w:r>
            <w:r w:rsidRPr="00A93324">
              <w:rPr>
                <w:rFonts w:ascii="Arial" w:eastAsia="SimSun" w:hAnsi="Arial" w:cs="Arial"/>
                <w:b/>
                <w:bCs/>
                <w:sz w:val="24"/>
                <w:szCs w:val="24"/>
                <w:lang w:val="ro-RO"/>
              </w:rPr>
              <w:t>tone substan</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ă activă)</w:t>
            </w:r>
          </w:p>
        </w:tc>
        <w:tc>
          <w:tcPr>
            <w:tcW w:w="1320" w:type="pct"/>
            <w:gridSpan w:val="2"/>
            <w:tcBorders>
              <w:top w:val="double" w:sz="6" w:space="0" w:color="000000"/>
            </w:tcBorders>
            <w:vAlign w:val="center"/>
          </w:tcPr>
          <w:p w:rsidR="00A93324" w:rsidRPr="00A93324" w:rsidRDefault="00A93324" w:rsidP="00A93324">
            <w:pPr>
              <w:spacing w:after="120" w:line="240" w:lineRule="auto"/>
              <w:rPr>
                <w:rFonts w:ascii="Arial" w:eastAsia="SimSun" w:hAnsi="Arial" w:cs="Arial"/>
                <w:b/>
                <w:bCs/>
                <w:caps/>
                <w:sz w:val="24"/>
                <w:szCs w:val="24"/>
                <w:lang w:val="ro-RO"/>
              </w:rPr>
            </w:pPr>
            <w:r w:rsidRPr="00A93324">
              <w:rPr>
                <w:rFonts w:ascii="Arial" w:eastAsia="SimSun" w:hAnsi="Arial" w:cs="Arial"/>
                <w:b/>
                <w:bCs/>
                <w:caps/>
                <w:sz w:val="24"/>
                <w:szCs w:val="24"/>
                <w:lang w:val="ro-RO"/>
              </w:rPr>
              <w:t>N+P</w:t>
            </w:r>
            <w:r w:rsidRPr="00A93324">
              <w:rPr>
                <w:rFonts w:ascii="Arial" w:eastAsia="SimSun" w:hAnsi="Arial" w:cs="Arial"/>
                <w:b/>
                <w:bCs/>
                <w:caps/>
                <w:sz w:val="24"/>
                <w:szCs w:val="24"/>
                <w:vertAlign w:val="subscript"/>
                <w:lang w:val="ro-RO"/>
              </w:rPr>
              <w:t>2</w:t>
            </w:r>
            <w:r w:rsidRPr="00A93324">
              <w:rPr>
                <w:rFonts w:ascii="Arial" w:eastAsia="SimSun" w:hAnsi="Arial" w:cs="Arial"/>
                <w:b/>
                <w:bCs/>
                <w:caps/>
                <w:sz w:val="24"/>
                <w:szCs w:val="24"/>
                <w:lang w:val="ro-RO"/>
              </w:rPr>
              <w:t>O</w:t>
            </w:r>
            <w:r w:rsidRPr="00A93324">
              <w:rPr>
                <w:rFonts w:ascii="Arial" w:eastAsia="SimSun" w:hAnsi="Arial" w:cs="Arial"/>
                <w:b/>
                <w:bCs/>
                <w:caps/>
                <w:sz w:val="24"/>
                <w:szCs w:val="24"/>
                <w:vertAlign w:val="subscript"/>
                <w:lang w:val="ro-RO"/>
              </w:rPr>
              <w:t>5</w:t>
            </w:r>
            <w:r w:rsidRPr="00A93324">
              <w:rPr>
                <w:rFonts w:ascii="Arial" w:eastAsia="SimSun" w:hAnsi="Arial" w:cs="Arial"/>
                <w:b/>
                <w:bCs/>
                <w:caps/>
                <w:sz w:val="24"/>
                <w:szCs w:val="24"/>
                <w:lang w:val="ro-RO"/>
              </w:rPr>
              <w:t>+K</w:t>
            </w:r>
            <w:r w:rsidRPr="00A93324">
              <w:rPr>
                <w:rFonts w:ascii="Arial" w:eastAsia="SimSun" w:hAnsi="Arial" w:cs="Arial"/>
                <w:b/>
                <w:bCs/>
                <w:caps/>
                <w:sz w:val="24"/>
                <w:szCs w:val="24"/>
                <w:vertAlign w:val="subscript"/>
                <w:lang w:val="ro-RO"/>
              </w:rPr>
              <w:t>2</w:t>
            </w:r>
            <w:r w:rsidRPr="00A93324">
              <w:rPr>
                <w:rFonts w:ascii="Arial" w:eastAsia="SimSun" w:hAnsi="Arial" w:cs="Arial"/>
                <w:b/>
                <w:bCs/>
                <w:caps/>
                <w:sz w:val="24"/>
                <w:szCs w:val="24"/>
                <w:lang w:val="ro-RO"/>
              </w:rPr>
              <w:t>O (</w:t>
            </w:r>
            <w:r w:rsidRPr="00A93324">
              <w:rPr>
                <w:rFonts w:ascii="Arial" w:eastAsia="SimSun" w:hAnsi="Arial" w:cs="Arial"/>
                <w:b/>
                <w:bCs/>
                <w:sz w:val="24"/>
                <w:szCs w:val="24"/>
                <w:lang w:val="ro-RO"/>
              </w:rPr>
              <w:t>kg/ha</w:t>
            </w:r>
            <w:r w:rsidRPr="00A93324">
              <w:rPr>
                <w:rFonts w:ascii="Arial" w:eastAsia="SimSun" w:hAnsi="Arial" w:cs="Arial"/>
                <w:b/>
                <w:bCs/>
                <w:caps/>
                <w:sz w:val="24"/>
                <w:szCs w:val="24"/>
                <w:lang w:val="ro-RO"/>
              </w:rPr>
              <w:t>)</w:t>
            </w:r>
          </w:p>
        </w:tc>
      </w:tr>
      <w:tr w:rsidR="00A93324" w:rsidRPr="00A93324" w:rsidTr="00A42550">
        <w:trPr>
          <w:cantSplit/>
          <w:trHeight w:val="151"/>
        </w:trPr>
        <w:tc>
          <w:tcPr>
            <w:tcW w:w="566" w:type="pct"/>
            <w:vMerge/>
            <w:tcBorders>
              <w:bottom w:val="double" w:sz="4" w:space="0" w:color="auto"/>
            </w:tcBorders>
          </w:tcPr>
          <w:p w:rsidR="00A93324" w:rsidRPr="00A93324" w:rsidRDefault="00A93324" w:rsidP="00A93324">
            <w:pPr>
              <w:spacing w:after="120" w:line="240" w:lineRule="auto"/>
              <w:rPr>
                <w:rFonts w:ascii="Arial" w:eastAsia="SimSun" w:hAnsi="Arial" w:cs="Arial"/>
                <w:b/>
                <w:bCs/>
                <w:sz w:val="24"/>
                <w:szCs w:val="24"/>
                <w:lang w:val="ro-RO"/>
              </w:rPr>
            </w:pPr>
          </w:p>
        </w:tc>
        <w:tc>
          <w:tcPr>
            <w:tcW w:w="661" w:type="pct"/>
            <w:tcBorders>
              <w:bottom w:val="double" w:sz="4" w:space="0" w:color="auto"/>
            </w:tcBorders>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N</w:t>
            </w:r>
          </w:p>
        </w:tc>
        <w:tc>
          <w:tcPr>
            <w:tcW w:w="754" w:type="pct"/>
            <w:tcBorders>
              <w:bottom w:val="double" w:sz="4" w:space="0" w:color="auto"/>
            </w:tcBorders>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P</w:t>
            </w:r>
            <w:r w:rsidRPr="00A93324">
              <w:rPr>
                <w:rFonts w:ascii="Arial" w:eastAsia="SimSun" w:hAnsi="Arial" w:cs="Arial"/>
                <w:b/>
                <w:bCs/>
                <w:sz w:val="24"/>
                <w:szCs w:val="24"/>
                <w:vertAlign w:val="subscript"/>
                <w:lang w:val="ro-RO"/>
              </w:rPr>
              <w:t>2</w:t>
            </w:r>
            <w:r w:rsidRPr="00A93324">
              <w:rPr>
                <w:rFonts w:ascii="Arial" w:eastAsia="SimSun" w:hAnsi="Arial" w:cs="Arial"/>
                <w:b/>
                <w:bCs/>
                <w:sz w:val="24"/>
                <w:szCs w:val="24"/>
                <w:lang w:val="ro-RO"/>
              </w:rPr>
              <w:t>O</w:t>
            </w:r>
            <w:r w:rsidRPr="00A93324">
              <w:rPr>
                <w:rFonts w:ascii="Arial" w:eastAsia="SimSun" w:hAnsi="Arial" w:cs="Arial"/>
                <w:b/>
                <w:bCs/>
                <w:sz w:val="24"/>
                <w:szCs w:val="24"/>
                <w:vertAlign w:val="subscript"/>
                <w:lang w:val="ro-RO"/>
              </w:rPr>
              <w:t>5</w:t>
            </w:r>
          </w:p>
        </w:tc>
        <w:tc>
          <w:tcPr>
            <w:tcW w:w="755" w:type="pct"/>
            <w:tcBorders>
              <w:bottom w:val="double" w:sz="4" w:space="0" w:color="auto"/>
            </w:tcBorders>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K</w:t>
            </w:r>
            <w:r w:rsidRPr="00A93324">
              <w:rPr>
                <w:rFonts w:ascii="Arial" w:eastAsia="SimSun" w:hAnsi="Arial" w:cs="Arial"/>
                <w:b/>
                <w:bCs/>
                <w:sz w:val="24"/>
                <w:szCs w:val="24"/>
                <w:vertAlign w:val="subscript"/>
                <w:lang w:val="ro-RO"/>
              </w:rPr>
              <w:t>2</w:t>
            </w:r>
            <w:r w:rsidRPr="00A93324">
              <w:rPr>
                <w:rFonts w:ascii="Arial" w:eastAsia="SimSun" w:hAnsi="Arial" w:cs="Arial"/>
                <w:b/>
                <w:bCs/>
                <w:sz w:val="24"/>
                <w:szCs w:val="24"/>
                <w:lang w:val="ro-RO"/>
              </w:rPr>
              <w:t>O</w:t>
            </w:r>
          </w:p>
        </w:tc>
        <w:tc>
          <w:tcPr>
            <w:tcW w:w="944" w:type="pct"/>
            <w:tcBorders>
              <w:bottom w:val="double" w:sz="4" w:space="0" w:color="auto"/>
            </w:tcBorders>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Total</w:t>
            </w:r>
          </w:p>
        </w:tc>
        <w:tc>
          <w:tcPr>
            <w:tcW w:w="660" w:type="pct"/>
            <w:tcBorders>
              <w:bottom w:val="double" w:sz="4" w:space="0" w:color="auto"/>
            </w:tcBorders>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Arabil</w:t>
            </w:r>
          </w:p>
        </w:tc>
        <w:tc>
          <w:tcPr>
            <w:tcW w:w="660" w:type="pct"/>
            <w:tcBorders>
              <w:bottom w:val="double" w:sz="4" w:space="0" w:color="auto"/>
            </w:tcBorders>
          </w:tcPr>
          <w:p w:rsidR="00A93324" w:rsidRPr="00A93324" w:rsidRDefault="00A93324" w:rsidP="00A93324">
            <w:pPr>
              <w:spacing w:after="120" w:line="240" w:lineRule="auto"/>
              <w:jc w:val="center"/>
              <w:rPr>
                <w:rFonts w:ascii="Arial" w:eastAsia="SimSun" w:hAnsi="Arial" w:cs="Arial"/>
                <w:b/>
                <w:bCs/>
                <w:sz w:val="24"/>
                <w:szCs w:val="24"/>
                <w:lang w:val="ro-RO"/>
              </w:rPr>
            </w:pPr>
            <w:r w:rsidRPr="00A93324">
              <w:rPr>
                <w:rFonts w:ascii="Arial" w:eastAsia="SimSun" w:hAnsi="Arial" w:cs="Arial"/>
                <w:b/>
                <w:bCs/>
                <w:sz w:val="24"/>
                <w:szCs w:val="24"/>
                <w:lang w:val="ro-RO"/>
              </w:rPr>
              <w:t>Agricol</w:t>
            </w:r>
          </w:p>
        </w:tc>
      </w:tr>
      <w:tr w:rsidR="00A93324" w:rsidRPr="00A93324" w:rsidTr="00A42550">
        <w:trPr>
          <w:trHeight w:val="272"/>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2000</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3129</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1075</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124</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4328</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16,83</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10,80</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2001</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2959</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618</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118</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3695</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14,35</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9,20</w:t>
            </w:r>
          </w:p>
        </w:tc>
      </w:tr>
      <w:tr w:rsidR="00A93324" w:rsidRPr="00A93324" w:rsidTr="00A42550">
        <w:trPr>
          <w:trHeight w:val="272"/>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2002</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1850</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206</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133</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2189</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8,49</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5,45</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2003</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3572</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792</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156</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4520</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17,50</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11,25</w:t>
            </w:r>
          </w:p>
        </w:tc>
      </w:tr>
      <w:tr w:rsidR="00A93324" w:rsidRPr="00A93324" w:rsidTr="00A42550">
        <w:trPr>
          <w:trHeight w:val="272"/>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2004</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2514</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563</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135</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3212</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12,47</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8,00</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2005</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2360</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437</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41</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2838</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11,01</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7,06</w:t>
            </w:r>
          </w:p>
        </w:tc>
      </w:tr>
      <w:tr w:rsidR="00A93324" w:rsidRPr="00A93324" w:rsidTr="00A42550">
        <w:trPr>
          <w:trHeight w:val="272"/>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2006</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2865</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723</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120</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3708</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14,39</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9,23</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2007</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3549</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1382</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4940</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11,5</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5,5</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2008</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4704</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1355</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46</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6105</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9,2</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6,7</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2009</w:t>
            </w:r>
          </w:p>
        </w:tc>
        <w:tc>
          <w:tcPr>
            <w:tcW w:w="661"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5624</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2672</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242</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8538</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9,42</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6,8</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2010</w:t>
            </w:r>
          </w:p>
        </w:tc>
        <w:tc>
          <w:tcPr>
            <w:tcW w:w="661"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4212</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1999</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88</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6299</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55.19</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55.19</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2011</w:t>
            </w:r>
          </w:p>
        </w:tc>
        <w:tc>
          <w:tcPr>
            <w:tcW w:w="661"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3244</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1549</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118</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4.911</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52.04</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52.04</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2012</w:t>
            </w:r>
          </w:p>
        </w:tc>
        <w:tc>
          <w:tcPr>
            <w:tcW w:w="661"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3355</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3355</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152</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6862</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83.93</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83.93</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2013</w:t>
            </w:r>
          </w:p>
        </w:tc>
        <w:tc>
          <w:tcPr>
            <w:tcW w:w="661"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1748</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1748</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207</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3703</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54.66</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54.66</w:t>
            </w:r>
          </w:p>
        </w:tc>
      </w:tr>
      <w:tr w:rsidR="00A93324" w:rsidRPr="00A93324" w:rsidTr="00A42550">
        <w:trPr>
          <w:trHeight w:val="293"/>
        </w:trPr>
        <w:tc>
          <w:tcPr>
            <w:tcW w:w="566"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2014</w:t>
            </w:r>
          </w:p>
        </w:tc>
        <w:tc>
          <w:tcPr>
            <w:tcW w:w="661" w:type="pct"/>
            <w:tcBorders>
              <w:top w:val="double" w:sz="4" w:space="0" w:color="auto"/>
              <w:left w:val="double" w:sz="4" w:space="0" w:color="auto"/>
              <w:bottom w:val="double" w:sz="4" w:space="0" w:color="auto"/>
              <w:right w:val="double" w:sz="4" w:space="0" w:color="auto"/>
            </w:tcBorders>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952</w:t>
            </w:r>
          </w:p>
        </w:tc>
        <w:tc>
          <w:tcPr>
            <w:tcW w:w="75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950</w:t>
            </w:r>
          </w:p>
        </w:tc>
        <w:tc>
          <w:tcPr>
            <w:tcW w:w="755"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148</w:t>
            </w:r>
          </w:p>
        </w:tc>
        <w:tc>
          <w:tcPr>
            <w:tcW w:w="944"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2050</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56.25</w:t>
            </w:r>
          </w:p>
        </w:tc>
        <w:tc>
          <w:tcPr>
            <w:tcW w:w="660" w:type="pct"/>
            <w:tcBorders>
              <w:top w:val="double" w:sz="4" w:space="0" w:color="auto"/>
              <w:left w:val="double" w:sz="4" w:space="0" w:color="auto"/>
              <w:bottom w:val="double" w:sz="4" w:space="0" w:color="auto"/>
              <w:right w:val="double" w:sz="4" w:space="0" w:color="auto"/>
            </w:tcBorders>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56.25</w:t>
            </w:r>
          </w:p>
        </w:tc>
      </w:tr>
    </w:tbl>
    <w:p w:rsidR="00A93324" w:rsidRPr="00A93324" w:rsidRDefault="00A93324" w:rsidP="00A93324">
      <w:pPr>
        <w:spacing w:after="120" w:line="240" w:lineRule="auto"/>
        <w:jc w:val="right"/>
        <w:rPr>
          <w:rFonts w:ascii="Arial" w:hAnsi="Arial" w:cs="Arial"/>
          <w:i/>
          <w:iCs/>
          <w:sz w:val="24"/>
          <w:szCs w:val="24"/>
          <w:lang w:val="ro-RO" w:eastAsia="pl-PL"/>
        </w:rPr>
      </w:pPr>
      <w:r w:rsidRPr="00A93324">
        <w:rPr>
          <w:rFonts w:ascii="Arial" w:hAnsi="Arial" w:cs="Arial"/>
          <w:i/>
          <w:iCs/>
          <w:sz w:val="24"/>
          <w:szCs w:val="24"/>
          <w:lang w:val="ro-RO" w:eastAsia="pl-PL"/>
        </w:rPr>
        <w:t>Sursa: Direc</w:t>
      </w:r>
      <w:r w:rsidRPr="00A93324">
        <w:rPr>
          <w:rFonts w:ascii="Arial" w:hAnsi="Tahoma" w:cs="Arial"/>
          <w:i/>
          <w:iCs/>
          <w:sz w:val="24"/>
          <w:szCs w:val="24"/>
          <w:lang w:val="ro-RO" w:eastAsia="pl-PL"/>
        </w:rPr>
        <w:t>ţ</w:t>
      </w:r>
      <w:r w:rsidRPr="00A93324">
        <w:rPr>
          <w:rFonts w:ascii="Arial" w:hAnsi="Arial" w:cs="Arial"/>
          <w:i/>
          <w:iCs/>
          <w:sz w:val="24"/>
          <w:szCs w:val="24"/>
          <w:lang w:val="ro-RO" w:eastAsia="pl-PL"/>
        </w:rPr>
        <w:t>ia pentru Agricultură jude</w:t>
      </w:r>
      <w:r w:rsidRPr="00A93324">
        <w:rPr>
          <w:rFonts w:ascii="Arial" w:hAnsi="Tahoma" w:cs="Arial"/>
          <w:i/>
          <w:iCs/>
          <w:sz w:val="24"/>
          <w:szCs w:val="24"/>
          <w:lang w:val="ro-RO" w:eastAsia="pl-PL"/>
        </w:rPr>
        <w:t>ţ</w:t>
      </w:r>
      <w:r w:rsidRPr="00A93324">
        <w:rPr>
          <w:rFonts w:ascii="Arial" w:hAnsi="Arial" w:cs="Arial"/>
          <w:i/>
          <w:iCs/>
          <w:sz w:val="24"/>
          <w:szCs w:val="24"/>
          <w:lang w:val="ro-RO" w:eastAsia="pl-PL"/>
        </w:rPr>
        <w:t xml:space="preserve">eană Buzău </w:t>
      </w:r>
    </w:p>
    <w:p w:rsidR="00A93324" w:rsidRPr="00A93324" w:rsidRDefault="00A93324" w:rsidP="00A93324">
      <w:pPr>
        <w:spacing w:after="120" w:line="240" w:lineRule="auto"/>
        <w:jc w:val="right"/>
        <w:rPr>
          <w:rFonts w:ascii="Arial" w:hAnsi="Arial" w:cs="Arial"/>
          <w:i/>
          <w:iCs/>
          <w:sz w:val="24"/>
          <w:szCs w:val="24"/>
          <w:lang w:val="ro-RO" w:eastAsia="pl-PL"/>
        </w:rPr>
      </w:pPr>
      <w:r w:rsidRPr="00A93324">
        <w:rPr>
          <w:rFonts w:ascii="Arial" w:hAnsi="Arial" w:cs="Arial"/>
          <w:i/>
          <w:sz w:val="24"/>
          <w:szCs w:val="24"/>
          <w:lang w:val="ro-RO" w:eastAsia="pl-PL"/>
        </w:rPr>
        <w:t>Direcţia Judeţeană pentru Statistică Buzău</w:t>
      </w:r>
    </w:p>
    <w:p w:rsidR="00A93324" w:rsidRPr="00A93324" w:rsidRDefault="00A93324" w:rsidP="00A93324">
      <w:pPr>
        <w:spacing w:after="120" w:line="240" w:lineRule="auto"/>
        <w:jc w:val="both"/>
        <w:rPr>
          <w:rFonts w:ascii="Arial" w:eastAsia="SimSun" w:hAnsi="Arial" w:cs="Arial"/>
          <w:bCs/>
          <w:sz w:val="24"/>
          <w:szCs w:val="24"/>
          <w:lang w:val="ro-RO"/>
        </w:rPr>
      </w:pPr>
      <w:r w:rsidRPr="00A93324">
        <w:rPr>
          <w:rFonts w:ascii="Arial" w:eastAsia="SimSun" w:hAnsi="Arial" w:cs="Arial"/>
          <w:bCs/>
          <w:sz w:val="24"/>
          <w:szCs w:val="24"/>
          <w:lang w:val="ro-RO"/>
        </w:rPr>
        <w:t>Din analiza datelor referitoare la cantităţile totale de îngrăşăminte exprimate ca kg/ha se observă o creştere semnificativă a cantităţilor utilizate la hectar în perioada 2010-2014 faţă de perioada anterioară, ceea ce semnifică faptul că, concomitent cu scăderea cantităţilor totale de îngrăşăminte utilizate a avut loc o scădere şi mai dramatică a suprafeţelor pe care au fost utilizate îngrăşămintele chimice şi în special cele cu azot şi cele fosfatice.</w:t>
      </w:r>
    </w:p>
    <w:p w:rsidR="00A93324" w:rsidRPr="00A93324" w:rsidRDefault="00A93324" w:rsidP="00A93324">
      <w:pPr>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Figura III.3.1. – 1. Tendinţe privind utilizarea îngrăşămintelor  chimice în anii 2000-2014 (tone s.a.)</w:t>
      </w:r>
    </w:p>
    <w:p w:rsidR="00A93324" w:rsidRPr="00A93324" w:rsidRDefault="00A93324" w:rsidP="00A93324">
      <w:pPr>
        <w:spacing w:after="120" w:line="240" w:lineRule="auto"/>
        <w:jc w:val="right"/>
        <w:rPr>
          <w:rFonts w:ascii="Arial" w:eastAsia="SimSun" w:hAnsi="Arial" w:cs="Arial"/>
          <w:sz w:val="24"/>
          <w:szCs w:val="24"/>
          <w:lang w:val="ro-RO"/>
        </w:rPr>
      </w:pPr>
      <w:r>
        <w:rPr>
          <w:rFonts w:ascii="Arial" w:eastAsia="SimSun" w:hAnsi="Arial" w:cs="Arial"/>
          <w:b/>
          <w:noProof/>
          <w:sz w:val="24"/>
          <w:szCs w:val="24"/>
          <w:lang w:val="ro-RO" w:eastAsia="ro-RO"/>
        </w:rPr>
        <w:lastRenderedPageBreak/>
        <w:drawing>
          <wp:inline distT="0" distB="0" distL="0" distR="0">
            <wp:extent cx="6057900" cy="3505200"/>
            <wp:effectExtent l="0" t="0" r="0" b="0"/>
            <wp:docPr id="152" name="Objec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93324" w:rsidRPr="00A93324" w:rsidRDefault="00A93324" w:rsidP="00A93324">
      <w:pPr>
        <w:spacing w:after="120" w:line="240" w:lineRule="auto"/>
        <w:jc w:val="right"/>
        <w:rPr>
          <w:rFonts w:ascii="Arial" w:eastAsia="SimSun" w:hAnsi="Arial" w:cs="Arial"/>
          <w:i/>
          <w:iCs/>
          <w:sz w:val="24"/>
          <w:szCs w:val="24"/>
          <w:lang w:val="ro-RO"/>
        </w:rPr>
      </w:pPr>
      <w:r w:rsidRPr="00A93324">
        <w:rPr>
          <w:rFonts w:ascii="Arial" w:eastAsia="SimSun" w:hAnsi="Arial" w:cs="Arial"/>
          <w:i/>
          <w:iCs/>
          <w:sz w:val="24"/>
          <w:szCs w:val="24"/>
          <w:lang w:val="ro-RO"/>
        </w:rPr>
        <w:t>Sursa: Direcţia pentru Agricultură judeţeană Buzău</w:t>
      </w:r>
    </w:p>
    <w:p w:rsidR="00A93324" w:rsidRPr="00A93324" w:rsidRDefault="00A93324" w:rsidP="00A93324">
      <w:pPr>
        <w:spacing w:after="120" w:line="240" w:lineRule="auto"/>
        <w:jc w:val="right"/>
        <w:rPr>
          <w:rFonts w:ascii="Arial" w:eastAsia="SimSun" w:hAnsi="Arial" w:cs="Arial"/>
          <w:i/>
          <w:iCs/>
          <w:sz w:val="24"/>
          <w:szCs w:val="24"/>
          <w:lang w:val="ro-RO"/>
        </w:rPr>
      </w:pPr>
      <w:r w:rsidRPr="00A93324">
        <w:rPr>
          <w:rFonts w:ascii="Arial" w:eastAsia="SimSun" w:hAnsi="Arial" w:cs="Arial"/>
          <w:i/>
          <w:iCs/>
          <w:sz w:val="24"/>
          <w:szCs w:val="24"/>
          <w:lang w:val="ro-RO"/>
        </w:rPr>
        <w:t>Direcţia Judeţeană pentru Statistică Buzău</w:t>
      </w:r>
    </w:p>
    <w:p w:rsidR="00A93324" w:rsidRPr="00A93324" w:rsidRDefault="00A93324" w:rsidP="00A93324">
      <w:pPr>
        <w:autoSpaceDE w:val="0"/>
        <w:autoSpaceDN w:val="0"/>
        <w:adjustRightInd w:val="0"/>
        <w:spacing w:after="120" w:line="240" w:lineRule="auto"/>
        <w:jc w:val="both"/>
        <w:rPr>
          <w:rFonts w:ascii="Arial" w:eastAsia="SimSun" w:hAnsi="Arial" w:cs="Arial"/>
          <w:bCs/>
          <w:sz w:val="24"/>
          <w:szCs w:val="24"/>
          <w:lang w:val="ro-RO"/>
        </w:rPr>
      </w:pPr>
      <w:r w:rsidRPr="00A93324">
        <w:rPr>
          <w:rFonts w:ascii="Arial" w:eastAsia="SimSun" w:hAnsi="Arial" w:cs="Arial"/>
          <w:bCs/>
          <w:sz w:val="24"/>
          <w:szCs w:val="24"/>
          <w:lang w:val="ro-RO"/>
        </w:rPr>
        <w:t xml:space="preserve">Din graficele realizate pe baza datelor furnizate de Direcţia pentru Agricultură judeţeană - Buzău  se poate uşor observa că, dacă în perioada 2000 – 2005 cantităţile de îngrăşăminte utilizate au fost aleatorii şi slab corelate, în perioada 2005 – 2009 cantităţile de azotaţi şi fosfaţi utilizate au crescut semnificativ de la an la an, urmând ca după 2009 utilizarea îngrăşămintelor de azot să cunoască o tendinţă de scădere semnificativă, iar din 2012 să apară şi o corelare a cantităţilor de azotaţi şi fosfaţi utilizate. </w:t>
      </w:r>
    </w:p>
    <w:p w:rsidR="00A93324" w:rsidRPr="00A93324" w:rsidRDefault="00A93324" w:rsidP="00A93324">
      <w:pPr>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Figura III.3.1. – 2. Evolu</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ia utilizării îngrăşămintelor  chimice în anii 2010-2014 (tone s.a.)</w:t>
      </w:r>
    </w:p>
    <w:p w:rsidR="00A93324" w:rsidRPr="00A93324" w:rsidRDefault="00A93324" w:rsidP="00A93324">
      <w:pPr>
        <w:spacing w:after="120" w:line="240" w:lineRule="auto"/>
        <w:jc w:val="right"/>
        <w:rPr>
          <w:rFonts w:ascii="Times New Roman" w:hAnsi="Times New Roman"/>
          <w:i/>
          <w:iCs/>
          <w:sz w:val="24"/>
          <w:szCs w:val="24"/>
          <w:lang w:val="ro-RO" w:eastAsia="pl-PL"/>
        </w:rPr>
      </w:pPr>
      <w:r>
        <w:rPr>
          <w:rFonts w:ascii="Times New Roman" w:hAnsi="Times New Roman"/>
          <w:b/>
          <w:noProof/>
          <w:sz w:val="24"/>
          <w:szCs w:val="24"/>
          <w:lang w:val="ro-RO" w:eastAsia="ro-RO"/>
        </w:rPr>
        <w:drawing>
          <wp:inline distT="0" distB="0" distL="0" distR="0">
            <wp:extent cx="6057900" cy="2724150"/>
            <wp:effectExtent l="0" t="0" r="0" b="0"/>
            <wp:docPr id="153" name="Object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A93324">
        <w:rPr>
          <w:rFonts w:ascii="Times New Roman" w:hAnsi="Times New Roman"/>
          <w:i/>
          <w:iCs/>
          <w:sz w:val="24"/>
          <w:szCs w:val="24"/>
          <w:lang w:val="ro-RO" w:eastAsia="pl-PL"/>
        </w:rPr>
        <w:t xml:space="preserve">                                                     </w:t>
      </w:r>
      <w:r w:rsidRPr="00A93324">
        <w:rPr>
          <w:rFonts w:ascii="Arial" w:hAnsi="Arial" w:cs="Arial"/>
          <w:i/>
          <w:iCs/>
          <w:sz w:val="24"/>
          <w:szCs w:val="24"/>
          <w:lang w:val="ro-RO" w:eastAsia="pl-PL"/>
        </w:rPr>
        <w:t>Sursa: Direc</w:t>
      </w:r>
      <w:r w:rsidRPr="00A93324">
        <w:rPr>
          <w:rFonts w:ascii="Arial" w:hAnsi="Tahoma" w:cs="Arial"/>
          <w:i/>
          <w:iCs/>
          <w:sz w:val="24"/>
          <w:szCs w:val="24"/>
          <w:lang w:val="ro-RO" w:eastAsia="pl-PL"/>
        </w:rPr>
        <w:t>ţ</w:t>
      </w:r>
      <w:r w:rsidRPr="00A93324">
        <w:rPr>
          <w:rFonts w:ascii="Arial" w:hAnsi="Arial" w:cs="Arial"/>
          <w:i/>
          <w:iCs/>
          <w:sz w:val="24"/>
          <w:szCs w:val="24"/>
          <w:lang w:val="ro-RO" w:eastAsia="pl-PL"/>
        </w:rPr>
        <w:t>ia pentru Agricultură jude</w:t>
      </w:r>
      <w:r w:rsidRPr="00A93324">
        <w:rPr>
          <w:rFonts w:ascii="Arial" w:hAnsi="Tahoma" w:cs="Arial"/>
          <w:i/>
          <w:iCs/>
          <w:sz w:val="24"/>
          <w:szCs w:val="24"/>
          <w:lang w:val="ro-RO" w:eastAsia="pl-PL"/>
        </w:rPr>
        <w:t>ţ</w:t>
      </w:r>
      <w:r w:rsidRPr="00A93324">
        <w:rPr>
          <w:rFonts w:ascii="Arial" w:hAnsi="Arial" w:cs="Arial"/>
          <w:i/>
          <w:iCs/>
          <w:sz w:val="24"/>
          <w:szCs w:val="24"/>
          <w:lang w:val="ro-RO" w:eastAsia="pl-PL"/>
        </w:rPr>
        <w:t>eană Buzău</w:t>
      </w:r>
    </w:p>
    <w:p w:rsidR="00A93324" w:rsidRPr="00A93324" w:rsidRDefault="00A93324" w:rsidP="00A93324">
      <w:pPr>
        <w:autoSpaceDE w:val="0"/>
        <w:autoSpaceDN w:val="0"/>
        <w:adjustRightInd w:val="0"/>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Surse valoroase de materie organică, azot, fosfor, potasiu şi alte minerale </w:t>
      </w:r>
      <w:r w:rsidRPr="00A93324">
        <w:rPr>
          <w:rFonts w:ascii="Arial" w:eastAsia="SimSun" w:hAnsi="Arial" w:cs="Arial"/>
          <w:sz w:val="24"/>
          <w:lang w:val="ro-RO"/>
        </w:rPr>
        <w:t>indispensabile culturilor agricole sunt asigurate prin utilizarea îngrăşămintele organice</w:t>
      </w:r>
      <w:r w:rsidRPr="00A93324">
        <w:rPr>
          <w:rFonts w:ascii="Arial" w:eastAsia="SimSun" w:hAnsi="Arial" w:cs="Arial"/>
          <w:b/>
          <w:bCs/>
          <w:sz w:val="24"/>
          <w:lang w:val="ro-RO"/>
        </w:rPr>
        <w:t xml:space="preserve"> </w:t>
      </w:r>
      <w:r w:rsidRPr="00A93324">
        <w:rPr>
          <w:rFonts w:ascii="Arial" w:eastAsia="SimSun" w:hAnsi="Arial" w:cs="Arial"/>
          <w:sz w:val="24"/>
          <w:lang w:val="ro-RO"/>
        </w:rPr>
        <w:t xml:space="preserve">de diferite provenienţe şi cu o consistenţă variată: gunoi de grajd, must de gunoi de grajd, nămoluri </w:t>
      </w:r>
      <w:r w:rsidRPr="00A93324">
        <w:rPr>
          <w:rFonts w:ascii="Arial" w:eastAsia="SimSun" w:hAnsi="Arial" w:cs="Arial"/>
          <w:sz w:val="24"/>
          <w:lang w:val="ro-RO"/>
        </w:rPr>
        <w:lastRenderedPageBreak/>
        <w:t xml:space="preserve">de la staţii de epurare, etc.  Tabelul III.3.-2 prezintă comparativ suprafeţele totale cultivate şi  suprafeţele pe care s-au aplicat îngrăşăminte naturale, în perioada 2010 – 2014, iat Tabelul Tabelul III.3.-3 cantităţile de îngrăşăminte naturale aplicate.. </w:t>
      </w:r>
    </w:p>
    <w:p w:rsidR="00A93324" w:rsidRPr="00A93324" w:rsidRDefault="00A93324" w:rsidP="00A93324">
      <w:pPr>
        <w:spacing w:after="120" w:line="240" w:lineRule="auto"/>
        <w:jc w:val="both"/>
        <w:rPr>
          <w:rFonts w:ascii="Arial" w:eastAsia="SimSun" w:hAnsi="Arial" w:cs="Arial"/>
          <w:b/>
          <w:bCs/>
          <w:sz w:val="24"/>
          <w:szCs w:val="24"/>
          <w:lang w:val="ro-RO"/>
        </w:rPr>
      </w:pPr>
      <w:r w:rsidRPr="00A93324">
        <w:rPr>
          <w:rFonts w:ascii="Arial" w:eastAsia="SimSun" w:hAnsi="Arial" w:cs="Arial"/>
          <w:b/>
          <w:bCs/>
          <w:sz w:val="24"/>
          <w:szCs w:val="24"/>
          <w:lang w:val="ro-RO"/>
        </w:rPr>
        <w:t>Tabel III.3.1. – 2 Suprafe</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 xml:space="preserve">e cultivate </w:t>
      </w:r>
      <w:r w:rsidRPr="00A93324">
        <w:rPr>
          <w:rFonts w:ascii="Tahoma" w:eastAsia="SimSun" w:hAnsi="Tahoma" w:cs="Tahoma"/>
          <w:b/>
          <w:bCs/>
          <w:sz w:val="24"/>
          <w:szCs w:val="24"/>
          <w:lang w:val="ro-RO"/>
        </w:rPr>
        <w:t>ş</w:t>
      </w:r>
      <w:r w:rsidRPr="00A93324">
        <w:rPr>
          <w:rFonts w:ascii="Arial" w:eastAsia="SimSun" w:hAnsi="Arial" w:cs="Arial"/>
          <w:b/>
          <w:bCs/>
          <w:sz w:val="24"/>
          <w:szCs w:val="24"/>
          <w:lang w:val="ro-RO"/>
        </w:rPr>
        <w:t>i suprafe</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e pe care s-au utilizat îngrăşăminte naturale în perioda 2010-2014, în jude</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ul Buzău</w:t>
      </w:r>
    </w:p>
    <w:p w:rsidR="00A93324" w:rsidRPr="00A93324" w:rsidRDefault="00A93324" w:rsidP="00A93324">
      <w:pPr>
        <w:spacing w:after="120" w:line="240" w:lineRule="auto"/>
        <w:rPr>
          <w:rFonts w:ascii="Arial" w:eastAsia="SimSun" w:hAnsi="Arial" w:cs="Arial"/>
          <w:b/>
          <w:bCs/>
          <w:sz w:val="24"/>
          <w:szCs w:val="24"/>
          <w:lang w:val="ro-RO"/>
        </w:rPr>
      </w:pPr>
    </w:p>
    <w:tbl>
      <w:tblPr>
        <w:tblW w:w="9459" w:type="dxa"/>
        <w:tblInd w:w="2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A0"/>
      </w:tblPr>
      <w:tblGrid>
        <w:gridCol w:w="670"/>
        <w:gridCol w:w="2978"/>
        <w:gridCol w:w="1134"/>
        <w:gridCol w:w="1275"/>
        <w:gridCol w:w="1134"/>
        <w:gridCol w:w="1134"/>
        <w:gridCol w:w="1134"/>
      </w:tblGrid>
      <w:tr w:rsidR="00A93324" w:rsidRPr="00A93324" w:rsidTr="00A42550">
        <w:tc>
          <w:tcPr>
            <w:tcW w:w="670" w:type="dxa"/>
            <w:vMerge w:val="restart"/>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Nr.</w:t>
            </w:r>
          </w:p>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crt</w:t>
            </w:r>
          </w:p>
        </w:tc>
        <w:tc>
          <w:tcPr>
            <w:tcW w:w="2978" w:type="dxa"/>
            <w:vMerge w:val="restart"/>
            <w:shd w:val="clear" w:color="auto" w:fill="auto"/>
          </w:tcPr>
          <w:p w:rsidR="00A93324" w:rsidRPr="00A93324" w:rsidRDefault="00A93324" w:rsidP="00A93324">
            <w:pPr>
              <w:spacing w:after="120" w:line="240" w:lineRule="auto"/>
              <w:jc w:val="center"/>
              <w:rPr>
                <w:rFonts w:ascii="Arial" w:eastAsia="SimSun" w:hAnsi="Arial" w:cs="Arial"/>
                <w:bCs/>
                <w:sz w:val="24"/>
                <w:szCs w:val="24"/>
                <w:lang w:val="ro-RO"/>
              </w:rPr>
            </w:pPr>
            <w:r w:rsidRPr="00A93324">
              <w:rPr>
                <w:rFonts w:ascii="Arial" w:eastAsia="SimSun" w:hAnsi="Arial" w:cs="Arial"/>
                <w:bCs/>
                <w:sz w:val="24"/>
                <w:szCs w:val="24"/>
                <w:lang w:val="ro-RO"/>
              </w:rPr>
              <w:t>Specifica</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ia</w:t>
            </w:r>
          </w:p>
        </w:tc>
        <w:tc>
          <w:tcPr>
            <w:tcW w:w="5811" w:type="dxa"/>
            <w:gridSpan w:val="5"/>
            <w:shd w:val="clear" w:color="auto" w:fill="auto"/>
          </w:tcPr>
          <w:p w:rsidR="00A93324" w:rsidRPr="00A93324" w:rsidRDefault="00A93324" w:rsidP="00A93324">
            <w:pPr>
              <w:spacing w:after="120" w:line="240" w:lineRule="auto"/>
              <w:jc w:val="center"/>
              <w:rPr>
                <w:rFonts w:ascii="Arial" w:eastAsia="SimSun" w:hAnsi="Arial" w:cs="Arial"/>
                <w:bCs/>
                <w:sz w:val="24"/>
                <w:szCs w:val="24"/>
                <w:lang w:val="ro-RO"/>
              </w:rPr>
            </w:pPr>
            <w:r w:rsidRPr="00A93324">
              <w:rPr>
                <w:rFonts w:ascii="Arial" w:eastAsia="SimSun" w:hAnsi="Arial" w:cs="Arial"/>
                <w:bCs/>
                <w:sz w:val="24"/>
                <w:szCs w:val="24"/>
                <w:lang w:val="ro-RO"/>
              </w:rPr>
              <w:t>Suprafe</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e (ha)</w:t>
            </w:r>
          </w:p>
        </w:tc>
      </w:tr>
      <w:tr w:rsidR="00A93324" w:rsidRPr="00A93324" w:rsidTr="00A42550">
        <w:tc>
          <w:tcPr>
            <w:tcW w:w="670" w:type="dxa"/>
            <w:vMerge/>
            <w:shd w:val="clear" w:color="auto" w:fill="auto"/>
          </w:tcPr>
          <w:p w:rsidR="00A93324" w:rsidRPr="00A93324" w:rsidRDefault="00A93324" w:rsidP="00A93324">
            <w:pPr>
              <w:spacing w:after="120" w:line="240" w:lineRule="auto"/>
              <w:rPr>
                <w:rFonts w:ascii="Arial" w:eastAsia="SimSun" w:hAnsi="Arial" w:cs="Arial"/>
                <w:bCs/>
                <w:sz w:val="24"/>
                <w:szCs w:val="24"/>
                <w:lang w:val="ro-RO"/>
              </w:rPr>
            </w:pPr>
          </w:p>
        </w:tc>
        <w:tc>
          <w:tcPr>
            <w:tcW w:w="2978" w:type="dxa"/>
            <w:vMerge/>
            <w:shd w:val="clear" w:color="auto" w:fill="auto"/>
          </w:tcPr>
          <w:p w:rsidR="00A93324" w:rsidRPr="00A93324" w:rsidRDefault="00A93324" w:rsidP="00A93324">
            <w:pPr>
              <w:spacing w:after="120" w:line="240" w:lineRule="auto"/>
              <w:rPr>
                <w:rFonts w:ascii="Arial" w:eastAsia="SimSun" w:hAnsi="Arial" w:cs="Arial"/>
                <w:bCs/>
                <w:sz w:val="24"/>
                <w:szCs w:val="24"/>
                <w:lang w:val="ro-RO"/>
              </w:rPr>
            </w:pPr>
          </w:p>
        </w:tc>
        <w:tc>
          <w:tcPr>
            <w:tcW w:w="1134" w:type="dxa"/>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2010</w:t>
            </w:r>
          </w:p>
        </w:tc>
        <w:tc>
          <w:tcPr>
            <w:tcW w:w="1275" w:type="dxa"/>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2011</w:t>
            </w:r>
          </w:p>
        </w:tc>
        <w:tc>
          <w:tcPr>
            <w:tcW w:w="1134" w:type="dxa"/>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2012</w:t>
            </w:r>
          </w:p>
        </w:tc>
        <w:tc>
          <w:tcPr>
            <w:tcW w:w="1134" w:type="dxa"/>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2013</w:t>
            </w:r>
          </w:p>
        </w:tc>
        <w:tc>
          <w:tcPr>
            <w:tcW w:w="1134" w:type="dxa"/>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2014</w:t>
            </w:r>
          </w:p>
        </w:tc>
      </w:tr>
      <w:tr w:rsidR="00A93324" w:rsidRPr="00A93324" w:rsidTr="00A42550">
        <w:trPr>
          <w:trHeight w:val="784"/>
        </w:trPr>
        <w:tc>
          <w:tcPr>
            <w:tcW w:w="670"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4"/>
                <w:szCs w:val="24"/>
                <w:lang w:val="ro-RO"/>
              </w:rPr>
            </w:pPr>
            <w:r w:rsidRPr="00A93324">
              <w:rPr>
                <w:rFonts w:ascii="Arial" w:eastAsia="SimSun" w:hAnsi="Arial" w:cs="Arial"/>
                <w:bCs/>
                <w:sz w:val="24"/>
                <w:szCs w:val="24"/>
                <w:lang w:val="ro-RO"/>
              </w:rPr>
              <w:t>1.</w:t>
            </w:r>
          </w:p>
        </w:tc>
        <w:tc>
          <w:tcPr>
            <w:tcW w:w="2978" w:type="dxa"/>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Suprafe</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e totale cultivate în jude</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ul Buzău (arabil, pă</w:t>
            </w:r>
            <w:r w:rsidRPr="00A93324">
              <w:rPr>
                <w:rFonts w:ascii="Arial" w:eastAsia="SimSun" w:hAnsi="Tahoma" w:cs="Arial"/>
                <w:bCs/>
                <w:sz w:val="24"/>
                <w:szCs w:val="24"/>
                <w:lang w:val="ro-RO"/>
              </w:rPr>
              <w:t>ş</w:t>
            </w:r>
            <w:r w:rsidRPr="00A93324">
              <w:rPr>
                <w:rFonts w:ascii="Arial" w:eastAsia="SimSun" w:hAnsi="Arial" w:cs="Arial"/>
                <w:bCs/>
                <w:sz w:val="24"/>
                <w:szCs w:val="24"/>
                <w:lang w:val="ro-RO"/>
              </w:rPr>
              <w:t>uni, fâne</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e, vii , livezi)</w:t>
            </w:r>
          </w:p>
        </w:tc>
        <w:tc>
          <w:tcPr>
            <w:tcW w:w="1134" w:type="dxa"/>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p>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401895</w:t>
            </w:r>
          </w:p>
        </w:tc>
        <w:tc>
          <w:tcPr>
            <w:tcW w:w="1275" w:type="dxa"/>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p>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397122</w:t>
            </w:r>
          </w:p>
        </w:tc>
        <w:tc>
          <w:tcPr>
            <w:tcW w:w="1134" w:type="dxa"/>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p>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398821</w:t>
            </w:r>
          </w:p>
        </w:tc>
        <w:tc>
          <w:tcPr>
            <w:tcW w:w="1134" w:type="dxa"/>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p>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396466</w:t>
            </w:r>
          </w:p>
        </w:tc>
        <w:tc>
          <w:tcPr>
            <w:tcW w:w="1134" w:type="dxa"/>
            <w:shd w:val="clear" w:color="auto" w:fill="auto"/>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p>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397054</w:t>
            </w:r>
          </w:p>
        </w:tc>
      </w:tr>
      <w:tr w:rsidR="00A93324" w:rsidRPr="00A93324" w:rsidTr="00A42550">
        <w:trPr>
          <w:trHeight w:val="1409"/>
        </w:trPr>
        <w:tc>
          <w:tcPr>
            <w:tcW w:w="670"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4"/>
                <w:szCs w:val="24"/>
                <w:lang w:val="ro-RO"/>
              </w:rPr>
            </w:pPr>
            <w:r w:rsidRPr="00A93324">
              <w:rPr>
                <w:rFonts w:ascii="Arial" w:eastAsia="SimSun" w:hAnsi="Arial" w:cs="Arial"/>
                <w:bCs/>
                <w:sz w:val="24"/>
                <w:szCs w:val="24"/>
                <w:lang w:val="ro-RO"/>
              </w:rPr>
              <w:t>2.</w:t>
            </w:r>
          </w:p>
        </w:tc>
        <w:tc>
          <w:tcPr>
            <w:tcW w:w="2978" w:type="dxa"/>
            <w:shd w:val="clear" w:color="auto" w:fill="auto"/>
          </w:tcPr>
          <w:p w:rsidR="00A93324" w:rsidRPr="00A93324" w:rsidRDefault="00A93324" w:rsidP="00A93324">
            <w:pPr>
              <w:spacing w:after="120" w:line="240" w:lineRule="auto"/>
              <w:rPr>
                <w:rFonts w:ascii="Arial" w:eastAsia="SimSun" w:hAnsi="Arial" w:cs="Arial"/>
                <w:bCs/>
                <w:sz w:val="24"/>
                <w:szCs w:val="24"/>
                <w:lang w:val="ro-RO"/>
              </w:rPr>
            </w:pPr>
            <w:r w:rsidRPr="00A93324">
              <w:rPr>
                <w:rFonts w:ascii="Arial" w:eastAsia="SimSun" w:hAnsi="Arial" w:cs="Arial"/>
                <w:bCs/>
                <w:sz w:val="24"/>
                <w:szCs w:val="24"/>
                <w:lang w:val="ro-RO"/>
              </w:rPr>
              <w:t>Suprafe</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e pe care s-au aplicat îngră</w:t>
            </w:r>
            <w:r w:rsidRPr="00A93324">
              <w:rPr>
                <w:rFonts w:ascii="Arial" w:eastAsia="SimSun" w:hAnsi="Tahoma" w:cs="Arial"/>
                <w:bCs/>
                <w:sz w:val="24"/>
                <w:szCs w:val="24"/>
                <w:lang w:val="ro-RO"/>
              </w:rPr>
              <w:t>ş</w:t>
            </w:r>
            <w:r w:rsidRPr="00A93324">
              <w:rPr>
                <w:rFonts w:ascii="Arial" w:eastAsia="SimSun" w:hAnsi="Arial" w:cs="Arial"/>
                <w:bCs/>
                <w:sz w:val="24"/>
                <w:szCs w:val="24"/>
                <w:lang w:val="ro-RO"/>
              </w:rPr>
              <w:t>ăminte naturale în jude</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ul Buzău (arabil, pă</w:t>
            </w:r>
            <w:r w:rsidRPr="00A93324">
              <w:rPr>
                <w:rFonts w:ascii="Arial" w:eastAsia="SimSun" w:hAnsi="Tahoma" w:cs="Arial"/>
                <w:bCs/>
                <w:sz w:val="24"/>
                <w:szCs w:val="24"/>
                <w:lang w:val="ro-RO"/>
              </w:rPr>
              <w:t>ş</w:t>
            </w:r>
            <w:r w:rsidRPr="00A93324">
              <w:rPr>
                <w:rFonts w:ascii="Arial" w:eastAsia="SimSun" w:hAnsi="Arial" w:cs="Arial"/>
                <w:bCs/>
                <w:sz w:val="24"/>
                <w:szCs w:val="24"/>
                <w:lang w:val="ro-RO"/>
              </w:rPr>
              <w:t>uni, fâne</w:t>
            </w:r>
            <w:r w:rsidRPr="00A93324">
              <w:rPr>
                <w:rFonts w:ascii="Arial" w:eastAsia="SimSun" w:hAnsi="Tahoma" w:cs="Arial"/>
                <w:bCs/>
                <w:sz w:val="24"/>
                <w:szCs w:val="24"/>
                <w:lang w:val="ro-RO"/>
              </w:rPr>
              <w:t>ţ</w:t>
            </w:r>
            <w:r w:rsidRPr="00A93324">
              <w:rPr>
                <w:rFonts w:ascii="Arial" w:eastAsia="SimSun" w:hAnsi="Arial" w:cs="Arial"/>
                <w:bCs/>
                <w:sz w:val="24"/>
                <w:szCs w:val="24"/>
                <w:lang w:val="ro-RO"/>
              </w:rPr>
              <w:t>e, vii, livezi)</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15060</w:t>
            </w:r>
          </w:p>
        </w:tc>
        <w:tc>
          <w:tcPr>
            <w:tcW w:w="127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12883</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10142</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8520</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5778</w:t>
            </w:r>
          </w:p>
        </w:tc>
      </w:tr>
      <w:tr w:rsidR="00A93324" w:rsidRPr="00A93324" w:rsidTr="00A42550">
        <w:tc>
          <w:tcPr>
            <w:tcW w:w="670"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4"/>
                <w:szCs w:val="24"/>
                <w:lang w:val="ro-RO"/>
              </w:rPr>
            </w:pPr>
            <w:r w:rsidRPr="00A93324">
              <w:rPr>
                <w:rFonts w:ascii="Arial" w:eastAsia="SimSun" w:hAnsi="Arial" w:cs="Arial"/>
                <w:bCs/>
                <w:sz w:val="24"/>
                <w:szCs w:val="24"/>
                <w:lang w:val="ro-RO"/>
              </w:rPr>
              <w:t>3.</w:t>
            </w:r>
          </w:p>
        </w:tc>
        <w:tc>
          <w:tcPr>
            <w:tcW w:w="2978" w:type="dxa"/>
            <w:shd w:val="clear" w:color="auto" w:fill="auto"/>
          </w:tcPr>
          <w:p w:rsidR="00A93324" w:rsidRPr="00A93324" w:rsidRDefault="00A93324" w:rsidP="00A93324">
            <w:pPr>
              <w:spacing w:after="120" w:line="240" w:lineRule="auto"/>
              <w:rPr>
                <w:rFonts w:ascii="Arial" w:eastAsia="SimSun" w:hAnsi="Arial" w:cs="Arial"/>
                <w:bCs/>
                <w:sz w:val="24"/>
                <w:szCs w:val="24"/>
              </w:rPr>
            </w:pPr>
            <w:r w:rsidRPr="00A93324">
              <w:rPr>
                <w:rFonts w:ascii="Arial" w:eastAsia="SimSun" w:hAnsi="Arial" w:cs="Arial"/>
                <w:bCs/>
                <w:sz w:val="24"/>
                <w:szCs w:val="24"/>
              </w:rPr>
              <w:t>Ponderea suprafeţelor aplicate cu îngrăşăminte naturale faţă de suprafeţele totale  (%)</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3,74</w:t>
            </w:r>
          </w:p>
        </w:tc>
        <w:tc>
          <w:tcPr>
            <w:tcW w:w="127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3,24</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2,54</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2,14</w:t>
            </w:r>
          </w:p>
        </w:tc>
        <w:tc>
          <w:tcPr>
            <w:tcW w:w="1134"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1,45</w:t>
            </w:r>
          </w:p>
        </w:tc>
      </w:tr>
    </w:tbl>
    <w:p w:rsidR="00A93324" w:rsidRPr="00A93324" w:rsidRDefault="00A93324" w:rsidP="00A93324">
      <w:pPr>
        <w:spacing w:after="120" w:line="240" w:lineRule="auto"/>
        <w:jc w:val="right"/>
        <w:rPr>
          <w:rFonts w:ascii="Arial" w:hAnsi="Arial" w:cs="Arial"/>
          <w:i/>
          <w:iCs/>
          <w:sz w:val="24"/>
          <w:szCs w:val="24"/>
          <w:lang w:val="ro-RO" w:eastAsia="pl-PL"/>
        </w:rPr>
      </w:pPr>
      <w:r w:rsidRPr="00A93324">
        <w:rPr>
          <w:rFonts w:ascii="Arial" w:hAnsi="Arial" w:cs="Arial"/>
          <w:i/>
          <w:iCs/>
          <w:sz w:val="24"/>
          <w:szCs w:val="24"/>
          <w:lang w:val="ro-RO" w:eastAsia="pl-PL"/>
        </w:rPr>
        <w:t xml:space="preserve">                                                    Sursa: Direc</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ia pentru Agricultură  jude</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eană Buzău</w:t>
      </w:r>
    </w:p>
    <w:p w:rsidR="00A93324" w:rsidRPr="00A93324" w:rsidRDefault="00A93324" w:rsidP="00A93324">
      <w:pPr>
        <w:spacing w:after="120" w:line="240" w:lineRule="auto"/>
        <w:jc w:val="both"/>
        <w:rPr>
          <w:rFonts w:ascii="Arial" w:hAnsi="Arial" w:cs="Arial"/>
          <w:sz w:val="24"/>
          <w:lang w:val="ro-RO" w:eastAsia="pl-PL"/>
        </w:rPr>
      </w:pPr>
    </w:p>
    <w:p w:rsidR="00A93324" w:rsidRPr="00A93324" w:rsidRDefault="00A93324" w:rsidP="00A93324">
      <w:pPr>
        <w:spacing w:after="120" w:line="240" w:lineRule="auto"/>
        <w:jc w:val="both"/>
        <w:rPr>
          <w:rFonts w:ascii="Arial" w:hAnsi="Arial" w:cs="Arial"/>
          <w:sz w:val="24"/>
          <w:lang w:val="ro-RO"/>
        </w:rPr>
      </w:pPr>
      <w:r w:rsidRPr="00A93324">
        <w:rPr>
          <w:rFonts w:ascii="Arial" w:hAnsi="Arial" w:cs="Arial"/>
          <w:sz w:val="24"/>
          <w:lang w:val="ro-RO" w:eastAsia="pl-PL"/>
        </w:rPr>
        <w:t xml:space="preserve">Conform datelor furnizate de Direcţia Judeţeană de Statistică Buzău, suprafeţele pe care au fost aplicate îngrăşăminte naturale au scăzut de aproape 3 ori faţă de anul 2010 şi au fost însoţite de o scădere similară a cantităţilor de îngrăşăminte naturale aplicate. </w:t>
      </w:r>
    </w:p>
    <w:p w:rsidR="00A93324" w:rsidRPr="00A93324" w:rsidRDefault="00A93324" w:rsidP="00A93324">
      <w:pPr>
        <w:spacing w:after="120" w:line="240" w:lineRule="auto"/>
        <w:jc w:val="both"/>
        <w:rPr>
          <w:rFonts w:ascii="Arial" w:eastAsia="SimSun" w:hAnsi="Arial" w:cs="Arial"/>
          <w:b/>
          <w:bCs/>
          <w:sz w:val="24"/>
          <w:szCs w:val="24"/>
          <w:lang w:val="ro-RO"/>
        </w:rPr>
      </w:pPr>
      <w:r w:rsidRPr="00A93324">
        <w:rPr>
          <w:rFonts w:ascii="Arial" w:eastAsia="SimSun" w:hAnsi="Arial" w:cs="Arial"/>
          <w:sz w:val="24"/>
          <w:lang w:val="ro-RO"/>
        </w:rPr>
        <w:t>În anul 2014, la nivelul întregului jude</w:t>
      </w:r>
      <w:r w:rsidRPr="00A93324">
        <w:rPr>
          <w:rFonts w:ascii="Arial" w:eastAsia="SimSun" w:hAnsi="Tahoma" w:cs="Arial"/>
          <w:sz w:val="24"/>
          <w:lang w:val="ro-RO"/>
        </w:rPr>
        <w:t>ţ</w:t>
      </w:r>
      <w:r w:rsidRPr="00A93324">
        <w:rPr>
          <w:rFonts w:ascii="Arial" w:eastAsia="SimSun" w:hAnsi="Arial" w:cs="Arial"/>
          <w:sz w:val="24"/>
          <w:lang w:val="ro-RO"/>
        </w:rPr>
        <w:t xml:space="preserve">, au fost aplicate </w:t>
      </w:r>
      <w:r w:rsidRPr="00A93324">
        <w:rPr>
          <w:rFonts w:ascii="Arial" w:eastAsia="SimSun" w:hAnsi="Arial" w:cs="Arial"/>
          <w:sz w:val="24"/>
          <w:szCs w:val="24"/>
          <w:lang w:val="ro-RO"/>
        </w:rPr>
        <w:t xml:space="preserve">45577 </w:t>
      </w:r>
      <w:r w:rsidRPr="00A93324">
        <w:rPr>
          <w:rFonts w:ascii="Arial" w:eastAsia="SimSun" w:hAnsi="Arial" w:cs="Arial"/>
          <w:sz w:val="24"/>
          <w:lang w:val="ro-RO"/>
        </w:rPr>
        <w:t>tone de îngră</w:t>
      </w:r>
      <w:r w:rsidRPr="00A93324">
        <w:rPr>
          <w:rFonts w:ascii="Arial" w:eastAsia="SimSun" w:hAnsi="Tahoma" w:cs="Arial"/>
          <w:sz w:val="24"/>
          <w:lang w:val="ro-RO"/>
        </w:rPr>
        <w:t>ş</w:t>
      </w:r>
      <w:r w:rsidRPr="00A93324">
        <w:rPr>
          <w:rFonts w:ascii="Arial" w:eastAsia="SimSun" w:hAnsi="Arial" w:cs="Arial"/>
          <w:sz w:val="24"/>
          <w:lang w:val="ro-RO"/>
        </w:rPr>
        <w:t xml:space="preserve">ăminte naturale pe </w:t>
      </w:r>
      <w:smartTag w:uri="urn:schemas-microsoft-com:office:smarttags" w:element="metricconverter">
        <w:smartTagPr>
          <w:attr w:name="ProductID" w:val="5778 ha"/>
        </w:smartTagPr>
        <w:r w:rsidRPr="00A93324">
          <w:rPr>
            <w:rFonts w:ascii="Arial" w:eastAsia="SimSun" w:hAnsi="Arial" w:cs="Arial"/>
            <w:sz w:val="24"/>
            <w:szCs w:val="24"/>
            <w:lang w:val="ro-RO"/>
          </w:rPr>
          <w:t>5778</w:t>
        </w:r>
        <w:r w:rsidRPr="00A93324">
          <w:rPr>
            <w:rFonts w:ascii="Arial" w:eastAsia="SimSun" w:hAnsi="Arial" w:cs="Arial"/>
            <w:sz w:val="24"/>
            <w:lang w:val="ro-RO"/>
          </w:rPr>
          <w:t xml:space="preserve"> ha</w:t>
        </w:r>
      </w:smartTag>
      <w:r w:rsidRPr="00A93324">
        <w:rPr>
          <w:rFonts w:ascii="Arial" w:eastAsia="SimSun" w:hAnsi="Arial" w:cs="Arial"/>
          <w:sz w:val="24"/>
          <w:lang w:val="ro-RO"/>
        </w:rPr>
        <w:t xml:space="preserve"> de terenuri agricole.</w:t>
      </w:r>
    </w:p>
    <w:p w:rsidR="00A93324" w:rsidRPr="00A93324" w:rsidRDefault="00A93324" w:rsidP="00A93324">
      <w:pPr>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 xml:space="preserve">Figura III.3.1. – 3. Suprafeţele pe care s-au aplicat îngrăşăminte naturale în raport cu suprafaţa  cultivată în perioada 2010-2014 </w:t>
      </w:r>
    </w:p>
    <w:p w:rsidR="00A93324" w:rsidRPr="00A93324" w:rsidRDefault="00A93324" w:rsidP="00A93324">
      <w:pPr>
        <w:tabs>
          <w:tab w:val="center" w:pos="4961"/>
          <w:tab w:val="right" w:pos="9922"/>
        </w:tabs>
        <w:spacing w:after="120" w:line="240" w:lineRule="auto"/>
        <w:rPr>
          <w:rFonts w:ascii="Arial" w:eastAsia="SimSun" w:hAnsi="Arial" w:cs="Arial"/>
          <w:b/>
          <w:sz w:val="24"/>
          <w:szCs w:val="24"/>
          <w:lang w:val="en-GB"/>
        </w:rPr>
      </w:pPr>
      <w:r>
        <w:rPr>
          <w:rFonts w:ascii="Times New Roman" w:eastAsia="SimSun" w:hAnsi="Times New Roman"/>
          <w:noProof/>
          <w:sz w:val="24"/>
          <w:szCs w:val="24"/>
          <w:lang w:val="ro-RO" w:eastAsia="ro-RO"/>
        </w:rPr>
        <w:drawing>
          <wp:inline distT="0" distB="0" distL="0" distR="0">
            <wp:extent cx="5753100" cy="3057525"/>
            <wp:effectExtent l="0" t="0" r="0" b="0"/>
            <wp:docPr id="154" name="Object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93324" w:rsidRPr="00A93324" w:rsidRDefault="00A93324" w:rsidP="00A93324">
      <w:pPr>
        <w:spacing w:after="120" w:line="240" w:lineRule="auto"/>
        <w:jc w:val="right"/>
        <w:rPr>
          <w:rFonts w:ascii="Arial" w:hAnsi="Arial" w:cs="Arial"/>
          <w:i/>
          <w:iCs/>
          <w:sz w:val="24"/>
          <w:szCs w:val="24"/>
          <w:lang w:val="ro-RO" w:eastAsia="pl-PL"/>
        </w:rPr>
      </w:pPr>
      <w:r w:rsidRPr="00A93324">
        <w:rPr>
          <w:rFonts w:ascii="Arial" w:hAnsi="Arial" w:cs="Arial"/>
          <w:i/>
          <w:iCs/>
          <w:sz w:val="24"/>
          <w:szCs w:val="24"/>
          <w:lang w:val="ro-RO" w:eastAsia="pl-PL"/>
        </w:rPr>
        <w:lastRenderedPageBreak/>
        <w:t xml:space="preserve">                                                    Sursa: Direc</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ia pentru Agricultură  jude</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eană Buzău</w:t>
      </w:r>
    </w:p>
    <w:p w:rsidR="00A93324" w:rsidRPr="00A93324" w:rsidRDefault="00A93324" w:rsidP="00A93324">
      <w:pPr>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 xml:space="preserve">Figura III.3.1. – 4. Ponderea suprafeţele pe care s-au aplicat îngrăşăminte naturale faţă de suprafaţa  cultivată în perioada 2010-2014 </w:t>
      </w:r>
    </w:p>
    <w:p w:rsidR="00A93324" w:rsidRPr="00A93324" w:rsidRDefault="00A93324" w:rsidP="00A93324">
      <w:pPr>
        <w:tabs>
          <w:tab w:val="center" w:pos="4961"/>
          <w:tab w:val="right" w:pos="9922"/>
        </w:tabs>
        <w:spacing w:after="120" w:line="240" w:lineRule="auto"/>
        <w:rPr>
          <w:rFonts w:ascii="Arial" w:eastAsia="SimSun" w:hAnsi="Arial" w:cs="Arial"/>
          <w:b/>
          <w:sz w:val="24"/>
          <w:szCs w:val="24"/>
          <w:lang w:val="en-GB"/>
        </w:rPr>
      </w:pPr>
      <w:r>
        <w:rPr>
          <w:rFonts w:ascii="Times New Roman" w:eastAsia="SimSun" w:hAnsi="Times New Roman"/>
          <w:noProof/>
          <w:sz w:val="24"/>
          <w:szCs w:val="24"/>
          <w:lang w:val="ro-RO" w:eastAsia="ro-RO"/>
        </w:rPr>
        <w:drawing>
          <wp:inline distT="0" distB="0" distL="0" distR="0">
            <wp:extent cx="5753100" cy="3133725"/>
            <wp:effectExtent l="0" t="0" r="0" b="0"/>
            <wp:docPr id="155" name="Object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93324" w:rsidRPr="00A93324" w:rsidRDefault="00A93324" w:rsidP="00A93324">
      <w:pPr>
        <w:spacing w:after="120" w:line="240" w:lineRule="auto"/>
        <w:jc w:val="right"/>
        <w:rPr>
          <w:rFonts w:ascii="Arial" w:hAnsi="Arial" w:cs="Arial"/>
          <w:i/>
          <w:iCs/>
          <w:sz w:val="24"/>
          <w:szCs w:val="24"/>
          <w:lang w:val="ro-RO" w:eastAsia="pl-PL"/>
        </w:rPr>
      </w:pPr>
      <w:r w:rsidRPr="00A93324">
        <w:rPr>
          <w:rFonts w:ascii="Arial" w:hAnsi="Arial" w:cs="Arial"/>
          <w:i/>
          <w:iCs/>
          <w:sz w:val="24"/>
          <w:szCs w:val="24"/>
          <w:lang w:val="ro-RO" w:eastAsia="pl-PL"/>
        </w:rPr>
        <w:t>Sursa: Direc</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ia pentru Agricultură  jude</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eană Buzău</w:t>
      </w:r>
    </w:p>
    <w:p w:rsidR="00A93324" w:rsidRPr="00A93324" w:rsidRDefault="00A93324" w:rsidP="00A93324">
      <w:pPr>
        <w:tabs>
          <w:tab w:val="center" w:pos="4961"/>
          <w:tab w:val="right" w:pos="9922"/>
        </w:tabs>
        <w:spacing w:after="120" w:line="240" w:lineRule="auto"/>
        <w:rPr>
          <w:rFonts w:ascii="Arial" w:eastAsia="SimSun" w:hAnsi="Arial" w:cs="Arial"/>
          <w:b/>
          <w:sz w:val="24"/>
          <w:szCs w:val="24"/>
          <w:lang w:val="ro-RO"/>
        </w:rPr>
      </w:pPr>
    </w:p>
    <w:p w:rsidR="00A93324" w:rsidRPr="00A93324" w:rsidRDefault="00A93324" w:rsidP="00A93324">
      <w:pPr>
        <w:tabs>
          <w:tab w:val="center" w:pos="4961"/>
          <w:tab w:val="right" w:pos="9922"/>
        </w:tabs>
        <w:spacing w:after="120" w:line="240" w:lineRule="auto"/>
        <w:rPr>
          <w:rFonts w:ascii="Arial" w:eastAsia="SimSun" w:hAnsi="Arial" w:cs="Arial"/>
          <w:b/>
          <w:sz w:val="24"/>
          <w:szCs w:val="24"/>
          <w:lang w:val="ro-RO"/>
        </w:rPr>
      </w:pPr>
      <w:r w:rsidRPr="00A93324">
        <w:rPr>
          <w:rFonts w:ascii="Arial" w:eastAsia="SimSun" w:hAnsi="Arial" w:cs="Arial"/>
          <w:b/>
          <w:sz w:val="24"/>
          <w:szCs w:val="24"/>
          <w:lang w:val="ro-RO"/>
        </w:rPr>
        <w:t>Tabelul III.3.1.- 3. Cantită</w:t>
      </w:r>
      <w:r w:rsidRPr="00A93324">
        <w:rPr>
          <w:rFonts w:ascii="Tahoma" w:eastAsia="SimSun" w:hAnsi="Tahoma" w:cs="Tahoma"/>
          <w:b/>
          <w:sz w:val="24"/>
          <w:szCs w:val="24"/>
          <w:lang w:val="ro-RO"/>
        </w:rPr>
        <w:t xml:space="preserve">ţile </w:t>
      </w:r>
      <w:r w:rsidRPr="00A93324">
        <w:rPr>
          <w:rFonts w:ascii="Arial" w:eastAsia="SimSun" w:hAnsi="Arial" w:cs="Arial"/>
          <w:b/>
          <w:sz w:val="24"/>
          <w:szCs w:val="24"/>
          <w:lang w:val="ro-RO"/>
        </w:rPr>
        <w:t>de îngră</w:t>
      </w:r>
      <w:r w:rsidRPr="00A93324">
        <w:rPr>
          <w:rFonts w:ascii="Tahoma" w:eastAsia="SimSun" w:hAnsi="Tahoma" w:cs="Tahoma"/>
          <w:b/>
          <w:sz w:val="24"/>
          <w:szCs w:val="24"/>
          <w:lang w:val="ro-RO"/>
        </w:rPr>
        <w:t>ş</w:t>
      </w:r>
      <w:r w:rsidRPr="00A93324">
        <w:rPr>
          <w:rFonts w:ascii="Arial" w:eastAsia="SimSun" w:hAnsi="Arial" w:cs="Arial"/>
          <w:b/>
          <w:sz w:val="24"/>
          <w:szCs w:val="24"/>
          <w:lang w:val="ro-RO"/>
        </w:rPr>
        <w:t>ăminte naturale utilizate în agricultură în perioda 2010-2014, în jude</w:t>
      </w:r>
      <w:r w:rsidRPr="00A93324">
        <w:rPr>
          <w:rFonts w:ascii="Tahoma" w:eastAsia="SimSun" w:hAnsi="Tahoma" w:cs="Tahoma"/>
          <w:b/>
          <w:sz w:val="24"/>
          <w:szCs w:val="24"/>
          <w:lang w:val="ro-RO"/>
        </w:rPr>
        <w:t>ţ</w:t>
      </w:r>
      <w:r w:rsidRPr="00A93324">
        <w:rPr>
          <w:rFonts w:ascii="Arial" w:eastAsia="SimSun" w:hAnsi="Arial" w:cs="Arial"/>
          <w:b/>
          <w:sz w:val="24"/>
          <w:szCs w:val="24"/>
          <w:lang w:val="ro-RO"/>
        </w:rPr>
        <w:t>ul Buzău</w:t>
      </w:r>
    </w:p>
    <w:tbl>
      <w:tblPr>
        <w:tblW w:w="0" w:type="auto"/>
        <w:jc w:val="center"/>
        <w:tblInd w:w="25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tblPr>
      <w:tblGrid>
        <w:gridCol w:w="3305"/>
        <w:gridCol w:w="1017"/>
        <w:gridCol w:w="1134"/>
        <w:gridCol w:w="1134"/>
        <w:gridCol w:w="1134"/>
        <w:gridCol w:w="884"/>
      </w:tblGrid>
      <w:tr w:rsidR="00A93324" w:rsidRPr="00A93324" w:rsidTr="00A42550">
        <w:trPr>
          <w:jc w:val="center"/>
        </w:trPr>
        <w:tc>
          <w:tcPr>
            <w:tcW w:w="3305" w:type="dxa"/>
            <w:vMerge w:val="restart"/>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Specifica</w:t>
            </w:r>
            <w:r w:rsidRPr="00A93324">
              <w:rPr>
                <w:rFonts w:ascii="Arial" w:eastAsia="SimSun" w:hAnsi="Tahoma" w:cs="Arial"/>
                <w:sz w:val="24"/>
                <w:szCs w:val="24"/>
                <w:lang w:val="ro-RO"/>
              </w:rPr>
              <w:t>ţ</w:t>
            </w:r>
            <w:r w:rsidRPr="00A93324">
              <w:rPr>
                <w:rFonts w:ascii="Arial" w:eastAsia="SimSun" w:hAnsi="Arial" w:cs="Arial"/>
                <w:sz w:val="24"/>
                <w:szCs w:val="24"/>
                <w:lang w:val="ro-RO"/>
              </w:rPr>
              <w:t>ia</w:t>
            </w:r>
          </w:p>
        </w:tc>
        <w:tc>
          <w:tcPr>
            <w:tcW w:w="5303" w:type="dxa"/>
            <w:gridSpan w:val="5"/>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Cantită</w:t>
            </w:r>
            <w:r w:rsidRPr="00A93324">
              <w:rPr>
                <w:rFonts w:ascii="Arial" w:eastAsia="SimSun" w:hAnsi="Tahoma" w:cs="Arial"/>
                <w:sz w:val="24"/>
                <w:szCs w:val="24"/>
                <w:lang w:val="ro-RO"/>
              </w:rPr>
              <w:t>ţ</w:t>
            </w:r>
            <w:r w:rsidRPr="00A93324">
              <w:rPr>
                <w:rFonts w:ascii="Arial" w:eastAsia="SimSun" w:hAnsi="Arial" w:cs="Arial"/>
                <w:sz w:val="24"/>
                <w:szCs w:val="24"/>
                <w:lang w:val="ro-RO"/>
              </w:rPr>
              <w:t>i (tone)</w:t>
            </w:r>
          </w:p>
        </w:tc>
      </w:tr>
      <w:tr w:rsidR="00A93324" w:rsidRPr="00A93324" w:rsidTr="00A42550">
        <w:trPr>
          <w:jc w:val="center"/>
        </w:trPr>
        <w:tc>
          <w:tcPr>
            <w:tcW w:w="3305" w:type="dxa"/>
            <w:vMerge/>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p>
        </w:tc>
        <w:tc>
          <w:tcPr>
            <w:tcW w:w="1017"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2010</w:t>
            </w:r>
          </w:p>
        </w:tc>
        <w:tc>
          <w:tcPr>
            <w:tcW w:w="113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2011</w:t>
            </w:r>
          </w:p>
        </w:tc>
        <w:tc>
          <w:tcPr>
            <w:tcW w:w="113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2012</w:t>
            </w:r>
          </w:p>
        </w:tc>
        <w:tc>
          <w:tcPr>
            <w:tcW w:w="113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2013</w:t>
            </w:r>
          </w:p>
        </w:tc>
        <w:tc>
          <w:tcPr>
            <w:tcW w:w="88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2014</w:t>
            </w:r>
          </w:p>
        </w:tc>
      </w:tr>
      <w:tr w:rsidR="00A93324" w:rsidRPr="00A93324" w:rsidTr="00A42550">
        <w:trPr>
          <w:jc w:val="center"/>
        </w:trPr>
        <w:tc>
          <w:tcPr>
            <w:tcW w:w="330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Cantită</w:t>
            </w:r>
            <w:r w:rsidRPr="00A93324">
              <w:rPr>
                <w:rFonts w:ascii="Arial" w:eastAsia="SimSun" w:hAnsi="Tahoma" w:cs="Arial"/>
                <w:sz w:val="24"/>
                <w:szCs w:val="24"/>
                <w:lang w:val="ro-RO"/>
              </w:rPr>
              <w:t>ţ</w:t>
            </w:r>
            <w:r w:rsidRPr="00A93324">
              <w:rPr>
                <w:rFonts w:ascii="Arial" w:eastAsia="SimSun" w:hAnsi="Arial" w:cs="Arial"/>
                <w:sz w:val="24"/>
                <w:szCs w:val="24"/>
                <w:lang w:val="ro-RO"/>
              </w:rPr>
              <w:t>i de îngră</w:t>
            </w:r>
            <w:r w:rsidRPr="00A93324">
              <w:rPr>
                <w:rFonts w:ascii="Arial" w:eastAsia="SimSun" w:hAnsi="Tahoma" w:cs="Arial"/>
                <w:sz w:val="24"/>
                <w:szCs w:val="24"/>
                <w:lang w:val="ro-RO"/>
              </w:rPr>
              <w:t>ş</w:t>
            </w:r>
            <w:r w:rsidRPr="00A93324">
              <w:rPr>
                <w:rFonts w:ascii="Arial" w:eastAsia="SimSun" w:hAnsi="Arial" w:cs="Arial"/>
                <w:sz w:val="24"/>
                <w:szCs w:val="24"/>
                <w:lang w:val="ro-RO"/>
              </w:rPr>
              <w:t>ăminte naturale utilizate în agricultură în jude</w:t>
            </w:r>
            <w:r w:rsidRPr="00A93324">
              <w:rPr>
                <w:rFonts w:ascii="Arial" w:eastAsia="SimSun" w:hAnsi="Tahoma" w:cs="Arial"/>
                <w:sz w:val="24"/>
                <w:szCs w:val="24"/>
                <w:lang w:val="ro-RO"/>
              </w:rPr>
              <w:t>ţ</w:t>
            </w:r>
            <w:r w:rsidRPr="00A93324">
              <w:rPr>
                <w:rFonts w:ascii="Arial" w:eastAsia="SimSun" w:hAnsi="Arial" w:cs="Arial"/>
                <w:sz w:val="24"/>
                <w:szCs w:val="24"/>
                <w:lang w:val="ro-RO"/>
              </w:rPr>
              <w:t>ul Buzău</w:t>
            </w:r>
          </w:p>
        </w:tc>
        <w:tc>
          <w:tcPr>
            <w:tcW w:w="1017" w:type="dxa"/>
          </w:tcPr>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r w:rsidRPr="00A93324">
              <w:rPr>
                <w:rFonts w:ascii="Arial" w:eastAsia="SimSun" w:hAnsi="Arial" w:cs="Arial"/>
                <w:sz w:val="24"/>
                <w:szCs w:val="24"/>
                <w:lang w:val="ro-RO"/>
              </w:rPr>
              <w:t>169149</w:t>
            </w:r>
          </w:p>
        </w:tc>
        <w:tc>
          <w:tcPr>
            <w:tcW w:w="1134" w:type="dxa"/>
          </w:tcPr>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r w:rsidRPr="00A93324">
              <w:rPr>
                <w:rFonts w:ascii="Arial" w:eastAsia="SimSun" w:hAnsi="Arial" w:cs="Arial"/>
                <w:sz w:val="24"/>
                <w:szCs w:val="24"/>
                <w:lang w:val="ro-RO"/>
              </w:rPr>
              <w:t>140012</w:t>
            </w:r>
          </w:p>
        </w:tc>
        <w:tc>
          <w:tcPr>
            <w:tcW w:w="1134" w:type="dxa"/>
          </w:tcPr>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r w:rsidRPr="00A93324">
              <w:rPr>
                <w:rFonts w:ascii="Arial" w:eastAsia="SimSun" w:hAnsi="Arial" w:cs="Arial"/>
                <w:sz w:val="24"/>
                <w:szCs w:val="24"/>
                <w:lang w:val="ro-RO"/>
              </w:rPr>
              <w:t>110714</w:t>
            </w:r>
          </w:p>
        </w:tc>
        <w:tc>
          <w:tcPr>
            <w:tcW w:w="1134" w:type="dxa"/>
          </w:tcPr>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r w:rsidRPr="00A93324">
              <w:rPr>
                <w:rFonts w:ascii="Arial" w:eastAsia="SimSun" w:hAnsi="Arial" w:cs="Arial"/>
                <w:sz w:val="24"/>
                <w:szCs w:val="24"/>
                <w:lang w:val="ro-RO"/>
              </w:rPr>
              <w:t>77990</w:t>
            </w:r>
          </w:p>
        </w:tc>
        <w:tc>
          <w:tcPr>
            <w:tcW w:w="884" w:type="dxa"/>
          </w:tcPr>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right"/>
              <w:rPr>
                <w:rFonts w:ascii="Arial" w:eastAsia="SimSun" w:hAnsi="Arial" w:cs="Arial"/>
                <w:sz w:val="24"/>
                <w:szCs w:val="24"/>
                <w:lang w:val="ro-RO"/>
              </w:rPr>
            </w:pPr>
            <w:r w:rsidRPr="00A93324">
              <w:rPr>
                <w:rFonts w:ascii="Arial" w:eastAsia="SimSun" w:hAnsi="Arial" w:cs="Arial"/>
                <w:sz w:val="24"/>
                <w:szCs w:val="24"/>
                <w:lang w:val="ro-RO"/>
              </w:rPr>
              <w:t>45577</w:t>
            </w:r>
          </w:p>
        </w:tc>
      </w:tr>
    </w:tbl>
    <w:p w:rsidR="00A93324" w:rsidRPr="00A93324" w:rsidRDefault="00A93324" w:rsidP="00A93324">
      <w:pPr>
        <w:spacing w:after="120" w:line="240" w:lineRule="auto"/>
        <w:rPr>
          <w:rFonts w:ascii="Arial" w:hAnsi="Arial" w:cs="Arial"/>
          <w:i/>
          <w:iCs/>
          <w:sz w:val="24"/>
          <w:szCs w:val="24"/>
          <w:lang w:val="ro-RO" w:eastAsia="pl-PL"/>
        </w:rPr>
      </w:pPr>
      <w:r w:rsidRPr="00A93324">
        <w:rPr>
          <w:rFonts w:ascii="Arial" w:hAnsi="Arial" w:cs="Arial"/>
          <w:i/>
          <w:iCs/>
          <w:sz w:val="24"/>
          <w:szCs w:val="24"/>
          <w:lang w:val="ro-RO" w:eastAsia="pl-PL"/>
        </w:rPr>
        <w:t xml:space="preserve">                                                   Sursa: Direc</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ia pentru Agricultură  jude</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eană Buzău</w:t>
      </w:r>
    </w:p>
    <w:p w:rsidR="00A93324" w:rsidRPr="00A93324" w:rsidRDefault="00A93324" w:rsidP="00A93324">
      <w:pPr>
        <w:spacing w:after="120" w:line="240" w:lineRule="auto"/>
        <w:rPr>
          <w:rFonts w:ascii="Arial" w:hAnsi="Arial" w:cs="Arial"/>
          <w:i/>
          <w:iCs/>
          <w:sz w:val="24"/>
          <w:szCs w:val="24"/>
          <w:lang w:val="ro-RO" w:eastAsia="pl-PL"/>
        </w:rPr>
      </w:pPr>
      <w:r w:rsidRPr="00A93324">
        <w:rPr>
          <w:rFonts w:ascii="Arial" w:hAnsi="Arial" w:cs="Arial"/>
          <w:i/>
          <w:iCs/>
          <w:sz w:val="24"/>
          <w:szCs w:val="24"/>
          <w:lang w:val="ro-RO" w:eastAsia="pl-PL"/>
        </w:rPr>
        <w:tab/>
      </w:r>
      <w:r w:rsidRPr="00A93324">
        <w:rPr>
          <w:rFonts w:ascii="Arial" w:hAnsi="Arial" w:cs="Arial"/>
          <w:i/>
          <w:iCs/>
          <w:sz w:val="24"/>
          <w:szCs w:val="24"/>
          <w:lang w:val="ro-RO" w:eastAsia="pl-PL"/>
        </w:rPr>
        <w:tab/>
      </w:r>
      <w:r w:rsidRPr="00A93324">
        <w:rPr>
          <w:rFonts w:ascii="Arial" w:hAnsi="Arial" w:cs="Arial"/>
          <w:i/>
          <w:iCs/>
          <w:sz w:val="24"/>
          <w:szCs w:val="24"/>
          <w:lang w:val="ro-RO" w:eastAsia="pl-PL"/>
        </w:rPr>
        <w:tab/>
      </w:r>
      <w:r w:rsidRPr="00A93324">
        <w:rPr>
          <w:rFonts w:ascii="Arial" w:hAnsi="Arial" w:cs="Arial"/>
          <w:i/>
          <w:iCs/>
          <w:sz w:val="24"/>
          <w:szCs w:val="24"/>
          <w:lang w:val="ro-RO" w:eastAsia="pl-PL"/>
        </w:rPr>
        <w:tab/>
      </w:r>
      <w:r w:rsidRPr="00A93324">
        <w:rPr>
          <w:rFonts w:ascii="Arial" w:hAnsi="Arial" w:cs="Arial"/>
          <w:i/>
          <w:iCs/>
          <w:sz w:val="24"/>
          <w:szCs w:val="24"/>
          <w:lang w:val="ro-RO" w:eastAsia="pl-PL"/>
        </w:rPr>
        <w:tab/>
      </w:r>
      <w:r w:rsidRPr="00A93324">
        <w:rPr>
          <w:rFonts w:ascii="Arial" w:hAnsi="Arial" w:cs="Arial"/>
          <w:i/>
          <w:iCs/>
          <w:sz w:val="24"/>
          <w:szCs w:val="24"/>
          <w:lang w:val="ro-RO" w:eastAsia="pl-PL"/>
        </w:rPr>
        <w:tab/>
        <w:t xml:space="preserve">Direcţia Judeţeană pentru Statistică Buzău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Se poate uşor observa scăderea cantităţilor de îngrăşăminte naturale aplicate în anul 2014 la aproximativ 27% din cantitatea aplicată în anul 2010.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În ceea ce prive</w:t>
      </w:r>
      <w:r w:rsidRPr="00A93324">
        <w:rPr>
          <w:rFonts w:ascii="Arial" w:eastAsia="SimSun" w:hAnsi="Tahoma" w:cs="Arial"/>
          <w:sz w:val="24"/>
          <w:szCs w:val="24"/>
          <w:lang w:val="ro-RO"/>
        </w:rPr>
        <w:t>ş</w:t>
      </w:r>
      <w:r w:rsidRPr="00A93324">
        <w:rPr>
          <w:rFonts w:ascii="Arial" w:eastAsia="SimSun" w:hAnsi="Arial" w:cs="Arial"/>
          <w:sz w:val="24"/>
          <w:szCs w:val="24"/>
          <w:lang w:val="ro-RO"/>
        </w:rPr>
        <w:t>te aplicarea îngră</w:t>
      </w:r>
      <w:r w:rsidRPr="00A93324">
        <w:rPr>
          <w:rFonts w:ascii="Arial" w:eastAsia="SimSun" w:hAnsi="Tahoma" w:cs="Arial"/>
          <w:sz w:val="24"/>
          <w:szCs w:val="24"/>
          <w:lang w:val="ro-RO"/>
        </w:rPr>
        <w:t>ş</w:t>
      </w:r>
      <w:r w:rsidRPr="00A93324">
        <w:rPr>
          <w:rFonts w:ascii="Arial" w:eastAsia="SimSun" w:hAnsi="Arial" w:cs="Arial"/>
          <w:sz w:val="24"/>
          <w:szCs w:val="24"/>
          <w:lang w:val="ro-RO"/>
        </w:rPr>
        <w:t>ămintelor chimice pe tipuri de culturi,  cantită</w:t>
      </w:r>
      <w:r w:rsidRPr="00A93324">
        <w:rPr>
          <w:rFonts w:ascii="Arial" w:eastAsia="SimSun" w:hAnsi="Tahoma" w:cs="Arial"/>
          <w:sz w:val="24"/>
          <w:szCs w:val="24"/>
          <w:lang w:val="ro-RO"/>
        </w:rPr>
        <w:t>ţ</w:t>
      </w:r>
      <w:r w:rsidRPr="00A93324">
        <w:rPr>
          <w:rFonts w:ascii="Arial" w:eastAsia="SimSun" w:hAnsi="Arial" w:cs="Arial"/>
          <w:sz w:val="24"/>
          <w:szCs w:val="24"/>
          <w:lang w:val="ro-RO"/>
        </w:rPr>
        <w:t>ile utilizate în anii 2013  şi 2014 sunt prezentate comparativ în tabelul III.3.1.- 4.</w:t>
      </w:r>
    </w:p>
    <w:p w:rsidR="00A93324" w:rsidRPr="00A93324" w:rsidRDefault="00A93324" w:rsidP="00A93324">
      <w:pPr>
        <w:tabs>
          <w:tab w:val="center" w:pos="4961"/>
          <w:tab w:val="right" w:pos="9922"/>
        </w:tabs>
        <w:spacing w:after="120" w:line="240" w:lineRule="auto"/>
        <w:jc w:val="both"/>
        <w:rPr>
          <w:rFonts w:ascii="Arial" w:eastAsia="SimSun" w:hAnsi="Arial" w:cs="Arial"/>
          <w:b/>
          <w:sz w:val="24"/>
          <w:szCs w:val="24"/>
          <w:lang w:val="ro-RO"/>
        </w:rPr>
      </w:pPr>
      <w:r w:rsidRPr="00A93324">
        <w:rPr>
          <w:rFonts w:ascii="Arial" w:eastAsia="SimSun" w:hAnsi="Arial" w:cs="Arial"/>
          <w:b/>
          <w:bCs/>
          <w:sz w:val="24"/>
          <w:szCs w:val="24"/>
          <w:lang w:val="ro-RO"/>
        </w:rPr>
        <w:t xml:space="preserve">Tabelul </w:t>
      </w:r>
      <w:r w:rsidRPr="00A93324">
        <w:rPr>
          <w:rFonts w:ascii="Arial" w:eastAsia="SimSun" w:hAnsi="Arial" w:cs="Arial"/>
          <w:b/>
          <w:sz w:val="24"/>
          <w:szCs w:val="24"/>
          <w:lang w:val="ro-RO"/>
        </w:rPr>
        <w:t>III.3.1.- 4 Utilizarea îngrăşămintelor chimice pe tipuri de culturi, comparativ în anii 2013 – 2014</w:t>
      </w:r>
    </w:p>
    <w:tbl>
      <w:tblPr>
        <w:tblW w:w="9592" w:type="dxa"/>
        <w:tblInd w:w="88" w:type="dxa"/>
        <w:tblLayout w:type="fixed"/>
        <w:tblLook w:val="0000"/>
      </w:tblPr>
      <w:tblGrid>
        <w:gridCol w:w="1619"/>
        <w:gridCol w:w="1139"/>
        <w:gridCol w:w="870"/>
        <w:gridCol w:w="871"/>
        <w:gridCol w:w="900"/>
        <w:gridCol w:w="900"/>
        <w:gridCol w:w="739"/>
        <w:gridCol w:w="892"/>
        <w:gridCol w:w="889"/>
        <w:gridCol w:w="773"/>
      </w:tblGrid>
      <w:tr w:rsidR="00A93324" w:rsidRPr="00A93324" w:rsidTr="00A42550">
        <w:trPr>
          <w:trHeight w:val="499"/>
        </w:trPr>
        <w:tc>
          <w:tcPr>
            <w:tcW w:w="1619"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Tipuri de culturi</w:t>
            </w:r>
          </w:p>
        </w:tc>
        <w:tc>
          <w:tcPr>
            <w:tcW w:w="1139"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Suprafaţa</w:t>
            </w:r>
            <w:r w:rsidRPr="00A93324">
              <w:rPr>
                <w:rFonts w:ascii="Arial" w:eastAsia="SimSun" w:hAnsi="Arial" w:cs="Arial"/>
                <w:b/>
                <w:bCs/>
                <w:sz w:val="20"/>
                <w:szCs w:val="20"/>
                <w:lang w:val="ro-RO"/>
              </w:rPr>
              <w:br/>
              <w:t>totală  cultivată (ha)</w:t>
            </w:r>
          </w:p>
        </w:tc>
        <w:tc>
          <w:tcPr>
            <w:tcW w:w="1741" w:type="dxa"/>
            <w:gridSpan w:val="2"/>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Suprafaţa</w:t>
            </w:r>
            <w:r w:rsidRPr="00A93324">
              <w:rPr>
                <w:rFonts w:ascii="Arial" w:eastAsia="SimSun" w:hAnsi="Arial" w:cs="Arial"/>
                <w:b/>
                <w:bCs/>
                <w:sz w:val="20"/>
                <w:szCs w:val="20"/>
                <w:lang w:val="ro-RO"/>
              </w:rPr>
              <w:br/>
              <w:t>pe care s-au aplicat îngraş. chimice (ha)</w:t>
            </w:r>
          </w:p>
        </w:tc>
        <w:tc>
          <w:tcPr>
            <w:tcW w:w="5093" w:type="dxa"/>
            <w:gridSpan w:val="6"/>
            <w:tcBorders>
              <w:top w:val="double" w:sz="4" w:space="0" w:color="auto"/>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Îngrăşăminte chimice aplicate</w:t>
            </w:r>
          </w:p>
        </w:tc>
      </w:tr>
      <w:tr w:rsidR="00A93324" w:rsidRPr="00A93324" w:rsidTr="00A42550">
        <w:trPr>
          <w:trHeight w:val="930"/>
        </w:trPr>
        <w:tc>
          <w:tcPr>
            <w:tcW w:w="1619" w:type="dxa"/>
            <w:vMerge/>
            <w:tcBorders>
              <w:top w:val="single" w:sz="4" w:space="0" w:color="auto"/>
              <w:left w:val="double" w:sz="4" w:space="0" w:color="auto"/>
              <w:bottom w:val="single" w:sz="4" w:space="0" w:color="auto"/>
              <w:right w:val="single" w:sz="4" w:space="0" w:color="auto"/>
            </w:tcBorders>
            <w:vAlign w:val="center"/>
          </w:tcPr>
          <w:p w:rsidR="00A93324" w:rsidRPr="00A93324" w:rsidRDefault="00A93324" w:rsidP="00A93324">
            <w:pPr>
              <w:spacing w:after="120" w:line="240" w:lineRule="auto"/>
              <w:rPr>
                <w:rFonts w:ascii="Arial" w:eastAsia="SimSun" w:hAnsi="Arial" w:cs="Arial"/>
                <w:b/>
                <w:bCs/>
                <w:sz w:val="20"/>
                <w:szCs w:val="20"/>
                <w:lang w:val="ro-RO"/>
              </w:rPr>
            </w:pPr>
          </w:p>
        </w:tc>
        <w:tc>
          <w:tcPr>
            <w:tcW w:w="1139" w:type="dxa"/>
            <w:vMerge/>
            <w:tcBorders>
              <w:top w:val="single" w:sz="4" w:space="0" w:color="auto"/>
              <w:left w:val="single" w:sz="4" w:space="0" w:color="auto"/>
              <w:bottom w:val="single" w:sz="4" w:space="0" w:color="auto"/>
              <w:right w:val="single" w:sz="4" w:space="0" w:color="auto"/>
            </w:tcBorders>
            <w:vAlign w:val="center"/>
          </w:tcPr>
          <w:p w:rsidR="00A93324" w:rsidRPr="00A93324" w:rsidRDefault="00A93324" w:rsidP="00A93324">
            <w:pPr>
              <w:spacing w:after="120" w:line="240" w:lineRule="auto"/>
              <w:rPr>
                <w:rFonts w:ascii="Arial" w:eastAsia="SimSun" w:hAnsi="Arial" w:cs="Arial"/>
                <w:b/>
                <w:bCs/>
                <w:sz w:val="20"/>
                <w:szCs w:val="20"/>
                <w:lang w:val="ro-RO"/>
              </w:rPr>
            </w:pPr>
          </w:p>
        </w:tc>
        <w:tc>
          <w:tcPr>
            <w:tcW w:w="1741" w:type="dxa"/>
            <w:gridSpan w:val="2"/>
            <w:vMerge/>
            <w:tcBorders>
              <w:top w:val="single" w:sz="4" w:space="0" w:color="auto"/>
              <w:left w:val="single" w:sz="4" w:space="0" w:color="auto"/>
              <w:bottom w:val="single" w:sz="4" w:space="0" w:color="auto"/>
              <w:right w:val="single" w:sz="4" w:space="0" w:color="auto"/>
            </w:tcBorders>
            <w:vAlign w:val="center"/>
          </w:tcPr>
          <w:p w:rsidR="00A93324" w:rsidRPr="00A93324" w:rsidRDefault="00A93324" w:rsidP="00A93324">
            <w:pPr>
              <w:spacing w:after="120" w:line="240" w:lineRule="auto"/>
              <w:rPr>
                <w:rFonts w:ascii="Arial" w:eastAsia="SimSun" w:hAnsi="Arial" w:cs="Arial"/>
                <w:b/>
                <w:bCs/>
                <w:sz w:val="20"/>
                <w:szCs w:val="20"/>
                <w:lang w:val="ro-RO"/>
              </w:rPr>
            </w:pP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N</w:t>
            </w:r>
            <w:r w:rsidRPr="00A93324">
              <w:rPr>
                <w:rFonts w:ascii="Arial" w:eastAsia="SimSun" w:hAnsi="Arial" w:cs="Arial"/>
                <w:b/>
                <w:bCs/>
                <w:sz w:val="20"/>
                <w:szCs w:val="20"/>
                <w:lang w:val="ro-RO"/>
              </w:rPr>
              <w:br/>
              <w:t>(kg s.a./ha)</w:t>
            </w:r>
          </w:p>
        </w:tc>
        <w:tc>
          <w:tcPr>
            <w:tcW w:w="1631" w:type="dxa"/>
            <w:gridSpan w:val="2"/>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P2O5</w:t>
            </w:r>
            <w:r w:rsidRPr="00A93324">
              <w:rPr>
                <w:rFonts w:ascii="Arial" w:eastAsia="SimSun" w:hAnsi="Arial" w:cs="Arial"/>
                <w:b/>
                <w:bCs/>
                <w:sz w:val="20"/>
                <w:szCs w:val="20"/>
                <w:lang w:val="ro-RO"/>
              </w:rPr>
              <w:br/>
              <w:t>(kg s.a./ha)</w:t>
            </w:r>
          </w:p>
        </w:tc>
        <w:tc>
          <w:tcPr>
            <w:tcW w:w="1662" w:type="dxa"/>
            <w:gridSpan w:val="2"/>
            <w:tcBorders>
              <w:top w:val="single" w:sz="4" w:space="0" w:color="auto"/>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K2O</w:t>
            </w:r>
            <w:r w:rsidRPr="00A93324">
              <w:rPr>
                <w:rFonts w:ascii="Arial" w:eastAsia="SimSun" w:hAnsi="Arial" w:cs="Arial"/>
                <w:b/>
                <w:bCs/>
                <w:sz w:val="20"/>
                <w:szCs w:val="20"/>
                <w:lang w:val="ro-RO"/>
              </w:rPr>
              <w:br/>
              <w:t>(kg s.a./ha)</w:t>
            </w:r>
          </w:p>
        </w:tc>
      </w:tr>
      <w:tr w:rsidR="00A93324" w:rsidRPr="00A93324" w:rsidTr="00A42550">
        <w:trPr>
          <w:trHeight w:val="270"/>
        </w:trPr>
        <w:tc>
          <w:tcPr>
            <w:tcW w:w="1619" w:type="dxa"/>
            <w:vMerge/>
            <w:tcBorders>
              <w:top w:val="single" w:sz="4" w:space="0" w:color="auto"/>
              <w:left w:val="double" w:sz="4" w:space="0" w:color="auto"/>
              <w:bottom w:val="single" w:sz="4" w:space="0" w:color="auto"/>
              <w:right w:val="single" w:sz="4" w:space="0" w:color="auto"/>
            </w:tcBorders>
            <w:vAlign w:val="center"/>
          </w:tcPr>
          <w:p w:rsidR="00A93324" w:rsidRPr="00A93324" w:rsidRDefault="00A93324" w:rsidP="00A93324">
            <w:pPr>
              <w:spacing w:after="120" w:line="240" w:lineRule="auto"/>
              <w:rPr>
                <w:rFonts w:ascii="Arial" w:eastAsia="SimSun" w:hAnsi="Arial" w:cs="Arial"/>
                <w:b/>
                <w:bCs/>
                <w:sz w:val="20"/>
                <w:szCs w:val="20"/>
                <w:lang w:val="ro-RO"/>
              </w:rPr>
            </w:pP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2014</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2013</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2014</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2013</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2014</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2013</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2014</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2013</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2014</w:t>
            </w:r>
          </w:p>
        </w:tc>
      </w:tr>
      <w:tr w:rsidR="00A93324" w:rsidRPr="00A93324" w:rsidTr="00A42550">
        <w:trPr>
          <w:trHeight w:val="720"/>
        </w:trPr>
        <w:tc>
          <w:tcPr>
            <w:tcW w:w="1619" w:type="dxa"/>
            <w:tcBorders>
              <w:top w:val="nil"/>
              <w:left w:val="double" w:sz="4" w:space="0" w:color="auto"/>
              <w:bottom w:val="single" w:sz="4" w:space="0" w:color="auto"/>
              <w:right w:val="single" w:sz="4" w:space="0" w:color="auto"/>
            </w:tcBorders>
            <w:shd w:val="clear" w:color="auto" w:fill="auto"/>
            <w:vAlign w:val="center"/>
          </w:tcPr>
          <w:p w:rsidR="00A93324" w:rsidRPr="00A93324" w:rsidRDefault="00A93324" w:rsidP="00A93324">
            <w:pPr>
              <w:spacing w:after="120" w:line="240" w:lineRule="auto"/>
              <w:rPr>
                <w:rFonts w:ascii="Arial" w:eastAsia="SimSun" w:hAnsi="Arial" w:cs="Arial"/>
                <w:b/>
                <w:bCs/>
                <w:sz w:val="20"/>
                <w:szCs w:val="20"/>
                <w:lang w:val="ro-RO"/>
              </w:rPr>
            </w:pPr>
            <w:r w:rsidRPr="00A93324">
              <w:rPr>
                <w:rFonts w:ascii="Arial" w:eastAsia="SimSun" w:hAnsi="Arial" w:cs="Arial"/>
                <w:b/>
                <w:bCs/>
                <w:sz w:val="20"/>
                <w:szCs w:val="20"/>
                <w:lang w:val="ro-RO"/>
              </w:rPr>
              <w:lastRenderedPageBreak/>
              <w:t>Cereale boabe din care:</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152655</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46160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29080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65,46</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53,66</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65,46</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50,49</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339"/>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Grâu</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64000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25320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19863</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33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Porumb</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68253</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20840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9217</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40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Orz</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510"/>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Orzoaică de toamnă</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510"/>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Orzoaică de primavară</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Ovăz</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510"/>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Sorg pentru boabe</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Mei boabe</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76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b/>
                <w:bCs/>
                <w:sz w:val="20"/>
                <w:szCs w:val="20"/>
                <w:lang w:val="ro-RO"/>
              </w:rPr>
            </w:pPr>
            <w:r w:rsidRPr="00A93324">
              <w:rPr>
                <w:rFonts w:ascii="Arial" w:eastAsia="SimSun" w:hAnsi="Arial" w:cs="Arial"/>
                <w:b/>
                <w:bCs/>
                <w:sz w:val="20"/>
                <w:szCs w:val="20"/>
                <w:lang w:val="ro-RO"/>
              </w:rPr>
              <w:t>Plante  uleioase din care:</w:t>
            </w:r>
          </w:p>
        </w:tc>
        <w:tc>
          <w:tcPr>
            <w:tcW w:w="1139" w:type="dxa"/>
            <w:tcBorders>
              <w:top w:val="nil"/>
              <w:left w:val="nil"/>
              <w:bottom w:val="nil"/>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72682</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20726</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6584</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68</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68</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67</w:t>
            </w:r>
          </w:p>
        </w:tc>
      </w:tr>
      <w:tr w:rsidR="00A93324" w:rsidRPr="00A93324" w:rsidTr="00A42550">
        <w:trPr>
          <w:trHeight w:val="510"/>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Floarea soarelui</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58827</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20700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6584</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68</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68</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67</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Rapiţă</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Soia</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26</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38</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90"/>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b/>
                <w:bCs/>
                <w:sz w:val="20"/>
                <w:szCs w:val="20"/>
                <w:lang w:val="ro-RO"/>
              </w:rPr>
            </w:pPr>
            <w:r w:rsidRPr="00A93324">
              <w:rPr>
                <w:rFonts w:ascii="Arial" w:eastAsia="SimSun" w:hAnsi="Arial" w:cs="Arial"/>
                <w:b/>
                <w:bCs/>
                <w:sz w:val="20"/>
                <w:szCs w:val="20"/>
                <w:lang w:val="ro-RO"/>
              </w:rPr>
              <w:t>Leguminoase pentru boabe din care:</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Mazăre boabe</w:t>
            </w:r>
          </w:p>
        </w:tc>
        <w:tc>
          <w:tcPr>
            <w:tcW w:w="1139" w:type="dxa"/>
            <w:tcBorders>
              <w:top w:val="nil"/>
              <w:left w:val="nil"/>
              <w:bottom w:val="nil"/>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Fasole boabe</w:t>
            </w:r>
          </w:p>
        </w:tc>
        <w:tc>
          <w:tcPr>
            <w:tcW w:w="1139" w:type="dxa"/>
            <w:tcBorders>
              <w:top w:val="single" w:sz="4" w:space="0" w:color="auto"/>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Cartofi</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1500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120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66</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57</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66</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57</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Legume</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4145</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730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387</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71</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62</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68</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57</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510"/>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Plante medicinale</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Pepeni</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510"/>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Plante de nutreţ</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20675</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320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Vii</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255"/>
        </w:trPr>
        <w:tc>
          <w:tcPr>
            <w:tcW w:w="1619" w:type="dxa"/>
            <w:tcBorders>
              <w:top w:val="nil"/>
              <w:left w:val="double" w:sz="4" w:space="0" w:color="auto"/>
              <w:bottom w:val="sing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Livezi</w:t>
            </w:r>
          </w:p>
        </w:tc>
        <w:tc>
          <w:tcPr>
            <w:tcW w:w="11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sing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sing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r w:rsidR="00A93324" w:rsidRPr="00A93324" w:rsidTr="00A42550">
        <w:trPr>
          <w:trHeight w:val="510"/>
        </w:trPr>
        <w:tc>
          <w:tcPr>
            <w:tcW w:w="1619" w:type="dxa"/>
            <w:tcBorders>
              <w:top w:val="nil"/>
              <w:left w:val="double" w:sz="4" w:space="0" w:color="auto"/>
              <w:bottom w:val="double" w:sz="4" w:space="0" w:color="auto"/>
              <w:right w:val="single" w:sz="4" w:space="0" w:color="auto"/>
            </w:tcBorders>
            <w:shd w:val="clear" w:color="auto" w:fill="auto"/>
            <w:vAlign w:val="bottom"/>
          </w:tcPr>
          <w:p w:rsidR="00A93324" w:rsidRPr="00A93324" w:rsidRDefault="00A93324" w:rsidP="00A93324">
            <w:pPr>
              <w:spacing w:after="120" w:line="240" w:lineRule="auto"/>
              <w:jc w:val="both"/>
              <w:rPr>
                <w:rFonts w:ascii="Arial" w:eastAsia="SimSun" w:hAnsi="Arial" w:cs="Arial"/>
                <w:sz w:val="20"/>
                <w:szCs w:val="20"/>
                <w:lang w:val="ro-RO"/>
              </w:rPr>
            </w:pPr>
            <w:r w:rsidRPr="00A93324">
              <w:rPr>
                <w:rFonts w:ascii="Arial" w:eastAsia="SimSun" w:hAnsi="Arial" w:cs="Arial"/>
                <w:sz w:val="20"/>
                <w:szCs w:val="20"/>
                <w:lang w:val="ro-RO"/>
              </w:rPr>
              <w:t>Păşuni şi făneţe</w:t>
            </w:r>
          </w:p>
        </w:tc>
        <w:tc>
          <w:tcPr>
            <w:tcW w:w="1139"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71"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900"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39"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92"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889" w:type="dxa"/>
            <w:tcBorders>
              <w:top w:val="nil"/>
              <w:left w:val="nil"/>
              <w:bottom w:val="double" w:sz="4" w:space="0" w:color="auto"/>
              <w:right w:val="sing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c>
          <w:tcPr>
            <w:tcW w:w="773" w:type="dxa"/>
            <w:tcBorders>
              <w:top w:val="nil"/>
              <w:left w:val="nil"/>
              <w:bottom w:val="double" w:sz="4" w:space="0" w:color="auto"/>
              <w:right w:val="double" w:sz="4" w:space="0" w:color="auto"/>
            </w:tcBorders>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0</w:t>
            </w:r>
          </w:p>
        </w:tc>
      </w:tr>
    </w:tbl>
    <w:p w:rsidR="00A93324" w:rsidRPr="00A93324" w:rsidRDefault="00A93324" w:rsidP="00A93324">
      <w:pPr>
        <w:spacing w:after="120" w:line="240" w:lineRule="auto"/>
        <w:ind w:left="2832" w:firstLine="708"/>
        <w:jc w:val="right"/>
        <w:rPr>
          <w:rFonts w:ascii="Arial" w:hAnsi="Arial" w:cs="Arial"/>
          <w:i/>
          <w:iCs/>
          <w:sz w:val="24"/>
          <w:szCs w:val="24"/>
          <w:lang w:val="ro-RO" w:eastAsia="pl-PL"/>
        </w:rPr>
      </w:pPr>
      <w:r w:rsidRPr="00A93324">
        <w:rPr>
          <w:rFonts w:ascii="Arial" w:hAnsi="Arial" w:cs="Arial"/>
          <w:i/>
          <w:iCs/>
          <w:sz w:val="24"/>
          <w:szCs w:val="24"/>
          <w:lang w:val="ro-RO" w:eastAsia="pl-PL"/>
        </w:rPr>
        <w:t xml:space="preserve">  Sursa: Direc</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ia pentru Agricultură  jude</w:t>
      </w:r>
      <w:r w:rsidRPr="00A93324">
        <w:rPr>
          <w:rFonts w:ascii="Tahoma" w:hAnsi="Tahoma" w:cs="Tahoma"/>
          <w:i/>
          <w:iCs/>
          <w:sz w:val="24"/>
          <w:szCs w:val="24"/>
          <w:lang w:val="ro-RO" w:eastAsia="pl-PL"/>
        </w:rPr>
        <w:t>ţ</w:t>
      </w:r>
      <w:r w:rsidRPr="00A93324">
        <w:rPr>
          <w:rFonts w:ascii="Arial" w:hAnsi="Arial" w:cs="Arial"/>
          <w:i/>
          <w:iCs/>
          <w:sz w:val="24"/>
          <w:szCs w:val="24"/>
          <w:lang w:val="ro-RO" w:eastAsia="pl-PL"/>
        </w:rPr>
        <w:t>eană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Datele puse la dispoziţie de Direcţia pentru Agricultură judeţeană şi de Direcţia Judeţeană pentru Statistică  Buzău privind distribuţia îngrăşămintelor chimice pe tipuri de culturi, relevă scăderea suprafeţelor pe care s-au aplicat îngrăşăminte chimice, în timp ce cantităţile de îngrăşăminte de azotaţi şi fosfatice aplicate la hectar, au variat diferit, scăzând uşor în cazul culturilor de cereale şi cartofi şi înregistrând o creştere semnificativă la culturile de floarea soarelui sau de plante pentru nutreţ. </w:t>
      </w:r>
    </w:p>
    <w:p w:rsidR="00A93324" w:rsidRPr="00A93324" w:rsidRDefault="00A93324" w:rsidP="00A93324">
      <w:pPr>
        <w:tabs>
          <w:tab w:val="left" w:pos="1276"/>
          <w:tab w:val="left" w:leader="dot" w:pos="9356"/>
        </w:tabs>
        <w:spacing w:after="120" w:line="240" w:lineRule="auto"/>
        <w:ind w:left="595"/>
        <w:rPr>
          <w:rFonts w:ascii="Arial" w:eastAsia="SimSun" w:hAnsi="Arial" w:cs="Arial"/>
          <w:b/>
          <w:i/>
          <w:sz w:val="24"/>
          <w:szCs w:val="24"/>
          <w:lang w:val="ro-RO"/>
        </w:rPr>
      </w:pPr>
      <w:r w:rsidRPr="00A93324">
        <w:rPr>
          <w:rFonts w:ascii="Arial" w:eastAsia="SimSun" w:hAnsi="Arial" w:cs="Arial"/>
          <w:b/>
          <w:i/>
          <w:sz w:val="24"/>
          <w:szCs w:val="24"/>
          <w:lang w:val="ro-RO"/>
        </w:rPr>
        <w:t>III.3.2. Consumul de produse de protecţia plantelor</w:t>
      </w:r>
    </w:p>
    <w:p w:rsidR="00A93324" w:rsidRPr="00A93324" w:rsidRDefault="00A93324" w:rsidP="00A93324">
      <w:pPr>
        <w:spacing w:after="120" w:line="240" w:lineRule="auto"/>
        <w:jc w:val="both"/>
        <w:rPr>
          <w:rFonts w:ascii="Arial" w:eastAsia="SimSun" w:hAnsi="Arial" w:cs="Arial"/>
          <w:color w:val="000000"/>
          <w:sz w:val="24"/>
          <w:szCs w:val="24"/>
          <w:lang w:val="ro-RO"/>
        </w:rPr>
      </w:pPr>
      <w:r w:rsidRPr="00A93324">
        <w:rPr>
          <w:rFonts w:ascii="Arial" w:eastAsia="SimSun" w:hAnsi="Arial" w:cs="Arial"/>
          <w:sz w:val="24"/>
          <w:lang w:val="ro-RO"/>
        </w:rPr>
        <w:t>Produsele de</w:t>
      </w:r>
      <w:r w:rsidRPr="00A93324">
        <w:rPr>
          <w:rFonts w:ascii="Arial" w:eastAsia="SimSun" w:hAnsi="Arial" w:cs="Arial"/>
          <w:color w:val="000000"/>
          <w:sz w:val="24"/>
          <w:szCs w:val="24"/>
          <w:lang w:val="ro-RO"/>
        </w:rPr>
        <w:t xml:space="preserve"> protec</w:t>
      </w:r>
      <w:r w:rsidRPr="00A93324">
        <w:rPr>
          <w:rFonts w:ascii="Arial" w:eastAsia="SimSun" w:hAnsi="Tahoma" w:cs="Arial"/>
          <w:color w:val="000000"/>
          <w:sz w:val="24"/>
          <w:szCs w:val="24"/>
          <w:lang w:val="ro-RO"/>
        </w:rPr>
        <w:t>ţ</w:t>
      </w:r>
      <w:r w:rsidRPr="00A93324">
        <w:rPr>
          <w:rFonts w:ascii="Arial" w:eastAsia="SimSun" w:hAnsi="Arial" w:cs="Arial"/>
          <w:color w:val="000000"/>
          <w:sz w:val="24"/>
          <w:szCs w:val="24"/>
          <w:lang w:val="ro-RO"/>
        </w:rPr>
        <w:t xml:space="preserve">ia plantelor, cunoscute şi ca produse fitosanitare sau pesticide, sunt produse de natură chimică, biologică sau biotehnică, destinate prevenirii pagubelor </w:t>
      </w:r>
      <w:r w:rsidRPr="00A93324">
        <w:rPr>
          <w:rFonts w:ascii="Arial" w:eastAsia="SimSun" w:hAnsi="Arial" w:cs="Arial"/>
          <w:color w:val="000000"/>
          <w:sz w:val="24"/>
          <w:szCs w:val="24"/>
          <w:lang w:val="ro-RO"/>
        </w:rPr>
        <w:lastRenderedPageBreak/>
        <w:t>cauzate de agen</w:t>
      </w:r>
      <w:r w:rsidRPr="00A93324">
        <w:rPr>
          <w:rFonts w:ascii="Arial" w:eastAsia="SimSun" w:hAnsi="Tahoma" w:cs="Arial"/>
          <w:color w:val="000000"/>
          <w:sz w:val="24"/>
          <w:szCs w:val="24"/>
          <w:lang w:val="ro-RO"/>
        </w:rPr>
        <w:t>ţ</w:t>
      </w:r>
      <w:r w:rsidRPr="00A93324">
        <w:rPr>
          <w:rFonts w:ascii="Arial" w:eastAsia="SimSun" w:hAnsi="Arial" w:cs="Arial"/>
          <w:color w:val="000000"/>
          <w:sz w:val="24"/>
          <w:szCs w:val="24"/>
          <w:lang w:val="ro-RO"/>
        </w:rPr>
        <w:t>i patogeni, dăunători, buruieni şi alte organisme dăunătoare culturilor agricole, vegeta</w:t>
      </w:r>
      <w:r w:rsidRPr="00A93324">
        <w:rPr>
          <w:rFonts w:ascii="Arial" w:eastAsia="SimSun" w:hAnsi="Tahoma" w:cs="Arial"/>
          <w:color w:val="000000"/>
          <w:sz w:val="24"/>
          <w:szCs w:val="24"/>
          <w:lang w:val="ro-RO"/>
        </w:rPr>
        <w:t>ţ</w:t>
      </w:r>
      <w:r w:rsidRPr="00A93324">
        <w:rPr>
          <w:rFonts w:ascii="Arial" w:eastAsia="SimSun" w:hAnsi="Arial" w:cs="Arial"/>
          <w:color w:val="000000"/>
          <w:sz w:val="24"/>
          <w:szCs w:val="24"/>
          <w:lang w:val="ro-RO"/>
        </w:rPr>
        <w:t>iei forestiere precum şi produselor agricole depozitate. Tot cu aceeaşi denumire  sunt  şi produsele cu efect regulator de creştere, cu efect repelent, sinergic dar şi produsele a căror utilizare are ca scop îmbunătă</w:t>
      </w:r>
      <w:r w:rsidRPr="00A93324">
        <w:rPr>
          <w:rFonts w:ascii="Arial" w:eastAsia="SimSun" w:hAnsi="Tahoma" w:cs="Arial"/>
          <w:color w:val="000000"/>
          <w:sz w:val="24"/>
          <w:szCs w:val="24"/>
          <w:lang w:val="ro-RO"/>
        </w:rPr>
        <w:t>ţ</w:t>
      </w:r>
      <w:r w:rsidRPr="00A93324">
        <w:rPr>
          <w:rFonts w:ascii="Arial" w:eastAsia="SimSun" w:hAnsi="Arial" w:cs="Arial"/>
          <w:color w:val="000000"/>
          <w:sz w:val="24"/>
          <w:szCs w:val="24"/>
          <w:lang w:val="ro-RO"/>
        </w:rPr>
        <w:t>irea stării fitosanitare a culturilor agricole, vegeta</w:t>
      </w:r>
      <w:r w:rsidRPr="00A93324">
        <w:rPr>
          <w:rFonts w:ascii="Arial" w:eastAsia="SimSun" w:hAnsi="Tahoma" w:cs="Arial"/>
          <w:color w:val="000000"/>
          <w:sz w:val="24"/>
          <w:szCs w:val="24"/>
          <w:lang w:val="ro-RO"/>
        </w:rPr>
        <w:t>ţ</w:t>
      </w:r>
      <w:r w:rsidRPr="00A93324">
        <w:rPr>
          <w:rFonts w:ascii="Arial" w:eastAsia="SimSun" w:hAnsi="Arial" w:cs="Arial"/>
          <w:color w:val="000000"/>
          <w:sz w:val="24"/>
          <w:szCs w:val="24"/>
          <w:lang w:val="ro-RO"/>
        </w:rPr>
        <w:t>iei forestiere şi a produselor depozitate.</w:t>
      </w:r>
    </w:p>
    <w:p w:rsidR="00A93324" w:rsidRPr="00A93324" w:rsidRDefault="00A93324" w:rsidP="00A93324">
      <w:pPr>
        <w:spacing w:after="120" w:line="240" w:lineRule="auto"/>
        <w:jc w:val="both"/>
        <w:rPr>
          <w:rFonts w:ascii="Arial" w:eastAsia="Arial Unicode MS" w:hAnsi="Arial" w:cs="Arial"/>
          <w:sz w:val="24"/>
          <w:szCs w:val="24"/>
          <w:lang w:val="ro-RO" w:eastAsia="ro-RO"/>
        </w:rPr>
      </w:pPr>
      <w:r w:rsidRPr="00A93324">
        <w:rPr>
          <w:rFonts w:ascii="Arial" w:eastAsia="Arial Unicode MS" w:hAnsi="Arial" w:cs="Arial"/>
          <w:sz w:val="24"/>
          <w:lang w:val="ro-RO" w:eastAsia="ro-RO"/>
        </w:rPr>
        <w:t>Pesticidele</w:t>
      </w:r>
      <w:r w:rsidRPr="00A93324">
        <w:rPr>
          <w:rFonts w:ascii="Arial" w:eastAsia="Arial Unicode MS" w:hAnsi="Arial" w:cs="Arial"/>
          <w:sz w:val="24"/>
          <w:szCs w:val="24"/>
          <w:lang w:val="ro-RO" w:eastAsia="ro-RO"/>
        </w:rPr>
        <w:t xml:space="preserve"> reprezintă substan</w:t>
      </w:r>
      <w:r w:rsidRPr="00A93324">
        <w:rPr>
          <w:rFonts w:ascii="Arial" w:eastAsia="Arial Unicode MS" w:hAnsi="Tahoma" w:cs="Arial"/>
          <w:sz w:val="24"/>
          <w:szCs w:val="24"/>
          <w:lang w:val="ro-RO" w:eastAsia="ro-RO"/>
        </w:rPr>
        <w:t>ţ</w:t>
      </w:r>
      <w:r w:rsidRPr="00A93324">
        <w:rPr>
          <w:rFonts w:ascii="Arial" w:eastAsia="Arial Unicode MS" w:hAnsi="Arial" w:cs="Arial"/>
          <w:sz w:val="24"/>
          <w:szCs w:val="24"/>
          <w:lang w:val="ro-RO" w:eastAsia="ro-RO"/>
        </w:rPr>
        <w:t>e chimice sau amestecuri de substan</w:t>
      </w:r>
      <w:r w:rsidRPr="00A93324">
        <w:rPr>
          <w:rFonts w:ascii="Arial" w:eastAsia="Arial Unicode MS" w:hAnsi="Tahoma" w:cs="Arial"/>
          <w:sz w:val="24"/>
          <w:szCs w:val="24"/>
          <w:lang w:val="ro-RO" w:eastAsia="ro-RO"/>
        </w:rPr>
        <w:t>ţ</w:t>
      </w:r>
      <w:r w:rsidRPr="00A93324">
        <w:rPr>
          <w:rFonts w:ascii="Arial" w:eastAsia="Arial Unicode MS" w:hAnsi="Arial" w:cs="Arial"/>
          <w:sz w:val="24"/>
          <w:szCs w:val="24"/>
          <w:lang w:val="ro-RO" w:eastAsia="ro-RO"/>
        </w:rPr>
        <w:t>e chimice care se clasifică în func</w:t>
      </w:r>
      <w:r w:rsidRPr="00A93324">
        <w:rPr>
          <w:rFonts w:ascii="Arial" w:eastAsia="Arial Unicode MS" w:hAnsi="Tahoma" w:cs="Arial"/>
          <w:sz w:val="24"/>
          <w:szCs w:val="24"/>
          <w:lang w:val="ro-RO" w:eastAsia="ro-RO"/>
        </w:rPr>
        <w:t>ţ</w:t>
      </w:r>
      <w:r w:rsidRPr="00A93324">
        <w:rPr>
          <w:rFonts w:ascii="Arial" w:eastAsia="Arial Unicode MS" w:hAnsi="Tahoma" w:cs="Arial"/>
          <w:sz w:val="24"/>
          <w:szCs w:val="24"/>
          <w:lang w:val="ro-RO" w:eastAsia="ro-RO"/>
        </w:rPr>
        <w:t>i</w:t>
      </w:r>
      <w:r w:rsidRPr="00A93324">
        <w:rPr>
          <w:rFonts w:ascii="Arial" w:eastAsia="Arial Unicode MS" w:hAnsi="Arial" w:cs="Arial"/>
          <w:sz w:val="24"/>
          <w:szCs w:val="24"/>
          <w:lang w:val="ro-RO" w:eastAsia="ro-RO"/>
        </w:rPr>
        <w:t xml:space="preserve">e de organismul ţintă combătut în: fungicide, erbicide, insecticide şi produse diverse cu acţiune mixtă (de exemplu insectofungicide). </w:t>
      </w:r>
    </w:p>
    <w:p w:rsidR="00A93324" w:rsidRPr="00A93324" w:rsidRDefault="00A93324" w:rsidP="00A93324">
      <w:pPr>
        <w:spacing w:after="120" w:line="240" w:lineRule="auto"/>
        <w:jc w:val="both"/>
        <w:rPr>
          <w:rFonts w:ascii="Arial" w:eastAsia="Arial Unicode MS" w:hAnsi="Arial" w:cs="Arial"/>
          <w:bCs/>
          <w:sz w:val="24"/>
          <w:lang w:val="ro-RO" w:eastAsia="ro-RO"/>
        </w:rPr>
      </w:pPr>
      <w:r w:rsidRPr="00A93324">
        <w:rPr>
          <w:rFonts w:ascii="Arial" w:eastAsia="Arial Unicode MS" w:hAnsi="Arial" w:cs="Arial"/>
          <w:sz w:val="24"/>
          <w:szCs w:val="24"/>
          <w:lang w:val="ro-RO" w:eastAsia="ro-RO"/>
        </w:rPr>
        <w:t xml:space="preserve">Deoarece aceste produse pot fi periculoase pentru sănătatea omului şi mediul înconjurător toate activităţile cu produsele de protecţia plantelor sunt reglementate de legislaţia naţională şi actele comunitare cu aplicare directă. Astfel, </w:t>
      </w:r>
      <w:r w:rsidRPr="00A93324">
        <w:rPr>
          <w:rFonts w:ascii="Arial" w:eastAsia="Arial Unicode MS" w:hAnsi="Arial" w:cs="Arial"/>
          <w:bCs/>
          <w:sz w:val="24"/>
          <w:lang w:val="ro-RO" w:eastAsia="ro-RO"/>
        </w:rPr>
        <w:t>introducerea pe piaţă a produselor de</w:t>
      </w:r>
      <w:r w:rsidRPr="00A93324">
        <w:rPr>
          <w:rFonts w:ascii="Arial" w:eastAsia="Arial Unicode MS" w:hAnsi="Arial" w:cs="Arial"/>
          <w:color w:val="000000"/>
          <w:sz w:val="24"/>
          <w:szCs w:val="24"/>
          <w:lang w:val="ro-RO" w:eastAsia="ro-RO"/>
        </w:rPr>
        <w:t xml:space="preserve"> protecţia plantelor</w:t>
      </w:r>
      <w:r w:rsidRPr="00A93324">
        <w:rPr>
          <w:rFonts w:ascii="Arial" w:eastAsia="Arial Unicode MS" w:hAnsi="Arial" w:cs="Arial"/>
          <w:bCs/>
          <w:sz w:val="24"/>
          <w:lang w:val="ro-RO" w:eastAsia="ro-RO"/>
        </w:rPr>
        <w:t xml:space="preserve"> este reglementată prin:</w:t>
      </w:r>
    </w:p>
    <w:p w:rsidR="00A93324" w:rsidRPr="00A93324" w:rsidRDefault="00A93324" w:rsidP="00A93324">
      <w:pPr>
        <w:numPr>
          <w:ilvl w:val="0"/>
          <w:numId w:val="4"/>
        </w:numPr>
        <w:spacing w:after="120" w:line="240" w:lineRule="auto"/>
        <w:jc w:val="both"/>
        <w:rPr>
          <w:rFonts w:ascii="Arial" w:eastAsia="Arial Unicode MS" w:hAnsi="Arial" w:cs="Arial"/>
          <w:sz w:val="24"/>
          <w:szCs w:val="24"/>
          <w:lang w:val="ro-RO" w:eastAsia="ro-RO"/>
        </w:rPr>
      </w:pPr>
      <w:r w:rsidRPr="00A93324">
        <w:rPr>
          <w:rFonts w:ascii="Arial" w:eastAsia="Arial Unicode MS" w:hAnsi="Arial" w:cs="Arial"/>
          <w:sz w:val="24"/>
          <w:szCs w:val="24"/>
          <w:lang w:val="ro-RO" w:eastAsia="ro-RO"/>
        </w:rPr>
        <w:t>Regulamentul (CE) nr. 1107/2009 privind introducerea pe piaţă a produselor fitosanitare şi de abrogare a Directivelor 79/117/CEE şi 91/414/CEE ale Consiliului;</w:t>
      </w:r>
    </w:p>
    <w:p w:rsidR="00A93324" w:rsidRPr="00A93324" w:rsidRDefault="00A93324" w:rsidP="00A93324">
      <w:pPr>
        <w:numPr>
          <w:ilvl w:val="0"/>
          <w:numId w:val="2"/>
        </w:numPr>
        <w:shd w:val="clear" w:color="auto" w:fill="FFFFFF"/>
        <w:spacing w:after="120" w:line="240" w:lineRule="auto"/>
        <w:ind w:left="714" w:hanging="357"/>
        <w:jc w:val="both"/>
        <w:rPr>
          <w:rFonts w:ascii="Arial" w:eastAsia="SimSun" w:hAnsi="Arial" w:cs="Arial"/>
          <w:sz w:val="24"/>
          <w:szCs w:val="24"/>
          <w:lang w:val="ro-RO"/>
        </w:rPr>
      </w:pPr>
      <w:r w:rsidRPr="00A93324">
        <w:rPr>
          <w:rFonts w:ascii="Arial" w:eastAsia="SimSun" w:hAnsi="Arial" w:cs="Arial"/>
          <w:sz w:val="24"/>
          <w:szCs w:val="24"/>
          <w:lang w:val="ro-RO"/>
        </w:rPr>
        <w:t>Hotărârea nr. 1559/2004 privind procedura de omologare a produselor de protecţia plantelor în vederea plasării pe piaţă şi a utilizării lor pe teritoriul României, cu modificările şi completările ulterioare;</w:t>
      </w:r>
    </w:p>
    <w:p w:rsidR="00A93324" w:rsidRPr="00A93324" w:rsidRDefault="00A93324" w:rsidP="00A93324">
      <w:pPr>
        <w:numPr>
          <w:ilvl w:val="0"/>
          <w:numId w:val="2"/>
        </w:numPr>
        <w:shd w:val="clear" w:color="auto" w:fill="FFFFFF"/>
        <w:spacing w:after="120" w:line="240" w:lineRule="auto"/>
        <w:ind w:left="714" w:hanging="357"/>
        <w:jc w:val="both"/>
        <w:rPr>
          <w:rFonts w:ascii="Arial" w:eastAsia="SimSun" w:hAnsi="Arial" w:cs="Arial"/>
          <w:sz w:val="24"/>
          <w:szCs w:val="24"/>
          <w:lang w:val="ro-RO"/>
        </w:rPr>
      </w:pPr>
      <w:r w:rsidRPr="00A93324">
        <w:rPr>
          <w:rFonts w:ascii="Arial" w:eastAsia="SimSun" w:hAnsi="Arial" w:cs="Arial"/>
          <w:bCs/>
          <w:sz w:val="26"/>
          <w:szCs w:val="26"/>
          <w:lang w:val="ro-RO"/>
        </w:rPr>
        <w:t>Hotărârea nr. 437/2005 privind aprobarea Listei cu substanţele active autorizate pentru utilizare în produse de protecţie a plantelor pe teritoriul României, cu modificările şi completările ulterioare;</w:t>
      </w:r>
    </w:p>
    <w:p w:rsidR="00A93324" w:rsidRPr="00A93324" w:rsidRDefault="00A93324" w:rsidP="00A93324">
      <w:pPr>
        <w:numPr>
          <w:ilvl w:val="0"/>
          <w:numId w:val="2"/>
        </w:numPr>
        <w:shd w:val="clear" w:color="auto" w:fill="FFFFFF"/>
        <w:spacing w:after="120" w:line="240" w:lineRule="auto"/>
        <w:ind w:left="714" w:hanging="357"/>
        <w:jc w:val="both"/>
        <w:rPr>
          <w:rFonts w:ascii="Arial" w:eastAsia="SimSun" w:hAnsi="Arial" w:cs="Arial"/>
          <w:sz w:val="24"/>
          <w:szCs w:val="24"/>
          <w:lang w:val="ro-RO"/>
        </w:rPr>
      </w:pPr>
      <w:r w:rsidRPr="00A93324">
        <w:rPr>
          <w:rFonts w:ascii="Arial" w:eastAsia="SimSun" w:hAnsi="Arial" w:cs="Arial"/>
          <w:sz w:val="24"/>
          <w:szCs w:val="24"/>
          <w:lang w:val="ro-RO"/>
        </w:rPr>
        <w:t xml:space="preserve">Ordinul comun al MAPDR, MS, MMGA nr. 134/197/412/2006 privind aprobarea Procedurii naţionale de omologare a produselor de protecţia plantelor care conţin substanţe active notificate şi pentru care nu s-a luat încă o decizie de includere în lista cu substanţe active autorizate în Uniunea Europeană; </w:t>
      </w:r>
    </w:p>
    <w:p w:rsidR="00A93324" w:rsidRPr="00A93324" w:rsidRDefault="00A93324" w:rsidP="00A93324">
      <w:pPr>
        <w:spacing w:after="120" w:line="240" w:lineRule="auto"/>
        <w:jc w:val="both"/>
        <w:rPr>
          <w:rFonts w:ascii="Arial" w:eastAsia="SimSun" w:hAnsi="Arial" w:cs="Arial"/>
          <w:color w:val="000000"/>
          <w:sz w:val="24"/>
          <w:szCs w:val="24"/>
          <w:lang w:val="ro-RO"/>
        </w:rPr>
      </w:pPr>
      <w:r w:rsidRPr="00A93324">
        <w:rPr>
          <w:rFonts w:ascii="Arial" w:eastAsia="SimSun" w:hAnsi="Arial" w:cs="Arial"/>
          <w:sz w:val="24"/>
          <w:szCs w:val="24"/>
          <w:lang w:val="ro-RO"/>
        </w:rPr>
        <w:t xml:space="preserve">iar comercializarea şi utilizarea acestor produse </w:t>
      </w:r>
      <w:r w:rsidRPr="00A93324">
        <w:rPr>
          <w:rFonts w:ascii="Arial" w:eastAsia="SimSun" w:hAnsi="Arial" w:cs="Arial"/>
          <w:color w:val="000000"/>
          <w:sz w:val="24"/>
          <w:szCs w:val="24"/>
          <w:lang w:val="ro-RO"/>
        </w:rPr>
        <w:t>este reglementată de prevederile următoarelor acte normative:</w:t>
      </w:r>
    </w:p>
    <w:p w:rsidR="00A93324" w:rsidRPr="00A93324" w:rsidRDefault="00A93324" w:rsidP="00A93324">
      <w:pPr>
        <w:numPr>
          <w:ilvl w:val="0"/>
          <w:numId w:val="3"/>
        </w:num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Legea nr. 85/13.09.1995 pentru aprobarea </w:t>
      </w:r>
      <w:r w:rsidRPr="00A93324">
        <w:rPr>
          <w:rFonts w:ascii="Arial" w:eastAsia="SimSun" w:hAnsi="Arial" w:cs="Arial"/>
          <w:bCs/>
          <w:sz w:val="24"/>
          <w:szCs w:val="24"/>
          <w:lang w:val="ro-RO"/>
        </w:rPr>
        <w:t>Ordonanţei Guvernului nr. 4/20.01.1995</w:t>
      </w:r>
      <w:r w:rsidRPr="00A93324">
        <w:rPr>
          <w:rFonts w:ascii="Arial" w:eastAsia="SimSun" w:hAnsi="Arial" w:cs="Arial"/>
          <w:sz w:val="24"/>
          <w:szCs w:val="24"/>
          <w:lang w:val="ro-RO"/>
        </w:rPr>
        <w:t xml:space="preserve"> privind fabricarea, comercializarea şi utilizarea produselor de uz fitosanitar pentru combaterea bolilor, dăunătorilor şi buruienilor în agricultură şi silvicultură, cu modificările şi completările ulterioare;</w:t>
      </w:r>
    </w:p>
    <w:p w:rsidR="00A93324" w:rsidRPr="00A93324" w:rsidRDefault="00A93324" w:rsidP="00A93324">
      <w:pPr>
        <w:numPr>
          <w:ilvl w:val="0"/>
          <w:numId w:val="2"/>
        </w:numPr>
        <w:shd w:val="clear" w:color="auto" w:fill="FFFFFF"/>
        <w:spacing w:after="120" w:line="240" w:lineRule="auto"/>
        <w:ind w:left="714" w:hanging="357"/>
        <w:jc w:val="both"/>
        <w:rPr>
          <w:rFonts w:ascii="Arial" w:eastAsia="SimSun" w:hAnsi="Arial" w:cs="Arial"/>
          <w:sz w:val="24"/>
          <w:szCs w:val="24"/>
          <w:lang w:val="ro-RO"/>
        </w:rPr>
      </w:pPr>
      <w:r w:rsidRPr="00A93324">
        <w:rPr>
          <w:rFonts w:ascii="Arial" w:eastAsia="SimSun" w:hAnsi="Arial" w:cs="Arial"/>
          <w:sz w:val="24"/>
          <w:szCs w:val="24"/>
          <w:lang w:val="ro-RO"/>
        </w:rPr>
        <w:t>Ordonanţa nr. 38/2007 privind importul în România al produselor de protecţie a plantelor şi al mostrelor, ajutoarelor şi donaţiilor de produse de protecţie a plantelor din ţări terţe aprobată prin Legea nr. 22/2008;</w:t>
      </w:r>
    </w:p>
    <w:p w:rsidR="00A93324" w:rsidRPr="00A93324" w:rsidRDefault="00A93324" w:rsidP="00A93324">
      <w:pPr>
        <w:numPr>
          <w:ilvl w:val="0"/>
          <w:numId w:val="3"/>
        </w:numPr>
        <w:spacing w:after="120" w:line="240" w:lineRule="auto"/>
        <w:ind w:left="777" w:hanging="357"/>
        <w:jc w:val="both"/>
        <w:rPr>
          <w:rFonts w:ascii="Arial" w:eastAsia="SimSun" w:hAnsi="Arial" w:cs="Arial"/>
          <w:sz w:val="24"/>
          <w:szCs w:val="24"/>
          <w:lang w:val="ro-RO"/>
        </w:rPr>
      </w:pPr>
      <w:r w:rsidRPr="00A93324">
        <w:rPr>
          <w:rFonts w:ascii="Arial" w:eastAsia="SimSun" w:hAnsi="Arial" w:cs="Arial"/>
          <w:sz w:val="24"/>
          <w:szCs w:val="24"/>
          <w:lang w:val="ro-RO"/>
        </w:rPr>
        <w:t>Legea nr. 28/2009 privind aprobarea Ordonanţei Guvernului nr. 41/2007 pentru comercializarea produselor de protecţie a plantelor, precum şi pentru modificarea şi abrogarea unor acte normative din domeniul fitosanitar;</w:t>
      </w:r>
    </w:p>
    <w:p w:rsidR="00A93324" w:rsidRPr="00A93324" w:rsidRDefault="00A93324" w:rsidP="00A93324">
      <w:pPr>
        <w:numPr>
          <w:ilvl w:val="0"/>
          <w:numId w:val="3"/>
        </w:numPr>
        <w:spacing w:after="120" w:line="240" w:lineRule="auto"/>
        <w:ind w:left="777" w:hanging="357"/>
        <w:jc w:val="both"/>
        <w:rPr>
          <w:rFonts w:ascii="Arial" w:eastAsia="SimSun" w:hAnsi="Arial" w:cs="Arial"/>
          <w:sz w:val="24"/>
          <w:szCs w:val="24"/>
          <w:lang w:val="ro-RO"/>
        </w:rPr>
      </w:pPr>
      <w:r w:rsidRPr="00A93324">
        <w:rPr>
          <w:rFonts w:ascii="Arial" w:eastAsia="SimSun" w:hAnsi="Arial" w:cs="Arial"/>
          <w:sz w:val="24"/>
          <w:szCs w:val="24"/>
          <w:lang w:val="ro-RO"/>
        </w:rPr>
        <w:t>Hătărârea nr. 1535/2007 privind aprobarea normelor de aplicare a dispoziţiilor art. 6 din Ordonanţa Guvernului nr. 41/2007;</w:t>
      </w:r>
    </w:p>
    <w:p w:rsidR="00A93324" w:rsidRPr="00A93324" w:rsidRDefault="00A93324" w:rsidP="00A93324">
      <w:pPr>
        <w:widowControl w:val="0"/>
        <w:numPr>
          <w:ilvl w:val="0"/>
          <w:numId w:val="3"/>
        </w:numPr>
        <w:tabs>
          <w:tab w:val="left" w:pos="2366"/>
        </w:tabs>
        <w:autoSpaceDE w:val="0"/>
        <w:autoSpaceDN w:val="0"/>
        <w:adjustRightInd w:val="0"/>
        <w:spacing w:after="120" w:line="240" w:lineRule="auto"/>
        <w:jc w:val="both"/>
        <w:rPr>
          <w:rFonts w:ascii="Arial" w:eastAsia="SimSun" w:hAnsi="Arial"/>
          <w:sz w:val="24"/>
          <w:szCs w:val="24"/>
          <w:lang w:val="ro-RO"/>
        </w:rPr>
      </w:pPr>
      <w:r w:rsidRPr="00A93324">
        <w:rPr>
          <w:rFonts w:ascii="Arial" w:eastAsia="SimSun" w:hAnsi="Arial"/>
          <w:sz w:val="24"/>
          <w:szCs w:val="24"/>
          <w:lang w:val="ro-RO" w:eastAsia="ro-RO"/>
        </w:rPr>
        <w:t>Ordonanţa de Urgenţă a Guvernului nr. 34/2012 pentru stabilirea cadrului instituţional de acţiune în scopul utilizării durabile a pesticidelor pe teritoriul României</w:t>
      </w:r>
      <w:r w:rsidRPr="00A93324">
        <w:rPr>
          <w:rFonts w:ascii="Arial" w:eastAsia="SimSun" w:hAnsi="Arial"/>
          <w:sz w:val="24"/>
          <w:szCs w:val="24"/>
          <w:lang w:val="ro-RO"/>
        </w:rPr>
        <w:t>.</w:t>
      </w:r>
    </w:p>
    <w:p w:rsidR="00A93324" w:rsidRPr="00A93324" w:rsidRDefault="00A93324" w:rsidP="00A93324">
      <w:pPr>
        <w:spacing w:after="120" w:line="240" w:lineRule="auto"/>
        <w:jc w:val="both"/>
        <w:rPr>
          <w:rFonts w:ascii="Arial" w:eastAsia="SimSun" w:hAnsi="Arial" w:cs="Arial"/>
          <w:color w:val="191919"/>
          <w:sz w:val="24"/>
          <w:szCs w:val="24"/>
          <w:lang w:val="ro-RO"/>
        </w:rPr>
      </w:pPr>
      <w:r w:rsidRPr="00A93324">
        <w:rPr>
          <w:rFonts w:ascii="Arial" w:eastAsia="SimSun" w:hAnsi="Arial" w:cs="Arial"/>
          <w:color w:val="000000"/>
          <w:sz w:val="24"/>
          <w:lang w:val="ro-RO"/>
        </w:rPr>
        <w:t>Pe teritoriul României este permisă utilizarea produselor de protec</w:t>
      </w:r>
      <w:r w:rsidRPr="00A93324">
        <w:rPr>
          <w:rFonts w:ascii="Arial" w:eastAsia="SimSun" w:hAnsi="Tahoma" w:cs="Arial"/>
          <w:color w:val="000000"/>
          <w:sz w:val="24"/>
          <w:lang w:val="ro-RO"/>
        </w:rPr>
        <w:t>ţ</w:t>
      </w:r>
      <w:r w:rsidRPr="00A93324">
        <w:rPr>
          <w:rFonts w:ascii="Arial" w:eastAsia="SimSun" w:hAnsi="Arial" w:cs="Arial"/>
          <w:color w:val="000000"/>
          <w:sz w:val="24"/>
          <w:lang w:val="ro-RO"/>
        </w:rPr>
        <w:t>ia plantelor care au fost omologate de Comisia Na</w:t>
      </w:r>
      <w:r w:rsidRPr="00A93324">
        <w:rPr>
          <w:rFonts w:ascii="Arial" w:eastAsia="SimSun" w:hAnsi="Tahoma" w:cs="Arial"/>
          <w:color w:val="000000"/>
          <w:sz w:val="24"/>
          <w:lang w:val="ro-RO"/>
        </w:rPr>
        <w:t>ţ</w:t>
      </w:r>
      <w:r w:rsidRPr="00A93324">
        <w:rPr>
          <w:rFonts w:ascii="Arial" w:eastAsia="SimSun" w:hAnsi="Arial" w:cs="Arial"/>
          <w:color w:val="000000"/>
          <w:sz w:val="24"/>
          <w:lang w:val="ro-RO"/>
        </w:rPr>
        <w:t>ională de omologare a produselor de protec</w:t>
      </w:r>
      <w:r w:rsidRPr="00A93324">
        <w:rPr>
          <w:rFonts w:ascii="Arial" w:eastAsia="SimSun" w:hAnsi="Tahoma" w:cs="Arial"/>
          <w:color w:val="000000"/>
          <w:sz w:val="24"/>
          <w:lang w:val="ro-RO"/>
        </w:rPr>
        <w:t>ţ</w:t>
      </w:r>
      <w:r w:rsidRPr="00A93324">
        <w:rPr>
          <w:rFonts w:ascii="Arial" w:eastAsia="SimSun" w:hAnsi="Arial" w:cs="Arial"/>
          <w:color w:val="000000"/>
          <w:sz w:val="24"/>
          <w:lang w:val="ro-RO"/>
        </w:rPr>
        <w:t>ia plantelor.</w:t>
      </w:r>
      <w:r w:rsidRPr="00A93324">
        <w:rPr>
          <w:rFonts w:ascii="Arial" w:eastAsia="SimSun" w:hAnsi="Arial" w:cs="Arial"/>
          <w:sz w:val="24"/>
          <w:lang w:val="ro-RO"/>
        </w:rPr>
        <w:t xml:space="preserve"> </w:t>
      </w:r>
      <w:r w:rsidRPr="00A93324">
        <w:rPr>
          <w:rFonts w:ascii="Arial" w:eastAsia="SimSun" w:hAnsi="Arial" w:cs="Arial"/>
          <w:color w:val="191919"/>
          <w:sz w:val="24"/>
          <w:szCs w:val="24"/>
          <w:lang w:val="ro-RO"/>
        </w:rPr>
        <w:t>Este interzisă comercializarea în unită</w:t>
      </w:r>
      <w:r w:rsidRPr="00A93324">
        <w:rPr>
          <w:rFonts w:ascii="Arial" w:eastAsia="SimSun" w:hAnsi="Tahoma" w:cs="Arial"/>
          <w:color w:val="191919"/>
          <w:sz w:val="24"/>
          <w:szCs w:val="24"/>
          <w:lang w:val="ro-RO"/>
        </w:rPr>
        <w:t>ţ</w:t>
      </w:r>
      <w:r w:rsidRPr="00A93324">
        <w:rPr>
          <w:rFonts w:ascii="Arial" w:eastAsia="SimSun" w:hAnsi="Arial" w:cs="Arial"/>
          <w:color w:val="191919"/>
          <w:sz w:val="24"/>
          <w:szCs w:val="24"/>
          <w:lang w:val="ro-RO"/>
        </w:rPr>
        <w:t>ile fitofarmaceutice a produselor de protec</w:t>
      </w:r>
      <w:r w:rsidRPr="00A93324">
        <w:rPr>
          <w:rFonts w:ascii="Arial" w:eastAsia="SimSun" w:hAnsi="Tahoma" w:cs="Arial"/>
          <w:color w:val="191919"/>
          <w:sz w:val="24"/>
          <w:szCs w:val="24"/>
          <w:lang w:val="ro-RO"/>
        </w:rPr>
        <w:t>ţ</w:t>
      </w:r>
      <w:r w:rsidRPr="00A93324">
        <w:rPr>
          <w:rFonts w:ascii="Arial" w:eastAsia="SimSun" w:hAnsi="Arial" w:cs="Arial"/>
          <w:color w:val="191919"/>
          <w:sz w:val="24"/>
          <w:szCs w:val="24"/>
          <w:lang w:val="ro-RO"/>
        </w:rPr>
        <w:t xml:space="preserve">ie a plantelor care nu sunt omologate pentru a fi utilizate în România. </w:t>
      </w:r>
    </w:p>
    <w:p w:rsidR="00A93324" w:rsidRPr="00A93324" w:rsidRDefault="00A93324" w:rsidP="00A93324">
      <w:pPr>
        <w:spacing w:after="120" w:line="240" w:lineRule="auto"/>
        <w:jc w:val="both"/>
        <w:rPr>
          <w:rFonts w:ascii="Arial" w:eastAsia="SimSun" w:hAnsi="Arial" w:cs="Arial"/>
          <w:color w:val="191919"/>
          <w:sz w:val="24"/>
          <w:szCs w:val="24"/>
          <w:lang w:val="ro-RO"/>
        </w:rPr>
      </w:pPr>
      <w:r w:rsidRPr="00A93324">
        <w:rPr>
          <w:rFonts w:ascii="Arial" w:eastAsia="SimSun" w:hAnsi="Arial" w:cs="Arial"/>
          <w:color w:val="191919"/>
          <w:sz w:val="24"/>
          <w:szCs w:val="24"/>
          <w:lang w:val="ro-RO"/>
        </w:rPr>
        <w:lastRenderedPageBreak/>
        <w:t>Importul produselor de protec</w:t>
      </w:r>
      <w:r w:rsidRPr="00A93324">
        <w:rPr>
          <w:rFonts w:ascii="Arial" w:eastAsia="SimSun" w:hAnsi="Tahoma" w:cs="Arial"/>
          <w:color w:val="191919"/>
          <w:sz w:val="24"/>
          <w:szCs w:val="24"/>
          <w:lang w:val="ro-RO"/>
        </w:rPr>
        <w:t>ţ</w:t>
      </w:r>
      <w:r w:rsidRPr="00A93324">
        <w:rPr>
          <w:rFonts w:ascii="Arial" w:eastAsia="SimSun" w:hAnsi="Arial" w:cs="Arial"/>
          <w:color w:val="191919"/>
          <w:sz w:val="24"/>
          <w:szCs w:val="24"/>
          <w:lang w:val="ro-RO"/>
        </w:rPr>
        <w:t>ie a plantelor omologate în România se efectuează pe baza certificatului de abilitare, iar c</w:t>
      </w:r>
      <w:r w:rsidRPr="00A93324">
        <w:rPr>
          <w:rFonts w:ascii="Arial" w:eastAsia="SimSun" w:hAnsi="Arial" w:cs="Arial"/>
          <w:sz w:val="24"/>
          <w:szCs w:val="24"/>
          <w:lang w:val="ro-RO"/>
        </w:rPr>
        <w:t xml:space="preserve">omercializarea </w:t>
      </w:r>
      <w:r w:rsidRPr="00A93324">
        <w:rPr>
          <w:rFonts w:ascii="Arial" w:eastAsia="SimSun" w:hAnsi="Arial" w:cs="Arial"/>
          <w:sz w:val="24"/>
          <w:lang w:val="ro-RO"/>
        </w:rPr>
        <w:t>produselor de</w:t>
      </w:r>
      <w:r w:rsidRPr="00A93324">
        <w:rPr>
          <w:rFonts w:ascii="Arial" w:eastAsia="SimSun" w:hAnsi="Arial" w:cs="Arial"/>
          <w:color w:val="000000"/>
          <w:sz w:val="24"/>
          <w:szCs w:val="24"/>
          <w:lang w:val="ro-RO"/>
        </w:rPr>
        <w:t xml:space="preserve"> protec</w:t>
      </w:r>
      <w:r w:rsidRPr="00A93324">
        <w:rPr>
          <w:rFonts w:ascii="Arial" w:eastAsia="SimSun" w:hAnsi="Tahoma" w:cs="Arial"/>
          <w:color w:val="000000"/>
          <w:sz w:val="24"/>
          <w:szCs w:val="24"/>
          <w:lang w:val="ro-RO"/>
        </w:rPr>
        <w:t>ţ</w:t>
      </w:r>
      <w:r w:rsidRPr="00A93324">
        <w:rPr>
          <w:rFonts w:ascii="Arial" w:eastAsia="SimSun" w:hAnsi="Arial" w:cs="Arial"/>
          <w:color w:val="000000"/>
          <w:sz w:val="24"/>
          <w:szCs w:val="24"/>
          <w:lang w:val="ro-RO"/>
        </w:rPr>
        <w:t xml:space="preserve">ia plantelor se face numai în baza certificatului de înregistrare eliberat de unitatea fitosanitară în a cărei rază teritorială îşi desfăşoară activitatea de comercializare a pesticidelor, de către personal încadrat cu pregătire în domeniul agricol/biologic/biochimic sau silvic, de nivel superior sau mediu, atestat prin certificat de atestare profesională. </w:t>
      </w:r>
    </w:p>
    <w:p w:rsidR="00A93324" w:rsidRPr="00A93324" w:rsidRDefault="00A93324" w:rsidP="00A93324">
      <w:pPr>
        <w:spacing w:after="120" w:line="240" w:lineRule="auto"/>
        <w:jc w:val="both"/>
        <w:rPr>
          <w:rFonts w:ascii="Arial" w:eastAsia="SimSun" w:hAnsi="Arial" w:cs="Arial"/>
          <w:b/>
          <w:bCs/>
          <w:color w:val="FF0000"/>
          <w:sz w:val="24"/>
          <w:szCs w:val="24"/>
          <w:lang w:val="ro-RO"/>
        </w:rPr>
      </w:pPr>
      <w:r w:rsidRPr="00A93324">
        <w:rPr>
          <w:rFonts w:ascii="Arial" w:eastAsia="SimSun" w:hAnsi="Arial" w:cs="Arial"/>
          <w:color w:val="000000"/>
          <w:sz w:val="24"/>
          <w:szCs w:val="24"/>
          <w:lang w:val="ro-RO"/>
        </w:rPr>
        <w:t xml:space="preserve">Datele puse la dispoziţie de Direcţia judeţeană de statistică Buzău referitoare la produsele fitosanitare utilizate în perioada 2010 – 2014 sunt prezentate în </w:t>
      </w:r>
      <w:r w:rsidRPr="00A93324">
        <w:rPr>
          <w:rFonts w:ascii="Arial" w:eastAsia="SimSun" w:hAnsi="Arial" w:cs="Arial"/>
          <w:sz w:val="24"/>
          <w:szCs w:val="24"/>
          <w:lang w:val="ro-RO"/>
        </w:rPr>
        <w:t xml:space="preserve">tabelul </w:t>
      </w:r>
      <w:r w:rsidRPr="00A93324">
        <w:rPr>
          <w:rFonts w:ascii="Arial" w:eastAsia="SimSun" w:hAnsi="Arial" w:cs="Arial"/>
          <w:bCs/>
          <w:sz w:val="24"/>
          <w:szCs w:val="24"/>
          <w:lang w:val="ro-RO"/>
        </w:rPr>
        <w:t>III.3.2 -1 şi în graficul III.3.2 -1</w:t>
      </w:r>
      <w:r w:rsidRPr="00A93324">
        <w:rPr>
          <w:rFonts w:ascii="Arial" w:eastAsia="SimSun" w:hAnsi="Arial" w:cs="Arial"/>
          <w:b/>
          <w:bCs/>
          <w:sz w:val="24"/>
          <w:szCs w:val="24"/>
          <w:lang w:val="ro-RO"/>
        </w:rPr>
        <w:t xml:space="preserve"> </w:t>
      </w:r>
      <w:r w:rsidRPr="00A93324">
        <w:rPr>
          <w:rFonts w:ascii="Arial" w:eastAsia="SimSun" w:hAnsi="Arial" w:cs="Arial"/>
          <w:bCs/>
          <w:sz w:val="24"/>
          <w:szCs w:val="24"/>
          <w:lang w:val="ro-RO"/>
        </w:rPr>
        <w:t>de mai jos:</w:t>
      </w:r>
      <w:r w:rsidRPr="00A93324">
        <w:rPr>
          <w:rFonts w:ascii="Arial" w:eastAsia="SimSun" w:hAnsi="Arial" w:cs="Arial"/>
          <w:b/>
          <w:bCs/>
          <w:color w:val="FF0000"/>
          <w:sz w:val="24"/>
          <w:szCs w:val="24"/>
          <w:lang w:val="ro-RO"/>
        </w:rPr>
        <w:t xml:space="preserve"> </w:t>
      </w:r>
    </w:p>
    <w:p w:rsidR="00A93324" w:rsidRPr="00A93324" w:rsidRDefault="00A93324" w:rsidP="00A93324">
      <w:pPr>
        <w:spacing w:after="120" w:line="240" w:lineRule="auto"/>
        <w:jc w:val="both"/>
        <w:rPr>
          <w:rFonts w:ascii="Arial" w:eastAsia="SimSun" w:hAnsi="Arial" w:cs="Arial"/>
          <w:b/>
          <w:bCs/>
          <w:sz w:val="24"/>
          <w:szCs w:val="24"/>
          <w:lang w:val="ro-RO"/>
        </w:rPr>
      </w:pPr>
      <w:r w:rsidRPr="00A93324">
        <w:rPr>
          <w:rFonts w:ascii="Arial" w:eastAsia="SimSun" w:hAnsi="Arial" w:cs="Arial"/>
          <w:b/>
          <w:bCs/>
          <w:sz w:val="24"/>
          <w:szCs w:val="24"/>
          <w:lang w:val="ro-RO"/>
        </w:rPr>
        <w:t>Tabelul III.3.2 -1. Utilizarea în jude</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ul Buzău a produselor de uz fitosanitar (pesticidelor) în anii 2010  -  2014</w:t>
      </w:r>
    </w:p>
    <w:tbl>
      <w:tblPr>
        <w:tblW w:w="980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763"/>
        <w:gridCol w:w="1001"/>
        <w:gridCol w:w="1155"/>
        <w:gridCol w:w="1243"/>
        <w:gridCol w:w="1148"/>
        <w:gridCol w:w="1126"/>
        <w:gridCol w:w="1243"/>
        <w:gridCol w:w="1078"/>
        <w:gridCol w:w="1047"/>
      </w:tblGrid>
      <w:tr w:rsidR="00A93324" w:rsidRPr="00A93324" w:rsidTr="00A42550">
        <w:trPr>
          <w:cantSplit/>
          <w:trHeight w:val="536"/>
          <w:jc w:val="center"/>
        </w:trPr>
        <w:tc>
          <w:tcPr>
            <w:tcW w:w="772" w:type="dxa"/>
            <w:vMerge w:val="restart"/>
            <w:tcBorders>
              <w:top w:val="double" w:sz="6" w:space="0" w:color="000000"/>
            </w:tcBorders>
            <w:vAlign w:val="center"/>
          </w:tcPr>
          <w:p w:rsidR="00A93324" w:rsidRPr="00A93324" w:rsidRDefault="00A93324" w:rsidP="00A93324">
            <w:pPr>
              <w:spacing w:after="120" w:line="240" w:lineRule="auto"/>
              <w:jc w:val="center"/>
              <w:rPr>
                <w:rFonts w:ascii="Arial" w:eastAsia="SimSun" w:hAnsi="Arial" w:cs="Arial"/>
                <w:b/>
                <w:bCs/>
                <w:caps/>
                <w:sz w:val="18"/>
                <w:szCs w:val="18"/>
                <w:lang w:val="ro-RO"/>
              </w:rPr>
            </w:pPr>
            <w:r w:rsidRPr="00A93324">
              <w:rPr>
                <w:rFonts w:ascii="Arial" w:eastAsia="SimSun" w:hAnsi="Arial" w:cs="Arial"/>
                <w:b/>
                <w:bCs/>
                <w:caps/>
                <w:sz w:val="18"/>
                <w:szCs w:val="18"/>
                <w:lang w:val="ro-RO"/>
              </w:rPr>
              <w:t>A</w:t>
            </w:r>
            <w:r w:rsidRPr="00A93324">
              <w:rPr>
                <w:rFonts w:ascii="Arial" w:eastAsia="SimSun" w:hAnsi="Arial" w:cs="Arial"/>
                <w:b/>
                <w:bCs/>
                <w:sz w:val="18"/>
                <w:szCs w:val="18"/>
                <w:lang w:val="ro-RO"/>
              </w:rPr>
              <w:t>nul</w:t>
            </w:r>
          </w:p>
        </w:tc>
        <w:tc>
          <w:tcPr>
            <w:tcW w:w="6955" w:type="dxa"/>
            <w:gridSpan w:val="6"/>
            <w:tcBorders>
              <w:top w:val="double" w:sz="6" w:space="0" w:color="000000"/>
            </w:tcBorders>
            <w:shd w:val="clear" w:color="auto" w:fill="auto"/>
            <w:vAlign w:val="center"/>
          </w:tcPr>
          <w:p w:rsidR="00A93324" w:rsidRPr="00A93324" w:rsidRDefault="00A93324" w:rsidP="00A93324">
            <w:pPr>
              <w:spacing w:after="120" w:line="240" w:lineRule="auto"/>
              <w:jc w:val="center"/>
              <w:rPr>
                <w:rFonts w:ascii="Arial" w:eastAsia="SimSun" w:hAnsi="Arial" w:cs="Arial"/>
                <w:b/>
                <w:bCs/>
                <w:caps/>
                <w:sz w:val="18"/>
                <w:szCs w:val="18"/>
                <w:lang w:val="ro-RO"/>
              </w:rPr>
            </w:pPr>
            <w:r w:rsidRPr="00A93324">
              <w:rPr>
                <w:rFonts w:ascii="Arial" w:eastAsia="SimSun" w:hAnsi="Arial" w:cs="Arial"/>
                <w:b/>
                <w:bCs/>
                <w:caps/>
                <w:sz w:val="18"/>
                <w:szCs w:val="18"/>
                <w:lang w:val="ro-RO"/>
              </w:rPr>
              <w:t xml:space="preserve">Produse de uz fitosanitar </w:t>
            </w:r>
          </w:p>
        </w:tc>
        <w:tc>
          <w:tcPr>
            <w:tcW w:w="1084" w:type="dxa"/>
            <w:vMerge w:val="restart"/>
            <w:tcBorders>
              <w:top w:val="double" w:sz="6" w:space="0" w:color="000000"/>
            </w:tcBorders>
            <w:shd w:val="clear" w:color="auto" w:fill="auto"/>
            <w:vAlign w:val="center"/>
          </w:tcPr>
          <w:p w:rsidR="00A93324" w:rsidRPr="00A93324" w:rsidRDefault="00A93324" w:rsidP="00A93324">
            <w:pPr>
              <w:spacing w:after="120" w:line="240" w:lineRule="auto"/>
              <w:jc w:val="center"/>
              <w:rPr>
                <w:rFonts w:ascii="Arial" w:eastAsia="SimSun" w:hAnsi="Arial" w:cs="Arial"/>
                <w:b/>
                <w:bCs/>
                <w:caps/>
                <w:sz w:val="18"/>
                <w:szCs w:val="18"/>
                <w:lang w:val="ro-RO"/>
              </w:rPr>
            </w:pPr>
            <w:r w:rsidRPr="00A93324">
              <w:rPr>
                <w:rFonts w:ascii="Arial" w:eastAsia="SimSun" w:hAnsi="Arial" w:cs="Arial"/>
                <w:b/>
                <w:bCs/>
                <w:sz w:val="18"/>
                <w:szCs w:val="18"/>
                <w:lang w:val="ro-RO"/>
              </w:rPr>
              <w:t>Total pesticide utilizate</w:t>
            </w:r>
          </w:p>
          <w:p w:rsidR="00A93324" w:rsidRPr="00A93324" w:rsidRDefault="00A93324" w:rsidP="00A93324">
            <w:pPr>
              <w:spacing w:after="120" w:line="240" w:lineRule="auto"/>
              <w:jc w:val="center"/>
              <w:rPr>
                <w:rFonts w:ascii="Arial" w:eastAsia="SimSun" w:hAnsi="Arial" w:cs="Arial"/>
                <w:b/>
                <w:bCs/>
                <w:caps/>
                <w:sz w:val="18"/>
                <w:szCs w:val="18"/>
                <w:lang w:val="ro-RO"/>
              </w:rPr>
            </w:pPr>
            <w:r w:rsidRPr="00A93324">
              <w:rPr>
                <w:rFonts w:ascii="Arial" w:eastAsia="SimSun" w:hAnsi="Arial" w:cs="Arial"/>
                <w:b/>
                <w:bCs/>
                <w:sz w:val="18"/>
                <w:szCs w:val="18"/>
                <w:lang w:val="ro-RO"/>
              </w:rPr>
              <w:t>(tone s.a.)</w:t>
            </w:r>
          </w:p>
        </w:tc>
        <w:tc>
          <w:tcPr>
            <w:tcW w:w="993" w:type="dxa"/>
            <w:vMerge w:val="restart"/>
            <w:tcBorders>
              <w:top w:val="double" w:sz="6" w:space="0" w:color="000000"/>
            </w:tcBorders>
            <w:shd w:val="clear" w:color="auto" w:fill="auto"/>
            <w:vAlign w:val="center"/>
          </w:tcPr>
          <w:p w:rsidR="00A93324" w:rsidRPr="00A93324" w:rsidRDefault="00A93324" w:rsidP="00A93324">
            <w:pPr>
              <w:spacing w:after="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Suprafaţa</w:t>
            </w:r>
          </w:p>
          <w:p w:rsidR="00A93324" w:rsidRPr="00A93324" w:rsidRDefault="00A93324" w:rsidP="00A93324">
            <w:pPr>
              <w:spacing w:after="120" w:line="240" w:lineRule="auto"/>
              <w:jc w:val="center"/>
              <w:rPr>
                <w:rFonts w:ascii="Arial" w:eastAsia="SimSun" w:hAnsi="Arial" w:cs="Arial"/>
                <w:b/>
                <w:bCs/>
                <w:caps/>
                <w:sz w:val="18"/>
                <w:szCs w:val="18"/>
                <w:lang w:val="ro-RO"/>
              </w:rPr>
            </w:pPr>
            <w:r w:rsidRPr="00A93324">
              <w:rPr>
                <w:rFonts w:ascii="Arial" w:eastAsia="SimSun" w:hAnsi="Arial" w:cs="Arial"/>
                <w:b/>
                <w:bCs/>
                <w:sz w:val="18"/>
                <w:szCs w:val="18"/>
                <w:lang w:val="ro-RO"/>
              </w:rPr>
              <w:t>totală</w:t>
            </w:r>
          </w:p>
          <w:p w:rsidR="00A93324" w:rsidRPr="00A93324" w:rsidRDefault="00A93324" w:rsidP="00A93324">
            <w:pPr>
              <w:spacing w:after="120" w:line="240" w:lineRule="auto"/>
              <w:jc w:val="center"/>
              <w:rPr>
                <w:rFonts w:ascii="Arial" w:eastAsia="SimSun" w:hAnsi="Arial" w:cs="Arial"/>
                <w:b/>
                <w:bCs/>
                <w:caps/>
                <w:sz w:val="18"/>
                <w:szCs w:val="18"/>
                <w:lang w:val="ro-RO"/>
              </w:rPr>
            </w:pPr>
            <w:r w:rsidRPr="00A93324">
              <w:rPr>
                <w:rFonts w:ascii="Arial" w:eastAsia="SimSun" w:hAnsi="Arial" w:cs="Arial"/>
                <w:b/>
                <w:bCs/>
                <w:sz w:val="18"/>
                <w:szCs w:val="18"/>
                <w:lang w:val="ro-RO"/>
              </w:rPr>
              <w:t>(ha)</w:t>
            </w:r>
          </w:p>
        </w:tc>
      </w:tr>
      <w:tr w:rsidR="00A93324" w:rsidRPr="00A93324" w:rsidTr="00A42550">
        <w:trPr>
          <w:cantSplit/>
          <w:trHeight w:val="684"/>
          <w:jc w:val="center"/>
        </w:trPr>
        <w:tc>
          <w:tcPr>
            <w:tcW w:w="772" w:type="dxa"/>
            <w:vMerge/>
            <w:vAlign w:val="center"/>
          </w:tcPr>
          <w:p w:rsidR="00A93324" w:rsidRPr="00A93324" w:rsidRDefault="00A93324" w:rsidP="00A93324">
            <w:pPr>
              <w:spacing w:after="120" w:line="240" w:lineRule="auto"/>
              <w:jc w:val="center"/>
              <w:rPr>
                <w:rFonts w:ascii="Arial" w:eastAsia="SimSun" w:hAnsi="Arial" w:cs="Arial"/>
                <w:sz w:val="18"/>
                <w:szCs w:val="18"/>
                <w:lang w:val="ro-RO"/>
              </w:rPr>
            </w:pPr>
          </w:p>
        </w:tc>
        <w:tc>
          <w:tcPr>
            <w:tcW w:w="1006" w:type="dxa"/>
            <w:shd w:val="clear" w:color="auto" w:fill="auto"/>
            <w:vAlign w:val="center"/>
          </w:tcPr>
          <w:p w:rsidR="00A93324" w:rsidRPr="00A93324" w:rsidRDefault="00A93324" w:rsidP="00A93324">
            <w:pPr>
              <w:spacing w:after="12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Erbicide</w:t>
            </w:r>
          </w:p>
          <w:p w:rsidR="00A93324" w:rsidRPr="00A93324" w:rsidRDefault="00A93324" w:rsidP="00A93324">
            <w:pPr>
              <w:spacing w:after="12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(to s.a.)</w:t>
            </w:r>
          </w:p>
        </w:tc>
        <w:tc>
          <w:tcPr>
            <w:tcW w:w="1161" w:type="dxa"/>
            <w:vAlign w:val="center"/>
          </w:tcPr>
          <w:p w:rsidR="00A93324" w:rsidRPr="00A93324" w:rsidRDefault="00A93324" w:rsidP="00A93324">
            <w:pPr>
              <w:spacing w:after="12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Fungicide</w:t>
            </w:r>
          </w:p>
          <w:p w:rsidR="00A93324" w:rsidRPr="00A93324" w:rsidRDefault="00A93324" w:rsidP="00A93324">
            <w:pPr>
              <w:spacing w:after="12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(to s.a.)</w:t>
            </w:r>
          </w:p>
        </w:tc>
        <w:tc>
          <w:tcPr>
            <w:tcW w:w="1250" w:type="dxa"/>
            <w:vAlign w:val="center"/>
          </w:tcPr>
          <w:p w:rsidR="00A93324" w:rsidRPr="00A93324" w:rsidRDefault="00A93324" w:rsidP="00A93324">
            <w:pPr>
              <w:spacing w:after="12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Insecticide</w:t>
            </w:r>
          </w:p>
          <w:p w:rsidR="00A93324" w:rsidRPr="00A93324" w:rsidRDefault="00A93324" w:rsidP="00A93324">
            <w:pPr>
              <w:spacing w:after="12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(to s.a.)</w:t>
            </w:r>
          </w:p>
        </w:tc>
        <w:tc>
          <w:tcPr>
            <w:tcW w:w="1155" w:type="dxa"/>
            <w:shd w:val="clear" w:color="auto" w:fill="auto"/>
            <w:vAlign w:val="center"/>
          </w:tcPr>
          <w:p w:rsidR="00A93324" w:rsidRPr="00A93324" w:rsidRDefault="00A93324" w:rsidP="00A93324">
            <w:pPr>
              <w:spacing w:after="0" w:line="240" w:lineRule="auto"/>
              <w:jc w:val="center"/>
              <w:rPr>
                <w:rFonts w:ascii="Arial" w:eastAsia="SimSun" w:hAnsi="Arial" w:cs="Arial"/>
                <w:b/>
                <w:bCs/>
                <w:caps/>
                <w:sz w:val="18"/>
                <w:szCs w:val="18"/>
                <w:lang w:val="ro-RO"/>
              </w:rPr>
            </w:pPr>
            <w:r w:rsidRPr="00A93324">
              <w:rPr>
                <w:rFonts w:ascii="Arial" w:eastAsia="SimSun" w:hAnsi="Arial" w:cs="Arial"/>
                <w:b/>
                <w:bCs/>
                <w:sz w:val="18"/>
                <w:szCs w:val="18"/>
                <w:lang w:val="ro-RO"/>
              </w:rPr>
              <w:t>Suprafaţa</w:t>
            </w:r>
          </w:p>
          <w:p w:rsidR="00A93324" w:rsidRPr="00A93324" w:rsidRDefault="00A93324" w:rsidP="00A93324">
            <w:pPr>
              <w:spacing w:after="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aplicare erbicide (ha)</w:t>
            </w:r>
          </w:p>
        </w:tc>
        <w:tc>
          <w:tcPr>
            <w:tcW w:w="1133" w:type="dxa"/>
            <w:shd w:val="clear" w:color="auto" w:fill="auto"/>
            <w:vAlign w:val="center"/>
          </w:tcPr>
          <w:p w:rsidR="00A93324" w:rsidRPr="00A93324" w:rsidRDefault="00A93324" w:rsidP="00A93324">
            <w:pPr>
              <w:spacing w:after="0" w:line="240" w:lineRule="auto"/>
              <w:jc w:val="center"/>
              <w:rPr>
                <w:rFonts w:ascii="Arial" w:eastAsia="SimSun" w:hAnsi="Arial" w:cs="Arial"/>
                <w:b/>
                <w:bCs/>
                <w:caps/>
                <w:sz w:val="18"/>
                <w:szCs w:val="18"/>
                <w:lang w:val="ro-RO"/>
              </w:rPr>
            </w:pPr>
            <w:r w:rsidRPr="00A93324">
              <w:rPr>
                <w:rFonts w:ascii="Arial" w:eastAsia="SimSun" w:hAnsi="Arial" w:cs="Arial"/>
                <w:b/>
                <w:bCs/>
                <w:sz w:val="18"/>
                <w:szCs w:val="18"/>
                <w:lang w:val="ro-RO"/>
              </w:rPr>
              <w:t>suprafaţa</w:t>
            </w:r>
          </w:p>
          <w:p w:rsidR="00A93324" w:rsidRPr="00A93324" w:rsidRDefault="00A93324" w:rsidP="00A93324">
            <w:pPr>
              <w:spacing w:after="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aplicare fungicide (ha)</w:t>
            </w:r>
          </w:p>
        </w:tc>
        <w:tc>
          <w:tcPr>
            <w:tcW w:w="1250" w:type="dxa"/>
            <w:vAlign w:val="center"/>
          </w:tcPr>
          <w:p w:rsidR="00A93324" w:rsidRPr="00A93324" w:rsidRDefault="00A93324" w:rsidP="00A93324">
            <w:pPr>
              <w:spacing w:after="0" w:line="240" w:lineRule="auto"/>
              <w:jc w:val="center"/>
              <w:rPr>
                <w:rFonts w:ascii="Arial" w:eastAsia="SimSun" w:hAnsi="Arial" w:cs="Arial"/>
                <w:b/>
                <w:bCs/>
                <w:caps/>
                <w:sz w:val="18"/>
                <w:szCs w:val="18"/>
                <w:lang w:val="ro-RO"/>
              </w:rPr>
            </w:pPr>
            <w:r w:rsidRPr="00A93324">
              <w:rPr>
                <w:rFonts w:ascii="Arial" w:eastAsia="SimSun" w:hAnsi="Arial" w:cs="Arial"/>
                <w:b/>
                <w:bCs/>
                <w:sz w:val="18"/>
                <w:szCs w:val="18"/>
                <w:lang w:val="ro-RO"/>
              </w:rPr>
              <w:t>Suprafaţa</w:t>
            </w:r>
          </w:p>
          <w:p w:rsidR="00A93324" w:rsidRPr="00A93324" w:rsidRDefault="00A93324" w:rsidP="00A93324">
            <w:pPr>
              <w:spacing w:after="0" w:line="240" w:lineRule="auto"/>
              <w:jc w:val="center"/>
              <w:rPr>
                <w:rFonts w:ascii="Arial" w:eastAsia="SimSun" w:hAnsi="Arial" w:cs="Arial"/>
                <w:b/>
                <w:bCs/>
                <w:sz w:val="18"/>
                <w:szCs w:val="18"/>
                <w:lang w:val="ro-RO"/>
              </w:rPr>
            </w:pPr>
            <w:r w:rsidRPr="00A93324">
              <w:rPr>
                <w:rFonts w:ascii="Arial" w:eastAsia="SimSun" w:hAnsi="Arial" w:cs="Arial"/>
                <w:b/>
                <w:bCs/>
                <w:sz w:val="18"/>
                <w:szCs w:val="18"/>
                <w:lang w:val="ro-RO"/>
              </w:rPr>
              <w:t>aplicare insecticide (ha)</w:t>
            </w:r>
          </w:p>
        </w:tc>
        <w:tc>
          <w:tcPr>
            <w:tcW w:w="1084" w:type="dxa"/>
            <w:vMerge/>
            <w:shd w:val="clear" w:color="auto" w:fill="auto"/>
            <w:vAlign w:val="center"/>
          </w:tcPr>
          <w:p w:rsidR="00A93324" w:rsidRPr="00A93324" w:rsidRDefault="00A93324" w:rsidP="00A93324">
            <w:pPr>
              <w:spacing w:after="120" w:line="240" w:lineRule="auto"/>
              <w:jc w:val="center"/>
              <w:rPr>
                <w:rFonts w:ascii="Arial" w:eastAsia="SimSun" w:hAnsi="Arial" w:cs="Arial"/>
                <w:sz w:val="18"/>
                <w:szCs w:val="18"/>
                <w:lang w:val="ro-RO"/>
              </w:rPr>
            </w:pPr>
          </w:p>
        </w:tc>
        <w:tc>
          <w:tcPr>
            <w:tcW w:w="993" w:type="dxa"/>
            <w:vMerge/>
            <w:shd w:val="clear" w:color="auto" w:fill="auto"/>
            <w:vAlign w:val="center"/>
          </w:tcPr>
          <w:p w:rsidR="00A93324" w:rsidRPr="00A93324" w:rsidRDefault="00A93324" w:rsidP="00A93324">
            <w:pPr>
              <w:spacing w:after="120" w:line="240" w:lineRule="auto"/>
              <w:jc w:val="center"/>
              <w:rPr>
                <w:rFonts w:ascii="Arial" w:eastAsia="SimSun" w:hAnsi="Arial" w:cs="Arial"/>
                <w:sz w:val="18"/>
                <w:szCs w:val="18"/>
                <w:lang w:val="ro-RO"/>
              </w:rPr>
            </w:pPr>
          </w:p>
        </w:tc>
      </w:tr>
      <w:tr w:rsidR="00A93324" w:rsidRPr="00A93324" w:rsidTr="00A42550">
        <w:trPr>
          <w:trHeight w:val="434"/>
          <w:jc w:val="center"/>
        </w:trPr>
        <w:tc>
          <w:tcPr>
            <w:tcW w:w="772" w:type="dxa"/>
            <w:vAlign w:val="center"/>
          </w:tcPr>
          <w:p w:rsidR="00A93324" w:rsidRPr="00A93324" w:rsidRDefault="00A93324" w:rsidP="00A93324">
            <w:pPr>
              <w:spacing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2010</w:t>
            </w:r>
          </w:p>
        </w:tc>
        <w:tc>
          <w:tcPr>
            <w:tcW w:w="1006" w:type="dxa"/>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90,989</w:t>
            </w:r>
          </w:p>
        </w:tc>
        <w:tc>
          <w:tcPr>
            <w:tcW w:w="1161"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96,221</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21,057</w:t>
            </w:r>
          </w:p>
        </w:tc>
        <w:tc>
          <w:tcPr>
            <w:tcW w:w="1155"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74277</w:t>
            </w:r>
          </w:p>
        </w:tc>
        <w:tc>
          <w:tcPr>
            <w:tcW w:w="1133"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35246</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33425</w:t>
            </w:r>
          </w:p>
        </w:tc>
        <w:tc>
          <w:tcPr>
            <w:tcW w:w="1084"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208,267</w:t>
            </w:r>
          </w:p>
        </w:tc>
        <w:tc>
          <w:tcPr>
            <w:tcW w:w="993"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142948</w:t>
            </w:r>
          </w:p>
        </w:tc>
      </w:tr>
      <w:tr w:rsidR="00A93324" w:rsidRPr="00A93324" w:rsidTr="00A42550">
        <w:trPr>
          <w:trHeight w:val="513"/>
          <w:jc w:val="center"/>
        </w:trPr>
        <w:tc>
          <w:tcPr>
            <w:tcW w:w="772" w:type="dxa"/>
            <w:vAlign w:val="center"/>
          </w:tcPr>
          <w:p w:rsidR="00A93324" w:rsidRPr="00A93324" w:rsidRDefault="00A93324" w:rsidP="00A93324">
            <w:pPr>
              <w:spacing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2011</w:t>
            </w:r>
          </w:p>
        </w:tc>
        <w:tc>
          <w:tcPr>
            <w:tcW w:w="1006" w:type="dxa"/>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90,756</w:t>
            </w:r>
          </w:p>
        </w:tc>
        <w:tc>
          <w:tcPr>
            <w:tcW w:w="1161"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92,075</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19,620</w:t>
            </w:r>
          </w:p>
        </w:tc>
        <w:tc>
          <w:tcPr>
            <w:tcW w:w="1155"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75630</w:t>
            </w:r>
          </w:p>
        </w:tc>
        <w:tc>
          <w:tcPr>
            <w:tcW w:w="1133"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34650</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32700</w:t>
            </w:r>
          </w:p>
        </w:tc>
        <w:tc>
          <w:tcPr>
            <w:tcW w:w="1084"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202,451</w:t>
            </w:r>
          </w:p>
        </w:tc>
        <w:tc>
          <w:tcPr>
            <w:tcW w:w="993"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142980</w:t>
            </w:r>
          </w:p>
        </w:tc>
      </w:tr>
      <w:tr w:rsidR="00A93324" w:rsidRPr="00A93324" w:rsidTr="00A42550">
        <w:trPr>
          <w:trHeight w:val="513"/>
          <w:jc w:val="center"/>
        </w:trPr>
        <w:tc>
          <w:tcPr>
            <w:tcW w:w="772" w:type="dxa"/>
            <w:vAlign w:val="center"/>
          </w:tcPr>
          <w:p w:rsidR="00A93324" w:rsidRPr="00A93324" w:rsidRDefault="00A93324" w:rsidP="00A93324">
            <w:pPr>
              <w:spacing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2012</w:t>
            </w:r>
          </w:p>
        </w:tc>
        <w:tc>
          <w:tcPr>
            <w:tcW w:w="1006" w:type="dxa"/>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71,020</w:t>
            </w:r>
          </w:p>
        </w:tc>
        <w:tc>
          <w:tcPr>
            <w:tcW w:w="1161"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51,480</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12,858</w:t>
            </w:r>
          </w:p>
        </w:tc>
        <w:tc>
          <w:tcPr>
            <w:tcW w:w="1155"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71020</w:t>
            </w:r>
          </w:p>
        </w:tc>
        <w:tc>
          <w:tcPr>
            <w:tcW w:w="1133"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23400</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21430</w:t>
            </w:r>
          </w:p>
        </w:tc>
        <w:tc>
          <w:tcPr>
            <w:tcW w:w="1084"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135,358</w:t>
            </w:r>
          </w:p>
        </w:tc>
        <w:tc>
          <w:tcPr>
            <w:tcW w:w="993"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115850</w:t>
            </w:r>
          </w:p>
        </w:tc>
      </w:tr>
      <w:tr w:rsidR="00A93324" w:rsidRPr="00A93324" w:rsidTr="00A42550">
        <w:trPr>
          <w:trHeight w:val="513"/>
          <w:jc w:val="center"/>
        </w:trPr>
        <w:tc>
          <w:tcPr>
            <w:tcW w:w="772" w:type="dxa"/>
            <w:vAlign w:val="center"/>
          </w:tcPr>
          <w:p w:rsidR="00A93324" w:rsidRPr="00A93324" w:rsidRDefault="00A93324" w:rsidP="00A93324">
            <w:pPr>
              <w:spacing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2013</w:t>
            </w:r>
          </w:p>
        </w:tc>
        <w:tc>
          <w:tcPr>
            <w:tcW w:w="1006" w:type="dxa"/>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40,472</w:t>
            </w:r>
          </w:p>
        </w:tc>
        <w:tc>
          <w:tcPr>
            <w:tcW w:w="1161"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8,072</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8,950</w:t>
            </w:r>
          </w:p>
        </w:tc>
        <w:tc>
          <w:tcPr>
            <w:tcW w:w="1155"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40472</w:t>
            </w:r>
          </w:p>
        </w:tc>
        <w:tc>
          <w:tcPr>
            <w:tcW w:w="1133"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8969</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14917</w:t>
            </w:r>
          </w:p>
        </w:tc>
        <w:tc>
          <w:tcPr>
            <w:tcW w:w="1084"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57,494</w:t>
            </w:r>
          </w:p>
        </w:tc>
        <w:tc>
          <w:tcPr>
            <w:tcW w:w="993"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64358</w:t>
            </w:r>
          </w:p>
        </w:tc>
      </w:tr>
      <w:tr w:rsidR="00A93324" w:rsidRPr="00A93324" w:rsidTr="00A42550">
        <w:trPr>
          <w:trHeight w:val="513"/>
          <w:jc w:val="center"/>
        </w:trPr>
        <w:tc>
          <w:tcPr>
            <w:tcW w:w="772" w:type="dxa"/>
            <w:vAlign w:val="center"/>
          </w:tcPr>
          <w:p w:rsidR="00A93324" w:rsidRPr="00A93324" w:rsidRDefault="00A93324" w:rsidP="00A93324">
            <w:pPr>
              <w:spacing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2014</w:t>
            </w:r>
          </w:p>
        </w:tc>
        <w:tc>
          <w:tcPr>
            <w:tcW w:w="1006" w:type="dxa"/>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52,46</w:t>
            </w:r>
          </w:p>
        </w:tc>
        <w:tc>
          <w:tcPr>
            <w:tcW w:w="1161"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6,791</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7,355</w:t>
            </w:r>
          </w:p>
        </w:tc>
        <w:tc>
          <w:tcPr>
            <w:tcW w:w="1155"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47500</w:t>
            </w:r>
          </w:p>
        </w:tc>
        <w:tc>
          <w:tcPr>
            <w:tcW w:w="1133" w:type="dxa"/>
            <w:shd w:val="clear" w:color="auto" w:fill="auto"/>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9970</w:t>
            </w:r>
          </w:p>
        </w:tc>
        <w:tc>
          <w:tcPr>
            <w:tcW w:w="1250" w:type="dxa"/>
            <w:vAlign w:val="center"/>
          </w:tcPr>
          <w:p w:rsidR="00A93324" w:rsidRPr="00A93324" w:rsidRDefault="00A93324" w:rsidP="00A93324">
            <w:pPr>
              <w:spacing w:after="120" w:line="240" w:lineRule="auto"/>
              <w:jc w:val="center"/>
              <w:rPr>
                <w:rFonts w:ascii="Arial" w:eastAsia="SimSun" w:hAnsi="Arial" w:cs="Arial"/>
                <w:bCs/>
                <w:sz w:val="20"/>
                <w:szCs w:val="20"/>
                <w:lang w:val="ro-RO"/>
              </w:rPr>
            </w:pPr>
            <w:r w:rsidRPr="00A93324">
              <w:rPr>
                <w:rFonts w:ascii="Arial" w:eastAsia="SimSun" w:hAnsi="Arial" w:cs="Arial"/>
                <w:bCs/>
                <w:sz w:val="20"/>
                <w:szCs w:val="20"/>
                <w:lang w:val="ro-RO"/>
              </w:rPr>
              <w:t>15155</w:t>
            </w:r>
          </w:p>
        </w:tc>
        <w:tc>
          <w:tcPr>
            <w:tcW w:w="1084"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66,606</w:t>
            </w:r>
          </w:p>
        </w:tc>
        <w:tc>
          <w:tcPr>
            <w:tcW w:w="993" w:type="dxa"/>
            <w:shd w:val="clear" w:color="auto" w:fill="auto"/>
            <w:vAlign w:val="center"/>
          </w:tcPr>
          <w:p w:rsidR="00A93324" w:rsidRPr="00A93324" w:rsidRDefault="00A93324" w:rsidP="00A93324">
            <w:pPr>
              <w:spacing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72625</w:t>
            </w:r>
          </w:p>
        </w:tc>
      </w:tr>
    </w:tbl>
    <w:p w:rsidR="00A93324" w:rsidRPr="00A93324" w:rsidRDefault="00A93324" w:rsidP="00A93324">
      <w:pPr>
        <w:spacing w:after="120" w:line="240" w:lineRule="auto"/>
        <w:ind w:left="1416"/>
        <w:jc w:val="right"/>
        <w:rPr>
          <w:rFonts w:ascii="Arial" w:eastAsia="SimSun" w:hAnsi="Arial" w:cs="Arial"/>
          <w:i/>
          <w:color w:val="000000"/>
          <w:sz w:val="24"/>
          <w:szCs w:val="24"/>
          <w:lang w:val="ro-RO"/>
        </w:rPr>
      </w:pPr>
      <w:r w:rsidRPr="00A93324">
        <w:rPr>
          <w:rFonts w:ascii="Arial" w:eastAsia="SimSun" w:hAnsi="Arial" w:cs="Arial"/>
          <w:color w:val="000000"/>
          <w:sz w:val="24"/>
          <w:szCs w:val="24"/>
          <w:lang w:val="ro-RO"/>
        </w:rPr>
        <w:t xml:space="preserve">       </w:t>
      </w:r>
      <w:r w:rsidRPr="00A93324">
        <w:rPr>
          <w:rFonts w:ascii="Arial" w:eastAsia="SimSun" w:hAnsi="Arial" w:cs="Arial"/>
          <w:i/>
          <w:color w:val="000000"/>
          <w:sz w:val="24"/>
          <w:szCs w:val="24"/>
          <w:lang w:val="ro-RO"/>
        </w:rPr>
        <w:t>Sursa: Direcţia judeţeană de Statistică -  Buzău</w:t>
      </w:r>
    </w:p>
    <w:p w:rsidR="00A93324" w:rsidRPr="00A93324" w:rsidRDefault="00A93324" w:rsidP="00A93324">
      <w:pPr>
        <w:spacing w:after="120" w:line="240" w:lineRule="auto"/>
        <w:jc w:val="both"/>
        <w:rPr>
          <w:rFonts w:ascii="Arial" w:eastAsia="SimSun" w:hAnsi="Arial" w:cs="Arial"/>
          <w:b/>
          <w:bCs/>
          <w:sz w:val="24"/>
          <w:szCs w:val="24"/>
          <w:lang w:val="ro-RO"/>
        </w:rPr>
      </w:pPr>
      <w:r w:rsidRPr="00A93324">
        <w:rPr>
          <w:rFonts w:ascii="Arial" w:eastAsia="SimSun" w:hAnsi="Arial" w:cs="Arial"/>
          <w:b/>
          <w:bCs/>
          <w:sz w:val="24"/>
          <w:szCs w:val="24"/>
          <w:lang w:val="ro-RO"/>
        </w:rPr>
        <w:t>Fig. III.3.2 -1. Evolu</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ia utilizării în jude</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ul Buzău a produselor de uz fitosanitar (pesticidelor) în perioada  2010  - 2014</w:t>
      </w:r>
    </w:p>
    <w:p w:rsidR="00A93324" w:rsidRPr="00A93324" w:rsidRDefault="00A93324" w:rsidP="00A93324">
      <w:pPr>
        <w:spacing w:after="120" w:line="240" w:lineRule="auto"/>
        <w:jc w:val="right"/>
        <w:rPr>
          <w:rFonts w:ascii="Arial" w:eastAsia="SimSun" w:hAnsi="Arial" w:cs="Arial"/>
          <w:color w:val="000000"/>
          <w:sz w:val="24"/>
          <w:szCs w:val="24"/>
          <w:lang w:val="ro-RO"/>
        </w:rPr>
      </w:pPr>
      <w:r>
        <w:rPr>
          <w:rFonts w:ascii="Arial" w:eastAsia="SimSun" w:hAnsi="Arial" w:cs="Arial"/>
          <w:b/>
          <w:noProof/>
          <w:sz w:val="24"/>
          <w:szCs w:val="24"/>
          <w:lang w:val="ro-RO" w:eastAsia="ro-RO"/>
        </w:rPr>
        <w:drawing>
          <wp:inline distT="0" distB="0" distL="0" distR="0">
            <wp:extent cx="6181725" cy="2581275"/>
            <wp:effectExtent l="0" t="0" r="0" b="0"/>
            <wp:docPr id="156" name="Object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A93324">
        <w:rPr>
          <w:rFonts w:ascii="Arial" w:eastAsia="SimSun" w:hAnsi="Arial" w:cs="Arial"/>
          <w:i/>
          <w:iCs/>
          <w:sz w:val="24"/>
          <w:szCs w:val="24"/>
          <w:lang w:val="ro-RO"/>
        </w:rPr>
        <w:t>Sursa: Direc</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ia  Jude</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spacing w:after="120" w:line="240" w:lineRule="auto"/>
        <w:jc w:val="both"/>
        <w:rPr>
          <w:rFonts w:ascii="Arial" w:eastAsia="SimSun" w:hAnsi="Arial" w:cs="Arial"/>
          <w:color w:val="000000"/>
          <w:sz w:val="24"/>
          <w:szCs w:val="24"/>
          <w:lang w:val="ro-RO"/>
        </w:rPr>
      </w:pPr>
      <w:r w:rsidRPr="00A93324">
        <w:rPr>
          <w:rFonts w:ascii="Arial" w:eastAsia="SimSun" w:hAnsi="Arial" w:cs="Arial"/>
          <w:color w:val="000000"/>
          <w:sz w:val="24"/>
          <w:szCs w:val="24"/>
          <w:lang w:val="ro-RO"/>
        </w:rPr>
        <w:t>După cum se poate observa din tendinţele identificate pe baza datelor de mai sus, cantitatea anuală totală de produse fitosanitare, a scăzut  în anul 2014 de peste 3 ori în raport cu cantitatea utilizată în anul 2010, această scădere fiind generată în special de scăderea cantităţilor de fungicide, de aproximativ 14 ori.</w:t>
      </w:r>
      <w:r w:rsidRPr="00A93324">
        <w:rPr>
          <w:rFonts w:ascii="Arial" w:eastAsia="SimSun" w:hAnsi="Arial"/>
          <w:b/>
          <w:bCs/>
          <w:sz w:val="20"/>
          <w:szCs w:val="20"/>
          <w:lang w:val="ro-RO"/>
        </w:rPr>
        <w:t xml:space="preserve">      </w:t>
      </w:r>
    </w:p>
    <w:p w:rsidR="00450CDB" w:rsidRDefault="00450CDB" w:rsidP="00A93324">
      <w:pPr>
        <w:spacing w:after="120" w:line="240" w:lineRule="auto"/>
        <w:rPr>
          <w:rFonts w:ascii="Arial" w:eastAsia="SimSun" w:hAnsi="Arial" w:cs="Arial"/>
          <w:b/>
          <w:bCs/>
          <w:sz w:val="24"/>
          <w:szCs w:val="24"/>
          <w:lang w:val="ro-RO"/>
        </w:rPr>
      </w:pPr>
    </w:p>
    <w:p w:rsidR="00A93324" w:rsidRPr="00A93324" w:rsidRDefault="00A93324" w:rsidP="00A93324">
      <w:pPr>
        <w:spacing w:after="120" w:line="240" w:lineRule="auto"/>
        <w:rPr>
          <w:rFonts w:ascii="Arial" w:eastAsia="SimSun" w:hAnsi="Arial" w:cs="Arial"/>
          <w:sz w:val="24"/>
          <w:szCs w:val="24"/>
          <w:lang w:val="ro-RO"/>
        </w:rPr>
      </w:pPr>
      <w:r w:rsidRPr="00A93324">
        <w:rPr>
          <w:rFonts w:ascii="Arial" w:eastAsia="SimSun" w:hAnsi="Arial" w:cs="Arial"/>
          <w:b/>
          <w:bCs/>
          <w:sz w:val="24"/>
          <w:szCs w:val="24"/>
          <w:lang w:val="ro-RO"/>
        </w:rPr>
        <w:lastRenderedPageBreak/>
        <w:t xml:space="preserve">Fig.  </w:t>
      </w:r>
      <w:r w:rsidRPr="00A93324">
        <w:rPr>
          <w:rFonts w:ascii="Arial" w:eastAsia="SimSun" w:hAnsi="Arial" w:cs="Arial"/>
          <w:b/>
          <w:sz w:val="24"/>
          <w:szCs w:val="24"/>
          <w:lang w:val="ro-RO"/>
        </w:rPr>
        <w:t>III.3.2 -2</w:t>
      </w:r>
      <w:r w:rsidRPr="00A93324">
        <w:rPr>
          <w:rFonts w:ascii="Arial" w:eastAsia="SimSun" w:hAnsi="Arial" w:cs="Arial"/>
          <w:b/>
          <w:bCs/>
          <w:sz w:val="24"/>
          <w:szCs w:val="24"/>
          <w:lang w:val="ro-RO"/>
        </w:rPr>
        <w:t>. Evolu</w:t>
      </w:r>
      <w:r w:rsidRPr="00A93324">
        <w:rPr>
          <w:rFonts w:ascii="Arial" w:eastAsia="SimSun" w:hAnsi="Tahoma" w:cs="Arial"/>
          <w:b/>
          <w:bCs/>
          <w:sz w:val="24"/>
          <w:szCs w:val="24"/>
          <w:lang w:val="ro-RO"/>
        </w:rPr>
        <w:t>ţ</w:t>
      </w:r>
      <w:r w:rsidRPr="00A93324">
        <w:rPr>
          <w:rFonts w:ascii="Arial" w:eastAsia="SimSun" w:hAnsi="Arial" w:cs="Arial"/>
          <w:b/>
          <w:bCs/>
          <w:sz w:val="24"/>
          <w:szCs w:val="24"/>
          <w:lang w:val="ro-RO"/>
        </w:rPr>
        <w:t xml:space="preserve">ia </w:t>
      </w:r>
      <w:r w:rsidRPr="00A93324">
        <w:rPr>
          <w:rFonts w:ascii="Arial" w:eastAsia="SimSun" w:hAnsi="Arial" w:cs="Arial"/>
          <w:b/>
          <w:sz w:val="24"/>
          <w:szCs w:val="24"/>
          <w:lang w:val="ro-RO"/>
        </w:rPr>
        <w:t xml:space="preserve">utilizării pesticidelor în perioada 2010 - 2014  </w:t>
      </w:r>
    </w:p>
    <w:p w:rsidR="00A93324" w:rsidRPr="00A93324" w:rsidRDefault="00A93324" w:rsidP="00A93324">
      <w:pPr>
        <w:spacing w:after="120" w:line="240" w:lineRule="auto"/>
        <w:jc w:val="both"/>
        <w:rPr>
          <w:rFonts w:ascii="Arial" w:eastAsia="SimSun" w:hAnsi="Arial" w:cs="Arial"/>
          <w:color w:val="000000"/>
          <w:sz w:val="24"/>
          <w:szCs w:val="24"/>
          <w:lang w:val="ro-RO"/>
        </w:rPr>
      </w:pPr>
      <w:r>
        <w:rPr>
          <w:rFonts w:ascii="Arial" w:eastAsia="SimSun" w:hAnsi="Arial" w:cs="Arial"/>
          <w:b/>
          <w:noProof/>
          <w:sz w:val="24"/>
          <w:szCs w:val="24"/>
          <w:lang w:val="ro-RO" w:eastAsia="ro-RO"/>
        </w:rPr>
        <w:drawing>
          <wp:inline distT="0" distB="0" distL="0" distR="0">
            <wp:extent cx="5686425" cy="2619375"/>
            <wp:effectExtent l="0" t="0" r="0" b="0"/>
            <wp:docPr id="157" name="Object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93324" w:rsidRPr="00A93324" w:rsidRDefault="00A93324" w:rsidP="00A93324">
      <w:pPr>
        <w:spacing w:after="120" w:line="240" w:lineRule="auto"/>
        <w:jc w:val="right"/>
        <w:rPr>
          <w:rFonts w:ascii="Arial" w:eastAsia="SimSun" w:hAnsi="Arial" w:cs="Arial"/>
          <w:i/>
          <w:color w:val="000000"/>
          <w:sz w:val="24"/>
          <w:szCs w:val="24"/>
          <w:lang w:val="ro-RO"/>
        </w:rPr>
      </w:pPr>
      <w:r w:rsidRPr="00A93324">
        <w:rPr>
          <w:rFonts w:ascii="Arial" w:eastAsia="SimSun" w:hAnsi="Arial" w:cs="Arial"/>
          <w:i/>
          <w:sz w:val="24"/>
          <w:szCs w:val="24"/>
          <w:lang w:val="ro-RO"/>
        </w:rPr>
        <w:t>Sursa: Direc</w:t>
      </w:r>
      <w:r w:rsidRPr="00A93324">
        <w:rPr>
          <w:rFonts w:ascii="Arial" w:eastAsia="SimSun" w:hAnsi="Tahoma" w:cs="Arial"/>
          <w:i/>
          <w:sz w:val="24"/>
          <w:szCs w:val="24"/>
          <w:lang w:val="ro-RO"/>
        </w:rPr>
        <w:t>ţ</w:t>
      </w:r>
      <w:r w:rsidRPr="00A93324">
        <w:rPr>
          <w:rFonts w:ascii="Arial" w:eastAsia="SimSun" w:hAnsi="Arial" w:cs="Arial"/>
          <w:i/>
          <w:sz w:val="24"/>
          <w:szCs w:val="24"/>
          <w:lang w:val="ro-RO"/>
        </w:rPr>
        <w:t>ia Jude</w:t>
      </w:r>
      <w:r w:rsidRPr="00A93324">
        <w:rPr>
          <w:rFonts w:ascii="Arial" w:eastAsia="SimSun" w:hAnsi="Tahoma" w:cs="Arial"/>
          <w:i/>
          <w:sz w:val="24"/>
          <w:szCs w:val="24"/>
          <w:lang w:val="ro-RO"/>
        </w:rPr>
        <w:t>ţ</w:t>
      </w:r>
      <w:r w:rsidRPr="00A93324">
        <w:rPr>
          <w:rFonts w:ascii="Arial" w:eastAsia="SimSun" w:hAnsi="Arial" w:cs="Arial"/>
          <w:i/>
          <w:sz w:val="24"/>
          <w:szCs w:val="24"/>
          <w:lang w:val="ro-RO"/>
        </w:rPr>
        <w:t>eană de Statistică Buzău</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Din analiza datelor privind consumul total de produse fitosanitare raportat la suprafa</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a pe care acestea se administrează, reprezentate grafic în figura III.3.2-2 de mai sus, se constată şi o reducere a consumului total la hectar, de la </w:t>
      </w:r>
      <w:r w:rsidRPr="00A93324">
        <w:rPr>
          <w:rFonts w:ascii="Arial" w:eastAsia="SimSun" w:hAnsi="Arial" w:cs="Arial"/>
          <w:color w:val="000000"/>
          <w:sz w:val="24"/>
          <w:szCs w:val="24"/>
          <w:lang w:val="ro-RO"/>
        </w:rPr>
        <w:t>1,456 Kg/ha</w:t>
      </w:r>
      <w:r w:rsidRPr="00A93324">
        <w:rPr>
          <w:rFonts w:ascii="Arial" w:eastAsia="SimSun" w:hAnsi="Arial" w:cs="Arial"/>
          <w:sz w:val="24"/>
          <w:szCs w:val="24"/>
          <w:lang w:val="ro-RO"/>
        </w:rPr>
        <w:t xml:space="preserve"> în 2010 la </w:t>
      </w:r>
      <w:r w:rsidRPr="00A93324">
        <w:rPr>
          <w:rFonts w:ascii="Arial" w:eastAsia="SimSun" w:hAnsi="Arial" w:cs="Arial"/>
          <w:color w:val="000000"/>
          <w:sz w:val="24"/>
          <w:szCs w:val="24"/>
          <w:lang w:val="ro-RO"/>
        </w:rPr>
        <w:t xml:space="preserve">0,917 Kg/ha în 2014, </w:t>
      </w:r>
      <w:r w:rsidRPr="00A93324">
        <w:rPr>
          <w:rFonts w:ascii="Arial" w:eastAsia="SimSun" w:hAnsi="Arial" w:cs="Arial"/>
          <w:sz w:val="24"/>
          <w:szCs w:val="24"/>
          <w:lang w:val="ro-RO"/>
        </w:rPr>
        <w:t>excepţie făcând perioada 2013-2014 care este caracterizată de o tendinţă uşoară, nesemnificativă de revenire pe creştere datorată utilizării unor cantităţi mai mari de erbicide.</w:t>
      </w:r>
    </w:p>
    <w:p w:rsidR="00A93324" w:rsidRPr="00A93324" w:rsidRDefault="00A93324" w:rsidP="00A93324">
      <w:pPr>
        <w:spacing w:after="120" w:line="240" w:lineRule="auto"/>
        <w:jc w:val="both"/>
        <w:rPr>
          <w:rFonts w:ascii="Arial" w:eastAsia="SimSun" w:hAnsi="Arial"/>
          <w:b/>
          <w:bCs/>
          <w:sz w:val="20"/>
          <w:szCs w:val="20"/>
          <w:lang w:val="ro-RO"/>
        </w:rPr>
      </w:pPr>
      <w:r w:rsidRPr="00A93324">
        <w:rPr>
          <w:rFonts w:ascii="Arial" w:eastAsia="SimSun" w:hAnsi="Arial" w:cs="Arial"/>
          <w:sz w:val="24"/>
          <w:szCs w:val="24"/>
          <w:lang w:val="ro-RO"/>
        </w:rPr>
        <w:t>Evoluţia separată a cantităţilor de pesticide şi a suprafeţelor pe care acestea s-au aplicat poate fi vizualizată  în figurile III.3.2-3  şi III.3.2-4 de mai jos:</w:t>
      </w:r>
      <w:r w:rsidRPr="00A93324">
        <w:rPr>
          <w:rFonts w:ascii="Arial" w:eastAsia="SimSun" w:hAnsi="Arial"/>
          <w:b/>
          <w:bCs/>
          <w:sz w:val="20"/>
          <w:szCs w:val="20"/>
          <w:lang w:val="ro-RO"/>
        </w:rPr>
        <w:t xml:space="preserve">     </w:t>
      </w:r>
    </w:p>
    <w:p w:rsidR="00A93324" w:rsidRPr="00A93324" w:rsidRDefault="00810D5B" w:rsidP="00A93324">
      <w:pPr>
        <w:spacing w:after="120" w:line="240" w:lineRule="auto"/>
        <w:jc w:val="both"/>
        <w:rPr>
          <w:rFonts w:ascii="Arial" w:eastAsia="SimSun" w:hAnsi="Arial" w:cs="Arial"/>
          <w:b/>
          <w:bCs/>
          <w:sz w:val="24"/>
          <w:szCs w:val="24"/>
          <w:lang w:val="ro-RO"/>
        </w:rPr>
      </w:pPr>
      <w:r>
        <w:rPr>
          <w:rFonts w:ascii="Arial" w:eastAsia="SimSun" w:hAnsi="Arial" w:cs="Arial"/>
          <w:b/>
          <w:bCs/>
          <w:noProof/>
          <w:sz w:val="24"/>
          <w:szCs w:val="24"/>
          <w:lang w:val="ro-RO" w:eastAsia="ro-RO"/>
        </w:rPr>
        <w:pict>
          <v:group id="_x0000_s1048" style="position:absolute;left:0;text-align:left;margin-left:-9pt;margin-top:5.1pt;width:477pt;height:54pt;z-index:251661312" coordorigin="1597,8617" coordsize="9540,900">
            <v:shapetype id="_x0000_t202" coordsize="21600,21600" o:spt="202" path="m,l,21600r21600,l21600,xe">
              <v:stroke joinstyle="miter"/>
              <v:path gradientshapeok="t" o:connecttype="rect"/>
            </v:shapetype>
            <v:shape id="_x0000_s1049" type="#_x0000_t202" style="position:absolute;left:1597;top:8617;width:4680;height:900" stroked="f">
              <v:textbox style="mso-next-textbox:#_x0000_s1049">
                <w:txbxContent>
                  <w:p w:rsidR="00D92384" w:rsidRDefault="00D92384" w:rsidP="00A93324">
                    <w:r w:rsidRPr="00FB4BD0">
                      <w:rPr>
                        <w:rFonts w:ascii="Arial" w:hAnsi="Arial" w:cs="Arial"/>
                        <w:b/>
                        <w:bCs/>
                        <w:lang w:val="ro-RO"/>
                      </w:rPr>
                      <w:t xml:space="preserve">Figura </w:t>
                    </w:r>
                    <w:r w:rsidRPr="00A44063">
                      <w:rPr>
                        <w:rFonts w:ascii="Arial" w:hAnsi="Arial" w:cs="Arial"/>
                        <w:b/>
                        <w:lang w:val="ro-RO"/>
                      </w:rPr>
                      <w:t>III.3.2 -</w:t>
                    </w:r>
                    <w:r>
                      <w:rPr>
                        <w:rFonts w:ascii="Arial" w:hAnsi="Arial" w:cs="Arial"/>
                        <w:b/>
                        <w:lang w:val="ro-RO"/>
                      </w:rPr>
                      <w:t xml:space="preserve"> 3</w:t>
                    </w:r>
                    <w:r>
                      <w:rPr>
                        <w:rFonts w:ascii="Arial" w:hAnsi="Arial" w:cs="Arial"/>
                        <w:b/>
                        <w:bCs/>
                        <w:lang w:val="ro-RO"/>
                      </w:rPr>
                      <w:t xml:space="preserve"> </w:t>
                    </w:r>
                    <w:r w:rsidRPr="00FB4BD0">
                      <w:rPr>
                        <w:rFonts w:ascii="Arial" w:hAnsi="Arial" w:cs="Arial"/>
                        <w:b/>
                        <w:bCs/>
                        <w:lang w:val="ro-RO"/>
                      </w:rPr>
                      <w:t>Evolu</w:t>
                    </w:r>
                    <w:r w:rsidRPr="00FB4BD0">
                      <w:rPr>
                        <w:rFonts w:ascii="Arial" w:hAnsi="Tahoma" w:cs="Arial"/>
                        <w:b/>
                        <w:bCs/>
                        <w:lang w:val="ro-RO"/>
                      </w:rPr>
                      <w:t>ț</w:t>
                    </w:r>
                    <w:r>
                      <w:rPr>
                        <w:rFonts w:ascii="Arial" w:hAnsi="Arial" w:cs="Arial"/>
                        <w:b/>
                        <w:bCs/>
                        <w:lang w:val="ro-RO"/>
                      </w:rPr>
                      <w:t xml:space="preserve">ia </w:t>
                    </w:r>
                    <w:r w:rsidRPr="00FB4BD0">
                      <w:rPr>
                        <w:rFonts w:ascii="Arial" w:hAnsi="Arial" w:cs="Arial"/>
                        <w:b/>
                        <w:bCs/>
                        <w:lang w:val="ro-RO"/>
                      </w:rPr>
                      <w:t>suprafe</w:t>
                    </w:r>
                    <w:r w:rsidRPr="00FB4BD0">
                      <w:rPr>
                        <w:rFonts w:ascii="Arial" w:hAnsi="Tahoma" w:cs="Arial"/>
                        <w:b/>
                        <w:bCs/>
                        <w:lang w:val="ro-RO"/>
                      </w:rPr>
                      <w:t>ț</w:t>
                    </w:r>
                    <w:r w:rsidRPr="00FB4BD0">
                      <w:rPr>
                        <w:rFonts w:ascii="Arial" w:hAnsi="Arial" w:cs="Arial"/>
                        <w:b/>
                        <w:bCs/>
                        <w:lang w:val="ro-RO"/>
                      </w:rPr>
                      <w:t>elor pe care s-au ad</w:t>
                    </w:r>
                    <w:r>
                      <w:rPr>
                        <w:rFonts w:ascii="Arial" w:hAnsi="Arial" w:cs="Arial"/>
                        <w:b/>
                        <w:bCs/>
                        <w:lang w:val="ro-RO"/>
                      </w:rPr>
                      <w:t>ministrat pesticide în anii 2010-2014</w:t>
                    </w:r>
                  </w:p>
                </w:txbxContent>
              </v:textbox>
            </v:shape>
            <v:shape id="_x0000_s1050" type="#_x0000_t202" style="position:absolute;left:6457;top:8617;width:4680;height:720" stroked="f">
              <v:textbox style="mso-next-textbox:#_x0000_s1050">
                <w:txbxContent>
                  <w:p w:rsidR="00D92384" w:rsidRPr="0098575B" w:rsidRDefault="00D92384" w:rsidP="00A93324">
                    <w:pPr>
                      <w:pStyle w:val="BodyText2"/>
                      <w:spacing w:line="240" w:lineRule="auto"/>
                      <w:jc w:val="both"/>
                      <w:rPr>
                        <w:rFonts w:ascii="Arial" w:hAnsi="Arial" w:cs="Arial"/>
                        <w:b/>
                        <w:bCs/>
                        <w:lang w:val="ro-RO"/>
                      </w:rPr>
                    </w:pPr>
                    <w:r>
                      <w:rPr>
                        <w:rFonts w:ascii="Arial" w:hAnsi="Arial" w:cs="Arial"/>
                        <w:b/>
                        <w:lang w:val="ro-RO"/>
                      </w:rPr>
                      <w:t>Figura III.3.2- 4</w:t>
                    </w:r>
                    <w:r w:rsidRPr="0098575B">
                      <w:rPr>
                        <w:rFonts w:ascii="Arial" w:hAnsi="Arial" w:cs="Arial"/>
                        <w:b/>
                        <w:lang w:val="ro-RO"/>
                      </w:rPr>
                      <w:t xml:space="preserve"> Evolu</w:t>
                    </w:r>
                    <w:r w:rsidRPr="0098575B">
                      <w:rPr>
                        <w:rFonts w:ascii="Arial" w:hAnsi="Tahoma" w:cs="Arial"/>
                        <w:b/>
                        <w:lang w:val="ro-RO"/>
                      </w:rPr>
                      <w:t>ț</w:t>
                    </w:r>
                    <w:r w:rsidRPr="0098575B">
                      <w:rPr>
                        <w:rFonts w:ascii="Arial" w:hAnsi="Arial" w:cs="Arial"/>
                        <w:b/>
                        <w:lang w:val="ro-RO"/>
                      </w:rPr>
                      <w:t>ia util</w:t>
                    </w:r>
                    <w:r>
                      <w:rPr>
                        <w:rFonts w:ascii="Arial" w:hAnsi="Arial" w:cs="Arial"/>
                        <w:b/>
                        <w:lang w:val="ro-RO"/>
                      </w:rPr>
                      <w:t>izării pesticidelor în anii 2010-2014</w:t>
                    </w:r>
                    <w:r w:rsidRPr="0098575B">
                      <w:rPr>
                        <w:rFonts w:ascii="Arial" w:hAnsi="Arial" w:cs="Arial"/>
                        <w:b/>
                        <w:lang w:val="ro-RO"/>
                      </w:rPr>
                      <w:t xml:space="preserve">      </w:t>
                    </w:r>
                  </w:p>
                </w:txbxContent>
              </v:textbox>
            </v:shape>
          </v:group>
        </w:pict>
      </w:r>
    </w:p>
    <w:p w:rsidR="00A93324" w:rsidRPr="00A93324" w:rsidRDefault="00A93324" w:rsidP="00A93324">
      <w:pPr>
        <w:spacing w:after="120" w:line="240" w:lineRule="auto"/>
        <w:jc w:val="both"/>
        <w:rPr>
          <w:rFonts w:ascii="Arial" w:eastAsia="SimSun" w:hAnsi="Arial" w:cs="Arial"/>
          <w:b/>
          <w:bCs/>
          <w:sz w:val="24"/>
          <w:szCs w:val="24"/>
          <w:lang w:val="ro-RO"/>
        </w:rPr>
      </w:pPr>
      <w:r>
        <w:rPr>
          <w:rFonts w:ascii="Arial" w:eastAsia="SimSun" w:hAnsi="Arial" w:cs="Arial"/>
          <w:noProof/>
          <w:sz w:val="24"/>
          <w:szCs w:val="24"/>
          <w:lang w:val="ro-RO" w:eastAsia="ro-RO"/>
        </w:rPr>
        <w:drawing>
          <wp:anchor distT="0" distB="0" distL="114300" distR="114300" simplePos="0" relativeHeight="251660288" behindDoc="0" locked="0" layoutInCell="1" allowOverlap="1">
            <wp:simplePos x="0" y="0"/>
            <wp:positionH relativeFrom="column">
              <wp:posOffset>-228600</wp:posOffset>
            </wp:positionH>
            <wp:positionV relativeFrom="paragraph">
              <wp:posOffset>480060</wp:posOffset>
            </wp:positionV>
            <wp:extent cx="3280410" cy="2047240"/>
            <wp:effectExtent l="0" t="0" r="0" b="0"/>
            <wp:wrapSquare wrapText="bothSides"/>
            <wp:docPr id="274" name="Objec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Pr>
          <w:rFonts w:ascii="Arial" w:eastAsia="SimSun" w:hAnsi="Arial" w:cs="Arial"/>
          <w:noProof/>
          <w:sz w:val="24"/>
          <w:szCs w:val="24"/>
          <w:lang w:val="ro-RO" w:eastAsia="ro-RO"/>
        </w:rPr>
        <w:drawing>
          <wp:anchor distT="0" distB="0" distL="114300" distR="114300" simplePos="0" relativeHeight="251662336" behindDoc="0" locked="0" layoutInCell="1" allowOverlap="0">
            <wp:simplePos x="0" y="0"/>
            <wp:positionH relativeFrom="column">
              <wp:posOffset>3086100</wp:posOffset>
            </wp:positionH>
            <wp:positionV relativeFrom="paragraph">
              <wp:posOffset>499110</wp:posOffset>
            </wp:positionV>
            <wp:extent cx="3197225" cy="2028190"/>
            <wp:effectExtent l="0" t="0" r="0" b="0"/>
            <wp:wrapTopAndBottom/>
            <wp:docPr id="273"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p>
    <w:p w:rsidR="00A93324" w:rsidRPr="00A93324" w:rsidRDefault="00A93324" w:rsidP="00A93324">
      <w:pPr>
        <w:spacing w:after="120" w:line="240" w:lineRule="auto"/>
        <w:jc w:val="both"/>
        <w:rPr>
          <w:rFonts w:ascii="Arial" w:eastAsia="SimSun" w:hAnsi="Arial" w:cs="Arial"/>
          <w:b/>
          <w:bCs/>
          <w:sz w:val="24"/>
          <w:szCs w:val="24"/>
          <w:lang w:val="ro-RO"/>
        </w:rPr>
      </w:pPr>
    </w:p>
    <w:p w:rsidR="00A93324" w:rsidRPr="00A93324" w:rsidRDefault="00A93324" w:rsidP="00A93324">
      <w:pPr>
        <w:spacing w:after="120" w:line="240" w:lineRule="auto"/>
        <w:jc w:val="right"/>
        <w:rPr>
          <w:rFonts w:ascii="Arial" w:eastAsia="SimSun" w:hAnsi="Arial" w:cs="Arial"/>
          <w:i/>
          <w:color w:val="000000"/>
          <w:sz w:val="24"/>
          <w:szCs w:val="24"/>
          <w:lang w:val="ro-RO"/>
        </w:rPr>
      </w:pPr>
      <w:r w:rsidRPr="00A93324">
        <w:rPr>
          <w:rFonts w:ascii="Arial" w:eastAsia="SimSun" w:hAnsi="Arial" w:cs="Arial"/>
          <w:b/>
          <w:bCs/>
          <w:sz w:val="24"/>
          <w:szCs w:val="24"/>
          <w:lang w:val="ro-RO"/>
        </w:rPr>
        <w:t xml:space="preserve"> </w:t>
      </w:r>
      <w:r w:rsidRPr="00A93324">
        <w:rPr>
          <w:rFonts w:ascii="Arial" w:eastAsia="SimSun" w:hAnsi="Arial" w:cs="Arial"/>
          <w:i/>
          <w:sz w:val="24"/>
          <w:szCs w:val="24"/>
          <w:lang w:val="ro-RO"/>
        </w:rPr>
        <w:t>Sursa: Direc</w:t>
      </w:r>
      <w:r w:rsidRPr="00A93324">
        <w:rPr>
          <w:rFonts w:ascii="Arial" w:eastAsia="SimSun" w:hAnsi="Tahoma" w:cs="Arial"/>
          <w:i/>
          <w:sz w:val="24"/>
          <w:szCs w:val="24"/>
          <w:lang w:val="ro-RO"/>
        </w:rPr>
        <w:t>ţ</w:t>
      </w:r>
      <w:r w:rsidRPr="00A93324">
        <w:rPr>
          <w:rFonts w:ascii="Arial" w:eastAsia="SimSun" w:hAnsi="Arial" w:cs="Arial"/>
          <w:i/>
          <w:sz w:val="24"/>
          <w:szCs w:val="24"/>
          <w:lang w:val="ro-RO"/>
        </w:rPr>
        <w:t>ia Jude</w:t>
      </w:r>
      <w:r w:rsidRPr="00A93324">
        <w:rPr>
          <w:rFonts w:ascii="Arial" w:eastAsia="SimSun" w:hAnsi="Tahoma" w:cs="Arial"/>
          <w:i/>
          <w:sz w:val="24"/>
          <w:szCs w:val="24"/>
          <w:lang w:val="ro-RO"/>
        </w:rPr>
        <w:t>ţ</w:t>
      </w:r>
      <w:r w:rsidRPr="00A93324">
        <w:rPr>
          <w:rFonts w:ascii="Arial" w:eastAsia="SimSun" w:hAnsi="Arial" w:cs="Arial"/>
          <w:i/>
          <w:sz w:val="24"/>
          <w:szCs w:val="24"/>
          <w:lang w:val="ro-RO"/>
        </w:rPr>
        <w:t>eană de Statistică Buzău</w:t>
      </w:r>
    </w:p>
    <w:p w:rsidR="00A93324" w:rsidRPr="00A93324" w:rsidRDefault="00A93324" w:rsidP="00A93324">
      <w:pPr>
        <w:spacing w:after="120" w:line="240" w:lineRule="auto"/>
        <w:jc w:val="both"/>
        <w:rPr>
          <w:rFonts w:ascii="Arial" w:eastAsia="SimSun" w:hAnsi="Arial" w:cs="Arial"/>
          <w:bCs/>
          <w:sz w:val="24"/>
          <w:szCs w:val="24"/>
          <w:lang w:val="ro-RO"/>
        </w:rPr>
      </w:pPr>
      <w:r w:rsidRPr="00A93324">
        <w:rPr>
          <w:rFonts w:ascii="Arial" w:eastAsia="SimSun" w:hAnsi="Arial" w:cs="Arial"/>
          <w:bCs/>
          <w:sz w:val="24"/>
          <w:szCs w:val="24"/>
          <w:lang w:val="ro-RO"/>
        </w:rPr>
        <w:t>Cel mai probabil, r</w:t>
      </w:r>
      <w:r w:rsidRPr="00A93324">
        <w:rPr>
          <w:rFonts w:ascii="Arial" w:eastAsia="SimSun" w:hAnsi="Arial" w:cs="Arial"/>
          <w:sz w:val="24"/>
          <w:szCs w:val="24"/>
          <w:lang w:val="ro-RO"/>
        </w:rPr>
        <w:t>educerea consumului produselor fitosanitare raportat la suprafaţa pe care acestea se administrează a fost determinată de reorganizarea şi restructurarea proprietă</w:t>
      </w:r>
      <w:r w:rsidRPr="00A93324">
        <w:rPr>
          <w:rFonts w:ascii="Arial" w:eastAsia="SimSun" w:hAnsi="Tahoma" w:cs="Arial"/>
          <w:sz w:val="24"/>
          <w:szCs w:val="24"/>
          <w:lang w:val="ro-RO"/>
        </w:rPr>
        <w:t>ţ</w:t>
      </w:r>
      <w:r w:rsidRPr="00A93324">
        <w:rPr>
          <w:rFonts w:ascii="Arial" w:eastAsia="SimSun" w:hAnsi="Tahoma" w:cs="Arial"/>
          <w:sz w:val="24"/>
          <w:szCs w:val="24"/>
          <w:lang w:val="ro-RO"/>
        </w:rPr>
        <w:t>i</w:t>
      </w:r>
      <w:r w:rsidRPr="00A93324">
        <w:rPr>
          <w:rFonts w:ascii="Arial" w:eastAsia="SimSun" w:hAnsi="Arial" w:cs="Arial"/>
          <w:sz w:val="24"/>
          <w:szCs w:val="24"/>
          <w:lang w:val="ro-RO"/>
        </w:rPr>
        <w:t>lor din agricultură, concomitent cu creşterea pre</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urilor la tratamentele fitosanitare. </w:t>
      </w:r>
      <w:r w:rsidRPr="00A93324">
        <w:rPr>
          <w:rFonts w:ascii="Arial" w:eastAsia="SimSun" w:hAnsi="Arial" w:cs="Arial"/>
          <w:bCs/>
          <w:sz w:val="24"/>
          <w:szCs w:val="24"/>
          <w:lang w:val="ro-RO"/>
        </w:rPr>
        <w:t xml:space="preserve"> </w:t>
      </w:r>
    </w:p>
    <w:p w:rsidR="00450CDB" w:rsidRDefault="00450CDB" w:rsidP="00A93324">
      <w:pPr>
        <w:tabs>
          <w:tab w:val="left" w:pos="1276"/>
          <w:tab w:val="left" w:leader="dot" w:pos="9356"/>
        </w:tabs>
        <w:spacing w:after="120" w:line="240" w:lineRule="auto"/>
        <w:jc w:val="both"/>
        <w:rPr>
          <w:rFonts w:ascii="Arial" w:eastAsia="SimSun" w:hAnsi="Arial" w:cs="Arial"/>
          <w:b/>
          <w:i/>
          <w:sz w:val="24"/>
          <w:szCs w:val="24"/>
          <w:lang w:val="ro-RO"/>
        </w:rPr>
      </w:pPr>
    </w:p>
    <w:p w:rsidR="00450CDB" w:rsidRDefault="00450CDB" w:rsidP="00A93324">
      <w:pPr>
        <w:tabs>
          <w:tab w:val="left" w:pos="1276"/>
          <w:tab w:val="left" w:leader="dot" w:pos="9356"/>
        </w:tabs>
        <w:spacing w:after="120" w:line="240" w:lineRule="auto"/>
        <w:jc w:val="both"/>
        <w:rPr>
          <w:rFonts w:ascii="Arial" w:eastAsia="SimSun" w:hAnsi="Arial" w:cs="Arial"/>
          <w:b/>
          <w:i/>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i/>
          <w:sz w:val="24"/>
          <w:szCs w:val="24"/>
          <w:lang w:val="ro-RO"/>
        </w:rPr>
      </w:pPr>
      <w:r w:rsidRPr="00A93324">
        <w:rPr>
          <w:rFonts w:ascii="Arial" w:eastAsia="SimSun" w:hAnsi="Arial" w:cs="Arial"/>
          <w:b/>
          <w:i/>
          <w:sz w:val="24"/>
          <w:szCs w:val="24"/>
          <w:lang w:val="ro-RO"/>
        </w:rPr>
        <w:lastRenderedPageBreak/>
        <w:t>III.3.3. Evoluţia suprafeţelor de îmbunătăţiri funciare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Din categoria amenajărilor de îmbunătă</w:t>
      </w:r>
      <w:r w:rsidRPr="00A93324">
        <w:rPr>
          <w:rFonts w:ascii="Tahoma" w:eastAsia="SimSun" w:hAnsi="Tahoma" w:cs="Tahoma"/>
          <w:sz w:val="24"/>
          <w:szCs w:val="24"/>
          <w:lang w:val="ro-RO"/>
        </w:rPr>
        <w:t>ţ</w:t>
      </w:r>
      <w:r w:rsidRPr="00A93324">
        <w:rPr>
          <w:rFonts w:ascii="Arial" w:eastAsia="SimSun" w:hAnsi="Arial" w:cs="Arial"/>
          <w:sz w:val="24"/>
          <w:szCs w:val="24"/>
          <w:lang w:val="ro-RO"/>
        </w:rPr>
        <w:t>iri funciare/agricole fac parte următoarele tipuri de lucrări de construc</w:t>
      </w:r>
      <w:r w:rsidRPr="00A93324">
        <w:rPr>
          <w:rFonts w:ascii="Tahoma" w:eastAsia="SimSun" w:hAnsi="Tahoma" w:cs="Tahoma"/>
          <w:sz w:val="24"/>
          <w:szCs w:val="24"/>
          <w:lang w:val="ro-RO"/>
        </w:rPr>
        <w:t>ţ</w:t>
      </w:r>
      <w:r w:rsidRPr="00A93324">
        <w:rPr>
          <w:rFonts w:ascii="Arial" w:eastAsia="SimSun" w:hAnsi="Arial" w:cs="Arial"/>
          <w:sz w:val="24"/>
          <w:szCs w:val="24"/>
          <w:lang w:val="ro-RO"/>
        </w:rPr>
        <w:t>ii şi instala</w:t>
      </w:r>
      <w:r w:rsidRPr="00A93324">
        <w:rPr>
          <w:rFonts w:ascii="Tahoma" w:eastAsia="SimSun" w:hAnsi="Tahoma" w:cs="Tahoma"/>
          <w:sz w:val="24"/>
          <w:szCs w:val="24"/>
          <w:lang w:val="ro-RO"/>
        </w:rPr>
        <w:t>ţ</w:t>
      </w:r>
      <w:r w:rsidRPr="00A93324">
        <w:rPr>
          <w:rFonts w:ascii="Arial" w:eastAsia="SimSun" w:hAnsi="Arial" w:cs="Arial"/>
          <w:sz w:val="24"/>
          <w:szCs w:val="24"/>
          <w:lang w:val="ro-RO"/>
        </w:rPr>
        <w:t>ii:</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îndiguiri şi regularizări ale cursurilor de apă prin care se asigură protec</w:t>
      </w:r>
      <w:r w:rsidRPr="00A93324">
        <w:rPr>
          <w:rFonts w:ascii="Tahoma" w:eastAsia="SimSun" w:hAnsi="Tahoma" w:cs="Tahoma"/>
          <w:sz w:val="24"/>
          <w:szCs w:val="24"/>
          <w:lang w:val="ro-RO"/>
        </w:rPr>
        <w:t>ţ</w:t>
      </w:r>
      <w:r w:rsidRPr="00A93324">
        <w:rPr>
          <w:rFonts w:ascii="Arial" w:eastAsia="SimSun" w:hAnsi="Arial" w:cs="Arial"/>
          <w:sz w:val="24"/>
          <w:szCs w:val="24"/>
          <w:lang w:val="ro-RO"/>
        </w:rPr>
        <w:t>ia terenurilor şi a drumurilor împotriva inunda</w:t>
      </w:r>
      <w:r w:rsidRPr="00A93324">
        <w:rPr>
          <w:rFonts w:ascii="Tahoma" w:eastAsia="SimSun" w:hAnsi="Tahoma" w:cs="Tahoma"/>
          <w:sz w:val="24"/>
          <w:szCs w:val="24"/>
          <w:lang w:val="ro-RO"/>
        </w:rPr>
        <w:t>ţ</w:t>
      </w:r>
      <w:r w:rsidRPr="00A93324">
        <w:rPr>
          <w:rFonts w:ascii="Arial" w:eastAsia="SimSun" w:hAnsi="Arial" w:cs="Arial"/>
          <w:sz w:val="24"/>
          <w:szCs w:val="24"/>
          <w:lang w:val="ro-RO"/>
        </w:rPr>
        <w:t>iilor;</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amenajări de iriga</w:t>
      </w:r>
      <w:r w:rsidRPr="00A93324">
        <w:rPr>
          <w:rFonts w:ascii="Tahoma" w:eastAsia="SimSun" w:hAnsi="Tahoma" w:cs="Tahoma"/>
          <w:sz w:val="24"/>
          <w:szCs w:val="24"/>
          <w:lang w:val="ro-RO"/>
        </w:rPr>
        <w:t>ţ</w:t>
      </w:r>
      <w:r w:rsidRPr="00A93324">
        <w:rPr>
          <w:rFonts w:ascii="Arial" w:eastAsia="SimSun" w:hAnsi="Arial" w:cs="Arial"/>
          <w:sz w:val="24"/>
          <w:szCs w:val="24"/>
          <w:lang w:val="ro-RO"/>
        </w:rPr>
        <w:t>ii, prin care se asigură aprovizionarea controlată a solului şi a plantelor cu cantită</w:t>
      </w:r>
      <w:r w:rsidRPr="00A93324">
        <w:rPr>
          <w:rFonts w:ascii="Tahoma" w:eastAsia="SimSun" w:hAnsi="Tahoma" w:cs="Tahoma"/>
          <w:sz w:val="24"/>
          <w:szCs w:val="24"/>
          <w:lang w:val="ro-RO"/>
        </w:rPr>
        <w:t>ţ</w:t>
      </w:r>
      <w:r w:rsidRPr="00A93324">
        <w:rPr>
          <w:rFonts w:ascii="Arial" w:eastAsia="SimSun" w:hAnsi="Arial" w:cs="Arial"/>
          <w:sz w:val="24"/>
          <w:szCs w:val="24"/>
          <w:lang w:val="ro-RO"/>
        </w:rPr>
        <w:t>ile de apă necesare dezvoltării culturilor şi creşterii produc</w:t>
      </w:r>
      <w:r w:rsidRPr="00A93324">
        <w:rPr>
          <w:rFonts w:ascii="Tahoma" w:eastAsia="SimSun" w:hAnsi="Tahoma" w:cs="Tahoma"/>
          <w:sz w:val="24"/>
          <w:szCs w:val="24"/>
          <w:lang w:val="ro-RO"/>
        </w:rPr>
        <w:t>ţ</w:t>
      </w:r>
      <w:r w:rsidRPr="00A93324">
        <w:rPr>
          <w:rFonts w:ascii="Arial" w:eastAsia="SimSun" w:hAnsi="Arial" w:cs="Arial"/>
          <w:sz w:val="24"/>
          <w:szCs w:val="24"/>
          <w:lang w:val="ro-RO"/>
        </w:rPr>
        <w:t>iei agricole. Aceste amenajări cuprind lucrări de captare, pompare, transport, distribu</w:t>
      </w:r>
      <w:r w:rsidRPr="00A93324">
        <w:rPr>
          <w:rFonts w:ascii="Tahoma" w:eastAsia="SimSun" w:hAnsi="Tahoma" w:cs="Tahoma"/>
          <w:sz w:val="24"/>
          <w:szCs w:val="24"/>
          <w:lang w:val="ro-RO"/>
        </w:rPr>
        <w:t>ţ</w:t>
      </w:r>
      <w:r w:rsidRPr="00A93324">
        <w:rPr>
          <w:rFonts w:ascii="Arial" w:eastAsia="SimSun" w:hAnsi="Arial" w:cs="Arial"/>
          <w:sz w:val="24"/>
          <w:szCs w:val="24"/>
          <w:lang w:val="ro-RO"/>
        </w:rPr>
        <w:t>ie şi evacuare a apei şi, după caz, lucrări de nivelare a terenului;</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amenajări de drenaj şi desecare, care au drept scop prevenirea şi înlăturarea excesului de umiditate de la suprafa</w:t>
      </w:r>
      <w:r w:rsidRPr="00A93324">
        <w:rPr>
          <w:rFonts w:ascii="Tahoma" w:eastAsia="SimSun" w:hAnsi="Tahoma" w:cs="Tahoma"/>
          <w:sz w:val="24"/>
          <w:szCs w:val="24"/>
          <w:lang w:val="ro-RO"/>
        </w:rPr>
        <w:t>ţ</w:t>
      </w:r>
      <w:r w:rsidRPr="00A93324">
        <w:rPr>
          <w:rFonts w:ascii="Arial" w:eastAsia="SimSun" w:hAnsi="Arial" w:cs="Arial"/>
          <w:sz w:val="24"/>
          <w:szCs w:val="24"/>
          <w:lang w:val="ro-RO"/>
        </w:rPr>
        <w:t>a terenului şi din sol, în vederea asigurării condi</w:t>
      </w:r>
      <w:r w:rsidRPr="00A93324">
        <w:rPr>
          <w:rFonts w:ascii="Tahoma" w:eastAsia="SimSun" w:hAnsi="Tahoma" w:cs="Tahoma"/>
          <w:sz w:val="24"/>
          <w:szCs w:val="24"/>
          <w:lang w:val="ro-RO"/>
        </w:rPr>
        <w:t>ţ</w:t>
      </w:r>
      <w:r w:rsidRPr="00A93324">
        <w:rPr>
          <w:rFonts w:ascii="Arial" w:eastAsia="SimSun" w:hAnsi="Arial" w:cs="Arial"/>
          <w:sz w:val="24"/>
          <w:szCs w:val="24"/>
          <w:lang w:val="ro-RO"/>
        </w:rPr>
        <w:t>iilor favorabile de utilizare a terenurilor;</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amenajări de combatere a eroziunii solului şi de ameliorare a terenurilor afectate de alunecări, prin care se previn, se diminuează sau se opresc procesele de degradare a terenurilor; aceste amenajări cuprind lucrări pentru protec</w:t>
      </w:r>
      <w:r w:rsidRPr="00A93324">
        <w:rPr>
          <w:rFonts w:ascii="Tahoma" w:eastAsia="SimSun" w:hAnsi="Tahoma" w:cs="Tahoma"/>
          <w:sz w:val="24"/>
          <w:szCs w:val="24"/>
          <w:lang w:val="ro-RO"/>
        </w:rPr>
        <w:t>ţ</w:t>
      </w:r>
      <w:r w:rsidRPr="00A93324">
        <w:rPr>
          <w:rFonts w:ascii="Arial" w:eastAsia="SimSun" w:hAnsi="Arial" w:cs="Arial"/>
          <w:sz w:val="24"/>
          <w:szCs w:val="24"/>
          <w:lang w:val="ro-RO"/>
        </w:rPr>
        <w:t>ia solului;</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amenajări pedoameliorative pe terenurile sărăturate, acide şi pe nisipuri, pe terenurile poluate, inclusiv cu reziduuri petroliere, cu halde de la exploatările miniere, pe alte terenuri neproductive, cuprinzând şi lucrările de nivelare-modelare, de scarificare, de afânare adâncă, rigole şi şan</w:t>
      </w:r>
      <w:r w:rsidRPr="00A93324">
        <w:rPr>
          <w:rFonts w:ascii="Tahoma" w:eastAsia="SimSun" w:hAnsi="Tahoma" w:cs="Tahoma"/>
          <w:sz w:val="24"/>
          <w:szCs w:val="24"/>
          <w:lang w:val="ro-RO"/>
        </w:rPr>
        <w:t>ţ</w:t>
      </w:r>
      <w:r w:rsidRPr="00A93324">
        <w:rPr>
          <w:rFonts w:ascii="Arial" w:eastAsia="SimSun" w:hAnsi="Arial" w:cs="Arial"/>
          <w:sz w:val="24"/>
          <w:szCs w:val="24"/>
          <w:lang w:val="ro-RO"/>
        </w:rPr>
        <w:t>uri de scurgere a apei, arăturile în benzi cu coame, udările de spălare a sărurilor, aplicarea de amendamente, precum şi îngrăşăminte, în scopul valorificării pentru agricultură;</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amenajări silvice de înfiin</w:t>
      </w:r>
      <w:r w:rsidRPr="00A93324">
        <w:rPr>
          <w:rFonts w:ascii="Tahoma" w:eastAsia="SimSun" w:hAnsi="Tahoma" w:cs="Tahoma"/>
          <w:sz w:val="24"/>
          <w:szCs w:val="24"/>
          <w:lang w:val="ro-RO"/>
        </w:rPr>
        <w:t>ţ</w:t>
      </w:r>
      <w:r w:rsidRPr="00A93324">
        <w:rPr>
          <w:rFonts w:ascii="Arial" w:eastAsia="SimSun" w:hAnsi="Arial" w:cs="Arial"/>
          <w:sz w:val="24"/>
          <w:szCs w:val="24"/>
          <w:lang w:val="ro-RO"/>
        </w:rPr>
        <w:t>are a perdelelor forestiere de protec</w:t>
      </w:r>
      <w:r w:rsidRPr="00A93324">
        <w:rPr>
          <w:rFonts w:ascii="Tahoma" w:eastAsia="SimSun" w:hAnsi="Tahoma" w:cs="Tahoma"/>
          <w:sz w:val="24"/>
          <w:szCs w:val="24"/>
          <w:lang w:val="ro-RO"/>
        </w:rPr>
        <w:t>ţ</w:t>
      </w:r>
      <w:r w:rsidRPr="00A93324">
        <w:rPr>
          <w:rFonts w:ascii="Arial" w:eastAsia="SimSun" w:hAnsi="Arial" w:cs="Arial"/>
          <w:sz w:val="24"/>
          <w:szCs w:val="24"/>
          <w:lang w:val="ro-RO"/>
        </w:rPr>
        <w:t>ie a terenurilor agricole şi a planta</w:t>
      </w:r>
      <w:r w:rsidRPr="00A93324">
        <w:rPr>
          <w:rFonts w:ascii="Tahoma" w:eastAsia="SimSun" w:hAnsi="Tahoma" w:cs="Tahoma"/>
          <w:sz w:val="24"/>
          <w:szCs w:val="24"/>
          <w:lang w:val="ro-RO"/>
        </w:rPr>
        <w:t>ţ</w:t>
      </w:r>
      <w:r w:rsidRPr="00A93324">
        <w:rPr>
          <w:rFonts w:ascii="Arial" w:eastAsia="SimSun" w:hAnsi="Arial" w:cs="Arial"/>
          <w:sz w:val="24"/>
          <w:szCs w:val="24"/>
          <w:lang w:val="ro-RO"/>
        </w:rPr>
        <w:t>iilor antierozionale;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Amenajările de îmbunătă</w:t>
      </w:r>
      <w:r w:rsidRPr="00A93324">
        <w:rPr>
          <w:rFonts w:ascii="Tahoma" w:eastAsia="SimSun" w:hAnsi="Tahoma" w:cs="Tahoma"/>
          <w:sz w:val="24"/>
          <w:szCs w:val="24"/>
          <w:lang w:val="ro-RO"/>
        </w:rPr>
        <w:t>ţ</w:t>
      </w:r>
      <w:r w:rsidRPr="00A93324">
        <w:rPr>
          <w:rFonts w:ascii="Arial" w:eastAsia="SimSun" w:hAnsi="Arial" w:cs="Arial"/>
          <w:sz w:val="24"/>
          <w:szCs w:val="24"/>
          <w:lang w:val="ro-RO"/>
        </w:rPr>
        <w:t>iri funciare, pe lângă aportul la produc</w:t>
      </w:r>
      <w:r w:rsidRPr="00A93324">
        <w:rPr>
          <w:rFonts w:ascii="Tahoma" w:eastAsia="SimSun" w:hAnsi="Tahoma" w:cs="Tahoma"/>
          <w:sz w:val="24"/>
          <w:szCs w:val="24"/>
          <w:lang w:val="ro-RO"/>
        </w:rPr>
        <w:t>ţ</w:t>
      </w:r>
      <w:r w:rsidRPr="00A93324">
        <w:rPr>
          <w:rFonts w:ascii="Arial" w:eastAsia="SimSun" w:hAnsi="Arial" w:cs="Arial"/>
          <w:sz w:val="24"/>
          <w:szCs w:val="24"/>
          <w:lang w:val="ro-RO"/>
        </w:rPr>
        <w:t>ia agricolă, contribuie la siguran</w:t>
      </w:r>
      <w:r w:rsidRPr="00A93324">
        <w:rPr>
          <w:rFonts w:ascii="Tahoma" w:eastAsia="SimSun" w:hAnsi="Tahoma" w:cs="Tahoma"/>
          <w:sz w:val="24"/>
          <w:szCs w:val="24"/>
          <w:lang w:val="ro-RO"/>
        </w:rPr>
        <w:t>ţ</w:t>
      </w:r>
      <w:r w:rsidRPr="00A93324">
        <w:rPr>
          <w:rFonts w:ascii="Arial" w:eastAsia="SimSun" w:hAnsi="Arial" w:cs="Arial"/>
          <w:sz w:val="24"/>
          <w:szCs w:val="24"/>
          <w:lang w:val="ro-RO"/>
        </w:rPr>
        <w:t>a obiectivelor sociale şi economice, a vie</w:t>
      </w:r>
      <w:r w:rsidRPr="00A93324">
        <w:rPr>
          <w:rFonts w:ascii="Tahoma" w:eastAsia="SimSun" w:hAnsi="Tahoma" w:cs="Tahoma"/>
          <w:sz w:val="24"/>
          <w:szCs w:val="24"/>
          <w:lang w:val="ro-RO"/>
        </w:rPr>
        <w:t>ţ</w:t>
      </w:r>
      <w:r w:rsidRPr="00A93324">
        <w:rPr>
          <w:rFonts w:ascii="Arial" w:eastAsia="SimSun" w:hAnsi="Arial" w:cs="Arial"/>
          <w:sz w:val="24"/>
          <w:szCs w:val="24"/>
          <w:lang w:val="ro-RO"/>
        </w:rPr>
        <w:t>ii oamenilor şi animalelor, reconstruc</w:t>
      </w:r>
      <w:r w:rsidRPr="00A93324">
        <w:rPr>
          <w:rFonts w:ascii="Tahoma" w:eastAsia="SimSun" w:hAnsi="Tahoma" w:cs="Tahoma"/>
          <w:sz w:val="24"/>
          <w:szCs w:val="24"/>
          <w:lang w:val="ro-RO"/>
        </w:rPr>
        <w:t>ţ</w:t>
      </w:r>
      <w:r w:rsidRPr="00A93324">
        <w:rPr>
          <w:rFonts w:ascii="Arial" w:eastAsia="SimSun" w:hAnsi="Arial" w:cs="Arial"/>
          <w:sz w:val="24"/>
          <w:szCs w:val="24"/>
          <w:lang w:val="ro-RO"/>
        </w:rPr>
        <w:t>ia ecologică şi protec</w:t>
      </w:r>
      <w:r w:rsidRPr="00A93324">
        <w:rPr>
          <w:rFonts w:ascii="Tahoma" w:eastAsia="SimSun" w:hAnsi="Tahoma" w:cs="Tahoma"/>
          <w:sz w:val="24"/>
          <w:szCs w:val="24"/>
          <w:lang w:val="ro-RO"/>
        </w:rPr>
        <w:t>ţ</w:t>
      </w:r>
      <w:r w:rsidRPr="00A93324">
        <w:rPr>
          <w:rFonts w:ascii="Arial" w:eastAsia="SimSun" w:hAnsi="Arial" w:cs="Arial"/>
          <w:sz w:val="24"/>
          <w:szCs w:val="24"/>
          <w:lang w:val="ro-RO"/>
        </w:rPr>
        <w:t xml:space="preserve">ia mediului.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Evoluţia acestor suprafeţe, la nivelul jude</w:t>
      </w:r>
      <w:r w:rsidRPr="00A93324">
        <w:rPr>
          <w:rFonts w:ascii="Tahoma" w:eastAsia="SimSun" w:hAnsi="Tahoma" w:cs="Tahoma"/>
          <w:sz w:val="24"/>
          <w:szCs w:val="24"/>
          <w:lang w:val="ro-RO"/>
        </w:rPr>
        <w:t>ţ</w:t>
      </w:r>
      <w:r w:rsidRPr="00A93324">
        <w:rPr>
          <w:rFonts w:ascii="Arial" w:eastAsia="SimSun" w:hAnsi="Arial" w:cs="Arial"/>
          <w:sz w:val="24"/>
          <w:szCs w:val="24"/>
          <w:lang w:val="ro-RO"/>
        </w:rPr>
        <w:t>ului Buzău, în perioada 2010-2014 este prezentată  atât în tabelul. III.3.3.-1 cât şi în figura de mai jos.</w:t>
      </w:r>
    </w:p>
    <w:p w:rsidR="00A93324" w:rsidRPr="00A93324" w:rsidRDefault="00A93324" w:rsidP="00A93324">
      <w:pPr>
        <w:tabs>
          <w:tab w:val="left" w:pos="1276"/>
          <w:tab w:val="left" w:leader="dot" w:pos="9356"/>
        </w:tabs>
        <w:spacing w:after="120" w:line="240" w:lineRule="auto"/>
        <w:jc w:val="both"/>
        <w:rPr>
          <w:rFonts w:ascii="Arial" w:eastAsia="SimSun" w:hAnsi="Arial" w:cs="Arial"/>
          <w:b/>
          <w:bCs/>
          <w:i/>
          <w:sz w:val="24"/>
          <w:szCs w:val="24"/>
          <w:lang w:val="ro-RO"/>
        </w:rPr>
      </w:pPr>
      <w:r w:rsidRPr="00A93324">
        <w:rPr>
          <w:rFonts w:ascii="Arial" w:eastAsia="SimSun" w:hAnsi="Arial" w:cs="Arial"/>
          <w:b/>
          <w:bCs/>
          <w:i/>
          <w:sz w:val="24"/>
          <w:szCs w:val="24"/>
          <w:lang w:val="ro-RO"/>
        </w:rPr>
        <w:t>Tabelul III.3.3</w:t>
      </w:r>
      <w:r w:rsidRPr="00A93324">
        <w:rPr>
          <w:rFonts w:ascii="Arial" w:eastAsia="SimSun" w:hAnsi="Arial" w:cs="Arial"/>
          <w:b/>
          <w:i/>
          <w:sz w:val="24"/>
          <w:szCs w:val="24"/>
          <w:lang w:val="ro-RO"/>
        </w:rPr>
        <w:t>.- 1.</w:t>
      </w:r>
      <w:r w:rsidRPr="00A93324">
        <w:rPr>
          <w:rFonts w:ascii="Arial" w:eastAsia="SimSun" w:hAnsi="Arial" w:cs="Arial"/>
          <w:i/>
          <w:sz w:val="24"/>
          <w:szCs w:val="24"/>
          <w:lang w:val="ro-RO"/>
        </w:rPr>
        <w:t xml:space="preserve"> </w:t>
      </w:r>
      <w:r w:rsidRPr="00A93324">
        <w:rPr>
          <w:rFonts w:ascii="Arial" w:eastAsia="SimSun" w:hAnsi="Arial" w:cs="Arial"/>
          <w:b/>
          <w:bCs/>
          <w:i/>
          <w:sz w:val="24"/>
          <w:szCs w:val="24"/>
          <w:lang w:val="ro-RO"/>
        </w:rPr>
        <w:t xml:space="preserve">Evoluţia amenajărilor de îmbunătăţiri funciare pe teritoriul judeţului Buzău în perioada 2010 – 2014 </w:t>
      </w:r>
    </w:p>
    <w:tbl>
      <w:tblPr>
        <w:tblW w:w="9543"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53"/>
        <w:gridCol w:w="1344"/>
        <w:gridCol w:w="1514"/>
        <w:gridCol w:w="1351"/>
        <w:gridCol w:w="1521"/>
        <w:gridCol w:w="1345"/>
        <w:gridCol w:w="1515"/>
      </w:tblGrid>
      <w:tr w:rsidR="00A93324" w:rsidRPr="00A93324" w:rsidTr="00A42550">
        <w:trPr>
          <w:cantSplit/>
          <w:trHeight w:val="245"/>
        </w:trPr>
        <w:tc>
          <w:tcPr>
            <w:tcW w:w="953" w:type="dxa"/>
            <w:vMerge w:val="restart"/>
            <w:tcBorders>
              <w:top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 xml:space="preserve">                                                                                                                        Anul</w:t>
            </w:r>
          </w:p>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p>
        </w:tc>
        <w:tc>
          <w:tcPr>
            <w:tcW w:w="8590" w:type="dxa"/>
            <w:gridSpan w:val="6"/>
            <w:tcBorders>
              <w:top w:val="double" w:sz="6" w:space="0" w:color="000000"/>
            </w:tcBorders>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Suprafa</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ă amenajată (ha)</w:t>
            </w:r>
          </w:p>
        </w:tc>
      </w:tr>
      <w:tr w:rsidR="00A93324" w:rsidRPr="00A93324" w:rsidTr="00A42550">
        <w:trPr>
          <w:cantSplit/>
          <w:trHeight w:val="130"/>
        </w:trPr>
        <w:tc>
          <w:tcPr>
            <w:tcW w:w="953" w:type="dxa"/>
            <w:vMerge/>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p>
        </w:tc>
        <w:tc>
          <w:tcPr>
            <w:tcW w:w="2858" w:type="dxa"/>
            <w:gridSpan w:val="2"/>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pentru irigaţii</w:t>
            </w:r>
          </w:p>
        </w:tc>
        <w:tc>
          <w:tcPr>
            <w:tcW w:w="2872" w:type="dxa"/>
            <w:gridSpan w:val="2"/>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cu lucrări de desecare-drenaj</w:t>
            </w:r>
          </w:p>
        </w:tc>
        <w:tc>
          <w:tcPr>
            <w:tcW w:w="2860" w:type="dxa"/>
            <w:gridSpan w:val="2"/>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cu lucrări de combatere a eroziunii</w:t>
            </w:r>
          </w:p>
        </w:tc>
      </w:tr>
      <w:tr w:rsidR="00A93324" w:rsidRPr="00A93324" w:rsidTr="00A42550">
        <w:trPr>
          <w:cantSplit/>
          <w:trHeight w:val="130"/>
        </w:trPr>
        <w:tc>
          <w:tcPr>
            <w:tcW w:w="953" w:type="dxa"/>
            <w:vMerge/>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brută</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b/>
                <w:i/>
                <w:sz w:val="24"/>
                <w:szCs w:val="24"/>
                <w:lang w:val="ro-RO"/>
              </w:rPr>
            </w:pPr>
            <w:r w:rsidRPr="00A93324">
              <w:rPr>
                <w:rFonts w:ascii="Arial" w:eastAsia="SimSun" w:hAnsi="Arial" w:cs="Arial"/>
                <w:b/>
                <w:i/>
                <w:sz w:val="24"/>
                <w:szCs w:val="24"/>
                <w:lang w:val="ro-RO"/>
              </w:rPr>
              <w:t>netă</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brută</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b/>
                <w:i/>
                <w:sz w:val="24"/>
                <w:szCs w:val="24"/>
                <w:lang w:val="ro-RO"/>
              </w:rPr>
            </w:pPr>
            <w:r w:rsidRPr="00A93324">
              <w:rPr>
                <w:rFonts w:ascii="Arial" w:eastAsia="SimSun" w:hAnsi="Arial" w:cs="Arial"/>
                <w:b/>
                <w:i/>
                <w:sz w:val="24"/>
                <w:szCs w:val="24"/>
                <w:lang w:val="ro-RO"/>
              </w:rPr>
              <w:t>netă</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brută</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b/>
                <w:i/>
                <w:sz w:val="24"/>
                <w:szCs w:val="24"/>
                <w:lang w:val="ro-RO"/>
              </w:rPr>
            </w:pPr>
            <w:r w:rsidRPr="00A93324">
              <w:rPr>
                <w:rFonts w:ascii="Arial" w:eastAsia="SimSun" w:hAnsi="Arial" w:cs="Arial"/>
                <w:b/>
                <w:i/>
                <w:sz w:val="24"/>
                <w:szCs w:val="24"/>
                <w:lang w:val="ro-RO"/>
              </w:rPr>
              <w:t>netă</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2010</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40523</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40435</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122274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110654</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49143</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2011</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41563</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41470</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115558</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49143</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2012</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41563</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41455</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115541</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49143</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2013</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41563</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41455</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115534</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49143</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2014</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41563</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41455</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115534</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49143</w:t>
            </w:r>
          </w:p>
        </w:tc>
      </w:tr>
    </w:tbl>
    <w:p w:rsidR="00A93324" w:rsidRPr="00A93324" w:rsidRDefault="00A93324" w:rsidP="00A93324">
      <w:pPr>
        <w:tabs>
          <w:tab w:val="left" w:pos="1276"/>
          <w:tab w:val="left" w:leader="dot" w:pos="9356"/>
        </w:tabs>
        <w:spacing w:after="120" w:line="240" w:lineRule="auto"/>
        <w:ind w:left="1276"/>
        <w:jc w:val="right"/>
        <w:rPr>
          <w:rFonts w:ascii="Arial" w:eastAsia="SimSun" w:hAnsi="Arial" w:cs="Arial"/>
          <w:b/>
          <w:bCs/>
          <w:i/>
          <w:sz w:val="24"/>
          <w:szCs w:val="24"/>
          <w:lang w:val="ro-RO"/>
        </w:rPr>
      </w:pPr>
      <w:r w:rsidRPr="00A93324">
        <w:rPr>
          <w:rFonts w:ascii="Arial" w:eastAsia="SimSun" w:hAnsi="Arial" w:cs="Arial"/>
          <w:i/>
          <w:iCs/>
          <w:sz w:val="24"/>
          <w:szCs w:val="24"/>
          <w:lang w:val="ro-RO"/>
        </w:rPr>
        <w:t>Sursa: A.N.I.F</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Conform datelor furnizate de A.N.I.F. – Filiala de Îmbunătă</w:t>
      </w:r>
      <w:r w:rsidRPr="00A93324">
        <w:rPr>
          <w:rFonts w:ascii="Tahoma" w:eastAsia="SimSun" w:hAnsi="Tahoma" w:cs="Tahoma"/>
          <w:sz w:val="24"/>
          <w:szCs w:val="24"/>
          <w:lang w:val="ro-RO"/>
        </w:rPr>
        <w:t>ţ</w:t>
      </w:r>
      <w:r w:rsidRPr="00A93324">
        <w:rPr>
          <w:rFonts w:ascii="Arial" w:eastAsia="SimSun" w:hAnsi="Arial" w:cs="Arial"/>
          <w:sz w:val="24"/>
          <w:szCs w:val="24"/>
          <w:lang w:val="ro-RO"/>
        </w:rPr>
        <w:t>iri Funciare Buzău, suprafe</w:t>
      </w:r>
      <w:r w:rsidRPr="00A93324">
        <w:rPr>
          <w:rFonts w:ascii="Tahoma" w:eastAsia="SimSun" w:hAnsi="Tahoma" w:cs="Tahoma"/>
          <w:sz w:val="24"/>
          <w:szCs w:val="24"/>
          <w:lang w:val="ro-RO"/>
        </w:rPr>
        <w:t>ţ</w:t>
      </w:r>
      <w:r w:rsidRPr="00A93324">
        <w:rPr>
          <w:rFonts w:ascii="Arial" w:eastAsia="SimSun" w:hAnsi="Arial" w:cs="Arial"/>
          <w:sz w:val="24"/>
          <w:szCs w:val="24"/>
          <w:lang w:val="ro-RO"/>
        </w:rPr>
        <w:t>ele amenajate cu lucrări de îmbunătă</w:t>
      </w:r>
      <w:r w:rsidRPr="00A93324">
        <w:rPr>
          <w:rFonts w:ascii="Tahoma" w:eastAsia="SimSun" w:hAnsi="Tahoma" w:cs="Tahoma"/>
          <w:sz w:val="24"/>
          <w:szCs w:val="24"/>
          <w:lang w:val="ro-RO"/>
        </w:rPr>
        <w:t>ţ</w:t>
      </w:r>
      <w:r w:rsidRPr="00A93324">
        <w:rPr>
          <w:rFonts w:ascii="Arial" w:eastAsia="SimSun" w:hAnsi="Arial" w:cs="Arial"/>
          <w:sz w:val="24"/>
          <w:szCs w:val="24"/>
          <w:lang w:val="ro-RO"/>
        </w:rPr>
        <w:t>iri funciare, la nivelul jude</w:t>
      </w:r>
      <w:r w:rsidRPr="00A93324">
        <w:rPr>
          <w:rFonts w:ascii="Tahoma" w:eastAsia="SimSun" w:hAnsi="Tahoma" w:cs="Tahoma"/>
          <w:sz w:val="24"/>
          <w:szCs w:val="24"/>
          <w:lang w:val="ro-RO"/>
        </w:rPr>
        <w:t>ţ</w:t>
      </w:r>
      <w:r w:rsidRPr="00A93324">
        <w:rPr>
          <w:rFonts w:ascii="Arial" w:eastAsia="SimSun" w:hAnsi="Arial" w:cs="Arial"/>
          <w:sz w:val="24"/>
          <w:szCs w:val="24"/>
          <w:lang w:val="ro-RO"/>
        </w:rPr>
        <w:t xml:space="preserve">ului Buzău, prezintă modificări </w:t>
      </w:r>
      <w:r w:rsidRPr="00A93324">
        <w:rPr>
          <w:rFonts w:ascii="Arial" w:eastAsia="SimSun" w:hAnsi="Arial" w:cs="Arial"/>
          <w:sz w:val="24"/>
          <w:szCs w:val="24"/>
          <w:lang w:val="ro-RO"/>
        </w:rPr>
        <w:lastRenderedPageBreak/>
        <w:t>numai între anii 2010 şi 2011, în sensul creşterii suprafeţelor ocupate cu lucrări de irigaţii şi desecare,  atât în suprafeţe brute cât şi în suprafeţe nete. Pentru restul perioadei analizate suprafeţele amenajate cu lucrări de îmbunătă</w:t>
      </w:r>
      <w:r w:rsidRPr="00A93324">
        <w:rPr>
          <w:rFonts w:ascii="Tahoma" w:eastAsia="SimSun" w:hAnsi="Tahoma" w:cs="Tahoma"/>
          <w:sz w:val="24"/>
          <w:szCs w:val="24"/>
          <w:lang w:val="ro-RO"/>
        </w:rPr>
        <w:t>ţ</w:t>
      </w:r>
      <w:r w:rsidRPr="00A93324">
        <w:rPr>
          <w:rFonts w:ascii="Arial" w:eastAsia="SimSun" w:hAnsi="Arial" w:cs="Arial"/>
          <w:sz w:val="24"/>
          <w:szCs w:val="24"/>
          <w:lang w:val="ro-RO"/>
        </w:rPr>
        <w:t xml:space="preserve">iri funciare se menţin la valori relativ constante. </w:t>
      </w:r>
    </w:p>
    <w:p w:rsidR="00450CDB" w:rsidRDefault="00450CDB" w:rsidP="00A93324">
      <w:pPr>
        <w:tabs>
          <w:tab w:val="left" w:pos="1276"/>
          <w:tab w:val="left" w:leader="dot" w:pos="9356"/>
        </w:tabs>
        <w:spacing w:after="120" w:line="240" w:lineRule="auto"/>
        <w:jc w:val="both"/>
        <w:rPr>
          <w:rFonts w:ascii="Arial" w:eastAsia="SimSun" w:hAnsi="Arial" w:cs="Arial"/>
          <w:b/>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sz w:val="24"/>
          <w:szCs w:val="24"/>
          <w:lang w:val="ro-RO"/>
        </w:rPr>
      </w:pPr>
      <w:r w:rsidRPr="00A93324">
        <w:rPr>
          <w:rFonts w:ascii="Arial" w:eastAsia="SimSun" w:hAnsi="Arial" w:cs="Arial"/>
          <w:b/>
          <w:sz w:val="24"/>
          <w:szCs w:val="24"/>
          <w:lang w:val="ro-RO"/>
        </w:rPr>
        <w:t xml:space="preserve">Fig. III.3.3. – 1 Reprezentarea suprafeţelor amenajate pe categorii de lucrări, în perioada 2010 – 2014 </w:t>
      </w:r>
    </w:p>
    <w:p w:rsidR="00A93324" w:rsidRPr="00A93324" w:rsidRDefault="00A93324" w:rsidP="00A93324">
      <w:pPr>
        <w:tabs>
          <w:tab w:val="left" w:pos="1276"/>
          <w:tab w:val="left" w:leader="dot" w:pos="9356"/>
        </w:tabs>
        <w:spacing w:after="120" w:line="240" w:lineRule="auto"/>
        <w:jc w:val="both"/>
        <w:rPr>
          <w:rFonts w:ascii="Arial" w:eastAsia="SimSun" w:hAnsi="Arial" w:cs="Arial"/>
          <w:color w:val="FF0000"/>
          <w:sz w:val="24"/>
          <w:szCs w:val="24"/>
          <w:lang w:val="ro-RO"/>
        </w:rPr>
      </w:pPr>
      <w:r>
        <w:rPr>
          <w:rFonts w:ascii="Arial" w:eastAsia="SimSun" w:hAnsi="Arial" w:cs="Arial"/>
          <w:b/>
          <w:noProof/>
          <w:sz w:val="24"/>
          <w:szCs w:val="24"/>
          <w:lang w:val="ro-RO" w:eastAsia="ro-RO"/>
        </w:rPr>
        <w:drawing>
          <wp:inline distT="0" distB="0" distL="0" distR="0">
            <wp:extent cx="6096000" cy="3238500"/>
            <wp:effectExtent l="0" t="0" r="0" b="0"/>
            <wp:docPr id="158" name="Object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93324" w:rsidRPr="00A93324" w:rsidRDefault="00A93324" w:rsidP="00A93324">
      <w:pPr>
        <w:tabs>
          <w:tab w:val="left" w:pos="1276"/>
          <w:tab w:val="left" w:leader="dot" w:pos="9356"/>
        </w:tabs>
        <w:spacing w:after="120" w:line="240" w:lineRule="auto"/>
        <w:ind w:left="1276"/>
        <w:jc w:val="right"/>
        <w:rPr>
          <w:rFonts w:ascii="Arial" w:eastAsia="SimSun" w:hAnsi="Arial" w:cs="Arial"/>
          <w:b/>
          <w:bCs/>
          <w:i/>
          <w:sz w:val="24"/>
          <w:szCs w:val="24"/>
          <w:lang w:val="ro-RO"/>
        </w:rPr>
      </w:pPr>
      <w:r w:rsidRPr="00A93324">
        <w:rPr>
          <w:rFonts w:ascii="Arial" w:eastAsia="SimSun" w:hAnsi="Arial" w:cs="Arial"/>
          <w:i/>
          <w:iCs/>
          <w:sz w:val="24"/>
          <w:szCs w:val="24"/>
          <w:lang w:val="ro-RO"/>
        </w:rPr>
        <w:t>Sursa: A.N.I.F</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După cum se poate uşor observa tendinţa este de menţinere a suprafeţelor deja amenajate.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bCs/>
          <w:i/>
          <w:sz w:val="24"/>
          <w:szCs w:val="24"/>
          <w:lang w:val="ro-RO"/>
        </w:rPr>
        <w:t>Tabelul III.3.3</w:t>
      </w:r>
      <w:r w:rsidRPr="00A93324">
        <w:rPr>
          <w:rFonts w:ascii="Arial" w:eastAsia="SimSun" w:hAnsi="Arial" w:cs="Arial"/>
          <w:b/>
          <w:i/>
          <w:sz w:val="24"/>
          <w:szCs w:val="24"/>
          <w:lang w:val="ro-RO"/>
        </w:rPr>
        <w:t>.- 2.</w:t>
      </w:r>
      <w:r w:rsidRPr="00A93324">
        <w:rPr>
          <w:rFonts w:ascii="Arial" w:eastAsia="SimSun" w:hAnsi="Arial" w:cs="Arial"/>
          <w:i/>
          <w:sz w:val="24"/>
          <w:szCs w:val="24"/>
          <w:lang w:val="ro-RO"/>
        </w:rPr>
        <w:t xml:space="preserve"> </w:t>
      </w:r>
      <w:r w:rsidRPr="00A93324">
        <w:rPr>
          <w:rFonts w:ascii="Arial" w:eastAsia="SimSun" w:hAnsi="Arial" w:cs="Arial"/>
          <w:b/>
          <w:bCs/>
          <w:i/>
          <w:sz w:val="24"/>
          <w:szCs w:val="24"/>
          <w:lang w:val="ro-RO"/>
        </w:rPr>
        <w:t>Evolu</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ia amenajărilor de îmbunătă</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iri funciare pe teritoriul jude</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 xml:space="preserve">ului Buzău </w:t>
      </w:r>
    </w:p>
    <w:tbl>
      <w:tblPr>
        <w:tblW w:w="9543"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953"/>
        <w:gridCol w:w="1344"/>
        <w:gridCol w:w="1514"/>
        <w:gridCol w:w="1351"/>
        <w:gridCol w:w="1521"/>
        <w:gridCol w:w="1345"/>
        <w:gridCol w:w="1515"/>
      </w:tblGrid>
      <w:tr w:rsidR="00A93324" w:rsidRPr="00A93324" w:rsidTr="00A42550">
        <w:trPr>
          <w:cantSplit/>
          <w:trHeight w:val="245"/>
        </w:trPr>
        <w:tc>
          <w:tcPr>
            <w:tcW w:w="953" w:type="dxa"/>
            <w:vMerge w:val="restart"/>
            <w:tcBorders>
              <w:top w:val="double" w:sz="6" w:space="0" w:color="000000"/>
            </w:tcBorders>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Anul</w:t>
            </w:r>
          </w:p>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p>
        </w:tc>
        <w:tc>
          <w:tcPr>
            <w:tcW w:w="8590" w:type="dxa"/>
            <w:gridSpan w:val="6"/>
            <w:tcBorders>
              <w:top w:val="double" w:sz="6" w:space="0" w:color="000000"/>
            </w:tcBorders>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Suprafa</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ă amenajată</w:t>
            </w:r>
          </w:p>
        </w:tc>
      </w:tr>
      <w:tr w:rsidR="00A93324" w:rsidRPr="00A93324" w:rsidTr="00A42550">
        <w:trPr>
          <w:cantSplit/>
          <w:trHeight w:val="130"/>
        </w:trPr>
        <w:tc>
          <w:tcPr>
            <w:tcW w:w="953" w:type="dxa"/>
            <w:vMerge/>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p>
        </w:tc>
        <w:tc>
          <w:tcPr>
            <w:tcW w:w="2858" w:type="dxa"/>
            <w:gridSpan w:val="2"/>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pentru iriga</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ii</w:t>
            </w:r>
          </w:p>
        </w:tc>
        <w:tc>
          <w:tcPr>
            <w:tcW w:w="2872" w:type="dxa"/>
            <w:gridSpan w:val="2"/>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cu lucrări de desecare-drenaj</w:t>
            </w:r>
          </w:p>
        </w:tc>
        <w:tc>
          <w:tcPr>
            <w:tcW w:w="2860" w:type="dxa"/>
            <w:gridSpan w:val="2"/>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cu lucrări de combatere a eroziunii</w:t>
            </w:r>
          </w:p>
        </w:tc>
      </w:tr>
      <w:tr w:rsidR="00A93324" w:rsidRPr="00A93324" w:rsidTr="00A42550">
        <w:trPr>
          <w:cantSplit/>
          <w:trHeight w:val="130"/>
        </w:trPr>
        <w:tc>
          <w:tcPr>
            <w:tcW w:w="953" w:type="dxa"/>
            <w:vMerge/>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p>
        </w:tc>
        <w:tc>
          <w:tcPr>
            <w:tcW w:w="134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ha</w:t>
            </w:r>
          </w:p>
        </w:tc>
        <w:tc>
          <w:tcPr>
            <w:tcW w:w="151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i/>
                <w:sz w:val="24"/>
                <w:szCs w:val="24"/>
                <w:lang w:val="ro-RO"/>
              </w:rPr>
            </w:pPr>
            <w:r w:rsidRPr="00A93324">
              <w:rPr>
                <w:rFonts w:ascii="Arial" w:eastAsia="SimSun" w:hAnsi="Arial" w:cs="Arial"/>
                <w:b/>
                <w:i/>
                <w:sz w:val="24"/>
                <w:szCs w:val="24"/>
                <w:lang w:val="ro-RO"/>
              </w:rPr>
              <w:t>%</w:t>
            </w:r>
          </w:p>
        </w:tc>
        <w:tc>
          <w:tcPr>
            <w:tcW w:w="1351"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ha</w:t>
            </w:r>
          </w:p>
        </w:tc>
        <w:tc>
          <w:tcPr>
            <w:tcW w:w="1521"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i/>
                <w:sz w:val="24"/>
                <w:szCs w:val="24"/>
                <w:lang w:val="ro-RO"/>
              </w:rPr>
            </w:pPr>
            <w:r w:rsidRPr="00A93324">
              <w:rPr>
                <w:rFonts w:ascii="Arial" w:eastAsia="SimSun" w:hAnsi="Arial" w:cs="Arial"/>
                <w:b/>
                <w:i/>
                <w:sz w:val="24"/>
                <w:szCs w:val="24"/>
                <w:lang w:val="ro-RO"/>
              </w:rPr>
              <w:t>%</w:t>
            </w:r>
          </w:p>
        </w:tc>
        <w:tc>
          <w:tcPr>
            <w:tcW w:w="1345"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ha</w:t>
            </w:r>
          </w:p>
        </w:tc>
        <w:tc>
          <w:tcPr>
            <w:tcW w:w="1515"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i/>
                <w:sz w:val="24"/>
                <w:szCs w:val="24"/>
                <w:lang w:val="ro-RO"/>
              </w:rPr>
            </w:pPr>
            <w:r w:rsidRPr="00A93324">
              <w:rPr>
                <w:rFonts w:ascii="Arial" w:eastAsia="SimSun" w:hAnsi="Arial" w:cs="Arial"/>
                <w:b/>
                <w:i/>
                <w:sz w:val="24"/>
                <w:szCs w:val="24"/>
                <w:lang w:val="ro-RO"/>
              </w:rPr>
              <w:t>%</w:t>
            </w:r>
          </w:p>
        </w:tc>
      </w:tr>
      <w:tr w:rsidR="00A93324" w:rsidRPr="00A93324" w:rsidTr="00A42550">
        <w:trPr>
          <w:trHeight w:val="258"/>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2005</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44377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2006</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44347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2007</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44316</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2008</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44297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2009</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44297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2010</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44297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2011</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44297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2012</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44297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lastRenderedPageBreak/>
              <w:t>2013</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44297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r w:rsidR="00A93324" w:rsidRPr="00A93324" w:rsidTr="00A42550">
        <w:trPr>
          <w:trHeight w:val="245"/>
        </w:trPr>
        <w:tc>
          <w:tcPr>
            <w:tcW w:w="953"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2014</w:t>
            </w:r>
          </w:p>
        </w:tc>
        <w:tc>
          <w:tcPr>
            <w:tcW w:w="134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44297</w:t>
            </w:r>
          </w:p>
        </w:tc>
        <w:tc>
          <w:tcPr>
            <w:tcW w:w="1514"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7,3</w:t>
            </w:r>
          </w:p>
        </w:tc>
        <w:tc>
          <w:tcPr>
            <w:tcW w:w="135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127644</w:t>
            </w:r>
          </w:p>
        </w:tc>
        <w:tc>
          <w:tcPr>
            <w:tcW w:w="1521"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20,9</w:t>
            </w:r>
          </w:p>
        </w:tc>
        <w:tc>
          <w:tcPr>
            <w:tcW w:w="134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53413</w:t>
            </w:r>
          </w:p>
        </w:tc>
        <w:tc>
          <w:tcPr>
            <w:tcW w:w="1515" w:type="dxa"/>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8,8</w:t>
            </w:r>
          </w:p>
        </w:tc>
      </w:tr>
    </w:tbl>
    <w:p w:rsidR="00A93324" w:rsidRPr="00A93324" w:rsidRDefault="00A93324" w:rsidP="00A93324">
      <w:pPr>
        <w:tabs>
          <w:tab w:val="left" w:pos="1276"/>
          <w:tab w:val="left" w:leader="dot" w:pos="9356"/>
        </w:tabs>
        <w:spacing w:after="120" w:line="240" w:lineRule="auto"/>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Direc</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ia Jude</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 xml:space="preserve">eană de Statistică Buzău </w:t>
      </w:r>
      <w:r w:rsidRPr="00A93324">
        <w:rPr>
          <w:rFonts w:ascii="Tahoma" w:eastAsia="SimSun" w:hAnsi="Tahoma" w:cs="Tahoma"/>
          <w:i/>
          <w:iCs/>
          <w:sz w:val="24"/>
          <w:szCs w:val="24"/>
          <w:lang w:val="ro-RO"/>
        </w:rPr>
        <w:t>ş</w:t>
      </w:r>
      <w:r w:rsidRPr="00A93324">
        <w:rPr>
          <w:rFonts w:ascii="Arial" w:eastAsia="SimSun" w:hAnsi="Arial" w:cs="Arial"/>
          <w:i/>
          <w:iCs/>
          <w:sz w:val="24"/>
          <w:szCs w:val="24"/>
          <w:lang w:val="ro-RO"/>
        </w:rPr>
        <w:t>i A.N.I.F.</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Din datele puse la dispoziţie de Direcţia judeţeană pentru statistică Buzău, pentru o perioadă mai mare de timp, respectiv 2005-2014, se poate evidenţia aceeaşi tendinţă de menţinere a suprafeţelor cu amenajări de îmbunătă</w:t>
      </w:r>
      <w:r w:rsidRPr="00A93324">
        <w:rPr>
          <w:rFonts w:ascii="Tahoma" w:eastAsia="SimSun" w:hAnsi="Tahoma" w:cs="Tahoma"/>
          <w:sz w:val="24"/>
          <w:szCs w:val="24"/>
          <w:lang w:val="ro-RO"/>
        </w:rPr>
        <w:t>ţ</w:t>
      </w:r>
      <w:r w:rsidRPr="00A93324">
        <w:rPr>
          <w:rFonts w:ascii="Arial" w:eastAsia="SimSun" w:hAnsi="Arial" w:cs="Arial"/>
          <w:sz w:val="24"/>
          <w:szCs w:val="24"/>
          <w:lang w:val="ro-RO"/>
        </w:rPr>
        <w:t>iri funciare pe teritoriul jude</w:t>
      </w:r>
      <w:r w:rsidRPr="00A93324">
        <w:rPr>
          <w:rFonts w:ascii="Tahoma" w:eastAsia="SimSun" w:hAnsi="Tahoma" w:cs="Tahoma"/>
          <w:sz w:val="24"/>
          <w:szCs w:val="24"/>
          <w:lang w:val="ro-RO"/>
        </w:rPr>
        <w:t>ţ</w:t>
      </w:r>
      <w:r w:rsidRPr="00A93324">
        <w:rPr>
          <w:rFonts w:ascii="Arial" w:eastAsia="SimSun" w:hAnsi="Arial" w:cs="Arial"/>
          <w:sz w:val="24"/>
          <w:szCs w:val="24"/>
          <w:lang w:val="ro-RO"/>
        </w:rPr>
        <w:t>ului Buzău, tendinţă prezentată în tabelul</w:t>
      </w:r>
      <w:r w:rsidRPr="00A93324">
        <w:rPr>
          <w:rFonts w:ascii="Arial" w:eastAsia="SimSun" w:hAnsi="Arial" w:cs="Arial"/>
          <w:b/>
          <w:bCs/>
          <w:sz w:val="24"/>
          <w:szCs w:val="24"/>
          <w:lang w:val="ro-RO"/>
        </w:rPr>
        <w:t xml:space="preserve"> </w:t>
      </w:r>
      <w:r w:rsidRPr="00A93324">
        <w:rPr>
          <w:rFonts w:ascii="Arial" w:eastAsia="SimSun" w:hAnsi="Arial" w:cs="Arial"/>
          <w:bCs/>
          <w:sz w:val="24"/>
          <w:szCs w:val="24"/>
          <w:lang w:val="ro-RO"/>
        </w:rPr>
        <w:t>de mai sus</w:t>
      </w:r>
      <w:r w:rsidRPr="00A93324">
        <w:rPr>
          <w:rFonts w:ascii="Arial" w:eastAsia="SimSun" w:hAnsi="Arial" w:cs="Arial"/>
          <w:sz w:val="24"/>
          <w:szCs w:val="24"/>
          <w:lang w:val="ro-RO"/>
        </w:rPr>
        <w:t>, cu precizarea că % reprezintă  procent din suprafa</w:t>
      </w:r>
      <w:r w:rsidRPr="00A93324">
        <w:rPr>
          <w:rFonts w:ascii="Tahoma" w:eastAsia="SimSun" w:hAnsi="Tahoma" w:cs="Tahoma"/>
          <w:sz w:val="24"/>
          <w:szCs w:val="24"/>
          <w:lang w:val="ro-RO"/>
        </w:rPr>
        <w:t>ţ</w:t>
      </w:r>
      <w:r w:rsidRPr="00A93324">
        <w:rPr>
          <w:rFonts w:ascii="Arial" w:eastAsia="SimSun" w:hAnsi="Arial" w:cs="Arial"/>
          <w:sz w:val="24"/>
          <w:szCs w:val="24"/>
          <w:lang w:val="ro-RO"/>
        </w:rPr>
        <w:t>a fondului funciar (</w:t>
      </w:r>
      <w:smartTag w:uri="urn:schemas-microsoft-com:office:smarttags" w:element="metricconverter">
        <w:smartTagPr>
          <w:attr w:name="ProductID" w:val="610255 ha"/>
        </w:smartTagPr>
        <w:r w:rsidRPr="00A93324">
          <w:rPr>
            <w:rFonts w:ascii="Arial" w:eastAsia="SimSun" w:hAnsi="Arial" w:cs="Arial"/>
            <w:sz w:val="24"/>
            <w:szCs w:val="24"/>
            <w:lang w:val="ro-RO"/>
          </w:rPr>
          <w:t>610255 ha</w:t>
        </w:r>
      </w:smartTag>
      <w:r w:rsidRPr="00A93324">
        <w:rPr>
          <w:rFonts w:ascii="Arial" w:eastAsia="SimSun" w:hAnsi="Arial" w:cs="Arial"/>
          <w:sz w:val="24"/>
          <w:szCs w:val="24"/>
          <w:lang w:val="ro-RO"/>
        </w:rPr>
        <w:t xml:space="preserv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Suprafa</w:t>
      </w:r>
      <w:r w:rsidRPr="00A93324">
        <w:rPr>
          <w:rFonts w:ascii="Tahoma" w:eastAsia="SimSun" w:hAnsi="Tahoma" w:cs="Tahoma"/>
          <w:sz w:val="24"/>
          <w:szCs w:val="24"/>
          <w:lang w:val="ro-RO"/>
        </w:rPr>
        <w:t>ţ</w:t>
      </w:r>
      <w:r w:rsidRPr="00A93324">
        <w:rPr>
          <w:rFonts w:ascii="Arial" w:eastAsia="SimSun" w:hAnsi="Arial" w:cs="Arial"/>
          <w:sz w:val="24"/>
          <w:szCs w:val="24"/>
          <w:lang w:val="ro-RO"/>
        </w:rPr>
        <w:t>a agricolă irigată este suprafa</w:t>
      </w:r>
      <w:r w:rsidRPr="00A93324">
        <w:rPr>
          <w:rFonts w:ascii="Tahoma" w:eastAsia="SimSun" w:hAnsi="Tahoma" w:cs="Tahoma"/>
          <w:sz w:val="24"/>
          <w:szCs w:val="24"/>
          <w:lang w:val="ro-RO"/>
        </w:rPr>
        <w:t>ţ</w:t>
      </w:r>
      <w:r w:rsidRPr="00A93324">
        <w:rPr>
          <w:rFonts w:ascii="Arial" w:eastAsia="SimSun" w:hAnsi="Arial" w:cs="Arial"/>
          <w:sz w:val="24"/>
          <w:szCs w:val="24"/>
          <w:lang w:val="ro-RO"/>
        </w:rPr>
        <w:t>a amenajată pentru irigat, pe care a fost distribuită apa pe cale artificială, într-un an, în vederea dezvoltării plantelor în condi</w:t>
      </w:r>
      <w:r w:rsidRPr="00A93324">
        <w:rPr>
          <w:rFonts w:ascii="Tahoma" w:eastAsia="SimSun" w:hAnsi="Tahoma" w:cs="Tahoma"/>
          <w:sz w:val="24"/>
          <w:szCs w:val="24"/>
          <w:lang w:val="ro-RO"/>
        </w:rPr>
        <w:t>ţ</w:t>
      </w:r>
      <w:r w:rsidRPr="00A93324">
        <w:rPr>
          <w:rFonts w:ascii="Arial" w:eastAsia="SimSun" w:hAnsi="Arial" w:cs="Arial"/>
          <w:sz w:val="24"/>
          <w:szCs w:val="24"/>
          <w:lang w:val="ro-RO"/>
        </w:rPr>
        <w:t>ii optime.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Pentru realizarea unui regim hidric al solului favorabil creşterii şi dezvoltării plantelor, precum şi pentru asigurarea unei evoluţii corespunzătoare a acestuia este necesară o bună corelare între aplicarea udărilor şi precipitaţiile căzute.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Evolu</w:t>
      </w:r>
      <w:r w:rsidRPr="00A93324">
        <w:rPr>
          <w:rFonts w:ascii="Tahoma" w:eastAsia="SimSun" w:hAnsi="Tahoma" w:cs="Tahoma"/>
          <w:sz w:val="24"/>
          <w:szCs w:val="24"/>
          <w:lang w:val="ro-RO"/>
        </w:rPr>
        <w:t>ţ</w:t>
      </w:r>
      <w:r w:rsidRPr="00A93324">
        <w:rPr>
          <w:rFonts w:ascii="Arial" w:eastAsia="SimSun" w:hAnsi="Arial" w:cs="Arial"/>
          <w:sz w:val="24"/>
          <w:szCs w:val="24"/>
          <w:lang w:val="ro-RO"/>
        </w:rPr>
        <w:t>ia suprafe</w:t>
      </w:r>
      <w:r w:rsidRPr="00A93324">
        <w:rPr>
          <w:rFonts w:ascii="Tahoma" w:eastAsia="SimSun" w:hAnsi="Tahoma" w:cs="Tahoma"/>
          <w:sz w:val="24"/>
          <w:szCs w:val="24"/>
          <w:lang w:val="ro-RO"/>
        </w:rPr>
        <w:t>ţ</w:t>
      </w:r>
      <w:r w:rsidRPr="00A93324">
        <w:rPr>
          <w:rFonts w:ascii="Arial" w:eastAsia="SimSun" w:hAnsi="Arial" w:cs="Arial"/>
          <w:sz w:val="24"/>
          <w:szCs w:val="24"/>
          <w:lang w:val="ro-RO"/>
        </w:rPr>
        <w:t>elor de teren irigate în perioada 2010-2014 în jude</w:t>
      </w:r>
      <w:r w:rsidRPr="00A93324">
        <w:rPr>
          <w:rFonts w:ascii="Tahoma" w:eastAsia="SimSun" w:hAnsi="Tahoma" w:cs="Tahoma"/>
          <w:sz w:val="24"/>
          <w:szCs w:val="24"/>
          <w:lang w:val="ro-RO"/>
        </w:rPr>
        <w:t>ţ</w:t>
      </w:r>
      <w:r w:rsidRPr="00A93324">
        <w:rPr>
          <w:rFonts w:ascii="Arial" w:eastAsia="SimSun" w:hAnsi="Arial" w:cs="Arial"/>
          <w:sz w:val="24"/>
          <w:szCs w:val="24"/>
          <w:lang w:val="ro-RO"/>
        </w:rPr>
        <w:t xml:space="preserve">ul Buzău este prezentată în tabelul III.3.3.-3 </w:t>
      </w:r>
      <w:r w:rsidRPr="00A93324">
        <w:rPr>
          <w:rFonts w:ascii="Tahoma" w:eastAsia="SimSun" w:hAnsi="Tahoma" w:cs="Tahoma"/>
          <w:sz w:val="24"/>
          <w:szCs w:val="24"/>
          <w:lang w:val="ro-RO"/>
        </w:rPr>
        <w:t>ş</w:t>
      </w:r>
      <w:r w:rsidRPr="00A93324">
        <w:rPr>
          <w:rFonts w:ascii="Arial" w:eastAsia="SimSun" w:hAnsi="Arial" w:cs="Arial"/>
          <w:sz w:val="24"/>
          <w:szCs w:val="24"/>
          <w:lang w:val="ro-RO"/>
        </w:rPr>
        <w:t>i în figura 3.3.-3:</w:t>
      </w:r>
    </w:p>
    <w:p w:rsidR="00A93324" w:rsidRPr="00A93324" w:rsidRDefault="00A93324" w:rsidP="00A93324">
      <w:pPr>
        <w:tabs>
          <w:tab w:val="left" w:pos="1276"/>
          <w:tab w:val="left" w:pos="7920"/>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Tabelul III.3.3.-3. Suprafa</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 xml:space="preserve">a irigată în anii 2010 - 2014 </w:t>
      </w:r>
      <w:r w:rsidRPr="00A93324">
        <w:rPr>
          <w:rFonts w:ascii="Arial" w:eastAsia="SimSun" w:hAnsi="Arial" w:cs="Arial"/>
          <w:i/>
          <w:sz w:val="24"/>
          <w:szCs w:val="24"/>
          <w:lang w:val="ro-RO"/>
        </w:rPr>
        <w:t xml:space="preserve"> </w:t>
      </w:r>
      <w:r w:rsidRPr="00A93324">
        <w:rPr>
          <w:rFonts w:ascii="Arial" w:eastAsia="SimSun" w:hAnsi="Arial" w:cs="Arial"/>
          <w:b/>
          <w:bCs/>
          <w:i/>
          <w:sz w:val="24"/>
          <w:szCs w:val="24"/>
          <w:lang w:val="ro-RO"/>
        </w:rPr>
        <w:t>în jude</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ul Buzău</w:t>
      </w:r>
    </w:p>
    <w:tbl>
      <w:tblPr>
        <w:tblW w:w="8412" w:type="dxa"/>
        <w:jc w:val="center"/>
        <w:tblInd w:w="-2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417"/>
        <w:gridCol w:w="1249"/>
        <w:gridCol w:w="1080"/>
        <w:gridCol w:w="1080"/>
        <w:gridCol w:w="1260"/>
        <w:gridCol w:w="1326"/>
      </w:tblGrid>
      <w:tr w:rsidR="00A93324" w:rsidRPr="00A93324" w:rsidTr="00A42550">
        <w:trPr>
          <w:trHeight w:val="352"/>
          <w:jc w:val="center"/>
        </w:trPr>
        <w:tc>
          <w:tcPr>
            <w:tcW w:w="2417" w:type="dxa"/>
            <w:tcBorders>
              <w:top w:val="double" w:sz="6" w:space="0" w:color="000000"/>
            </w:tcBorders>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p>
        </w:tc>
        <w:tc>
          <w:tcPr>
            <w:tcW w:w="5995" w:type="dxa"/>
            <w:gridSpan w:val="5"/>
            <w:tcBorders>
              <w:top w:val="double" w:sz="6" w:space="0" w:color="000000"/>
            </w:tcBorders>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Anul</w:t>
            </w:r>
          </w:p>
        </w:tc>
      </w:tr>
      <w:tr w:rsidR="00A93324" w:rsidRPr="00A93324" w:rsidTr="00A42550">
        <w:trPr>
          <w:cantSplit/>
          <w:jc w:val="center"/>
        </w:trPr>
        <w:tc>
          <w:tcPr>
            <w:tcW w:w="2417" w:type="dxa"/>
            <w:vMerge w:val="restart"/>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Suprafa</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a irigată (ha)</w:t>
            </w:r>
          </w:p>
        </w:tc>
        <w:tc>
          <w:tcPr>
            <w:tcW w:w="1249"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2010</w:t>
            </w:r>
          </w:p>
        </w:tc>
        <w:tc>
          <w:tcPr>
            <w:tcW w:w="108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2011</w:t>
            </w:r>
          </w:p>
        </w:tc>
        <w:tc>
          <w:tcPr>
            <w:tcW w:w="108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2012</w:t>
            </w:r>
          </w:p>
        </w:tc>
        <w:tc>
          <w:tcPr>
            <w:tcW w:w="126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2013</w:t>
            </w:r>
          </w:p>
        </w:tc>
        <w:tc>
          <w:tcPr>
            <w:tcW w:w="132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2014</w:t>
            </w:r>
          </w:p>
        </w:tc>
      </w:tr>
      <w:tr w:rsidR="00A93324" w:rsidRPr="00A93324" w:rsidTr="00A42550">
        <w:trPr>
          <w:cantSplit/>
          <w:trHeight w:val="350"/>
          <w:jc w:val="center"/>
        </w:trPr>
        <w:tc>
          <w:tcPr>
            <w:tcW w:w="2417" w:type="dxa"/>
            <w:vMerge/>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p>
        </w:tc>
        <w:tc>
          <w:tcPr>
            <w:tcW w:w="124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248</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448</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1128</w:t>
            </w:r>
          </w:p>
        </w:tc>
        <w:tc>
          <w:tcPr>
            <w:tcW w:w="126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2248</w:t>
            </w:r>
          </w:p>
        </w:tc>
        <w:tc>
          <w:tcPr>
            <w:tcW w:w="132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3332</w:t>
            </w:r>
          </w:p>
        </w:tc>
      </w:tr>
      <w:tr w:rsidR="00A93324" w:rsidRPr="00A93324" w:rsidTr="00A42550">
        <w:trPr>
          <w:cantSplit/>
          <w:trHeight w:val="350"/>
          <w:jc w:val="center"/>
        </w:trPr>
        <w:tc>
          <w:tcPr>
            <w:tcW w:w="2417" w:type="dxa"/>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Capacitatea folosită (%)</w:t>
            </w:r>
          </w:p>
        </w:tc>
        <w:tc>
          <w:tcPr>
            <w:tcW w:w="124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0,56</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1,01</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2,54</w:t>
            </w:r>
          </w:p>
        </w:tc>
        <w:tc>
          <w:tcPr>
            <w:tcW w:w="126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5,07</w:t>
            </w:r>
          </w:p>
        </w:tc>
        <w:tc>
          <w:tcPr>
            <w:tcW w:w="132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
                <w:sz w:val="24"/>
                <w:szCs w:val="24"/>
                <w:lang w:val="ro-RO"/>
              </w:rPr>
            </w:pPr>
            <w:r w:rsidRPr="00A93324">
              <w:rPr>
                <w:rFonts w:ascii="Arial" w:eastAsia="SimSun" w:hAnsi="Arial" w:cs="Arial"/>
                <w:i/>
                <w:sz w:val="24"/>
                <w:szCs w:val="24"/>
                <w:lang w:val="ro-RO"/>
              </w:rPr>
              <w:t>7,52</w:t>
            </w:r>
          </w:p>
        </w:tc>
      </w:tr>
    </w:tbl>
    <w:p w:rsidR="00A93324" w:rsidRPr="00A93324" w:rsidRDefault="00A93324" w:rsidP="00A93324">
      <w:pPr>
        <w:tabs>
          <w:tab w:val="left" w:pos="1276"/>
          <w:tab w:val="left" w:leader="dot" w:pos="9356"/>
        </w:tabs>
        <w:spacing w:after="120" w:line="240" w:lineRule="auto"/>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A.N.I.F. Filiala de Îmbunătă</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iri Funciare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Conform datelor furnizate de </w:t>
      </w:r>
      <w:r w:rsidRPr="00A93324">
        <w:rPr>
          <w:rFonts w:ascii="Arial" w:eastAsia="SimSun" w:hAnsi="Arial" w:cs="Arial"/>
          <w:iCs/>
          <w:sz w:val="24"/>
          <w:szCs w:val="24"/>
          <w:lang w:val="ro-RO"/>
        </w:rPr>
        <w:t>A.N.I.F. Filiala de Îmbunătă</w:t>
      </w:r>
      <w:r w:rsidRPr="00A93324">
        <w:rPr>
          <w:rFonts w:ascii="Tahoma" w:eastAsia="SimSun" w:hAnsi="Tahoma" w:cs="Tahoma"/>
          <w:iCs/>
          <w:sz w:val="24"/>
          <w:szCs w:val="24"/>
          <w:lang w:val="ro-RO"/>
        </w:rPr>
        <w:t>ţ</w:t>
      </w:r>
      <w:r w:rsidRPr="00A93324">
        <w:rPr>
          <w:rFonts w:ascii="Arial" w:eastAsia="SimSun" w:hAnsi="Arial" w:cs="Arial"/>
          <w:iCs/>
          <w:sz w:val="24"/>
          <w:szCs w:val="24"/>
          <w:lang w:val="ro-RO"/>
        </w:rPr>
        <w:t>iri Funciare Buzău</w:t>
      </w:r>
      <w:r w:rsidRPr="00A93324">
        <w:rPr>
          <w:rFonts w:ascii="Arial" w:eastAsia="SimSun" w:hAnsi="Arial" w:cs="Arial"/>
          <w:sz w:val="24"/>
          <w:szCs w:val="24"/>
          <w:lang w:val="ro-RO"/>
        </w:rPr>
        <w:t xml:space="preserve">, în anul 2013 au fost irigate </w:t>
      </w:r>
      <w:smartTag w:uri="urn:schemas-microsoft-com:office:smarttags" w:element="metricconverter">
        <w:smartTagPr>
          <w:attr w:name="ProductID" w:val="2284 ha"/>
        </w:smartTagPr>
        <w:r w:rsidRPr="00A93324">
          <w:rPr>
            <w:rFonts w:ascii="Arial" w:eastAsia="SimSun" w:hAnsi="Arial" w:cs="Arial"/>
            <w:sz w:val="24"/>
            <w:szCs w:val="24"/>
            <w:lang w:val="ro-RO"/>
          </w:rPr>
          <w:t>2284 ha</w:t>
        </w:r>
      </w:smartTag>
      <w:r w:rsidRPr="00A93324">
        <w:rPr>
          <w:rFonts w:ascii="Arial" w:eastAsia="SimSun" w:hAnsi="Arial" w:cs="Arial"/>
          <w:sz w:val="24"/>
          <w:szCs w:val="24"/>
          <w:lang w:val="ro-RO"/>
        </w:rPr>
        <w:t>, reprezentând 0,6% din totalul suprafe</w:t>
      </w:r>
      <w:r w:rsidRPr="00A93324">
        <w:rPr>
          <w:rFonts w:ascii="Tahoma" w:eastAsia="SimSun" w:hAnsi="Tahoma" w:cs="Tahoma"/>
          <w:sz w:val="24"/>
          <w:szCs w:val="24"/>
          <w:lang w:val="ro-RO"/>
        </w:rPr>
        <w:t>ţ</w:t>
      </w:r>
      <w:r w:rsidRPr="00A93324">
        <w:rPr>
          <w:rFonts w:ascii="Arial" w:eastAsia="SimSun" w:hAnsi="Arial" w:cs="Arial"/>
          <w:sz w:val="24"/>
          <w:szCs w:val="24"/>
          <w:lang w:val="ro-RO"/>
        </w:rPr>
        <w:t>ei agricole a</w:t>
      </w:r>
      <w:r w:rsidRPr="00A93324">
        <w:rPr>
          <w:rFonts w:ascii="Arial" w:eastAsia="SimSun" w:hAnsi="Arial" w:cs="Arial"/>
          <w:i/>
          <w:sz w:val="24"/>
          <w:szCs w:val="24"/>
          <w:lang w:val="ro-RO"/>
        </w:rPr>
        <w:t xml:space="preserve"> </w:t>
      </w:r>
      <w:r w:rsidRPr="00A93324">
        <w:rPr>
          <w:rFonts w:ascii="Arial" w:eastAsia="SimSun" w:hAnsi="Arial" w:cs="Arial"/>
          <w:sz w:val="24"/>
          <w:szCs w:val="24"/>
          <w:lang w:val="ro-RO"/>
        </w:rPr>
        <w:t>jude</w:t>
      </w:r>
      <w:r w:rsidRPr="00A93324">
        <w:rPr>
          <w:rFonts w:ascii="Tahoma" w:eastAsia="SimSun" w:hAnsi="Tahoma" w:cs="Tahoma"/>
          <w:sz w:val="24"/>
          <w:szCs w:val="24"/>
          <w:lang w:val="ro-RO"/>
        </w:rPr>
        <w:t>ţ</w:t>
      </w:r>
      <w:r w:rsidRPr="00A93324">
        <w:rPr>
          <w:rFonts w:ascii="Arial" w:eastAsia="SimSun" w:hAnsi="Arial" w:cs="Arial"/>
          <w:sz w:val="24"/>
          <w:szCs w:val="24"/>
          <w:lang w:val="ro-RO"/>
        </w:rPr>
        <w:t xml:space="preserve">ului, iar în 2014 suprafaţa agricolă irigată a crescut la </w:t>
      </w:r>
      <w:smartTag w:uri="urn:schemas-microsoft-com:office:smarttags" w:element="metricconverter">
        <w:smartTagPr>
          <w:attr w:name="ProductID" w:val="3332 ha"/>
        </w:smartTagPr>
        <w:r w:rsidRPr="00A93324">
          <w:rPr>
            <w:rFonts w:ascii="Arial" w:eastAsia="SimSun" w:hAnsi="Arial" w:cs="Arial"/>
            <w:sz w:val="24"/>
            <w:szCs w:val="24"/>
            <w:lang w:val="ro-RO"/>
          </w:rPr>
          <w:t>3332 ha</w:t>
        </w:r>
      </w:smartTag>
      <w:r w:rsidRPr="00A93324">
        <w:rPr>
          <w:rFonts w:ascii="Arial" w:eastAsia="SimSun" w:hAnsi="Arial" w:cs="Arial"/>
          <w:sz w:val="24"/>
          <w:szCs w:val="24"/>
          <w:lang w:val="ro-RO"/>
        </w:rPr>
        <w:t xml:space="preserve"> reprezentând aproximativ 0,83% din această suprafaţă. Cu toate acestea, deşi în perioada analizată capacitatea efectiv folosită la irigare a crescut, aceasta nu a depăşit procenul de 7,5 % din suprafaţa amenajată pentru irigaţii. </w:t>
      </w:r>
    </w:p>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Figura</w:t>
      </w:r>
      <w:r w:rsidRPr="00A93324">
        <w:rPr>
          <w:rFonts w:ascii="Arial" w:eastAsia="SimSun" w:hAnsi="Arial" w:cs="Arial"/>
          <w:i/>
          <w:sz w:val="24"/>
          <w:szCs w:val="24"/>
          <w:lang w:val="ro-RO"/>
        </w:rPr>
        <w:t xml:space="preserve"> </w:t>
      </w:r>
      <w:r w:rsidRPr="00A93324">
        <w:rPr>
          <w:rFonts w:ascii="Arial" w:eastAsia="SimSun" w:hAnsi="Arial" w:cs="Arial"/>
          <w:b/>
          <w:bCs/>
          <w:i/>
          <w:sz w:val="24"/>
          <w:szCs w:val="24"/>
          <w:lang w:val="ro-RO"/>
        </w:rPr>
        <w:t>III.3.3.-3 . Evolu</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ia suprafe</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elor agricole irigate în anii 2010-2014</w:t>
      </w:r>
    </w:p>
    <w:p w:rsidR="00A93324" w:rsidRPr="00A93324" w:rsidRDefault="00A93324" w:rsidP="00A93324">
      <w:pPr>
        <w:tabs>
          <w:tab w:val="left" w:pos="1276"/>
          <w:tab w:val="left" w:pos="7920"/>
          <w:tab w:val="left" w:leader="dot" w:pos="9356"/>
        </w:tabs>
        <w:spacing w:after="120" w:line="240" w:lineRule="auto"/>
        <w:rPr>
          <w:rFonts w:ascii="Arial" w:eastAsia="SimSun" w:hAnsi="Arial" w:cs="Arial"/>
          <w:b/>
          <w:bCs/>
          <w:i/>
          <w:sz w:val="24"/>
          <w:szCs w:val="24"/>
          <w:lang w:val="ro-RO"/>
        </w:rPr>
      </w:pPr>
      <w:r>
        <w:rPr>
          <w:rFonts w:ascii="Arial" w:eastAsia="SimSun" w:hAnsi="Arial" w:cs="Arial"/>
          <w:b/>
          <w:noProof/>
          <w:sz w:val="24"/>
          <w:szCs w:val="24"/>
          <w:lang w:val="ro-RO" w:eastAsia="ro-RO"/>
        </w:rPr>
        <w:drawing>
          <wp:inline distT="0" distB="0" distL="0" distR="0">
            <wp:extent cx="5257800" cy="2152650"/>
            <wp:effectExtent l="0" t="0" r="0" b="0"/>
            <wp:docPr id="159" name="Object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r w:rsidRPr="00A93324">
        <w:rPr>
          <w:rFonts w:ascii="Arial" w:eastAsia="SimSun" w:hAnsi="Arial" w:cs="Arial"/>
          <w:i/>
          <w:iCs/>
          <w:sz w:val="24"/>
          <w:szCs w:val="24"/>
          <w:lang w:val="ro-RO"/>
        </w:rPr>
        <w:t>Sursa: A.N.I.F. Filiala de Îmbunătă</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iri Funciare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Din evaluarea datelor puse la dispoziţie se poate uşor observa tendinţa de creştere a suprafeţelor agricole irigate.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lastRenderedPageBreak/>
        <w:t>În ceea ce priveşte evoluţia suprafeţelor desecate din judeţul Buzău, prezentată în tabelul III.3.3.-4 şi fig. III.3.3.-4, în perioada analizată, respectiv 2010 – 2014, deşi a existat o uşoară tendinţă de creştere a suprafeţelor desecate în perioada 2010-2011,  ritmul a stagnat în anii ulteriori.</w:t>
      </w:r>
    </w:p>
    <w:p w:rsidR="00A93324" w:rsidRPr="00A93324" w:rsidRDefault="00A93324" w:rsidP="00A93324">
      <w:pPr>
        <w:tabs>
          <w:tab w:val="left" w:pos="1276"/>
          <w:tab w:val="left" w:pos="7920"/>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Tabelul III.3.3.-2. Evoluţia suprafe</w:t>
      </w:r>
      <w:r w:rsidRPr="00A93324">
        <w:rPr>
          <w:rFonts w:ascii="Tahoma" w:eastAsia="SimSun" w:hAnsi="Tahoma" w:cs="Tahoma"/>
          <w:b/>
          <w:bCs/>
          <w:i/>
          <w:sz w:val="24"/>
          <w:szCs w:val="24"/>
          <w:lang w:val="ro-RO"/>
        </w:rPr>
        <w:t>ţelor</w:t>
      </w:r>
      <w:r w:rsidRPr="00A93324">
        <w:rPr>
          <w:rFonts w:ascii="Arial" w:eastAsia="SimSun" w:hAnsi="Arial" w:cs="Arial"/>
          <w:b/>
          <w:bCs/>
          <w:i/>
          <w:sz w:val="24"/>
          <w:szCs w:val="24"/>
          <w:lang w:val="ro-RO"/>
        </w:rPr>
        <w:t xml:space="preserve"> desecate  în anii 2010 - 2014 </w:t>
      </w:r>
      <w:r w:rsidRPr="00A93324">
        <w:rPr>
          <w:rFonts w:ascii="Arial" w:eastAsia="SimSun" w:hAnsi="Arial" w:cs="Arial"/>
          <w:i/>
          <w:sz w:val="24"/>
          <w:szCs w:val="24"/>
          <w:lang w:val="ro-RO"/>
        </w:rPr>
        <w:t xml:space="preserve"> </w:t>
      </w:r>
      <w:r w:rsidRPr="00A93324">
        <w:rPr>
          <w:rFonts w:ascii="Arial" w:eastAsia="SimSun" w:hAnsi="Arial" w:cs="Arial"/>
          <w:b/>
          <w:bCs/>
          <w:i/>
          <w:sz w:val="24"/>
          <w:szCs w:val="24"/>
          <w:lang w:val="ro-RO"/>
        </w:rPr>
        <w:t>în jude</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ul Buzău</w:t>
      </w:r>
    </w:p>
    <w:tbl>
      <w:tblPr>
        <w:tblW w:w="8412" w:type="dxa"/>
        <w:jc w:val="center"/>
        <w:tblInd w:w="-2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2197"/>
        <w:gridCol w:w="1017"/>
        <w:gridCol w:w="1017"/>
        <w:gridCol w:w="1017"/>
        <w:gridCol w:w="1017"/>
        <w:gridCol w:w="2147"/>
      </w:tblGrid>
      <w:tr w:rsidR="00A93324" w:rsidRPr="00A93324" w:rsidTr="00A42550">
        <w:trPr>
          <w:trHeight w:val="352"/>
          <w:jc w:val="center"/>
        </w:trPr>
        <w:tc>
          <w:tcPr>
            <w:tcW w:w="2197" w:type="dxa"/>
            <w:tcBorders>
              <w:top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p>
        </w:tc>
        <w:tc>
          <w:tcPr>
            <w:tcW w:w="6215" w:type="dxa"/>
            <w:gridSpan w:val="5"/>
            <w:tcBorders>
              <w:top w:val="double" w:sz="6" w:space="0" w:color="000000"/>
            </w:tcBorders>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
                <w:sz w:val="24"/>
                <w:szCs w:val="24"/>
                <w:lang w:val="ro-RO"/>
              </w:rPr>
            </w:pPr>
            <w:r w:rsidRPr="00A93324">
              <w:rPr>
                <w:rFonts w:ascii="Arial" w:eastAsia="SimSun" w:hAnsi="Arial" w:cs="Arial"/>
                <w:b/>
                <w:bCs/>
                <w:i/>
                <w:sz w:val="24"/>
                <w:szCs w:val="24"/>
                <w:lang w:val="ro-RO"/>
              </w:rPr>
              <w:t>Anul</w:t>
            </w:r>
          </w:p>
        </w:tc>
      </w:tr>
      <w:tr w:rsidR="00A93324" w:rsidRPr="00A93324" w:rsidTr="00A42550">
        <w:trPr>
          <w:cantSplit/>
          <w:jc w:val="center"/>
        </w:trPr>
        <w:tc>
          <w:tcPr>
            <w:tcW w:w="2197" w:type="dxa"/>
            <w:vMerge w:val="restart"/>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Suprafa</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 xml:space="preserve">a desecată (ha)  </w:t>
            </w:r>
          </w:p>
        </w:tc>
        <w:tc>
          <w:tcPr>
            <w:tcW w:w="1017"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2010</w:t>
            </w:r>
          </w:p>
        </w:tc>
        <w:tc>
          <w:tcPr>
            <w:tcW w:w="1017"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2011</w:t>
            </w:r>
          </w:p>
        </w:tc>
        <w:tc>
          <w:tcPr>
            <w:tcW w:w="1017"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2012</w:t>
            </w:r>
          </w:p>
        </w:tc>
        <w:tc>
          <w:tcPr>
            <w:tcW w:w="1017"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2013</w:t>
            </w:r>
          </w:p>
        </w:tc>
        <w:tc>
          <w:tcPr>
            <w:tcW w:w="2147" w:type="dxa"/>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2014</w:t>
            </w:r>
          </w:p>
        </w:tc>
      </w:tr>
      <w:tr w:rsidR="00A93324" w:rsidRPr="00A93324" w:rsidTr="00A42550">
        <w:trPr>
          <w:cantSplit/>
          <w:trHeight w:val="505"/>
          <w:jc w:val="center"/>
        </w:trPr>
        <w:tc>
          <w:tcPr>
            <w:tcW w:w="2197" w:type="dxa"/>
            <w:vMerge/>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p>
        </w:tc>
        <w:tc>
          <w:tcPr>
            <w:tcW w:w="1017" w:type="dxa"/>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110654</w:t>
            </w:r>
          </w:p>
        </w:tc>
        <w:tc>
          <w:tcPr>
            <w:tcW w:w="1017" w:type="dxa"/>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115558</w:t>
            </w:r>
          </w:p>
        </w:tc>
        <w:tc>
          <w:tcPr>
            <w:tcW w:w="1017" w:type="dxa"/>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115541</w:t>
            </w:r>
          </w:p>
        </w:tc>
        <w:tc>
          <w:tcPr>
            <w:tcW w:w="1017" w:type="dxa"/>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115534</w:t>
            </w:r>
          </w:p>
        </w:tc>
        <w:tc>
          <w:tcPr>
            <w:tcW w:w="2147" w:type="dxa"/>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rPr>
                <w:rFonts w:ascii="Arial" w:eastAsia="SimSun" w:hAnsi="Arial" w:cs="Arial"/>
                <w:i/>
                <w:sz w:val="24"/>
                <w:szCs w:val="24"/>
                <w:lang w:val="ro-RO"/>
              </w:rPr>
            </w:pPr>
            <w:r w:rsidRPr="00A93324">
              <w:rPr>
                <w:rFonts w:ascii="Arial" w:eastAsia="SimSun" w:hAnsi="Arial" w:cs="Arial"/>
                <w:i/>
                <w:sz w:val="24"/>
                <w:szCs w:val="24"/>
                <w:lang w:val="ro-RO"/>
              </w:rPr>
              <w:t>115534</w:t>
            </w:r>
          </w:p>
        </w:tc>
      </w:tr>
    </w:tbl>
    <w:p w:rsidR="00A93324" w:rsidRPr="00A93324" w:rsidRDefault="00A93324" w:rsidP="00A93324">
      <w:pPr>
        <w:tabs>
          <w:tab w:val="left" w:pos="1276"/>
          <w:tab w:val="left" w:leader="dot" w:pos="9356"/>
        </w:tabs>
        <w:spacing w:after="120" w:line="240" w:lineRule="auto"/>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A.N.I.F. Filiala de Îmbunătă</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iri Funciare Buzău</w:t>
      </w:r>
    </w:p>
    <w:p w:rsidR="00A93324" w:rsidRPr="00A93324" w:rsidRDefault="00A93324" w:rsidP="00A93324">
      <w:pPr>
        <w:tabs>
          <w:tab w:val="left" w:pos="1276"/>
          <w:tab w:val="left" w:leader="dot" w:pos="9356"/>
        </w:tabs>
        <w:spacing w:after="120" w:line="240" w:lineRule="auto"/>
        <w:rPr>
          <w:rFonts w:ascii="Arial" w:eastAsia="SimSun" w:hAnsi="Arial" w:cs="Arial"/>
          <w:b/>
          <w:bCs/>
          <w:i/>
          <w:sz w:val="24"/>
          <w:szCs w:val="24"/>
          <w:lang w:val="ro-RO"/>
        </w:rPr>
      </w:pPr>
      <w:r w:rsidRPr="00A93324">
        <w:rPr>
          <w:rFonts w:ascii="Arial" w:eastAsia="SimSun" w:hAnsi="Arial" w:cs="Arial"/>
          <w:b/>
          <w:bCs/>
          <w:i/>
          <w:sz w:val="24"/>
          <w:szCs w:val="24"/>
          <w:lang w:val="ro-RO"/>
        </w:rPr>
        <w:t>Figura</w:t>
      </w:r>
      <w:r w:rsidRPr="00A93324">
        <w:rPr>
          <w:rFonts w:ascii="Arial" w:eastAsia="SimSun" w:hAnsi="Arial" w:cs="Arial"/>
          <w:i/>
          <w:sz w:val="24"/>
          <w:szCs w:val="24"/>
          <w:lang w:val="ro-RO"/>
        </w:rPr>
        <w:t xml:space="preserve"> </w:t>
      </w:r>
      <w:r w:rsidRPr="00A93324">
        <w:rPr>
          <w:rFonts w:ascii="Arial" w:eastAsia="SimSun" w:hAnsi="Arial" w:cs="Arial"/>
          <w:b/>
          <w:bCs/>
          <w:i/>
          <w:sz w:val="24"/>
          <w:szCs w:val="24"/>
          <w:lang w:val="ro-RO"/>
        </w:rPr>
        <w:t>III.3.3.-2 . Evolu</w:t>
      </w:r>
      <w:r w:rsidRPr="00A93324">
        <w:rPr>
          <w:rFonts w:ascii="Tahoma" w:eastAsia="SimSun" w:hAnsi="Tahoma" w:cs="Tahoma"/>
          <w:b/>
          <w:bCs/>
          <w:i/>
          <w:sz w:val="24"/>
          <w:szCs w:val="24"/>
          <w:lang w:val="ro-RO"/>
        </w:rPr>
        <w:t>ţi</w:t>
      </w:r>
      <w:r w:rsidRPr="00A93324">
        <w:rPr>
          <w:rFonts w:ascii="Arial" w:eastAsia="SimSun" w:hAnsi="Arial" w:cs="Arial"/>
          <w:b/>
          <w:bCs/>
          <w:i/>
          <w:sz w:val="24"/>
          <w:szCs w:val="24"/>
          <w:lang w:val="ro-RO"/>
        </w:rPr>
        <w:t>a suprafe</w:t>
      </w:r>
      <w:r w:rsidRPr="00A93324">
        <w:rPr>
          <w:rFonts w:ascii="Tahoma" w:eastAsia="SimSun" w:hAnsi="Tahoma" w:cs="Tahoma"/>
          <w:b/>
          <w:bCs/>
          <w:i/>
          <w:sz w:val="24"/>
          <w:szCs w:val="24"/>
          <w:lang w:val="ro-RO"/>
        </w:rPr>
        <w:t>ţ</w:t>
      </w:r>
      <w:r w:rsidRPr="00A93324">
        <w:rPr>
          <w:rFonts w:ascii="Arial" w:eastAsia="SimSun" w:hAnsi="Arial" w:cs="Arial"/>
          <w:b/>
          <w:bCs/>
          <w:i/>
          <w:sz w:val="24"/>
          <w:szCs w:val="24"/>
          <w:lang w:val="ro-RO"/>
        </w:rPr>
        <w:t>elor agricole desecate  în anii 2010-2014</w:t>
      </w:r>
    </w:p>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Pr>
          <w:rFonts w:ascii="Arial" w:eastAsia="SimSun" w:hAnsi="Arial" w:cs="Arial"/>
          <w:b/>
          <w:noProof/>
          <w:sz w:val="24"/>
          <w:szCs w:val="24"/>
          <w:lang w:val="ro-RO" w:eastAsia="ro-RO"/>
        </w:rPr>
        <w:drawing>
          <wp:inline distT="0" distB="0" distL="0" distR="0">
            <wp:extent cx="5600700" cy="2085975"/>
            <wp:effectExtent l="0" t="0" r="0" b="0"/>
            <wp:docPr id="160" name="Object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r w:rsidRPr="00A93324">
        <w:rPr>
          <w:rFonts w:ascii="Arial" w:eastAsia="SimSun" w:hAnsi="Arial" w:cs="Arial"/>
          <w:i/>
          <w:iCs/>
          <w:sz w:val="24"/>
          <w:szCs w:val="24"/>
          <w:lang w:val="ro-RO"/>
        </w:rPr>
        <w:t>Sursa: A.N.I.F. Filiala de Îmbunătă</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iri Funciare Buzău</w:t>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p>
    <w:p w:rsidR="00A93324" w:rsidRPr="00A93324" w:rsidRDefault="00A93324" w:rsidP="00A93324">
      <w:pPr>
        <w:shd w:val="clear" w:color="auto" w:fill="D9D9D9"/>
        <w:tabs>
          <w:tab w:val="left" w:leader="dot" w:pos="9356"/>
        </w:tabs>
        <w:spacing w:after="120" w:line="240" w:lineRule="auto"/>
        <w:rPr>
          <w:rFonts w:ascii="Arial" w:eastAsia="SimSun" w:hAnsi="Arial" w:cs="Arial"/>
          <w:b/>
          <w:sz w:val="24"/>
          <w:szCs w:val="24"/>
          <w:lang w:val="ro-RO"/>
        </w:rPr>
      </w:pPr>
      <w:r w:rsidRPr="00A93324">
        <w:rPr>
          <w:rFonts w:ascii="Arial" w:eastAsia="SimSun" w:hAnsi="Arial" w:cs="Arial"/>
          <w:b/>
          <w:sz w:val="24"/>
          <w:szCs w:val="24"/>
          <w:lang w:val="ro-RO"/>
        </w:rPr>
        <w:t xml:space="preserve">III.4. Prognoze </w:t>
      </w:r>
      <w:r w:rsidRPr="00A93324">
        <w:rPr>
          <w:rFonts w:ascii="Arial" w:eastAsia="SimSun" w:hAnsi="Tahoma" w:cs="Arial"/>
          <w:b/>
          <w:sz w:val="24"/>
          <w:szCs w:val="24"/>
          <w:lang w:val="ro-RO"/>
        </w:rPr>
        <w:t>ş</w:t>
      </w:r>
      <w:r w:rsidRPr="00A93324">
        <w:rPr>
          <w:rFonts w:ascii="Arial" w:eastAsia="SimSun" w:hAnsi="Arial" w:cs="Arial"/>
          <w:b/>
          <w:sz w:val="24"/>
          <w:szCs w:val="24"/>
          <w:lang w:val="ro-RO"/>
        </w:rPr>
        <w:t>i ac</w:t>
      </w:r>
      <w:r w:rsidRPr="00A93324">
        <w:rPr>
          <w:rFonts w:ascii="Arial" w:eastAsia="SimSun" w:hAnsi="Tahoma" w:cs="Arial"/>
          <w:b/>
          <w:sz w:val="24"/>
          <w:szCs w:val="24"/>
          <w:lang w:val="ro-RO"/>
        </w:rPr>
        <w:t>ţ</w:t>
      </w:r>
      <w:r w:rsidRPr="00A93324">
        <w:rPr>
          <w:rFonts w:ascii="Arial" w:eastAsia="SimSun" w:hAnsi="Arial" w:cs="Arial"/>
          <w:b/>
          <w:sz w:val="24"/>
          <w:szCs w:val="24"/>
          <w:lang w:val="ro-RO"/>
        </w:rPr>
        <w:t xml:space="preserve">iuni întreprinse pentru ameliorarea stării de calitate a solurilor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Agricultura ecologică, ca alternativă la agricultura clasică, de tip intensiv, este un proces de producţie care, conform reglementărilor în vigoare, combină cele mai bune practici de mediu, un nivel înalt de biodiversitate, conservarea resurselor naturale, aplicarea unor standarde înalte privind bunăstarea animalelor </w:t>
      </w:r>
      <w:r w:rsidRPr="00A93324">
        <w:rPr>
          <w:rFonts w:ascii="Tahoma" w:eastAsia="SimSun" w:hAnsi="Tahoma" w:cs="Tahoma"/>
          <w:sz w:val="24"/>
          <w:szCs w:val="24"/>
          <w:lang w:val="ro-RO"/>
        </w:rPr>
        <w:t>ş</w:t>
      </w:r>
      <w:r w:rsidRPr="00A93324">
        <w:rPr>
          <w:rFonts w:ascii="Arial" w:eastAsia="SimSun" w:hAnsi="Arial" w:cs="Arial"/>
          <w:sz w:val="24"/>
          <w:szCs w:val="24"/>
          <w:lang w:val="ro-RO"/>
        </w:rPr>
        <w:t>i o metodă de produc</w:t>
      </w:r>
      <w:r w:rsidRPr="00A93324">
        <w:rPr>
          <w:rFonts w:ascii="Tahoma" w:eastAsia="SimSun" w:hAnsi="Tahoma" w:cs="Tahoma"/>
          <w:sz w:val="24"/>
          <w:szCs w:val="24"/>
          <w:lang w:val="ro-RO"/>
        </w:rPr>
        <w:t>ţ</w:t>
      </w:r>
      <w:r w:rsidRPr="00A93324">
        <w:rPr>
          <w:rFonts w:ascii="Arial" w:eastAsia="SimSun" w:hAnsi="Arial" w:cs="Arial"/>
          <w:sz w:val="24"/>
          <w:szCs w:val="24"/>
          <w:lang w:val="ro-RO"/>
        </w:rPr>
        <w:t>ie care respectă preferin</w:t>
      </w:r>
      <w:r w:rsidRPr="00A93324">
        <w:rPr>
          <w:rFonts w:ascii="Tahoma" w:eastAsia="SimSun" w:hAnsi="Tahoma" w:cs="Tahoma"/>
          <w:sz w:val="24"/>
          <w:szCs w:val="24"/>
          <w:lang w:val="ro-RO"/>
        </w:rPr>
        <w:t>ţ</w:t>
      </w:r>
      <w:r w:rsidRPr="00A93324">
        <w:rPr>
          <w:rFonts w:ascii="Arial" w:eastAsia="SimSun" w:hAnsi="Arial" w:cs="Arial"/>
          <w:sz w:val="24"/>
          <w:szCs w:val="24"/>
          <w:lang w:val="ro-RO"/>
        </w:rPr>
        <w:t>ele anumitor consumatori pentru produse ob</w:t>
      </w:r>
      <w:r w:rsidRPr="00A93324">
        <w:rPr>
          <w:rFonts w:ascii="Tahoma" w:eastAsia="SimSun" w:hAnsi="Tahoma" w:cs="Tahoma"/>
          <w:sz w:val="24"/>
          <w:szCs w:val="24"/>
          <w:lang w:val="ro-RO"/>
        </w:rPr>
        <w:t>ţ</w:t>
      </w:r>
      <w:r w:rsidRPr="00A93324">
        <w:rPr>
          <w:rFonts w:ascii="Arial" w:eastAsia="SimSun" w:hAnsi="Arial" w:cs="Arial"/>
          <w:sz w:val="24"/>
          <w:szCs w:val="24"/>
          <w:lang w:val="ro-RO"/>
        </w:rPr>
        <w:t>inute cu ajutorul unor substan</w:t>
      </w:r>
      <w:r w:rsidRPr="00A93324">
        <w:rPr>
          <w:rFonts w:ascii="Tahoma" w:eastAsia="SimSun" w:hAnsi="Tahoma" w:cs="Tahoma"/>
          <w:sz w:val="24"/>
          <w:szCs w:val="24"/>
          <w:lang w:val="ro-RO"/>
        </w:rPr>
        <w:t>ţ</w:t>
      </w:r>
      <w:r w:rsidRPr="00A93324">
        <w:rPr>
          <w:rFonts w:ascii="Arial" w:eastAsia="SimSun" w:hAnsi="Arial" w:cs="Arial"/>
          <w:sz w:val="24"/>
          <w:szCs w:val="24"/>
          <w:lang w:val="ro-RO"/>
        </w:rPr>
        <w:t xml:space="preserve">e şi procese naturale.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Agricultura ecologică respectă ciclurile şi sistemele naturale şi menţine şi îmbunătăţeşte starea solului, a apei, a plantelor şi animalelor, precum şi echilibrul dintre acestea. Este o agricultură care contribuie semnificativ la menţinerea diversităţii biologice, care utilizează energia şi resursele naturale în mod eficient şi responsabil şi care respectă într-un grad înalt standardele de bunăstare a animalelor.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În producţia organică se preferă utilizarea resurselor interne şi ca urmare sunt utilizate ca surse de îmbogă</w:t>
      </w:r>
      <w:r w:rsidRPr="00A93324">
        <w:rPr>
          <w:rFonts w:ascii="Arial" w:eastAsia="SimSun" w:hAnsi="Tahoma" w:cs="Arial"/>
          <w:sz w:val="24"/>
          <w:szCs w:val="24"/>
          <w:lang w:val="ro-RO"/>
        </w:rPr>
        <w:t>ţ</w:t>
      </w:r>
      <w:r w:rsidRPr="00A93324">
        <w:rPr>
          <w:rFonts w:ascii="Arial" w:eastAsia="SimSun" w:hAnsi="Arial" w:cs="Arial"/>
          <w:sz w:val="24"/>
          <w:szCs w:val="24"/>
          <w:lang w:val="ro-RO"/>
        </w:rPr>
        <w:t>ire a terenului, reziduuri vegetale (mirişte, resturi de porumb, cartofi, resturi rezultate în urma cură</w:t>
      </w:r>
      <w:r w:rsidRPr="00A93324">
        <w:rPr>
          <w:rFonts w:ascii="Arial" w:eastAsia="SimSun" w:hAnsi="Tahoma" w:cs="Arial"/>
          <w:sz w:val="24"/>
          <w:szCs w:val="24"/>
          <w:lang w:val="ro-RO"/>
        </w:rPr>
        <w:t>ţ</w:t>
      </w:r>
      <w:r w:rsidRPr="00A93324">
        <w:rPr>
          <w:rFonts w:ascii="Arial" w:eastAsia="SimSun" w:hAnsi="Arial" w:cs="Arial"/>
          <w:sz w:val="24"/>
          <w:szCs w:val="24"/>
          <w:lang w:val="ro-RO"/>
        </w:rPr>
        <w:t>atului pomilor etc.) care sunt combinate într-o propor</w:t>
      </w:r>
      <w:r w:rsidRPr="00A93324">
        <w:rPr>
          <w:rFonts w:ascii="Arial" w:eastAsia="SimSun" w:hAnsi="Tahoma" w:cs="Arial"/>
          <w:sz w:val="24"/>
          <w:szCs w:val="24"/>
          <w:lang w:val="ro-RO"/>
        </w:rPr>
        <w:t>ţ</w:t>
      </w:r>
      <w:r w:rsidRPr="00A93324">
        <w:rPr>
          <w:rFonts w:ascii="Arial" w:eastAsia="SimSun" w:hAnsi="Arial" w:cs="Arial"/>
          <w:sz w:val="24"/>
          <w:szCs w:val="24"/>
          <w:lang w:val="ro-RO"/>
        </w:rPr>
        <w:t>ie adecvată cu îngrăşăminte organice (de preferat gunoi de grajd sau compost matur şi încorporate în sol în timpul lucrărilor de pregătire a terenurilor prin intermediul arăturii la 25-</w:t>
      </w:r>
      <w:smartTag w:uri="urn:schemas-microsoft-com:office:smarttags" w:element="metricconverter">
        <w:smartTagPr>
          <w:attr w:name="ProductID" w:val="30 cm"/>
        </w:smartTagPr>
        <w:r w:rsidRPr="00A93324">
          <w:rPr>
            <w:rFonts w:ascii="Arial" w:eastAsia="SimSun" w:hAnsi="Arial" w:cs="Arial"/>
            <w:sz w:val="24"/>
            <w:szCs w:val="24"/>
            <w:lang w:val="ro-RO"/>
          </w:rPr>
          <w:t>30 cm</w:t>
        </w:r>
      </w:smartTag>
      <w:r w:rsidRPr="00A93324">
        <w:rPr>
          <w:rFonts w:ascii="Arial" w:eastAsia="SimSun" w:hAnsi="Arial" w:cs="Arial"/>
          <w:sz w:val="24"/>
          <w:szCs w:val="24"/>
          <w:lang w:val="ro-RO"/>
        </w:rPr>
        <w:t>).</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Evoluţia suprafeţelor ocupate de culturile ecologice, precum şi dinamica acestora în funcţie de tipul de cultură pentru ultimii 5 ani sunt prezentate în tabelele şi graficul de mai jos. </w:t>
      </w:r>
    </w:p>
    <w:p w:rsidR="00A93324" w:rsidRPr="00A93324" w:rsidRDefault="00A93324" w:rsidP="00A93324">
      <w:pPr>
        <w:spacing w:after="120" w:line="240" w:lineRule="auto"/>
        <w:jc w:val="both"/>
        <w:rPr>
          <w:rFonts w:ascii="Arial" w:eastAsia="SimSun" w:hAnsi="Arial" w:cs="Arial"/>
          <w:b/>
          <w:bCs/>
          <w:sz w:val="24"/>
          <w:szCs w:val="24"/>
          <w:lang w:val="ro-RO"/>
        </w:rPr>
      </w:pPr>
      <w:r w:rsidRPr="00A93324">
        <w:rPr>
          <w:rFonts w:ascii="Arial" w:eastAsia="SimSun" w:hAnsi="Arial" w:cs="Arial"/>
          <w:b/>
          <w:bCs/>
          <w:sz w:val="24"/>
          <w:szCs w:val="24"/>
          <w:lang w:val="ro-RO"/>
        </w:rPr>
        <w:lastRenderedPageBreak/>
        <w:t>Tabel III.4.-1 Suprafe</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e utilizate în agricultură conform metodelor ecologice  în jude</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ul Buzău în perioda 2010-2014</w:t>
      </w:r>
    </w:p>
    <w:tbl>
      <w:tblPr>
        <w:tblW w:w="0" w:type="auto"/>
        <w:tblInd w:w="675"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tblPr>
      <w:tblGrid>
        <w:gridCol w:w="759"/>
        <w:gridCol w:w="2634"/>
        <w:gridCol w:w="950"/>
        <w:gridCol w:w="1067"/>
        <w:gridCol w:w="1067"/>
        <w:gridCol w:w="1067"/>
        <w:gridCol w:w="1067"/>
      </w:tblGrid>
      <w:tr w:rsidR="00A93324" w:rsidRPr="00A93324" w:rsidTr="00A42550">
        <w:tc>
          <w:tcPr>
            <w:tcW w:w="759" w:type="dxa"/>
            <w:vMerge w:val="restart"/>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Nr.</w:t>
            </w:r>
          </w:p>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crt</w:t>
            </w:r>
          </w:p>
        </w:tc>
        <w:tc>
          <w:tcPr>
            <w:tcW w:w="2634" w:type="dxa"/>
            <w:vMerge w:val="restart"/>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Specifica</w:t>
            </w:r>
            <w:r w:rsidRPr="00A93324">
              <w:rPr>
                <w:rFonts w:ascii="Tahoma" w:eastAsia="SimSun" w:hAnsi="Tahoma" w:cs="Tahoma"/>
                <w:sz w:val="24"/>
                <w:szCs w:val="24"/>
                <w:lang w:val="ro-RO"/>
              </w:rPr>
              <w:t>ţ</w:t>
            </w:r>
            <w:r w:rsidRPr="00A93324">
              <w:rPr>
                <w:rFonts w:ascii="Arial" w:eastAsia="SimSun" w:hAnsi="Arial" w:cs="Arial"/>
                <w:sz w:val="24"/>
                <w:szCs w:val="24"/>
                <w:lang w:val="ro-RO"/>
              </w:rPr>
              <w:t>ia</w:t>
            </w:r>
          </w:p>
        </w:tc>
        <w:tc>
          <w:tcPr>
            <w:tcW w:w="5218" w:type="dxa"/>
            <w:gridSpan w:val="5"/>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Suprafe</w:t>
            </w:r>
            <w:r w:rsidRPr="00A93324">
              <w:rPr>
                <w:rFonts w:ascii="Tahoma" w:eastAsia="SimSun" w:hAnsi="Tahoma" w:cs="Tahoma"/>
                <w:sz w:val="24"/>
                <w:szCs w:val="24"/>
                <w:lang w:val="ro-RO"/>
              </w:rPr>
              <w:t>ţ</w:t>
            </w:r>
            <w:r w:rsidRPr="00A93324">
              <w:rPr>
                <w:rFonts w:ascii="Arial" w:eastAsia="SimSun" w:hAnsi="Arial" w:cs="Arial"/>
                <w:sz w:val="24"/>
                <w:szCs w:val="24"/>
                <w:lang w:val="ro-RO"/>
              </w:rPr>
              <w:t>e (ha)</w:t>
            </w:r>
          </w:p>
        </w:tc>
      </w:tr>
      <w:tr w:rsidR="00A93324" w:rsidRPr="00A93324" w:rsidTr="00A42550">
        <w:tc>
          <w:tcPr>
            <w:tcW w:w="759" w:type="dxa"/>
            <w:vMerge/>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p>
        </w:tc>
        <w:tc>
          <w:tcPr>
            <w:tcW w:w="2634" w:type="dxa"/>
            <w:vMerge/>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p>
        </w:tc>
        <w:tc>
          <w:tcPr>
            <w:tcW w:w="95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2010</w:t>
            </w:r>
          </w:p>
        </w:tc>
        <w:tc>
          <w:tcPr>
            <w:tcW w:w="1067"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2011</w:t>
            </w:r>
          </w:p>
        </w:tc>
        <w:tc>
          <w:tcPr>
            <w:tcW w:w="1067"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2012</w:t>
            </w:r>
          </w:p>
        </w:tc>
        <w:tc>
          <w:tcPr>
            <w:tcW w:w="1067"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2013</w:t>
            </w:r>
          </w:p>
        </w:tc>
        <w:tc>
          <w:tcPr>
            <w:tcW w:w="1067"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2014</w:t>
            </w:r>
          </w:p>
        </w:tc>
      </w:tr>
      <w:tr w:rsidR="00A93324" w:rsidRPr="00A93324" w:rsidTr="00A42550">
        <w:tc>
          <w:tcPr>
            <w:tcW w:w="759"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w:t>
            </w:r>
          </w:p>
        </w:tc>
        <w:tc>
          <w:tcPr>
            <w:tcW w:w="2634"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Colectare floră spontană</w:t>
            </w:r>
          </w:p>
        </w:tc>
        <w:tc>
          <w:tcPr>
            <w:tcW w:w="95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r>
      <w:tr w:rsidR="00A93324" w:rsidRPr="00A93324" w:rsidTr="00A42550">
        <w:tc>
          <w:tcPr>
            <w:tcW w:w="759"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w:t>
            </w:r>
          </w:p>
        </w:tc>
        <w:tc>
          <w:tcPr>
            <w:tcW w:w="263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Total culturi în agricultură ecologică</w:t>
            </w:r>
          </w:p>
        </w:tc>
        <w:tc>
          <w:tcPr>
            <w:tcW w:w="95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85,24</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26,33</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523,66</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626,11</w:t>
            </w:r>
          </w:p>
        </w:tc>
        <w:tc>
          <w:tcPr>
            <w:tcW w:w="106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604,11</w:t>
            </w:r>
          </w:p>
        </w:tc>
      </w:tr>
    </w:tbl>
    <w:p w:rsidR="00A93324" w:rsidRPr="00A93324" w:rsidRDefault="00A93324" w:rsidP="00A93324">
      <w:pPr>
        <w:spacing w:after="120" w:line="240" w:lineRule="auto"/>
        <w:ind w:left="2126" w:firstLine="709"/>
        <w:jc w:val="center"/>
        <w:rPr>
          <w:rFonts w:ascii="Arial" w:eastAsia="SimSun" w:hAnsi="Arial" w:cs="Arial"/>
          <w:i/>
          <w:sz w:val="24"/>
          <w:szCs w:val="24"/>
          <w:lang w:val="ro-RO"/>
        </w:rPr>
      </w:pPr>
      <w:r w:rsidRPr="00A93324">
        <w:rPr>
          <w:rFonts w:ascii="Arial" w:eastAsia="SimSun" w:hAnsi="Arial" w:cs="Arial"/>
          <w:i/>
          <w:sz w:val="24"/>
          <w:szCs w:val="24"/>
          <w:lang w:val="ro-RO"/>
        </w:rPr>
        <w:t xml:space="preserve">Sursa: Direcţia pentru Agricultură judeţeană Buzău </w:t>
      </w:r>
    </w:p>
    <w:p w:rsidR="00450CDB" w:rsidRDefault="00450CDB" w:rsidP="00A93324">
      <w:pPr>
        <w:spacing w:after="120" w:line="240" w:lineRule="auto"/>
        <w:jc w:val="both"/>
        <w:rPr>
          <w:rFonts w:ascii="Arial" w:eastAsia="SimSun" w:hAnsi="Arial" w:cs="Arial"/>
          <w:b/>
          <w:bCs/>
          <w:sz w:val="24"/>
          <w:szCs w:val="24"/>
          <w:lang w:val="ro-RO"/>
        </w:rPr>
      </w:pPr>
    </w:p>
    <w:p w:rsidR="00A93324" w:rsidRPr="00A93324" w:rsidRDefault="00A93324" w:rsidP="00A93324">
      <w:pPr>
        <w:spacing w:after="120" w:line="240" w:lineRule="auto"/>
        <w:jc w:val="both"/>
        <w:rPr>
          <w:rFonts w:ascii="Arial" w:eastAsia="SimSun" w:hAnsi="Arial" w:cs="Arial"/>
          <w:b/>
          <w:bCs/>
          <w:sz w:val="24"/>
          <w:szCs w:val="24"/>
          <w:lang w:val="ro-RO"/>
        </w:rPr>
      </w:pPr>
      <w:r w:rsidRPr="00A93324">
        <w:rPr>
          <w:rFonts w:ascii="Arial" w:eastAsia="SimSun" w:hAnsi="Arial" w:cs="Arial"/>
          <w:b/>
          <w:bCs/>
          <w:sz w:val="24"/>
          <w:szCs w:val="24"/>
          <w:lang w:val="ro-RO"/>
        </w:rPr>
        <w:t>Tabel III.4.-2 D</w:t>
      </w:r>
      <w:r w:rsidRPr="00A93324">
        <w:rPr>
          <w:rFonts w:ascii="Arial" w:eastAsia="SimSun" w:hAnsi="Arial" w:cs="Arial"/>
          <w:b/>
          <w:sz w:val="24"/>
          <w:szCs w:val="24"/>
          <w:lang w:val="ro-RO"/>
        </w:rPr>
        <w:t>inamica suprafe</w:t>
      </w:r>
      <w:r w:rsidRPr="00A93324">
        <w:rPr>
          <w:rFonts w:ascii="Tahoma" w:eastAsia="SimSun" w:hAnsi="Tahoma" w:cs="Tahoma"/>
          <w:b/>
          <w:sz w:val="24"/>
          <w:szCs w:val="24"/>
          <w:lang w:val="ro-RO"/>
        </w:rPr>
        <w:t>ţ</w:t>
      </w:r>
      <w:r w:rsidRPr="00A93324">
        <w:rPr>
          <w:rFonts w:ascii="Arial" w:eastAsia="SimSun" w:hAnsi="Arial" w:cs="Arial"/>
          <w:b/>
          <w:sz w:val="24"/>
          <w:szCs w:val="24"/>
          <w:lang w:val="ro-RO"/>
        </w:rPr>
        <w:t xml:space="preserve">elor cultivate cu principalele culturi  în agricultura ecologică </w:t>
      </w:r>
      <w:r w:rsidRPr="00A93324">
        <w:rPr>
          <w:rFonts w:ascii="Arial" w:eastAsia="SimSun" w:hAnsi="Arial" w:cs="Arial"/>
          <w:b/>
          <w:bCs/>
          <w:sz w:val="24"/>
          <w:szCs w:val="24"/>
          <w:lang w:val="ro-RO"/>
        </w:rPr>
        <w:t xml:space="preserve"> în jude</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ul Buzău în perioda 2010-2014</w:t>
      </w:r>
    </w:p>
    <w:tbl>
      <w:tblPr>
        <w:tblW w:w="0" w:type="auto"/>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A0"/>
      </w:tblPr>
      <w:tblGrid>
        <w:gridCol w:w="566"/>
        <w:gridCol w:w="2995"/>
        <w:gridCol w:w="900"/>
        <w:gridCol w:w="1080"/>
        <w:gridCol w:w="1080"/>
        <w:gridCol w:w="1080"/>
        <w:gridCol w:w="1084"/>
      </w:tblGrid>
      <w:tr w:rsidR="00A93324" w:rsidRPr="00A93324" w:rsidTr="00A42550">
        <w:tc>
          <w:tcPr>
            <w:tcW w:w="566" w:type="dxa"/>
            <w:vMerge w:val="restart"/>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Nr.</w:t>
            </w:r>
          </w:p>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crt</w:t>
            </w:r>
          </w:p>
        </w:tc>
        <w:tc>
          <w:tcPr>
            <w:tcW w:w="2995" w:type="dxa"/>
            <w:vMerge w:val="restart"/>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Principalele culturi în agricultură ecologică</w:t>
            </w:r>
          </w:p>
        </w:tc>
        <w:tc>
          <w:tcPr>
            <w:tcW w:w="5224" w:type="dxa"/>
            <w:gridSpan w:val="5"/>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Suprafe</w:t>
            </w:r>
            <w:r w:rsidRPr="00A93324">
              <w:rPr>
                <w:rFonts w:ascii="Tahoma" w:eastAsia="SimSun" w:hAnsi="Tahoma" w:cs="Tahoma"/>
                <w:sz w:val="24"/>
                <w:szCs w:val="24"/>
                <w:lang w:val="ro-RO"/>
              </w:rPr>
              <w:t>ţ</w:t>
            </w:r>
            <w:r w:rsidRPr="00A93324">
              <w:rPr>
                <w:rFonts w:ascii="Arial" w:eastAsia="SimSun" w:hAnsi="Arial" w:cs="Arial"/>
                <w:sz w:val="24"/>
                <w:szCs w:val="24"/>
                <w:lang w:val="ro-RO"/>
              </w:rPr>
              <w:t>e (ha)</w:t>
            </w:r>
          </w:p>
        </w:tc>
      </w:tr>
      <w:tr w:rsidR="00A93324" w:rsidRPr="00A93324" w:rsidTr="00A42550">
        <w:tc>
          <w:tcPr>
            <w:tcW w:w="566" w:type="dxa"/>
            <w:vMerge/>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p>
        </w:tc>
        <w:tc>
          <w:tcPr>
            <w:tcW w:w="2995" w:type="dxa"/>
            <w:vMerge/>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p>
        </w:tc>
        <w:tc>
          <w:tcPr>
            <w:tcW w:w="90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2010</w:t>
            </w:r>
          </w:p>
        </w:tc>
        <w:tc>
          <w:tcPr>
            <w:tcW w:w="108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2011</w:t>
            </w:r>
          </w:p>
        </w:tc>
        <w:tc>
          <w:tcPr>
            <w:tcW w:w="108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2012</w:t>
            </w:r>
          </w:p>
        </w:tc>
        <w:tc>
          <w:tcPr>
            <w:tcW w:w="1080"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2013</w:t>
            </w:r>
          </w:p>
        </w:tc>
        <w:tc>
          <w:tcPr>
            <w:tcW w:w="108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2014</w:t>
            </w:r>
          </w:p>
        </w:tc>
      </w:tr>
      <w:tr w:rsidR="00A93324" w:rsidRPr="00A93324" w:rsidTr="00A42550">
        <w:tc>
          <w:tcPr>
            <w:tcW w:w="56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w:t>
            </w:r>
          </w:p>
        </w:tc>
        <w:tc>
          <w:tcPr>
            <w:tcW w:w="299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Cereale</w:t>
            </w:r>
          </w:p>
        </w:tc>
        <w:tc>
          <w:tcPr>
            <w:tcW w:w="90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389,58</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340,55</w:t>
            </w:r>
          </w:p>
        </w:tc>
        <w:tc>
          <w:tcPr>
            <w:tcW w:w="108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296,78</w:t>
            </w:r>
          </w:p>
        </w:tc>
      </w:tr>
      <w:tr w:rsidR="00A93324" w:rsidRPr="00A93324" w:rsidTr="00A42550">
        <w:tc>
          <w:tcPr>
            <w:tcW w:w="56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w:t>
            </w:r>
          </w:p>
        </w:tc>
        <w:tc>
          <w:tcPr>
            <w:tcW w:w="299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Legume</w:t>
            </w:r>
          </w:p>
        </w:tc>
        <w:tc>
          <w:tcPr>
            <w:tcW w:w="90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2,19</w:t>
            </w:r>
          </w:p>
        </w:tc>
      </w:tr>
      <w:tr w:rsidR="00A93324" w:rsidRPr="00A93324" w:rsidTr="00A42550">
        <w:tc>
          <w:tcPr>
            <w:tcW w:w="56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w:t>
            </w:r>
          </w:p>
        </w:tc>
        <w:tc>
          <w:tcPr>
            <w:tcW w:w="299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Pă</w:t>
            </w:r>
            <w:r w:rsidRPr="00A93324">
              <w:rPr>
                <w:rFonts w:ascii="Tahoma" w:eastAsia="SimSun" w:hAnsi="Tahoma" w:cs="Tahoma"/>
                <w:sz w:val="24"/>
                <w:szCs w:val="24"/>
                <w:lang w:val="ro-RO"/>
              </w:rPr>
              <w:t>ş</w:t>
            </w:r>
            <w:r w:rsidRPr="00A93324">
              <w:rPr>
                <w:rFonts w:ascii="Arial" w:eastAsia="SimSun" w:hAnsi="Arial" w:cs="Arial"/>
                <w:sz w:val="24"/>
                <w:szCs w:val="24"/>
                <w:lang w:val="ro-RO"/>
              </w:rPr>
              <w:t xml:space="preserve">uni  </w:t>
            </w:r>
            <w:r w:rsidRPr="00A93324">
              <w:rPr>
                <w:rFonts w:ascii="Tahoma" w:eastAsia="SimSun" w:hAnsi="Tahoma" w:cs="Tahoma"/>
                <w:sz w:val="24"/>
                <w:szCs w:val="24"/>
                <w:lang w:val="ro-RO"/>
              </w:rPr>
              <w:t>ş</w:t>
            </w:r>
            <w:r w:rsidRPr="00A93324">
              <w:rPr>
                <w:rFonts w:ascii="Arial" w:eastAsia="SimSun" w:hAnsi="Arial" w:cs="Arial"/>
                <w:sz w:val="24"/>
                <w:szCs w:val="24"/>
                <w:lang w:val="ro-RO"/>
              </w:rPr>
              <w:t>i plante furajere</w:t>
            </w:r>
          </w:p>
        </w:tc>
        <w:tc>
          <w:tcPr>
            <w:tcW w:w="90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29,1</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37,03</w:t>
            </w:r>
          </w:p>
        </w:tc>
        <w:tc>
          <w:tcPr>
            <w:tcW w:w="108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30,76</w:t>
            </w:r>
          </w:p>
        </w:tc>
      </w:tr>
      <w:tr w:rsidR="00A93324" w:rsidRPr="00A93324" w:rsidTr="00A42550">
        <w:tc>
          <w:tcPr>
            <w:tcW w:w="56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w:t>
            </w:r>
          </w:p>
        </w:tc>
        <w:tc>
          <w:tcPr>
            <w:tcW w:w="299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Oleaginoase </w:t>
            </w:r>
            <w:r w:rsidRPr="00A93324">
              <w:rPr>
                <w:rFonts w:ascii="Tahoma" w:eastAsia="SimSun" w:hAnsi="Tahoma" w:cs="Tahoma"/>
                <w:sz w:val="24"/>
                <w:szCs w:val="24"/>
                <w:lang w:val="ro-RO"/>
              </w:rPr>
              <w:t>ş</w:t>
            </w:r>
            <w:r w:rsidRPr="00A93324">
              <w:rPr>
                <w:rFonts w:ascii="Arial" w:eastAsia="SimSun" w:hAnsi="Arial" w:cs="Arial"/>
                <w:sz w:val="24"/>
                <w:szCs w:val="24"/>
                <w:lang w:val="ro-RO"/>
              </w:rPr>
              <w:t>i proteice</w:t>
            </w:r>
          </w:p>
        </w:tc>
        <w:tc>
          <w:tcPr>
            <w:tcW w:w="90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34,9</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66,26</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203,58</w:t>
            </w:r>
          </w:p>
        </w:tc>
        <w:tc>
          <w:tcPr>
            <w:tcW w:w="108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143,01</w:t>
            </w:r>
          </w:p>
        </w:tc>
      </w:tr>
      <w:tr w:rsidR="00A93324" w:rsidRPr="00A93324" w:rsidTr="00A42550">
        <w:trPr>
          <w:trHeight w:val="513"/>
        </w:trPr>
        <w:tc>
          <w:tcPr>
            <w:tcW w:w="56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w:t>
            </w:r>
          </w:p>
        </w:tc>
        <w:tc>
          <w:tcPr>
            <w:tcW w:w="299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Vi</w:t>
            </w:r>
            <w:r w:rsidRPr="00A93324">
              <w:rPr>
                <w:rFonts w:ascii="Tahoma" w:eastAsia="SimSun" w:hAnsi="Tahoma" w:cs="Tahoma"/>
                <w:sz w:val="24"/>
                <w:szCs w:val="24"/>
                <w:lang w:val="ro-RO"/>
              </w:rPr>
              <w:t>ţ</w:t>
            </w:r>
            <w:r w:rsidRPr="00A93324">
              <w:rPr>
                <w:rFonts w:ascii="Arial" w:eastAsia="SimSun" w:hAnsi="Arial" w:cs="Arial"/>
                <w:sz w:val="24"/>
                <w:szCs w:val="24"/>
                <w:lang w:val="ro-RO"/>
              </w:rPr>
              <w:t>ă de vie</w:t>
            </w:r>
          </w:p>
        </w:tc>
        <w:tc>
          <w:tcPr>
            <w:tcW w:w="90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40,84</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26,33</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28,81</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44,95</w:t>
            </w:r>
          </w:p>
        </w:tc>
        <w:tc>
          <w:tcPr>
            <w:tcW w:w="108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8,72</w:t>
            </w:r>
          </w:p>
        </w:tc>
      </w:tr>
      <w:tr w:rsidR="00A93324" w:rsidRPr="00A93324" w:rsidTr="00A42550">
        <w:tc>
          <w:tcPr>
            <w:tcW w:w="56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w:t>
            </w:r>
          </w:p>
        </w:tc>
        <w:tc>
          <w:tcPr>
            <w:tcW w:w="299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Pomi fructiferi</w:t>
            </w:r>
          </w:p>
        </w:tc>
        <w:tc>
          <w:tcPr>
            <w:tcW w:w="90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3,5</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57,31</w:t>
            </w:r>
          </w:p>
        </w:tc>
      </w:tr>
      <w:tr w:rsidR="00A93324" w:rsidRPr="00A93324" w:rsidTr="00A42550">
        <w:tc>
          <w:tcPr>
            <w:tcW w:w="566"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w:t>
            </w:r>
          </w:p>
        </w:tc>
        <w:tc>
          <w:tcPr>
            <w:tcW w:w="2995"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Alte culturi pe teren arabil</w:t>
            </w:r>
          </w:p>
        </w:tc>
        <w:tc>
          <w:tcPr>
            <w:tcW w:w="90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0"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w:t>
            </w:r>
          </w:p>
        </w:tc>
        <w:tc>
          <w:tcPr>
            <w:tcW w:w="108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w:t>
            </w:r>
          </w:p>
        </w:tc>
      </w:tr>
    </w:tbl>
    <w:p w:rsidR="00A93324" w:rsidRPr="00A93324" w:rsidRDefault="00A93324" w:rsidP="00A93324">
      <w:pPr>
        <w:spacing w:after="120" w:line="240" w:lineRule="auto"/>
        <w:jc w:val="right"/>
        <w:rPr>
          <w:rFonts w:ascii="Arial" w:eastAsia="SimSun" w:hAnsi="Arial" w:cs="Arial"/>
          <w:i/>
          <w:sz w:val="24"/>
          <w:szCs w:val="24"/>
          <w:lang w:val="ro-RO"/>
        </w:rPr>
      </w:pPr>
      <w:r w:rsidRPr="00A93324">
        <w:rPr>
          <w:rFonts w:ascii="Arial" w:eastAsia="SimSun" w:hAnsi="Arial" w:cs="Arial"/>
          <w:i/>
          <w:sz w:val="24"/>
          <w:szCs w:val="24"/>
          <w:lang w:val="ro-RO"/>
        </w:rPr>
        <w:t xml:space="preserve">Sursa: Direcţia pentru Agricultură judeţeană Buzău </w:t>
      </w:r>
    </w:p>
    <w:p w:rsidR="00450CDB" w:rsidRDefault="00450CDB" w:rsidP="00A93324">
      <w:pPr>
        <w:spacing w:after="120" w:line="240" w:lineRule="auto"/>
        <w:jc w:val="both"/>
        <w:rPr>
          <w:rFonts w:ascii="Arial" w:eastAsia="SimSun" w:hAnsi="Arial" w:cs="Arial"/>
          <w:b/>
          <w:bCs/>
          <w:sz w:val="24"/>
          <w:szCs w:val="24"/>
          <w:lang w:val="ro-RO"/>
        </w:rPr>
      </w:pPr>
    </w:p>
    <w:p w:rsidR="00A93324" w:rsidRPr="00A93324" w:rsidRDefault="00A93324" w:rsidP="00A93324">
      <w:pPr>
        <w:spacing w:after="120" w:line="240" w:lineRule="auto"/>
        <w:jc w:val="both"/>
        <w:rPr>
          <w:rFonts w:ascii="Arial" w:eastAsia="SimSun" w:hAnsi="Arial" w:cs="Arial"/>
          <w:b/>
          <w:sz w:val="24"/>
          <w:szCs w:val="24"/>
          <w:lang w:val="ro-RO"/>
        </w:rPr>
      </w:pPr>
      <w:r w:rsidRPr="00A93324">
        <w:rPr>
          <w:rFonts w:ascii="Arial" w:eastAsia="SimSun" w:hAnsi="Arial" w:cs="Arial"/>
          <w:b/>
          <w:bCs/>
          <w:sz w:val="24"/>
          <w:szCs w:val="24"/>
          <w:lang w:val="ro-RO"/>
        </w:rPr>
        <w:t>Tabel III.4.- 3 P</w:t>
      </w:r>
      <w:r w:rsidRPr="00A93324">
        <w:rPr>
          <w:rFonts w:ascii="Arial" w:eastAsia="SimSun" w:hAnsi="Arial" w:cs="Arial"/>
          <w:b/>
          <w:sz w:val="24"/>
          <w:szCs w:val="24"/>
          <w:lang w:val="ro-RO"/>
        </w:rPr>
        <w:t>onderea suprafe</w:t>
      </w:r>
      <w:r w:rsidRPr="00A93324">
        <w:rPr>
          <w:rFonts w:ascii="Tahoma" w:eastAsia="SimSun" w:hAnsi="Tahoma" w:cs="Tahoma"/>
          <w:b/>
          <w:sz w:val="24"/>
          <w:szCs w:val="24"/>
          <w:lang w:val="ro-RO"/>
        </w:rPr>
        <w:t>ţ</w:t>
      </w:r>
      <w:r w:rsidRPr="00A93324">
        <w:rPr>
          <w:rFonts w:ascii="Arial" w:eastAsia="SimSun" w:hAnsi="Arial" w:cs="Arial"/>
          <w:b/>
          <w:sz w:val="24"/>
          <w:szCs w:val="24"/>
          <w:lang w:val="ro-RO"/>
        </w:rPr>
        <w:t>ei destinate agriculturii ecologice în raport cu suprafa</w:t>
      </w:r>
      <w:r w:rsidRPr="00A93324">
        <w:rPr>
          <w:rFonts w:ascii="Tahoma" w:eastAsia="SimSun" w:hAnsi="Tahoma" w:cs="Tahoma"/>
          <w:b/>
          <w:sz w:val="24"/>
          <w:szCs w:val="24"/>
          <w:lang w:val="ro-RO"/>
        </w:rPr>
        <w:t>ţ</w:t>
      </w:r>
      <w:r w:rsidRPr="00A93324">
        <w:rPr>
          <w:rFonts w:ascii="Arial" w:eastAsia="SimSun" w:hAnsi="Arial" w:cs="Arial"/>
          <w:b/>
          <w:sz w:val="24"/>
          <w:szCs w:val="24"/>
          <w:lang w:val="ro-RO"/>
        </w:rPr>
        <w:t>a totală utilizată în agricultură în jude</w:t>
      </w:r>
      <w:r w:rsidRPr="00A93324">
        <w:rPr>
          <w:rFonts w:ascii="Tahoma" w:eastAsia="SimSun" w:hAnsi="Tahoma" w:cs="Tahoma"/>
          <w:b/>
          <w:sz w:val="24"/>
          <w:szCs w:val="24"/>
          <w:lang w:val="ro-RO"/>
        </w:rPr>
        <w:t>ţ</w:t>
      </w:r>
      <w:r w:rsidRPr="00A93324">
        <w:rPr>
          <w:rFonts w:ascii="Arial" w:eastAsia="SimSun" w:hAnsi="Arial" w:cs="Arial"/>
          <w:b/>
          <w:sz w:val="24"/>
          <w:szCs w:val="24"/>
          <w:lang w:val="ro-RO"/>
        </w:rPr>
        <w:t>ul Buzău în perioda 2010-2014.</w:t>
      </w:r>
    </w:p>
    <w:tbl>
      <w:tblPr>
        <w:tblW w:w="9497" w:type="dxa"/>
        <w:tblInd w:w="39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0A0"/>
      </w:tblPr>
      <w:tblGrid>
        <w:gridCol w:w="566"/>
        <w:gridCol w:w="3261"/>
        <w:gridCol w:w="1134"/>
        <w:gridCol w:w="1134"/>
        <w:gridCol w:w="1181"/>
        <w:gridCol w:w="1087"/>
        <w:gridCol w:w="1134"/>
      </w:tblGrid>
      <w:tr w:rsidR="00A93324" w:rsidRPr="00A93324" w:rsidTr="00A42550">
        <w:trPr>
          <w:trHeight w:val="363"/>
        </w:trPr>
        <w:tc>
          <w:tcPr>
            <w:tcW w:w="566" w:type="dxa"/>
            <w:vMerge w:val="restart"/>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Nr.</w:t>
            </w:r>
          </w:p>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crt</w:t>
            </w:r>
          </w:p>
        </w:tc>
        <w:tc>
          <w:tcPr>
            <w:tcW w:w="3261" w:type="dxa"/>
            <w:vMerge w:val="restart"/>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Specifica</w:t>
            </w:r>
            <w:r w:rsidRPr="00A93324">
              <w:rPr>
                <w:rFonts w:ascii="Tahoma" w:eastAsia="SimSun" w:hAnsi="Tahoma" w:cs="Tahoma"/>
                <w:sz w:val="24"/>
                <w:szCs w:val="24"/>
                <w:lang w:val="ro-RO"/>
              </w:rPr>
              <w:t>ţ</w:t>
            </w:r>
            <w:r w:rsidRPr="00A93324">
              <w:rPr>
                <w:rFonts w:ascii="Arial" w:eastAsia="SimSun" w:hAnsi="Arial" w:cs="Arial"/>
                <w:sz w:val="24"/>
                <w:szCs w:val="24"/>
                <w:lang w:val="ro-RO"/>
              </w:rPr>
              <w:t>ie</w:t>
            </w:r>
          </w:p>
        </w:tc>
        <w:tc>
          <w:tcPr>
            <w:tcW w:w="5670" w:type="dxa"/>
            <w:gridSpan w:val="5"/>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Suprafe</w:t>
            </w:r>
            <w:r w:rsidRPr="00A93324">
              <w:rPr>
                <w:rFonts w:ascii="Tahoma" w:eastAsia="SimSun" w:hAnsi="Tahoma" w:cs="Tahoma"/>
                <w:sz w:val="24"/>
                <w:szCs w:val="24"/>
                <w:lang w:val="ro-RO"/>
              </w:rPr>
              <w:t>ţ</w:t>
            </w:r>
            <w:r w:rsidRPr="00A93324">
              <w:rPr>
                <w:rFonts w:ascii="Arial" w:eastAsia="SimSun" w:hAnsi="Arial" w:cs="Arial"/>
                <w:sz w:val="24"/>
                <w:szCs w:val="24"/>
                <w:lang w:val="ro-RO"/>
              </w:rPr>
              <w:t>e (ha)</w:t>
            </w:r>
          </w:p>
        </w:tc>
      </w:tr>
      <w:tr w:rsidR="00A93324" w:rsidRPr="00A93324" w:rsidTr="00A42550">
        <w:tc>
          <w:tcPr>
            <w:tcW w:w="566" w:type="dxa"/>
            <w:vMerge/>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p>
        </w:tc>
        <w:tc>
          <w:tcPr>
            <w:tcW w:w="3261" w:type="dxa"/>
            <w:vMerge/>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p>
        </w:tc>
        <w:tc>
          <w:tcPr>
            <w:tcW w:w="113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2010</w:t>
            </w:r>
          </w:p>
        </w:tc>
        <w:tc>
          <w:tcPr>
            <w:tcW w:w="113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2011</w:t>
            </w:r>
          </w:p>
        </w:tc>
        <w:tc>
          <w:tcPr>
            <w:tcW w:w="118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2012</w:t>
            </w:r>
          </w:p>
        </w:tc>
        <w:tc>
          <w:tcPr>
            <w:tcW w:w="10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2013</w:t>
            </w:r>
          </w:p>
        </w:tc>
        <w:tc>
          <w:tcPr>
            <w:tcW w:w="1134"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2014</w:t>
            </w:r>
          </w:p>
        </w:tc>
      </w:tr>
      <w:tr w:rsidR="00A93324" w:rsidRPr="00A93324" w:rsidTr="00A42550">
        <w:tc>
          <w:tcPr>
            <w:tcW w:w="566" w:type="dxa"/>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w:t>
            </w:r>
          </w:p>
        </w:tc>
        <w:tc>
          <w:tcPr>
            <w:tcW w:w="3261"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sz w:val="24"/>
                <w:szCs w:val="24"/>
                <w:lang w:val="ro-RO"/>
              </w:rPr>
            </w:pPr>
            <w:r w:rsidRPr="00A93324">
              <w:rPr>
                <w:rFonts w:ascii="Arial" w:eastAsia="SimSun" w:hAnsi="Arial" w:cs="Arial"/>
                <w:sz w:val="24"/>
                <w:szCs w:val="24"/>
                <w:lang w:val="ro-RO"/>
              </w:rPr>
              <w:t>Suprafa</w:t>
            </w:r>
            <w:r w:rsidRPr="00A93324">
              <w:rPr>
                <w:rFonts w:ascii="Tahoma" w:eastAsia="SimSun" w:hAnsi="Tahoma" w:cs="Tahoma"/>
                <w:sz w:val="24"/>
                <w:szCs w:val="24"/>
                <w:lang w:val="ro-RO"/>
              </w:rPr>
              <w:t>ţ</w:t>
            </w:r>
            <w:r w:rsidRPr="00A93324">
              <w:rPr>
                <w:rFonts w:ascii="Arial" w:eastAsia="SimSun" w:hAnsi="Arial" w:cs="Arial"/>
                <w:sz w:val="24"/>
                <w:szCs w:val="24"/>
                <w:lang w:val="ro-RO"/>
              </w:rPr>
              <w:t>ă totală utilizată în agricultură</w:t>
            </w:r>
          </w:p>
        </w:tc>
        <w:tc>
          <w:tcPr>
            <w:tcW w:w="1134"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p>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401895</w:t>
            </w:r>
          </w:p>
        </w:tc>
        <w:tc>
          <w:tcPr>
            <w:tcW w:w="1134"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p>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397122</w:t>
            </w:r>
          </w:p>
        </w:tc>
        <w:tc>
          <w:tcPr>
            <w:tcW w:w="1181"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p>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398821</w:t>
            </w:r>
          </w:p>
        </w:tc>
        <w:tc>
          <w:tcPr>
            <w:tcW w:w="1087"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p>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396466</w:t>
            </w:r>
          </w:p>
        </w:tc>
        <w:tc>
          <w:tcPr>
            <w:tcW w:w="1134"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p>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397054</w:t>
            </w:r>
          </w:p>
        </w:tc>
      </w:tr>
      <w:tr w:rsidR="00A93324" w:rsidRPr="00A93324" w:rsidTr="00A42550">
        <w:tc>
          <w:tcPr>
            <w:tcW w:w="566" w:type="dxa"/>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w:t>
            </w:r>
          </w:p>
        </w:tc>
        <w:tc>
          <w:tcPr>
            <w:tcW w:w="3261" w:type="dxa"/>
          </w:tcPr>
          <w:p w:rsidR="00A93324" w:rsidRPr="00A93324" w:rsidRDefault="00A93324" w:rsidP="00A93324">
            <w:pPr>
              <w:tabs>
                <w:tab w:val="left" w:pos="1276"/>
                <w:tab w:val="left" w:leader="dot" w:pos="9356"/>
              </w:tabs>
              <w:spacing w:after="0" w:line="240" w:lineRule="auto"/>
              <w:rPr>
                <w:rFonts w:ascii="Arial" w:eastAsia="SimSun" w:hAnsi="Arial" w:cs="Arial"/>
                <w:sz w:val="24"/>
                <w:szCs w:val="24"/>
                <w:lang w:val="ro-RO"/>
              </w:rPr>
            </w:pPr>
            <w:r w:rsidRPr="00A93324">
              <w:rPr>
                <w:rFonts w:ascii="Arial" w:eastAsia="SimSun" w:hAnsi="Arial" w:cs="Arial"/>
                <w:sz w:val="24"/>
                <w:szCs w:val="24"/>
                <w:lang w:val="ro-RO"/>
              </w:rPr>
              <w:t>Suprafe</w:t>
            </w:r>
            <w:r w:rsidRPr="00A93324">
              <w:rPr>
                <w:rFonts w:ascii="Tahoma" w:eastAsia="SimSun" w:hAnsi="Tahoma" w:cs="Tahoma"/>
                <w:sz w:val="24"/>
                <w:szCs w:val="24"/>
                <w:lang w:val="ro-RO"/>
              </w:rPr>
              <w:t>ţ</w:t>
            </w:r>
            <w:r w:rsidRPr="00A93324">
              <w:rPr>
                <w:rFonts w:ascii="Arial" w:eastAsia="SimSun" w:hAnsi="Arial" w:cs="Arial"/>
                <w:sz w:val="24"/>
                <w:szCs w:val="24"/>
                <w:lang w:val="ro-RO"/>
              </w:rPr>
              <w:t>e destinate agriculturii ecologice</w:t>
            </w:r>
          </w:p>
        </w:tc>
        <w:tc>
          <w:tcPr>
            <w:tcW w:w="1134"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p>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85,24</w:t>
            </w:r>
          </w:p>
        </w:tc>
        <w:tc>
          <w:tcPr>
            <w:tcW w:w="1134"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p>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26,33</w:t>
            </w:r>
          </w:p>
        </w:tc>
        <w:tc>
          <w:tcPr>
            <w:tcW w:w="118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p>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523,66</w:t>
            </w:r>
          </w:p>
        </w:tc>
        <w:tc>
          <w:tcPr>
            <w:tcW w:w="1087"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p>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626,11</w:t>
            </w:r>
          </w:p>
        </w:tc>
        <w:tc>
          <w:tcPr>
            <w:tcW w:w="1134"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p>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604,11</w:t>
            </w:r>
          </w:p>
        </w:tc>
      </w:tr>
      <w:tr w:rsidR="00A93324" w:rsidRPr="00A93324" w:rsidTr="00A42550">
        <w:tc>
          <w:tcPr>
            <w:tcW w:w="566" w:type="dxa"/>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w:t>
            </w:r>
          </w:p>
        </w:tc>
        <w:tc>
          <w:tcPr>
            <w:tcW w:w="3261" w:type="dxa"/>
          </w:tcPr>
          <w:p w:rsidR="00A93324" w:rsidRPr="00A93324" w:rsidRDefault="00A93324" w:rsidP="00A93324">
            <w:pPr>
              <w:tabs>
                <w:tab w:val="left" w:pos="1276"/>
                <w:tab w:val="left" w:leader="dot" w:pos="9356"/>
              </w:tabs>
              <w:spacing w:after="0" w:line="240" w:lineRule="auto"/>
              <w:rPr>
                <w:rFonts w:ascii="Arial" w:eastAsia="SimSun" w:hAnsi="Arial" w:cs="Arial"/>
                <w:sz w:val="24"/>
                <w:szCs w:val="24"/>
                <w:lang w:val="ro-RO"/>
              </w:rPr>
            </w:pPr>
            <w:r w:rsidRPr="00A93324">
              <w:rPr>
                <w:rFonts w:ascii="Arial" w:eastAsia="SimSun" w:hAnsi="Arial" w:cs="Arial"/>
                <w:sz w:val="24"/>
                <w:szCs w:val="24"/>
                <w:lang w:val="ro-RO"/>
              </w:rPr>
              <w:t>Ponderea suprafeţelor destinate agriculturii  ecologice din totalul suprafeţei utilizate în agricultură</w:t>
            </w:r>
          </w:p>
        </w:tc>
        <w:tc>
          <w:tcPr>
            <w:tcW w:w="1134"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0,021%</w:t>
            </w:r>
          </w:p>
        </w:tc>
        <w:tc>
          <w:tcPr>
            <w:tcW w:w="1134"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sz w:val="24"/>
                <w:szCs w:val="24"/>
                <w:lang w:val="ro-RO"/>
              </w:rPr>
            </w:pPr>
            <w:r w:rsidRPr="00A93324">
              <w:rPr>
                <w:rFonts w:ascii="Arial" w:eastAsia="SimSun" w:hAnsi="Arial" w:cs="Arial"/>
                <w:sz w:val="24"/>
                <w:szCs w:val="24"/>
                <w:lang w:val="ro-RO"/>
              </w:rPr>
              <w:t>0,006%</w:t>
            </w:r>
          </w:p>
        </w:tc>
        <w:tc>
          <w:tcPr>
            <w:tcW w:w="118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0,133%</w:t>
            </w:r>
          </w:p>
        </w:tc>
        <w:tc>
          <w:tcPr>
            <w:tcW w:w="1087"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0,159%</w:t>
            </w:r>
          </w:p>
        </w:tc>
        <w:tc>
          <w:tcPr>
            <w:tcW w:w="1134"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0,153%</w:t>
            </w:r>
          </w:p>
        </w:tc>
      </w:tr>
    </w:tbl>
    <w:p w:rsidR="00A93324" w:rsidRPr="00A93324" w:rsidRDefault="00A93324" w:rsidP="00A93324">
      <w:pPr>
        <w:spacing w:after="120" w:line="240" w:lineRule="auto"/>
        <w:ind w:left="2126" w:firstLine="709"/>
        <w:jc w:val="center"/>
        <w:rPr>
          <w:rFonts w:ascii="Arial" w:eastAsia="SimSun" w:hAnsi="Arial" w:cs="Arial"/>
          <w:i/>
          <w:sz w:val="24"/>
          <w:szCs w:val="24"/>
          <w:lang w:val="ro-RO"/>
        </w:rPr>
      </w:pPr>
      <w:r w:rsidRPr="00A93324">
        <w:rPr>
          <w:rFonts w:ascii="Arial" w:eastAsia="SimSun" w:hAnsi="Arial" w:cs="Arial"/>
          <w:i/>
          <w:sz w:val="24"/>
          <w:szCs w:val="24"/>
          <w:lang w:val="ro-RO"/>
        </w:rPr>
        <w:t xml:space="preserve">Sursa: Direcţia pentru Agricultură judeţeană Buzău </w:t>
      </w:r>
    </w:p>
    <w:p w:rsidR="00450CDB" w:rsidRDefault="00450CDB" w:rsidP="00A93324">
      <w:pPr>
        <w:spacing w:after="120" w:line="240" w:lineRule="auto"/>
        <w:jc w:val="both"/>
        <w:rPr>
          <w:rFonts w:ascii="Arial" w:eastAsia="SimSun" w:hAnsi="Arial" w:cs="Arial"/>
          <w:b/>
          <w:bCs/>
          <w:sz w:val="24"/>
          <w:szCs w:val="24"/>
          <w:lang w:val="ro-RO"/>
        </w:rPr>
      </w:pPr>
    </w:p>
    <w:p w:rsidR="00450CDB" w:rsidRDefault="00450CDB" w:rsidP="00A93324">
      <w:pPr>
        <w:spacing w:after="120" w:line="240" w:lineRule="auto"/>
        <w:jc w:val="both"/>
        <w:rPr>
          <w:rFonts w:ascii="Arial" w:eastAsia="SimSun" w:hAnsi="Arial" w:cs="Arial"/>
          <w:b/>
          <w:bCs/>
          <w:sz w:val="24"/>
          <w:szCs w:val="24"/>
          <w:lang w:val="ro-RO"/>
        </w:rPr>
      </w:pPr>
    </w:p>
    <w:p w:rsidR="00450CDB" w:rsidRDefault="00450CDB" w:rsidP="00A93324">
      <w:pPr>
        <w:spacing w:after="120" w:line="240" w:lineRule="auto"/>
        <w:jc w:val="both"/>
        <w:rPr>
          <w:rFonts w:ascii="Arial" w:eastAsia="SimSun" w:hAnsi="Arial" w:cs="Arial"/>
          <w:b/>
          <w:bCs/>
          <w:sz w:val="24"/>
          <w:szCs w:val="24"/>
          <w:lang w:val="ro-RO"/>
        </w:rPr>
      </w:pPr>
    </w:p>
    <w:p w:rsidR="00A93324" w:rsidRPr="00A93324" w:rsidRDefault="00A93324" w:rsidP="00A93324">
      <w:pPr>
        <w:spacing w:after="120" w:line="240" w:lineRule="auto"/>
        <w:jc w:val="both"/>
        <w:rPr>
          <w:rFonts w:ascii="Arial" w:eastAsia="SimSun" w:hAnsi="Arial" w:cs="Arial"/>
          <w:b/>
          <w:sz w:val="24"/>
          <w:szCs w:val="24"/>
          <w:lang w:val="ro-RO"/>
        </w:rPr>
      </w:pPr>
      <w:r w:rsidRPr="00A93324">
        <w:rPr>
          <w:rFonts w:ascii="Arial" w:eastAsia="SimSun" w:hAnsi="Arial" w:cs="Arial"/>
          <w:b/>
          <w:bCs/>
          <w:sz w:val="24"/>
          <w:szCs w:val="24"/>
          <w:lang w:val="ro-RO"/>
        </w:rPr>
        <w:lastRenderedPageBreak/>
        <w:t xml:space="preserve">Fig.  III.4.-1 - </w:t>
      </w:r>
      <w:r w:rsidRPr="00A93324">
        <w:rPr>
          <w:rFonts w:ascii="Arial" w:eastAsia="SimSun" w:hAnsi="Arial" w:cs="Arial"/>
          <w:b/>
          <w:bCs/>
          <w:sz w:val="24"/>
          <w:szCs w:val="24"/>
          <w:lang w:val="pt-BR"/>
        </w:rPr>
        <w:t>S</w:t>
      </w:r>
      <w:r w:rsidRPr="00A93324">
        <w:rPr>
          <w:rFonts w:ascii="Arial" w:eastAsia="SimSun" w:hAnsi="Arial" w:cs="Arial"/>
          <w:b/>
          <w:sz w:val="24"/>
          <w:szCs w:val="24"/>
          <w:lang w:val="en-GB"/>
        </w:rPr>
        <w:t>uprafaţa destinată agriculturii ecologice în raport cu suprafa</w:t>
      </w:r>
      <w:r w:rsidRPr="00A93324">
        <w:rPr>
          <w:rFonts w:ascii="Tahoma" w:eastAsia="SimSun" w:hAnsi="Tahoma" w:cs="Tahoma"/>
          <w:b/>
          <w:sz w:val="24"/>
          <w:szCs w:val="24"/>
          <w:lang w:val="en-GB"/>
        </w:rPr>
        <w:t>ţ</w:t>
      </w:r>
      <w:r w:rsidRPr="00A93324">
        <w:rPr>
          <w:rFonts w:ascii="Arial" w:eastAsia="SimSun" w:hAnsi="Arial" w:cs="Arial"/>
          <w:b/>
          <w:sz w:val="24"/>
          <w:szCs w:val="24"/>
          <w:lang w:val="en-GB"/>
        </w:rPr>
        <w:t>a totală utilizată în agricultură în jude</w:t>
      </w:r>
      <w:r w:rsidRPr="00A93324">
        <w:rPr>
          <w:rFonts w:ascii="Tahoma" w:eastAsia="SimSun" w:hAnsi="Tahoma" w:cs="Tahoma"/>
          <w:b/>
          <w:sz w:val="24"/>
          <w:szCs w:val="24"/>
          <w:lang w:val="en-GB"/>
        </w:rPr>
        <w:t>ţ</w:t>
      </w:r>
      <w:r w:rsidRPr="00A93324">
        <w:rPr>
          <w:rFonts w:ascii="Arial" w:eastAsia="SimSun" w:hAnsi="Arial" w:cs="Arial"/>
          <w:b/>
          <w:sz w:val="24"/>
          <w:szCs w:val="24"/>
          <w:lang w:val="en-GB"/>
        </w:rPr>
        <w:t>ul Buzău în perioada 2010 - 2014</w:t>
      </w:r>
    </w:p>
    <w:p w:rsidR="00A93324" w:rsidRPr="00A93324" w:rsidRDefault="00A93324" w:rsidP="00A93324">
      <w:pPr>
        <w:spacing w:after="120" w:line="240" w:lineRule="auto"/>
        <w:rPr>
          <w:rFonts w:ascii="Arial" w:eastAsia="SimSun" w:hAnsi="Arial" w:cs="Arial"/>
          <w:sz w:val="24"/>
          <w:szCs w:val="24"/>
          <w:lang w:val="ro-RO"/>
        </w:rPr>
      </w:pPr>
      <w:r>
        <w:rPr>
          <w:rFonts w:ascii="Times New Roman" w:eastAsia="SimSun" w:hAnsi="Times New Roman"/>
          <w:noProof/>
          <w:sz w:val="24"/>
          <w:szCs w:val="24"/>
          <w:lang w:val="ro-RO" w:eastAsia="ro-RO"/>
        </w:rPr>
        <w:drawing>
          <wp:inline distT="0" distB="0" distL="0" distR="0">
            <wp:extent cx="5686425" cy="2143125"/>
            <wp:effectExtent l="0" t="0" r="0" b="0"/>
            <wp:docPr id="161" name="Object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93324" w:rsidRPr="00A93324" w:rsidRDefault="00A93324" w:rsidP="00A93324">
      <w:pPr>
        <w:spacing w:after="120" w:line="240" w:lineRule="auto"/>
        <w:jc w:val="right"/>
        <w:rPr>
          <w:rFonts w:ascii="Arial" w:eastAsia="SimSun" w:hAnsi="Arial" w:cs="Arial"/>
          <w:i/>
          <w:sz w:val="24"/>
          <w:szCs w:val="24"/>
          <w:lang w:val="ro-RO"/>
        </w:rPr>
      </w:pPr>
      <w:r w:rsidRPr="00A93324">
        <w:rPr>
          <w:rFonts w:ascii="Arial" w:eastAsia="SimSun" w:hAnsi="Arial" w:cs="Arial"/>
          <w:i/>
          <w:sz w:val="24"/>
          <w:szCs w:val="24"/>
          <w:lang w:val="ro-RO"/>
        </w:rPr>
        <w:t>Sursa: Direcţia pentru Agricultură judeţeană Buzău</w:t>
      </w:r>
    </w:p>
    <w:p w:rsidR="00A93324" w:rsidRPr="00A93324" w:rsidRDefault="00A93324" w:rsidP="00A93324">
      <w:pPr>
        <w:spacing w:after="120" w:line="240" w:lineRule="auto"/>
        <w:rPr>
          <w:rFonts w:ascii="Arial" w:eastAsia="SimSun" w:hAnsi="Arial" w:cs="Arial"/>
          <w:b/>
          <w:sz w:val="24"/>
          <w:szCs w:val="24"/>
          <w:lang w:val="en-GB"/>
        </w:rPr>
      </w:pPr>
      <w:r w:rsidRPr="00A93324">
        <w:rPr>
          <w:rFonts w:ascii="Arial" w:eastAsia="SimSun" w:hAnsi="Arial" w:cs="Arial"/>
          <w:b/>
          <w:bCs/>
          <w:sz w:val="24"/>
          <w:szCs w:val="24"/>
          <w:lang w:val="pt-BR"/>
        </w:rPr>
        <w:t>Fig.  III.4.-2 - P</w:t>
      </w:r>
      <w:r w:rsidRPr="00A93324">
        <w:rPr>
          <w:rFonts w:ascii="Arial" w:eastAsia="SimSun" w:hAnsi="Arial" w:cs="Arial"/>
          <w:b/>
          <w:sz w:val="24"/>
          <w:szCs w:val="24"/>
          <w:lang w:val="en-GB"/>
        </w:rPr>
        <w:t>onderea suprafe</w:t>
      </w:r>
      <w:r w:rsidRPr="00A93324">
        <w:rPr>
          <w:rFonts w:ascii="Tahoma" w:eastAsia="SimSun" w:hAnsi="Tahoma" w:cs="Tahoma"/>
          <w:b/>
          <w:sz w:val="24"/>
          <w:szCs w:val="24"/>
          <w:lang w:val="en-GB"/>
        </w:rPr>
        <w:t>ţ</w:t>
      </w:r>
      <w:r w:rsidRPr="00A93324">
        <w:rPr>
          <w:rFonts w:ascii="Arial" w:eastAsia="SimSun" w:hAnsi="Arial" w:cs="Arial"/>
          <w:b/>
          <w:sz w:val="24"/>
          <w:szCs w:val="24"/>
          <w:lang w:val="en-GB"/>
        </w:rPr>
        <w:t>ei destinate agriculturii ecologice în raport cu s</w:t>
      </w:r>
      <w:r w:rsidRPr="00A93324">
        <w:rPr>
          <w:rFonts w:ascii="Arial" w:eastAsia="SimSun" w:hAnsi="Arial" w:cs="Arial"/>
          <w:b/>
          <w:sz w:val="24"/>
          <w:szCs w:val="24"/>
          <w:lang w:val="en-GB"/>
        </w:rPr>
        <w:t>u</w:t>
      </w:r>
      <w:r w:rsidRPr="00A93324">
        <w:rPr>
          <w:rFonts w:ascii="Arial" w:eastAsia="SimSun" w:hAnsi="Arial" w:cs="Arial"/>
          <w:b/>
          <w:sz w:val="24"/>
          <w:szCs w:val="24"/>
          <w:lang w:val="en-GB"/>
        </w:rPr>
        <w:t>prafa</w:t>
      </w:r>
      <w:r w:rsidRPr="00A93324">
        <w:rPr>
          <w:rFonts w:ascii="Tahoma" w:eastAsia="SimSun" w:hAnsi="Tahoma" w:cs="Tahoma"/>
          <w:b/>
          <w:sz w:val="24"/>
          <w:szCs w:val="24"/>
          <w:lang w:val="en-GB"/>
        </w:rPr>
        <w:t>ţ</w:t>
      </w:r>
      <w:r w:rsidRPr="00A93324">
        <w:rPr>
          <w:rFonts w:ascii="Arial" w:eastAsia="SimSun" w:hAnsi="Arial" w:cs="Arial"/>
          <w:b/>
          <w:sz w:val="24"/>
          <w:szCs w:val="24"/>
          <w:lang w:val="en-GB"/>
        </w:rPr>
        <w:t>a totală utilizată în agricultură în jude</w:t>
      </w:r>
      <w:r w:rsidRPr="00A93324">
        <w:rPr>
          <w:rFonts w:ascii="Tahoma" w:eastAsia="SimSun" w:hAnsi="Tahoma" w:cs="Tahoma"/>
          <w:b/>
          <w:sz w:val="24"/>
          <w:szCs w:val="24"/>
          <w:lang w:val="en-GB"/>
        </w:rPr>
        <w:t>ţ</w:t>
      </w:r>
      <w:r w:rsidRPr="00A93324">
        <w:rPr>
          <w:rFonts w:ascii="Arial" w:eastAsia="SimSun" w:hAnsi="Arial" w:cs="Arial"/>
          <w:b/>
          <w:sz w:val="24"/>
          <w:szCs w:val="24"/>
          <w:lang w:val="en-GB"/>
        </w:rPr>
        <w:t>ul Buzău în perioada 2010 - 2014</w:t>
      </w:r>
    </w:p>
    <w:p w:rsidR="00A93324" w:rsidRPr="00A93324" w:rsidRDefault="00A93324" w:rsidP="00A93324">
      <w:pPr>
        <w:tabs>
          <w:tab w:val="left" w:pos="1276"/>
          <w:tab w:val="left" w:pos="8460"/>
          <w:tab w:val="left" w:leader="dot" w:pos="9356"/>
        </w:tabs>
        <w:spacing w:after="120" w:line="240" w:lineRule="auto"/>
        <w:rPr>
          <w:rFonts w:ascii="Arial" w:eastAsia="SimSun" w:hAnsi="Arial" w:cs="Arial"/>
          <w:b/>
          <w:sz w:val="24"/>
          <w:szCs w:val="24"/>
          <w:lang w:val="ro-RO"/>
        </w:rPr>
      </w:pPr>
      <w:r>
        <w:rPr>
          <w:rFonts w:ascii="Times New Roman" w:eastAsia="SimSun" w:hAnsi="Times New Roman"/>
          <w:noProof/>
          <w:sz w:val="24"/>
          <w:szCs w:val="24"/>
          <w:lang w:val="ro-RO" w:eastAsia="ro-RO"/>
        </w:rPr>
        <w:drawing>
          <wp:inline distT="0" distB="0" distL="0" distR="0">
            <wp:extent cx="5334000" cy="2171700"/>
            <wp:effectExtent l="0" t="0" r="0" b="0"/>
            <wp:docPr id="162" name="Object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93324" w:rsidRPr="00A93324" w:rsidRDefault="00A93324" w:rsidP="00A93324">
      <w:pPr>
        <w:spacing w:after="120" w:line="240" w:lineRule="auto"/>
        <w:jc w:val="right"/>
        <w:rPr>
          <w:rFonts w:ascii="Arial" w:eastAsia="SimSun" w:hAnsi="Arial" w:cs="Arial"/>
          <w:i/>
          <w:sz w:val="24"/>
          <w:szCs w:val="24"/>
          <w:lang w:val="en-GB"/>
        </w:rPr>
      </w:pPr>
      <w:r w:rsidRPr="00A93324">
        <w:rPr>
          <w:rFonts w:ascii="Arial" w:eastAsia="SimSun" w:hAnsi="Arial" w:cs="Arial"/>
          <w:i/>
          <w:sz w:val="24"/>
          <w:szCs w:val="24"/>
          <w:lang w:val="en-GB"/>
        </w:rPr>
        <w:t xml:space="preserve">Sursa: Direcţia pentru Agricultură judeţeană </w:t>
      </w:r>
      <w:smartTag w:uri="urn:schemas-microsoft-com:office:smarttags" w:element="place">
        <w:smartTag w:uri="urn:schemas-microsoft-com:office:smarttags" w:element="City">
          <w:r w:rsidRPr="00A93324">
            <w:rPr>
              <w:rFonts w:ascii="Arial" w:eastAsia="SimSun" w:hAnsi="Arial" w:cs="Arial"/>
              <w:i/>
              <w:sz w:val="24"/>
              <w:szCs w:val="24"/>
              <w:lang w:val="en-GB"/>
            </w:rPr>
            <w:t>Buzău</w:t>
          </w:r>
        </w:smartTag>
      </w:smartTag>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Se observă că, deşi relativ reduse ca suprafaţă, culturile ecologice încep să se dezvolte şi în judeţul Buzău, în special cele de cereale, de plante oleaginoase şi proteice şi de pomi fructiferi. Se remarcă totuşi o uşoară instabilitate în menţinerea suprafeţelor acoperite cu astfel de culturi, mai ales la nivelul anilor 2013-2014, probabil existând dificultăţi în menţinerea şi întreţinerea acestora. </w:t>
      </w:r>
    </w:p>
    <w:p w:rsidR="00A93324" w:rsidRPr="00A93324" w:rsidRDefault="00A93324" w:rsidP="00A93324">
      <w:pPr>
        <w:tabs>
          <w:tab w:val="left" w:pos="1276"/>
          <w:tab w:val="left" w:leader="dot" w:pos="9356"/>
        </w:tabs>
        <w:spacing w:after="120" w:line="240" w:lineRule="auto"/>
        <w:ind w:left="596"/>
        <w:jc w:val="both"/>
        <w:rPr>
          <w:rFonts w:ascii="Arial" w:eastAsia="SimSun" w:hAnsi="Arial" w:cs="Arial"/>
          <w:sz w:val="24"/>
          <w:szCs w:val="24"/>
          <w:lang w:val="ro-RO"/>
        </w:rPr>
        <w:sectPr w:rsidR="00A93324" w:rsidRPr="00A93324" w:rsidSect="00A42550">
          <w:pgSz w:w="11906" w:h="16838"/>
          <w:pgMar w:top="851" w:right="851" w:bottom="851" w:left="1418" w:header="709" w:footer="709" w:gutter="0"/>
          <w:cols w:space="708"/>
          <w:docGrid w:linePitch="360"/>
        </w:sectPr>
      </w:pPr>
    </w:p>
    <w:p w:rsidR="00A93324" w:rsidRPr="00A93324" w:rsidRDefault="00A93324" w:rsidP="00A93324">
      <w:pPr>
        <w:tabs>
          <w:tab w:val="left" w:pos="1276"/>
          <w:tab w:val="left" w:leader="dot" w:pos="9356"/>
        </w:tabs>
        <w:spacing w:after="120" w:line="240" w:lineRule="auto"/>
        <w:ind w:left="596"/>
        <w:rPr>
          <w:rFonts w:ascii="Arial" w:eastAsia="SimSun" w:hAnsi="Arial" w:cs="Arial"/>
          <w:b/>
          <w:sz w:val="24"/>
          <w:szCs w:val="24"/>
          <w:lang w:val="ro-RO"/>
        </w:rPr>
      </w:pPr>
      <w:r w:rsidRPr="00A93324">
        <w:rPr>
          <w:rFonts w:ascii="Arial" w:eastAsia="SimSun" w:hAnsi="Arial" w:cs="Arial"/>
          <w:b/>
          <w:sz w:val="24"/>
          <w:szCs w:val="24"/>
          <w:lang w:val="ro-RO"/>
        </w:rPr>
        <w:lastRenderedPageBreak/>
        <w:t>IV. UTILIZAREA TERENURILOR</w:t>
      </w:r>
    </w:p>
    <w:p w:rsidR="00A93324" w:rsidRPr="00A93324" w:rsidRDefault="00A93324" w:rsidP="00A93324">
      <w:pPr>
        <w:tabs>
          <w:tab w:val="left" w:pos="1276"/>
          <w:tab w:val="left" w:leader="dot" w:pos="9356"/>
        </w:tabs>
        <w:spacing w:after="120" w:line="240" w:lineRule="auto"/>
        <w:ind w:left="596"/>
        <w:rPr>
          <w:rFonts w:ascii="Arial" w:eastAsia="SimSun" w:hAnsi="Arial" w:cs="Arial"/>
          <w:b/>
          <w:sz w:val="24"/>
          <w:szCs w:val="24"/>
          <w:lang w:val="ro-RO"/>
        </w:rPr>
      </w:pPr>
    </w:p>
    <w:p w:rsidR="00A93324" w:rsidRPr="00A93324" w:rsidRDefault="00A93324" w:rsidP="00A93324">
      <w:pPr>
        <w:tabs>
          <w:tab w:val="left" w:pos="1276"/>
          <w:tab w:val="left" w:leader="dot" w:pos="9356"/>
        </w:tabs>
        <w:spacing w:after="120" w:line="240" w:lineRule="auto"/>
        <w:ind w:left="596"/>
        <w:rPr>
          <w:rFonts w:ascii="Arial" w:eastAsia="SimSun" w:hAnsi="Arial" w:cs="Arial"/>
          <w:b/>
          <w:sz w:val="24"/>
          <w:szCs w:val="24"/>
          <w:lang w:val="ro-RO"/>
        </w:rPr>
      </w:pPr>
    </w:p>
    <w:p w:rsidR="00A93324" w:rsidRPr="00A93324" w:rsidRDefault="00A93324" w:rsidP="00A93324">
      <w:pPr>
        <w:shd w:val="clear" w:color="auto" w:fill="D9D9D9"/>
        <w:tabs>
          <w:tab w:val="left" w:leader="dot" w:pos="9356"/>
        </w:tabs>
        <w:spacing w:after="120" w:line="240" w:lineRule="auto"/>
        <w:rPr>
          <w:rFonts w:ascii="Arial" w:eastAsia="SimSun" w:hAnsi="Arial" w:cs="Arial"/>
          <w:b/>
          <w:sz w:val="24"/>
          <w:szCs w:val="24"/>
          <w:lang w:val="ro-RO"/>
        </w:rPr>
      </w:pPr>
      <w:r w:rsidRPr="00A93324">
        <w:rPr>
          <w:rFonts w:ascii="Arial" w:eastAsia="SimSun" w:hAnsi="Arial" w:cs="Arial"/>
          <w:b/>
          <w:sz w:val="24"/>
          <w:szCs w:val="24"/>
          <w:lang w:val="ro-RO"/>
        </w:rPr>
        <w:t xml:space="preserve">IV.1 Stare şi tendinţe </w:t>
      </w:r>
    </w:p>
    <w:p w:rsidR="00A93324" w:rsidRPr="00A93324" w:rsidRDefault="00A93324" w:rsidP="00A93324">
      <w:pPr>
        <w:tabs>
          <w:tab w:val="left" w:pos="1276"/>
          <w:tab w:val="left" w:leader="dot" w:pos="9356"/>
        </w:tabs>
        <w:spacing w:after="120" w:line="240" w:lineRule="auto"/>
        <w:ind w:left="596"/>
        <w:rPr>
          <w:rFonts w:ascii="Arial" w:eastAsia="SimSun" w:hAnsi="Arial" w:cs="Arial"/>
          <w:b/>
          <w:i/>
          <w:sz w:val="24"/>
          <w:szCs w:val="24"/>
          <w:lang w:val="ro-RO"/>
        </w:rPr>
      </w:pPr>
    </w:p>
    <w:p w:rsidR="00A93324" w:rsidRPr="00A93324" w:rsidRDefault="00A93324" w:rsidP="00A93324">
      <w:pPr>
        <w:tabs>
          <w:tab w:val="left" w:pos="1276"/>
          <w:tab w:val="left" w:leader="dot" w:pos="9356"/>
        </w:tabs>
        <w:spacing w:after="120" w:line="240" w:lineRule="auto"/>
        <w:ind w:left="596"/>
        <w:rPr>
          <w:rFonts w:ascii="Arial" w:eastAsia="SimSun" w:hAnsi="Arial" w:cs="Arial"/>
          <w:b/>
          <w:i/>
          <w:sz w:val="24"/>
          <w:szCs w:val="24"/>
          <w:lang w:val="ro-RO"/>
        </w:rPr>
      </w:pPr>
      <w:r w:rsidRPr="00A93324">
        <w:rPr>
          <w:rFonts w:ascii="Arial" w:eastAsia="SimSun" w:hAnsi="Arial" w:cs="Arial"/>
          <w:b/>
          <w:i/>
          <w:sz w:val="24"/>
          <w:szCs w:val="24"/>
          <w:lang w:val="ro-RO"/>
        </w:rPr>
        <w:t xml:space="preserve">IV.1.1 Repartiţia terenurilor pe categorii de acoperire/utilizare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Fondul funciar reprezintă cea mai importantă resursă naturală a </w:t>
      </w:r>
      <w:r w:rsidRPr="00A93324">
        <w:rPr>
          <w:rFonts w:ascii="Tahoma" w:eastAsia="SimSun" w:hAnsi="Tahoma" w:cs="Tahoma"/>
          <w:sz w:val="24"/>
          <w:szCs w:val="24"/>
          <w:lang w:val="ro-RO"/>
        </w:rPr>
        <w:t>ţ</w:t>
      </w:r>
      <w:r w:rsidRPr="00A93324">
        <w:rPr>
          <w:rFonts w:ascii="Arial" w:eastAsia="SimSun" w:hAnsi="Arial" w:cs="Arial"/>
          <w:sz w:val="24"/>
          <w:szCs w:val="24"/>
          <w:lang w:val="ro-RO"/>
        </w:rPr>
        <w:t>ării şi cuprinde totalitatea terenurilor, indiferent de destina</w:t>
      </w:r>
      <w:r w:rsidRPr="00A93324">
        <w:rPr>
          <w:rFonts w:ascii="Tahoma" w:eastAsia="SimSun" w:hAnsi="Tahoma" w:cs="Tahoma"/>
          <w:sz w:val="24"/>
          <w:szCs w:val="24"/>
          <w:lang w:val="ro-RO"/>
        </w:rPr>
        <w:t>ţ</w:t>
      </w:r>
      <w:r w:rsidRPr="00A93324">
        <w:rPr>
          <w:rFonts w:ascii="Arial" w:eastAsia="SimSun" w:hAnsi="Arial" w:cs="Arial"/>
          <w:sz w:val="24"/>
          <w:szCs w:val="24"/>
          <w:lang w:val="ro-RO"/>
        </w:rPr>
        <w:t>ie, de titlul pe baza căruia sunt de</w:t>
      </w:r>
      <w:r w:rsidRPr="00A93324">
        <w:rPr>
          <w:rFonts w:ascii="Tahoma" w:eastAsia="SimSun" w:hAnsi="Tahoma" w:cs="Tahoma"/>
          <w:sz w:val="24"/>
          <w:szCs w:val="24"/>
          <w:lang w:val="ro-RO"/>
        </w:rPr>
        <w:t>ţ</w:t>
      </w:r>
      <w:r w:rsidRPr="00A93324">
        <w:rPr>
          <w:rFonts w:ascii="Arial" w:eastAsia="SimSun" w:hAnsi="Arial" w:cs="Arial"/>
          <w:sz w:val="24"/>
          <w:szCs w:val="24"/>
          <w:lang w:val="ro-RO"/>
        </w:rPr>
        <w:t>inute sau de domeniul public sau privat din care fac parte. Fondul funciar a fost reglementat prin Legea nr. 18/1991, cu modificările şi completările ulterioare.</w:t>
      </w:r>
    </w:p>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În func</w:t>
      </w:r>
      <w:r w:rsidRPr="00A93324">
        <w:rPr>
          <w:rFonts w:ascii="Tahoma" w:eastAsia="SimSun" w:hAnsi="Tahoma" w:cs="Tahoma"/>
          <w:sz w:val="24"/>
          <w:szCs w:val="24"/>
          <w:lang w:val="ro-RO"/>
        </w:rPr>
        <w:t>ţ</w:t>
      </w:r>
      <w:r w:rsidRPr="00A93324">
        <w:rPr>
          <w:rFonts w:ascii="Arial" w:eastAsia="SimSun" w:hAnsi="Arial" w:cs="Arial"/>
          <w:sz w:val="24"/>
          <w:szCs w:val="24"/>
          <w:lang w:val="ro-RO"/>
        </w:rPr>
        <w:t>ie de destinaţie, terenurile sunt</w:t>
      </w:r>
    </w:p>
    <w:p w:rsidR="00A93324" w:rsidRPr="00A93324" w:rsidRDefault="00A93324" w:rsidP="00A93324">
      <w:pPr>
        <w:numPr>
          <w:ilvl w:val="0"/>
          <w:numId w:val="6"/>
        </w:num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b/>
          <w:bCs/>
          <w:sz w:val="24"/>
          <w:szCs w:val="24"/>
          <w:lang w:val="ro-RO"/>
        </w:rPr>
        <w:t xml:space="preserve">terenurile cu destinaţie agricolă </w:t>
      </w:r>
      <w:r w:rsidRPr="00A93324">
        <w:rPr>
          <w:rFonts w:ascii="Arial" w:eastAsia="SimSun" w:hAnsi="Arial" w:cs="Arial"/>
          <w:sz w:val="24"/>
          <w:szCs w:val="24"/>
          <w:lang w:val="ro-RO"/>
        </w:rPr>
        <w:t xml:space="preserve">şi anume: </w:t>
      </w:r>
    </w:p>
    <w:p w:rsidR="00A93324" w:rsidRPr="00A93324" w:rsidRDefault="00A93324" w:rsidP="00A93324">
      <w:pPr>
        <w:tabs>
          <w:tab w:val="left" w:pos="1276"/>
          <w:tab w:val="left" w:leader="dot" w:pos="9356"/>
        </w:tabs>
        <w:spacing w:after="120" w:line="240" w:lineRule="auto"/>
        <w:ind w:left="596"/>
        <w:jc w:val="both"/>
        <w:rPr>
          <w:rFonts w:ascii="Arial" w:eastAsia="SimSun" w:hAnsi="Arial" w:cs="Arial"/>
          <w:sz w:val="24"/>
          <w:szCs w:val="24"/>
          <w:lang w:val="ro-RO"/>
        </w:rPr>
      </w:pPr>
      <w:r w:rsidRPr="00A93324">
        <w:rPr>
          <w:rFonts w:ascii="Arial" w:eastAsia="SimSun" w:hAnsi="Arial" w:cs="Arial"/>
          <w:sz w:val="24"/>
          <w:szCs w:val="24"/>
          <w:lang w:val="ro-RO"/>
        </w:rPr>
        <w:t>- terenurile agricole productive: arabile, viile, livezile, pepinierele viticole, pomicole, planta</w:t>
      </w:r>
      <w:r w:rsidRPr="00A93324">
        <w:rPr>
          <w:rFonts w:ascii="Tahoma" w:eastAsia="SimSun" w:hAnsi="Tahoma" w:cs="Tahoma"/>
          <w:sz w:val="24"/>
          <w:szCs w:val="24"/>
          <w:lang w:val="ro-RO"/>
        </w:rPr>
        <w:t>ţ</w:t>
      </w:r>
      <w:r w:rsidRPr="00A93324">
        <w:rPr>
          <w:rFonts w:ascii="Arial" w:eastAsia="SimSun" w:hAnsi="Arial" w:cs="Arial"/>
          <w:sz w:val="24"/>
          <w:szCs w:val="24"/>
          <w:lang w:val="ro-RO"/>
        </w:rPr>
        <w:t>iile de hamei şi duzi, păşunile, fâne</w:t>
      </w:r>
      <w:r w:rsidRPr="00A93324">
        <w:rPr>
          <w:rFonts w:ascii="Tahoma" w:eastAsia="SimSun" w:hAnsi="Tahoma" w:cs="Tahoma"/>
          <w:sz w:val="24"/>
          <w:szCs w:val="24"/>
          <w:lang w:val="ro-RO"/>
        </w:rPr>
        <w:t>ţ</w:t>
      </w:r>
      <w:r w:rsidRPr="00A93324">
        <w:rPr>
          <w:rFonts w:ascii="Arial" w:eastAsia="SimSun" w:hAnsi="Arial" w:cs="Arial"/>
          <w:sz w:val="24"/>
          <w:szCs w:val="24"/>
          <w:lang w:val="ro-RO"/>
        </w:rPr>
        <w:t>ele, serele, răsadni</w:t>
      </w:r>
      <w:r w:rsidRPr="00A93324">
        <w:rPr>
          <w:rFonts w:ascii="Tahoma" w:eastAsia="SimSun" w:hAnsi="Tahoma" w:cs="Tahoma"/>
          <w:sz w:val="24"/>
          <w:szCs w:val="24"/>
          <w:lang w:val="ro-RO"/>
        </w:rPr>
        <w:t>ţ</w:t>
      </w:r>
      <w:r w:rsidRPr="00A93324">
        <w:rPr>
          <w:rFonts w:ascii="Arial" w:eastAsia="SimSun" w:hAnsi="Arial" w:cs="Arial"/>
          <w:sz w:val="24"/>
          <w:szCs w:val="24"/>
          <w:lang w:val="ro-RO"/>
        </w:rPr>
        <w:t>ele şi altele asemenea;</w:t>
      </w:r>
    </w:p>
    <w:p w:rsidR="00A93324" w:rsidRPr="00A93324" w:rsidRDefault="00A93324" w:rsidP="00A93324">
      <w:pPr>
        <w:tabs>
          <w:tab w:val="left" w:pos="1276"/>
          <w:tab w:val="left" w:leader="dot" w:pos="9356"/>
        </w:tabs>
        <w:spacing w:after="120" w:line="240" w:lineRule="auto"/>
        <w:ind w:left="596"/>
        <w:jc w:val="both"/>
        <w:rPr>
          <w:rFonts w:ascii="Arial" w:eastAsia="SimSun" w:hAnsi="Arial" w:cs="Arial"/>
          <w:sz w:val="24"/>
          <w:szCs w:val="24"/>
          <w:lang w:val="ro-RO"/>
        </w:rPr>
      </w:pPr>
      <w:r w:rsidRPr="00A93324">
        <w:rPr>
          <w:rFonts w:ascii="Arial" w:eastAsia="SimSun" w:hAnsi="Arial" w:cs="Arial"/>
          <w:sz w:val="24"/>
          <w:szCs w:val="24"/>
          <w:lang w:val="ro-RO"/>
        </w:rPr>
        <w:t>- terenurile cu vegeta</w:t>
      </w:r>
      <w:r w:rsidRPr="00A93324">
        <w:rPr>
          <w:rFonts w:ascii="Tahoma" w:eastAsia="SimSun" w:hAnsi="Tahoma" w:cs="Tahoma"/>
          <w:sz w:val="24"/>
          <w:szCs w:val="24"/>
          <w:lang w:val="ro-RO"/>
        </w:rPr>
        <w:t>ţ</w:t>
      </w:r>
      <w:r w:rsidRPr="00A93324">
        <w:rPr>
          <w:rFonts w:ascii="Arial" w:eastAsia="SimSun" w:hAnsi="Arial" w:cs="Arial"/>
          <w:sz w:val="24"/>
          <w:szCs w:val="24"/>
          <w:lang w:val="ro-RO"/>
        </w:rPr>
        <w:t>ie forestieră, dacă nu fac parte din amenajamentele silvice, păşunile împădurite;</w:t>
      </w:r>
    </w:p>
    <w:p w:rsidR="00A93324" w:rsidRPr="00A93324" w:rsidRDefault="00A93324" w:rsidP="00A93324">
      <w:pPr>
        <w:tabs>
          <w:tab w:val="left" w:pos="1276"/>
          <w:tab w:val="left" w:leader="dot" w:pos="9356"/>
        </w:tabs>
        <w:spacing w:after="120" w:line="240" w:lineRule="auto"/>
        <w:ind w:left="596"/>
        <w:jc w:val="both"/>
        <w:rPr>
          <w:rFonts w:ascii="Arial" w:eastAsia="SimSun" w:hAnsi="Arial" w:cs="Arial"/>
          <w:sz w:val="24"/>
          <w:szCs w:val="24"/>
          <w:lang w:val="ro-RO"/>
        </w:rPr>
      </w:pPr>
      <w:r w:rsidRPr="00A93324">
        <w:rPr>
          <w:rFonts w:ascii="Arial" w:eastAsia="SimSun" w:hAnsi="Arial" w:cs="Arial"/>
          <w:sz w:val="24"/>
          <w:szCs w:val="24"/>
          <w:lang w:val="ro-RO"/>
        </w:rPr>
        <w:t>- terenurile ocupate cu construcţii şi instala</w:t>
      </w:r>
      <w:r w:rsidRPr="00A93324">
        <w:rPr>
          <w:rFonts w:ascii="Tahoma" w:eastAsia="SimSun" w:hAnsi="Tahoma" w:cs="Tahoma"/>
          <w:sz w:val="24"/>
          <w:szCs w:val="24"/>
          <w:lang w:val="ro-RO"/>
        </w:rPr>
        <w:t>ţ</w:t>
      </w:r>
      <w:r w:rsidRPr="00A93324">
        <w:rPr>
          <w:rFonts w:ascii="Arial" w:eastAsia="SimSun" w:hAnsi="Arial" w:cs="Arial"/>
          <w:sz w:val="24"/>
          <w:szCs w:val="24"/>
          <w:lang w:val="ro-RO"/>
        </w:rPr>
        <w:t>ii agrozootehnice, amenajările piscicole şi de îmbunătă</w:t>
      </w:r>
      <w:r w:rsidRPr="00A93324">
        <w:rPr>
          <w:rFonts w:ascii="Tahoma" w:eastAsia="SimSun" w:hAnsi="Tahoma" w:cs="Tahoma"/>
          <w:sz w:val="24"/>
          <w:szCs w:val="24"/>
          <w:lang w:val="ro-RO"/>
        </w:rPr>
        <w:t>ţ</w:t>
      </w:r>
      <w:r w:rsidRPr="00A93324">
        <w:rPr>
          <w:rFonts w:ascii="Arial" w:eastAsia="SimSun" w:hAnsi="Arial" w:cs="Arial"/>
          <w:sz w:val="24"/>
          <w:szCs w:val="24"/>
          <w:lang w:val="ro-RO"/>
        </w:rPr>
        <w:t>iri funciare, drumurile tehnologice şi de exploatare agricolă, platformele şi spa</w:t>
      </w:r>
      <w:r w:rsidRPr="00A93324">
        <w:rPr>
          <w:rFonts w:ascii="Tahoma" w:eastAsia="SimSun" w:hAnsi="Tahoma" w:cs="Tahoma"/>
          <w:sz w:val="24"/>
          <w:szCs w:val="24"/>
          <w:lang w:val="ro-RO"/>
        </w:rPr>
        <w:t>ţ</w:t>
      </w:r>
      <w:r w:rsidRPr="00A93324">
        <w:rPr>
          <w:rFonts w:ascii="Arial" w:eastAsia="SimSun" w:hAnsi="Arial" w:cs="Arial"/>
          <w:sz w:val="24"/>
          <w:szCs w:val="24"/>
          <w:lang w:val="ro-RO"/>
        </w:rPr>
        <w:t>iile de depozitare care servesc nevoilor produc</w:t>
      </w:r>
      <w:r w:rsidRPr="00A93324">
        <w:rPr>
          <w:rFonts w:ascii="Tahoma" w:eastAsia="SimSun" w:hAnsi="Tahoma" w:cs="Tahoma"/>
          <w:sz w:val="24"/>
          <w:szCs w:val="24"/>
          <w:lang w:val="ro-RO"/>
        </w:rPr>
        <w:t>ţ</w:t>
      </w:r>
      <w:r w:rsidRPr="00A93324">
        <w:rPr>
          <w:rFonts w:ascii="Arial" w:eastAsia="SimSun" w:hAnsi="Arial" w:cs="Arial"/>
          <w:sz w:val="24"/>
          <w:szCs w:val="24"/>
          <w:lang w:val="ro-RO"/>
        </w:rPr>
        <w:t>iei agricole, etc;</w:t>
      </w:r>
    </w:p>
    <w:p w:rsidR="00A93324" w:rsidRPr="00A93324" w:rsidRDefault="00A93324" w:rsidP="00A93324">
      <w:pPr>
        <w:tabs>
          <w:tab w:val="left" w:pos="1276"/>
          <w:tab w:val="left" w:leader="dot" w:pos="9356"/>
        </w:tabs>
        <w:spacing w:after="120" w:line="240" w:lineRule="auto"/>
        <w:ind w:left="596"/>
        <w:jc w:val="both"/>
        <w:rPr>
          <w:rFonts w:ascii="Arial" w:eastAsia="SimSun" w:hAnsi="Arial" w:cs="Arial"/>
          <w:sz w:val="24"/>
          <w:szCs w:val="24"/>
          <w:lang w:val="ro-RO"/>
        </w:rPr>
      </w:pPr>
      <w:r w:rsidRPr="00A93324">
        <w:rPr>
          <w:rFonts w:ascii="Arial" w:eastAsia="SimSun" w:hAnsi="Arial" w:cs="Arial"/>
          <w:sz w:val="24"/>
          <w:szCs w:val="24"/>
          <w:lang w:val="ro-RO"/>
        </w:rPr>
        <w:t>- terenurile neproductive care pot fi amenajate şi folosite pentru produc</w:t>
      </w:r>
      <w:r w:rsidRPr="00A93324">
        <w:rPr>
          <w:rFonts w:ascii="Tahoma" w:eastAsia="SimSun" w:hAnsi="Tahoma" w:cs="Tahoma"/>
          <w:sz w:val="24"/>
          <w:szCs w:val="24"/>
          <w:lang w:val="ro-RO"/>
        </w:rPr>
        <w:t>ţ</w:t>
      </w:r>
      <w:r w:rsidRPr="00A93324">
        <w:rPr>
          <w:rFonts w:ascii="Arial" w:eastAsia="SimSun" w:hAnsi="Arial" w:cs="Arial"/>
          <w:sz w:val="24"/>
          <w:szCs w:val="24"/>
          <w:lang w:val="ro-RO"/>
        </w:rPr>
        <w:t>ia agricolă;</w:t>
      </w:r>
    </w:p>
    <w:p w:rsidR="00A93324" w:rsidRPr="00A93324" w:rsidRDefault="00A93324" w:rsidP="00A93324">
      <w:pPr>
        <w:numPr>
          <w:ilvl w:val="0"/>
          <w:numId w:val="6"/>
        </w:num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bCs/>
          <w:sz w:val="24"/>
          <w:szCs w:val="24"/>
          <w:lang w:val="ro-RO"/>
        </w:rPr>
        <w:t>terenuri cu destina</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ie forestieră</w:t>
      </w:r>
      <w:r w:rsidRPr="00A93324">
        <w:rPr>
          <w:rFonts w:ascii="Arial" w:eastAsia="SimSun" w:hAnsi="Arial" w:cs="Arial"/>
          <w:sz w:val="24"/>
          <w:szCs w:val="24"/>
          <w:lang w:val="ro-RO"/>
        </w:rPr>
        <w:t xml:space="preserve"> şi anume: terenurile împădurite sau cele care servesc nevoilor de cultură, produc</w:t>
      </w:r>
      <w:r w:rsidRPr="00A93324">
        <w:rPr>
          <w:rFonts w:ascii="Tahoma" w:eastAsia="SimSun" w:hAnsi="Tahoma" w:cs="Tahoma"/>
          <w:sz w:val="24"/>
          <w:szCs w:val="24"/>
          <w:lang w:val="ro-RO"/>
        </w:rPr>
        <w:t>ţ</w:t>
      </w:r>
      <w:r w:rsidRPr="00A93324">
        <w:rPr>
          <w:rFonts w:ascii="Arial" w:eastAsia="SimSun" w:hAnsi="Arial" w:cs="Arial"/>
          <w:sz w:val="24"/>
          <w:szCs w:val="24"/>
          <w:lang w:val="ro-RO"/>
        </w:rPr>
        <w:t>ie ori administrare silvică, terenurile destinate împăduririlor şi cele neproductive - stâncării, abrupturi, bolovănişuri, râpe, ravene, toren</w:t>
      </w:r>
      <w:r w:rsidRPr="00A93324">
        <w:rPr>
          <w:rFonts w:ascii="Tahoma" w:eastAsia="SimSun" w:hAnsi="Tahoma" w:cs="Tahoma"/>
          <w:sz w:val="24"/>
          <w:szCs w:val="24"/>
          <w:lang w:val="ro-RO"/>
        </w:rPr>
        <w:t>ţ</w:t>
      </w:r>
      <w:r w:rsidRPr="00A93324">
        <w:rPr>
          <w:rFonts w:ascii="Arial" w:eastAsia="SimSun" w:hAnsi="Arial" w:cs="Arial"/>
          <w:sz w:val="24"/>
          <w:szCs w:val="24"/>
          <w:lang w:val="ro-RO"/>
        </w:rPr>
        <w:t>i, dacă sunt cuprinse în amenajamentele silvice;</w:t>
      </w:r>
    </w:p>
    <w:p w:rsidR="00A93324" w:rsidRPr="00A93324" w:rsidRDefault="00A93324" w:rsidP="00A93324">
      <w:pPr>
        <w:numPr>
          <w:ilvl w:val="0"/>
          <w:numId w:val="6"/>
        </w:num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bCs/>
          <w:sz w:val="24"/>
          <w:szCs w:val="24"/>
          <w:lang w:val="ro-RO"/>
        </w:rPr>
        <w:t>terenuri aflate permanent sub ape</w:t>
      </w:r>
      <w:r w:rsidRPr="00A93324">
        <w:rPr>
          <w:rFonts w:ascii="Arial" w:eastAsia="SimSun" w:hAnsi="Arial" w:cs="Arial"/>
          <w:sz w:val="24"/>
          <w:szCs w:val="24"/>
          <w:lang w:val="ro-RO"/>
        </w:rPr>
        <w:t xml:space="preserve"> şi anume: albiile minore ale cursurilor de apă, cuvetele lacurilor la nivelurile maxime de reten</w:t>
      </w:r>
      <w:r w:rsidRPr="00A93324">
        <w:rPr>
          <w:rFonts w:ascii="Tahoma" w:eastAsia="SimSun" w:hAnsi="Tahoma" w:cs="Tahoma"/>
          <w:sz w:val="24"/>
          <w:szCs w:val="24"/>
          <w:lang w:val="ro-RO"/>
        </w:rPr>
        <w:t>ţ</w:t>
      </w:r>
      <w:r w:rsidRPr="00A93324">
        <w:rPr>
          <w:rFonts w:ascii="Arial" w:eastAsia="SimSun" w:hAnsi="Arial" w:cs="Arial"/>
          <w:sz w:val="24"/>
          <w:szCs w:val="24"/>
          <w:lang w:val="ro-RO"/>
        </w:rPr>
        <w:t>ie, fundul apelor maritime interioare şi al mării teritoriale;</w:t>
      </w:r>
    </w:p>
    <w:p w:rsidR="00A93324" w:rsidRPr="00A93324" w:rsidRDefault="00A93324" w:rsidP="00A93324">
      <w:pPr>
        <w:numPr>
          <w:ilvl w:val="0"/>
          <w:numId w:val="6"/>
        </w:num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bCs/>
          <w:sz w:val="24"/>
          <w:szCs w:val="24"/>
          <w:lang w:val="ro-RO"/>
        </w:rPr>
        <w:t>terenuri din intravilan, aferente localită</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ilor urbane şi rurale</w:t>
      </w:r>
      <w:r w:rsidRPr="00A93324">
        <w:rPr>
          <w:rFonts w:ascii="Arial" w:eastAsia="SimSun" w:hAnsi="Arial" w:cs="Arial"/>
          <w:sz w:val="24"/>
          <w:szCs w:val="24"/>
          <w:lang w:val="ro-RO"/>
        </w:rPr>
        <w:t>, pe care sunt amplasate construc</w:t>
      </w:r>
      <w:r w:rsidRPr="00A93324">
        <w:rPr>
          <w:rFonts w:ascii="Tahoma" w:eastAsia="SimSun" w:hAnsi="Tahoma" w:cs="Tahoma"/>
          <w:sz w:val="24"/>
          <w:szCs w:val="24"/>
          <w:lang w:val="ro-RO"/>
        </w:rPr>
        <w:t>ţ</w:t>
      </w:r>
      <w:r w:rsidRPr="00A93324">
        <w:rPr>
          <w:rFonts w:ascii="Arial" w:eastAsia="SimSun" w:hAnsi="Arial" w:cs="Arial"/>
          <w:sz w:val="24"/>
          <w:szCs w:val="24"/>
          <w:lang w:val="ro-RO"/>
        </w:rPr>
        <w:t>iile, alte amenajări ale localită</w:t>
      </w:r>
      <w:r w:rsidRPr="00A93324">
        <w:rPr>
          <w:rFonts w:ascii="Tahoma" w:eastAsia="SimSun" w:hAnsi="Tahoma" w:cs="Tahoma"/>
          <w:sz w:val="24"/>
          <w:szCs w:val="24"/>
          <w:lang w:val="ro-RO"/>
        </w:rPr>
        <w:t>ţ</w:t>
      </w:r>
      <w:r w:rsidRPr="00A93324">
        <w:rPr>
          <w:rFonts w:ascii="Arial" w:eastAsia="SimSun" w:hAnsi="Arial" w:cs="Arial"/>
          <w:sz w:val="24"/>
          <w:szCs w:val="24"/>
          <w:lang w:val="ro-RO"/>
        </w:rPr>
        <w:t>ilor, inclusiv terenurile agricole şi forestiere;</w:t>
      </w:r>
    </w:p>
    <w:p w:rsidR="00A93324" w:rsidRPr="00A93324" w:rsidRDefault="00A93324" w:rsidP="00A93324">
      <w:pPr>
        <w:numPr>
          <w:ilvl w:val="0"/>
          <w:numId w:val="6"/>
        </w:num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bCs/>
          <w:sz w:val="24"/>
          <w:szCs w:val="24"/>
          <w:lang w:val="ro-RO"/>
        </w:rPr>
        <w:t>terenuri cu destina</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ii speciale</w:t>
      </w:r>
      <w:r w:rsidRPr="00A93324">
        <w:rPr>
          <w:rFonts w:ascii="Arial" w:eastAsia="SimSun" w:hAnsi="Arial" w:cs="Arial"/>
          <w:sz w:val="24"/>
          <w:szCs w:val="24"/>
          <w:lang w:val="ro-RO"/>
        </w:rPr>
        <w:t>, cum sunt cele folosite pentru transporturile rutiere, feroviare, navale şi aeriene, cu construc</w:t>
      </w:r>
      <w:r w:rsidRPr="00A93324">
        <w:rPr>
          <w:rFonts w:ascii="Tahoma" w:eastAsia="SimSun" w:hAnsi="Tahoma" w:cs="Tahoma"/>
          <w:sz w:val="24"/>
          <w:szCs w:val="24"/>
          <w:lang w:val="ro-RO"/>
        </w:rPr>
        <w:t>ţ</w:t>
      </w:r>
      <w:r w:rsidRPr="00A93324">
        <w:rPr>
          <w:rFonts w:ascii="Arial" w:eastAsia="SimSun" w:hAnsi="Arial" w:cs="Arial"/>
          <w:sz w:val="24"/>
          <w:szCs w:val="24"/>
          <w:lang w:val="ro-RO"/>
        </w:rPr>
        <w:t>iile şi instala</w:t>
      </w:r>
      <w:r w:rsidRPr="00A93324">
        <w:rPr>
          <w:rFonts w:ascii="Tahoma" w:eastAsia="SimSun" w:hAnsi="Tahoma" w:cs="Tahoma"/>
          <w:sz w:val="24"/>
          <w:szCs w:val="24"/>
          <w:lang w:val="ro-RO"/>
        </w:rPr>
        <w:t>ţ</w:t>
      </w:r>
      <w:r w:rsidRPr="00A93324">
        <w:rPr>
          <w:rFonts w:ascii="Arial" w:eastAsia="SimSun" w:hAnsi="Arial" w:cs="Arial"/>
          <w:sz w:val="24"/>
          <w:szCs w:val="24"/>
          <w:lang w:val="ro-RO"/>
        </w:rPr>
        <w:t>iile aferente, construc</w:t>
      </w:r>
      <w:r w:rsidRPr="00A93324">
        <w:rPr>
          <w:rFonts w:ascii="Tahoma" w:eastAsia="SimSun" w:hAnsi="Tahoma" w:cs="Tahoma"/>
          <w:sz w:val="24"/>
          <w:szCs w:val="24"/>
          <w:lang w:val="ro-RO"/>
        </w:rPr>
        <w:t>ţ</w:t>
      </w:r>
      <w:r w:rsidRPr="00A93324">
        <w:rPr>
          <w:rFonts w:ascii="Arial" w:eastAsia="SimSun" w:hAnsi="Arial" w:cs="Arial"/>
          <w:sz w:val="24"/>
          <w:szCs w:val="24"/>
          <w:lang w:val="ro-RO"/>
        </w:rPr>
        <w:t>ii şi instala</w:t>
      </w:r>
      <w:r w:rsidRPr="00A93324">
        <w:rPr>
          <w:rFonts w:ascii="Tahoma" w:eastAsia="SimSun" w:hAnsi="Tahoma" w:cs="Tahoma"/>
          <w:sz w:val="24"/>
          <w:szCs w:val="24"/>
          <w:lang w:val="ro-RO"/>
        </w:rPr>
        <w:t>ţ</w:t>
      </w:r>
      <w:r w:rsidRPr="00A93324">
        <w:rPr>
          <w:rFonts w:ascii="Arial" w:eastAsia="SimSun" w:hAnsi="Arial" w:cs="Arial"/>
          <w:sz w:val="24"/>
          <w:szCs w:val="24"/>
          <w:lang w:val="ro-RO"/>
        </w:rPr>
        <w:t>ii hidrotehnice, termice, de transport al energiei electrice şi gazelor naturale, de telecomunica</w:t>
      </w:r>
      <w:r w:rsidRPr="00A93324">
        <w:rPr>
          <w:rFonts w:ascii="Tahoma" w:eastAsia="SimSun" w:hAnsi="Tahoma" w:cs="Tahoma"/>
          <w:sz w:val="24"/>
          <w:szCs w:val="24"/>
          <w:lang w:val="ro-RO"/>
        </w:rPr>
        <w:t>ţ</w:t>
      </w:r>
      <w:r w:rsidRPr="00A93324">
        <w:rPr>
          <w:rFonts w:ascii="Arial" w:eastAsia="SimSun" w:hAnsi="Arial" w:cs="Arial"/>
          <w:sz w:val="24"/>
          <w:szCs w:val="24"/>
          <w:lang w:val="ro-RO"/>
        </w:rPr>
        <w:t>ii, pentru exploatările miniere şi petroliere, cariere şi halde de orice fel, pentru nevoile de apărare, plajele, rezerva</w:t>
      </w:r>
      <w:r w:rsidRPr="00A93324">
        <w:rPr>
          <w:rFonts w:ascii="Tahoma" w:eastAsia="SimSun" w:hAnsi="Tahoma" w:cs="Tahoma"/>
          <w:sz w:val="24"/>
          <w:szCs w:val="24"/>
          <w:lang w:val="ro-RO"/>
        </w:rPr>
        <w:t>ţ</w:t>
      </w:r>
      <w:r w:rsidRPr="00A93324">
        <w:rPr>
          <w:rFonts w:ascii="Arial" w:eastAsia="SimSun" w:hAnsi="Arial" w:cs="Arial"/>
          <w:sz w:val="24"/>
          <w:szCs w:val="24"/>
          <w:lang w:val="ro-RO"/>
        </w:rPr>
        <w:t>iile, monumentele naturii, ansamblurile şi siturile arheologice şi istorice şi altele asemenea.</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După categoria de folosinţă terenurile agricole se clasifică astfel: arabil, vii, livezi, păşuni, fâneţe, păduri şi alte terenuri cu vegetaţie forestieră, ape curgătoare, ape stătătoare, căi de comunicaţii rutiere, căi ferate, curţi şi curţi cu construcţii, construcţii, terenuri neproductive şi degradate.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În tabelul IV.1.1-1 este prezentată repartiţia terenurilor agricole pe clase de folosinţă.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lastRenderedPageBreak/>
        <w:t>Tabelul IV.1.1. - 1. Reparti</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ia terenurilor agricole pe clase de folosin</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 xml:space="preserve">ă în anul 2014           </w:t>
      </w:r>
    </w:p>
    <w:tbl>
      <w:tblPr>
        <w:tblW w:w="4833" w:type="pct"/>
        <w:tblInd w:w="11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15" w:type="dxa"/>
          <w:right w:w="115" w:type="dxa"/>
        </w:tblCellMar>
        <w:tblLook w:val="0000"/>
      </w:tblPr>
      <w:tblGrid>
        <w:gridCol w:w="3382"/>
        <w:gridCol w:w="3140"/>
        <w:gridCol w:w="3016"/>
      </w:tblGrid>
      <w:tr w:rsidR="00A93324" w:rsidRPr="00A93324" w:rsidTr="00A42550">
        <w:trPr>
          <w:cantSplit/>
          <w:trHeight w:hRule="exact" w:val="451"/>
        </w:trPr>
        <w:tc>
          <w:tcPr>
            <w:tcW w:w="1773" w:type="pct"/>
            <w:vMerge w:val="restart"/>
            <w:tcBorders>
              <w:top w:val="double" w:sz="6" w:space="0" w:color="000000"/>
            </w:tcBorders>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sz w:val="24"/>
                <w:szCs w:val="24"/>
                <w:lang w:val="ro-RO"/>
              </w:rPr>
            </w:pPr>
            <w:r w:rsidRPr="00A93324">
              <w:rPr>
                <w:rFonts w:ascii="Arial" w:eastAsia="SimSun" w:hAnsi="Arial" w:cs="Arial"/>
                <w:b/>
                <w:bCs/>
                <w:sz w:val="24"/>
                <w:szCs w:val="24"/>
                <w:lang w:val="ro-RO"/>
              </w:rPr>
              <w:t>Categoria de folosin</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ă</w:t>
            </w:r>
          </w:p>
        </w:tc>
        <w:tc>
          <w:tcPr>
            <w:tcW w:w="3227" w:type="pct"/>
            <w:gridSpan w:val="2"/>
            <w:tcBorders>
              <w:top w:val="double" w:sz="6" w:space="0" w:color="000000"/>
            </w:tcBorders>
            <w:vAlign w:val="center"/>
          </w:tcPr>
          <w:p w:rsidR="00A93324" w:rsidRPr="00A93324" w:rsidRDefault="00A93324" w:rsidP="00A93324">
            <w:pPr>
              <w:tabs>
                <w:tab w:val="left" w:pos="1276"/>
                <w:tab w:val="left" w:leader="dot" w:pos="9356"/>
              </w:tabs>
              <w:spacing w:after="120" w:line="240" w:lineRule="auto"/>
              <w:ind w:left="596"/>
              <w:jc w:val="center"/>
              <w:rPr>
                <w:rFonts w:ascii="Arial" w:eastAsia="SimSun" w:hAnsi="Arial" w:cs="Arial"/>
                <w:b/>
                <w:bCs/>
                <w:sz w:val="24"/>
                <w:szCs w:val="24"/>
                <w:lang w:val="ro-RO"/>
              </w:rPr>
            </w:pPr>
            <w:r w:rsidRPr="00A93324">
              <w:rPr>
                <w:rFonts w:ascii="Arial" w:eastAsia="SimSun" w:hAnsi="Arial" w:cs="Arial"/>
                <w:b/>
                <w:bCs/>
                <w:sz w:val="24"/>
                <w:szCs w:val="24"/>
                <w:lang w:val="ro-RO"/>
              </w:rPr>
              <w:t>Suprafa</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a</w:t>
            </w:r>
          </w:p>
        </w:tc>
      </w:tr>
      <w:tr w:rsidR="00A93324" w:rsidRPr="00A93324" w:rsidTr="00A42550">
        <w:trPr>
          <w:cantSplit/>
          <w:trHeight w:hRule="exact" w:val="337"/>
        </w:trPr>
        <w:tc>
          <w:tcPr>
            <w:tcW w:w="1773" w:type="pct"/>
            <w:vMerge/>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sz w:val="24"/>
                <w:szCs w:val="24"/>
                <w:lang w:val="ro-RO"/>
              </w:rPr>
            </w:pPr>
          </w:p>
        </w:tc>
        <w:tc>
          <w:tcPr>
            <w:tcW w:w="1646" w:type="pct"/>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sz w:val="24"/>
                <w:szCs w:val="24"/>
                <w:lang w:val="ro-RO"/>
              </w:rPr>
            </w:pPr>
            <w:r w:rsidRPr="00A93324">
              <w:rPr>
                <w:rFonts w:ascii="Arial" w:eastAsia="SimSun" w:hAnsi="Arial" w:cs="Arial"/>
                <w:b/>
                <w:bCs/>
                <w:sz w:val="24"/>
                <w:szCs w:val="24"/>
                <w:lang w:val="ro-RO"/>
              </w:rPr>
              <w:t>ha</w:t>
            </w:r>
          </w:p>
        </w:tc>
        <w:tc>
          <w:tcPr>
            <w:tcW w:w="1581" w:type="pct"/>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sz w:val="24"/>
                <w:szCs w:val="24"/>
                <w:lang w:val="ro-RO"/>
              </w:rPr>
            </w:pPr>
            <w:r w:rsidRPr="00A93324">
              <w:rPr>
                <w:rFonts w:ascii="Arial" w:eastAsia="SimSun" w:hAnsi="Arial" w:cs="Arial"/>
                <w:b/>
                <w:bCs/>
                <w:sz w:val="24"/>
                <w:szCs w:val="24"/>
                <w:lang w:val="ro-RO"/>
              </w:rPr>
              <w:t>%</w:t>
            </w:r>
          </w:p>
        </w:tc>
      </w:tr>
      <w:tr w:rsidR="00A93324" w:rsidRPr="00A93324" w:rsidTr="00A42550">
        <w:trPr>
          <w:trHeight w:hRule="exact" w:val="361"/>
        </w:trPr>
        <w:tc>
          <w:tcPr>
            <w:tcW w:w="1773" w:type="pct"/>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sz w:val="24"/>
                <w:szCs w:val="24"/>
                <w:lang w:val="ro-RO"/>
              </w:rPr>
            </w:pPr>
            <w:r w:rsidRPr="00A93324">
              <w:rPr>
                <w:rFonts w:ascii="Arial" w:eastAsia="SimSun" w:hAnsi="Arial" w:cs="Arial"/>
                <w:sz w:val="24"/>
                <w:szCs w:val="24"/>
                <w:lang w:val="ro-RO"/>
              </w:rPr>
              <w:t>Arabil</w:t>
            </w:r>
          </w:p>
        </w:tc>
        <w:tc>
          <w:tcPr>
            <w:tcW w:w="1646" w:type="pct"/>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256067</w:t>
            </w:r>
          </w:p>
        </w:tc>
        <w:tc>
          <w:tcPr>
            <w:tcW w:w="1581" w:type="pct"/>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64,49</w:t>
            </w:r>
          </w:p>
        </w:tc>
      </w:tr>
      <w:tr w:rsidR="00A93324" w:rsidRPr="00A93324" w:rsidTr="00A42550">
        <w:trPr>
          <w:trHeight w:hRule="exact" w:val="356"/>
        </w:trPr>
        <w:tc>
          <w:tcPr>
            <w:tcW w:w="1773" w:type="pct"/>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sz w:val="24"/>
                <w:szCs w:val="24"/>
                <w:lang w:val="ro-RO"/>
              </w:rPr>
            </w:pPr>
            <w:r w:rsidRPr="00A93324">
              <w:rPr>
                <w:rFonts w:ascii="Arial" w:eastAsia="SimSun" w:hAnsi="Arial" w:cs="Arial"/>
                <w:sz w:val="24"/>
                <w:szCs w:val="24"/>
                <w:lang w:val="ro-RO"/>
              </w:rPr>
              <w:t>Păşuni</w:t>
            </w:r>
          </w:p>
        </w:tc>
        <w:tc>
          <w:tcPr>
            <w:tcW w:w="1646" w:type="pct"/>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89525</w:t>
            </w:r>
          </w:p>
        </w:tc>
        <w:tc>
          <w:tcPr>
            <w:tcW w:w="1581" w:type="pct"/>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22,55</w:t>
            </w:r>
          </w:p>
        </w:tc>
      </w:tr>
      <w:tr w:rsidR="00A93324" w:rsidRPr="00A93324" w:rsidTr="00A42550">
        <w:trPr>
          <w:trHeight w:hRule="exact" w:val="367"/>
        </w:trPr>
        <w:tc>
          <w:tcPr>
            <w:tcW w:w="1773" w:type="pct"/>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sz w:val="24"/>
                <w:szCs w:val="24"/>
                <w:lang w:val="ro-RO"/>
              </w:rPr>
            </w:pPr>
            <w:r w:rsidRPr="00A93324">
              <w:rPr>
                <w:rFonts w:ascii="Arial" w:eastAsia="SimSun" w:hAnsi="Arial" w:cs="Arial"/>
                <w:sz w:val="24"/>
                <w:szCs w:val="24"/>
                <w:lang w:val="ro-RO"/>
              </w:rPr>
              <w:t>Fâne</w:t>
            </w:r>
            <w:r w:rsidRPr="00A93324">
              <w:rPr>
                <w:rFonts w:ascii="Tahoma" w:eastAsia="SimSun" w:hAnsi="Tahoma" w:cs="Tahoma"/>
                <w:sz w:val="24"/>
                <w:szCs w:val="24"/>
                <w:lang w:val="ro-RO"/>
              </w:rPr>
              <w:t>ţ</w:t>
            </w:r>
            <w:r w:rsidRPr="00A93324">
              <w:rPr>
                <w:rFonts w:ascii="Arial" w:eastAsia="SimSun" w:hAnsi="Arial" w:cs="Arial"/>
                <w:sz w:val="24"/>
                <w:szCs w:val="24"/>
                <w:lang w:val="ro-RO"/>
              </w:rPr>
              <w:t>e şi pajişti naturale</w:t>
            </w:r>
          </w:p>
        </w:tc>
        <w:tc>
          <w:tcPr>
            <w:tcW w:w="1646" w:type="pct"/>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29121</w:t>
            </w:r>
          </w:p>
        </w:tc>
        <w:tc>
          <w:tcPr>
            <w:tcW w:w="1581" w:type="pct"/>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7,33</w:t>
            </w:r>
          </w:p>
        </w:tc>
      </w:tr>
      <w:tr w:rsidR="00A93324" w:rsidRPr="00A93324" w:rsidTr="00A42550">
        <w:trPr>
          <w:trHeight w:hRule="exact" w:val="349"/>
        </w:trPr>
        <w:tc>
          <w:tcPr>
            <w:tcW w:w="1773" w:type="pct"/>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sz w:val="24"/>
                <w:szCs w:val="24"/>
                <w:lang w:val="ro-RO"/>
              </w:rPr>
            </w:pPr>
            <w:r w:rsidRPr="00A93324">
              <w:rPr>
                <w:rFonts w:ascii="Arial" w:eastAsia="SimSun" w:hAnsi="Arial" w:cs="Arial"/>
                <w:sz w:val="24"/>
                <w:szCs w:val="24"/>
                <w:lang w:val="ro-RO"/>
              </w:rPr>
              <w:t>Vii</w:t>
            </w:r>
          </w:p>
        </w:tc>
        <w:tc>
          <w:tcPr>
            <w:tcW w:w="1646" w:type="pct"/>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13649</w:t>
            </w:r>
          </w:p>
        </w:tc>
        <w:tc>
          <w:tcPr>
            <w:tcW w:w="1581" w:type="pct"/>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3,44</w:t>
            </w:r>
          </w:p>
        </w:tc>
      </w:tr>
      <w:tr w:rsidR="00A93324" w:rsidRPr="00A93324" w:rsidTr="00A42550">
        <w:trPr>
          <w:trHeight w:hRule="exact" w:val="358"/>
        </w:trPr>
        <w:tc>
          <w:tcPr>
            <w:tcW w:w="1773" w:type="pct"/>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sz w:val="24"/>
                <w:szCs w:val="24"/>
                <w:lang w:val="ro-RO"/>
              </w:rPr>
            </w:pPr>
            <w:r w:rsidRPr="00A93324">
              <w:rPr>
                <w:rFonts w:ascii="Arial" w:eastAsia="SimSun" w:hAnsi="Arial" w:cs="Arial"/>
                <w:sz w:val="24"/>
                <w:szCs w:val="24"/>
                <w:lang w:val="ro-RO"/>
              </w:rPr>
              <w:t>Livezi</w:t>
            </w:r>
          </w:p>
        </w:tc>
        <w:tc>
          <w:tcPr>
            <w:tcW w:w="1646" w:type="pct"/>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8692</w:t>
            </w:r>
          </w:p>
        </w:tc>
        <w:tc>
          <w:tcPr>
            <w:tcW w:w="1581" w:type="pct"/>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2,19</w:t>
            </w:r>
          </w:p>
        </w:tc>
      </w:tr>
      <w:tr w:rsidR="00A93324" w:rsidRPr="00A93324" w:rsidTr="00A42550">
        <w:trPr>
          <w:trHeight w:hRule="exact" w:val="535"/>
        </w:trPr>
        <w:tc>
          <w:tcPr>
            <w:tcW w:w="1773" w:type="pct"/>
            <w:tcBorders>
              <w:bottom w:val="double" w:sz="6" w:space="0" w:color="000000"/>
            </w:tcBorders>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sz w:val="24"/>
                <w:szCs w:val="24"/>
                <w:lang w:val="ro-RO"/>
              </w:rPr>
            </w:pPr>
            <w:r w:rsidRPr="00A93324">
              <w:rPr>
                <w:rFonts w:ascii="Arial" w:eastAsia="SimSun" w:hAnsi="Arial" w:cs="Arial"/>
                <w:b/>
                <w:bCs/>
                <w:sz w:val="24"/>
                <w:szCs w:val="24"/>
                <w:lang w:val="ro-RO"/>
              </w:rPr>
              <w:t>Total agricol</w:t>
            </w:r>
          </w:p>
        </w:tc>
        <w:tc>
          <w:tcPr>
            <w:tcW w:w="1646" w:type="pct"/>
            <w:tcBorders>
              <w:bottom w:val="double" w:sz="6" w:space="0" w:color="000000"/>
            </w:tcBorders>
            <w:vAlign w:val="center"/>
          </w:tcPr>
          <w:p w:rsidR="00A93324" w:rsidRPr="00A93324" w:rsidRDefault="00A93324" w:rsidP="00A93324">
            <w:pPr>
              <w:spacing w:after="12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397054</w:t>
            </w:r>
          </w:p>
        </w:tc>
        <w:tc>
          <w:tcPr>
            <w:tcW w:w="1581" w:type="pct"/>
            <w:tcBorders>
              <w:bottom w:val="double" w:sz="6" w:space="0" w:color="000000"/>
            </w:tcBorders>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sz w:val="24"/>
                <w:szCs w:val="24"/>
                <w:lang w:val="ro-RO"/>
              </w:rPr>
            </w:pPr>
            <w:r w:rsidRPr="00A93324">
              <w:rPr>
                <w:rFonts w:ascii="Arial" w:eastAsia="SimSun" w:hAnsi="Arial" w:cs="Arial"/>
                <w:b/>
                <w:bCs/>
                <w:sz w:val="24"/>
                <w:szCs w:val="24"/>
                <w:lang w:val="ro-RO"/>
              </w:rPr>
              <w:t xml:space="preserve">         100</w:t>
            </w:r>
          </w:p>
        </w:tc>
      </w:tr>
    </w:tbl>
    <w:p w:rsidR="00A93324" w:rsidRPr="00A93324" w:rsidRDefault="00A93324" w:rsidP="00A93324">
      <w:pPr>
        <w:tabs>
          <w:tab w:val="left" w:pos="1276"/>
          <w:tab w:val="left" w:leader="dot" w:pos="9356"/>
        </w:tabs>
        <w:spacing w:after="120" w:line="240" w:lineRule="auto"/>
        <w:ind w:left="596"/>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Direc</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ia pentru Agricultură jude</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eană Buzău</w:t>
      </w:r>
    </w:p>
    <w:p w:rsidR="00A93324" w:rsidRPr="00A93324" w:rsidRDefault="00A93324" w:rsidP="00A93324">
      <w:pPr>
        <w:tabs>
          <w:tab w:val="left" w:pos="1276"/>
          <w:tab w:val="left" w:leader="dot" w:pos="9356"/>
        </w:tabs>
        <w:spacing w:after="120" w:line="240" w:lineRule="auto"/>
        <w:rPr>
          <w:rFonts w:ascii="Arial" w:eastAsia="SimSun" w:hAnsi="Arial" w:cs="Arial"/>
          <w:b/>
          <w:bCs/>
          <w:sz w:val="24"/>
          <w:szCs w:val="24"/>
          <w:lang w:val="ro-RO"/>
        </w:rPr>
      </w:pPr>
      <w:r w:rsidRPr="00A93324">
        <w:rPr>
          <w:rFonts w:ascii="Arial" w:eastAsia="SimSun" w:hAnsi="Arial" w:cs="Arial"/>
          <w:b/>
          <w:bCs/>
          <w:sz w:val="24"/>
          <w:szCs w:val="24"/>
          <w:lang w:val="ro-RO"/>
        </w:rPr>
        <w:t>Figura IV.1.1.-1. Reparti</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ia terenurilor agricole pe categorii de folosin</w:t>
      </w:r>
      <w:r w:rsidRPr="00A93324">
        <w:rPr>
          <w:rFonts w:ascii="Tahoma" w:eastAsia="SimSun" w:hAnsi="Tahoma" w:cs="Tahoma"/>
          <w:b/>
          <w:bCs/>
          <w:sz w:val="24"/>
          <w:szCs w:val="24"/>
          <w:lang w:val="ro-RO"/>
        </w:rPr>
        <w:t>ţ</w:t>
      </w:r>
      <w:r w:rsidRPr="00A93324">
        <w:rPr>
          <w:rFonts w:ascii="Arial" w:eastAsia="SimSun" w:hAnsi="Arial" w:cs="Arial"/>
          <w:b/>
          <w:bCs/>
          <w:sz w:val="24"/>
          <w:szCs w:val="24"/>
          <w:lang w:val="ro-RO"/>
        </w:rPr>
        <w:t xml:space="preserve">e în anul 2014   </w:t>
      </w:r>
    </w:p>
    <w:p w:rsidR="00A93324" w:rsidRPr="00A93324" w:rsidRDefault="00A93324" w:rsidP="00A93324">
      <w:pPr>
        <w:tabs>
          <w:tab w:val="left" w:pos="1276"/>
          <w:tab w:val="left" w:leader="dot" w:pos="9356"/>
        </w:tabs>
        <w:spacing w:after="120" w:line="240" w:lineRule="auto"/>
        <w:ind w:left="596"/>
        <w:rPr>
          <w:rFonts w:ascii="Arial" w:eastAsia="SimSun" w:hAnsi="Arial" w:cs="Arial"/>
          <w:b/>
          <w:bCs/>
          <w:sz w:val="24"/>
          <w:szCs w:val="24"/>
          <w:lang w:val="ro-RO"/>
        </w:rPr>
      </w:pPr>
      <w:r>
        <w:rPr>
          <w:rFonts w:ascii="Arial" w:eastAsia="SimSun" w:hAnsi="Arial" w:cs="Arial"/>
          <w:b/>
          <w:noProof/>
          <w:sz w:val="24"/>
          <w:szCs w:val="24"/>
          <w:lang w:val="ro-RO" w:eastAsia="ro-RO"/>
        </w:rPr>
        <w:drawing>
          <wp:inline distT="0" distB="0" distL="0" distR="0">
            <wp:extent cx="5534025" cy="2809875"/>
            <wp:effectExtent l="0" t="0" r="0" b="0"/>
            <wp:docPr id="163" name="Object 1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A93324">
        <w:rPr>
          <w:rFonts w:ascii="Arial" w:eastAsia="SimSun" w:hAnsi="Arial" w:cs="Arial"/>
          <w:b/>
          <w:bCs/>
          <w:sz w:val="24"/>
          <w:szCs w:val="24"/>
          <w:lang w:val="ro-RO"/>
        </w:rPr>
        <w:t xml:space="preserve">        </w:t>
      </w:r>
    </w:p>
    <w:p w:rsidR="00A93324" w:rsidRPr="00A93324" w:rsidRDefault="00A93324" w:rsidP="00A93324">
      <w:pPr>
        <w:tabs>
          <w:tab w:val="left" w:pos="1276"/>
          <w:tab w:val="left" w:leader="dot" w:pos="9356"/>
        </w:tabs>
        <w:spacing w:after="120" w:line="240" w:lineRule="auto"/>
        <w:ind w:left="596"/>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 Direc</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ia pentru Agricultură jude</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eană Buzău</w:t>
      </w:r>
    </w:p>
    <w:p w:rsidR="00A93324" w:rsidRPr="00A93324" w:rsidRDefault="00A93324" w:rsidP="00A93324">
      <w:pPr>
        <w:spacing w:after="120" w:line="240" w:lineRule="auto"/>
        <w:jc w:val="both"/>
        <w:rPr>
          <w:rFonts w:ascii="Arial" w:hAnsi="Arial" w:cs="Arial"/>
          <w:sz w:val="24"/>
          <w:szCs w:val="24"/>
          <w:lang w:val="ro-RO"/>
        </w:rPr>
      </w:pPr>
      <w:r w:rsidRPr="00A93324">
        <w:rPr>
          <w:rFonts w:ascii="Arial" w:hAnsi="Arial" w:cs="Arial"/>
          <w:sz w:val="24"/>
          <w:szCs w:val="24"/>
          <w:lang w:val="ro-RO"/>
        </w:rPr>
        <w:t>Evolu</w:t>
      </w:r>
      <w:r w:rsidRPr="00A93324">
        <w:rPr>
          <w:rFonts w:ascii="Arial" w:hAnsi="Tahoma" w:cs="Arial"/>
          <w:sz w:val="24"/>
          <w:szCs w:val="24"/>
          <w:lang w:val="ro-RO"/>
        </w:rPr>
        <w:t>ţ</w:t>
      </w:r>
      <w:r w:rsidRPr="00A93324">
        <w:rPr>
          <w:rFonts w:ascii="Arial" w:hAnsi="Arial" w:cs="Arial"/>
          <w:sz w:val="24"/>
          <w:szCs w:val="24"/>
          <w:lang w:val="ro-RO"/>
        </w:rPr>
        <w:t>ia reparti</w:t>
      </w:r>
      <w:r w:rsidRPr="00A93324">
        <w:rPr>
          <w:rFonts w:ascii="Arial" w:hAnsi="Tahoma" w:cs="Arial"/>
          <w:sz w:val="24"/>
          <w:szCs w:val="24"/>
          <w:lang w:val="ro-RO"/>
        </w:rPr>
        <w:t>ţ</w:t>
      </w:r>
      <w:r w:rsidRPr="00A93324">
        <w:rPr>
          <w:rFonts w:ascii="Arial" w:hAnsi="Arial" w:cs="Arial"/>
          <w:sz w:val="24"/>
          <w:szCs w:val="24"/>
          <w:lang w:val="ro-RO"/>
        </w:rPr>
        <w:t>iei terenurilor agricole pe categorii de folosin</w:t>
      </w:r>
      <w:r w:rsidRPr="00A93324">
        <w:rPr>
          <w:rFonts w:ascii="Arial" w:hAnsi="Tahoma" w:cs="Arial"/>
          <w:sz w:val="24"/>
          <w:szCs w:val="24"/>
          <w:lang w:val="ro-RO"/>
        </w:rPr>
        <w:t>ţ</w:t>
      </w:r>
      <w:r w:rsidRPr="00A93324">
        <w:rPr>
          <w:rFonts w:ascii="Arial" w:hAnsi="Arial" w:cs="Arial"/>
          <w:sz w:val="24"/>
          <w:szCs w:val="24"/>
          <w:lang w:val="ro-RO"/>
        </w:rPr>
        <w:t>e pentru perioada 2005 -2014 este prezentată în tabelul</w:t>
      </w:r>
      <w:r w:rsidRPr="00A93324">
        <w:rPr>
          <w:rFonts w:ascii="Arial" w:hAnsi="Arial" w:cs="Arial"/>
          <w:bCs/>
          <w:sz w:val="24"/>
          <w:szCs w:val="24"/>
          <w:lang w:val="ro-RO"/>
        </w:rPr>
        <w:t xml:space="preserve"> IV.1.1. - 2</w:t>
      </w:r>
      <w:r w:rsidRPr="00A93324">
        <w:rPr>
          <w:rFonts w:ascii="Arial" w:hAnsi="Arial" w:cs="Arial"/>
          <w:sz w:val="24"/>
          <w:szCs w:val="24"/>
          <w:lang w:val="ro-RO"/>
        </w:rPr>
        <w:t>. (partea I şi partea a II-a) şi figura</w:t>
      </w:r>
      <w:r w:rsidRPr="00A93324">
        <w:rPr>
          <w:rFonts w:ascii="Arial" w:hAnsi="Arial" w:cs="Arial"/>
          <w:bCs/>
          <w:sz w:val="24"/>
          <w:szCs w:val="24"/>
          <w:lang w:val="ro-RO"/>
        </w:rPr>
        <w:t xml:space="preserve"> IV.1.1. - 2</w:t>
      </w:r>
      <w:r w:rsidRPr="00A93324">
        <w:rPr>
          <w:rFonts w:ascii="Arial" w:hAnsi="Arial" w:cs="Arial"/>
          <w:sz w:val="24"/>
          <w:szCs w:val="24"/>
          <w:lang w:val="ro-RO"/>
        </w:rPr>
        <w:t>:</w:t>
      </w:r>
    </w:p>
    <w:p w:rsidR="00A93324" w:rsidRPr="00A93324" w:rsidRDefault="00A93324" w:rsidP="00A93324">
      <w:pPr>
        <w:spacing w:after="120" w:line="240" w:lineRule="auto"/>
        <w:jc w:val="both"/>
        <w:rPr>
          <w:rFonts w:ascii="Arial" w:hAnsi="Arial" w:cs="Arial"/>
          <w:b/>
          <w:bCs/>
          <w:sz w:val="24"/>
          <w:szCs w:val="24"/>
          <w:lang w:val="ro-RO"/>
        </w:rPr>
      </w:pPr>
      <w:r w:rsidRPr="00A93324">
        <w:rPr>
          <w:rFonts w:ascii="Arial" w:hAnsi="Arial" w:cs="Arial"/>
          <w:b/>
          <w:bCs/>
          <w:sz w:val="24"/>
          <w:szCs w:val="24"/>
          <w:lang w:val="ro-RO"/>
        </w:rPr>
        <w:t>Tabelul IV.1.1. - 2. – partea I Evolu</w:t>
      </w:r>
      <w:r w:rsidRPr="00A93324">
        <w:rPr>
          <w:rFonts w:ascii="Tahoma" w:hAnsi="Tahoma" w:cs="Tahoma"/>
          <w:b/>
          <w:bCs/>
          <w:sz w:val="24"/>
          <w:szCs w:val="24"/>
          <w:lang w:val="ro-RO"/>
        </w:rPr>
        <w:t>ţ</w:t>
      </w:r>
      <w:r w:rsidRPr="00A93324">
        <w:rPr>
          <w:rFonts w:ascii="Arial" w:hAnsi="Arial" w:cs="Arial"/>
          <w:b/>
          <w:bCs/>
          <w:sz w:val="24"/>
          <w:szCs w:val="24"/>
          <w:lang w:val="ro-RO"/>
        </w:rPr>
        <w:t>ia reparti</w:t>
      </w:r>
      <w:r w:rsidRPr="00A93324">
        <w:rPr>
          <w:rFonts w:ascii="Tahoma" w:hAnsi="Tahoma" w:cs="Tahoma"/>
          <w:b/>
          <w:bCs/>
          <w:sz w:val="24"/>
          <w:szCs w:val="24"/>
          <w:lang w:val="ro-RO"/>
        </w:rPr>
        <w:t>ţ</w:t>
      </w:r>
      <w:r w:rsidRPr="00A93324">
        <w:rPr>
          <w:rFonts w:ascii="Arial" w:hAnsi="Arial" w:cs="Arial"/>
          <w:b/>
          <w:bCs/>
          <w:sz w:val="24"/>
          <w:szCs w:val="24"/>
          <w:lang w:val="ro-RO"/>
        </w:rPr>
        <w:t>iei terenurilor agricole pe categorii de folosin</w:t>
      </w:r>
      <w:r w:rsidRPr="00A93324">
        <w:rPr>
          <w:rFonts w:ascii="Tahoma" w:hAnsi="Tahoma" w:cs="Tahoma"/>
          <w:b/>
          <w:bCs/>
          <w:sz w:val="24"/>
          <w:szCs w:val="24"/>
          <w:lang w:val="ro-RO"/>
        </w:rPr>
        <w:t>ţ</w:t>
      </w:r>
      <w:r w:rsidRPr="00A93324">
        <w:rPr>
          <w:rFonts w:ascii="Arial" w:hAnsi="Arial" w:cs="Arial"/>
          <w:b/>
          <w:bCs/>
          <w:sz w:val="24"/>
          <w:szCs w:val="24"/>
          <w:lang w:val="ro-RO"/>
        </w:rPr>
        <w:t xml:space="preserve">e </w:t>
      </w:r>
    </w:p>
    <w:tbl>
      <w:tblPr>
        <w:tblW w:w="9664"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198"/>
        <w:gridCol w:w="1561"/>
        <w:gridCol w:w="1418"/>
        <w:gridCol w:w="1453"/>
        <w:gridCol w:w="1517"/>
        <w:gridCol w:w="1517"/>
      </w:tblGrid>
      <w:tr w:rsidR="00A93324" w:rsidRPr="00A93324" w:rsidTr="00A42550">
        <w:trPr>
          <w:cantSplit/>
          <w:trHeight w:val="243"/>
        </w:trPr>
        <w:tc>
          <w:tcPr>
            <w:tcW w:w="2198" w:type="dxa"/>
            <w:vMerge w:val="restart"/>
            <w:vAlign w:val="center"/>
          </w:tcPr>
          <w:p w:rsidR="00A93324" w:rsidRPr="00A93324" w:rsidRDefault="00A93324" w:rsidP="00A93324">
            <w:pPr>
              <w:spacing w:after="0" w:line="240" w:lineRule="auto"/>
              <w:jc w:val="center"/>
              <w:rPr>
                <w:rFonts w:ascii="Arial" w:eastAsia="SimSun" w:hAnsi="Arial" w:cs="Arial"/>
                <w:b/>
                <w:bCs/>
                <w:sz w:val="20"/>
                <w:szCs w:val="20"/>
                <w:lang w:val="ro-RO"/>
              </w:rPr>
            </w:pPr>
            <w:r w:rsidRPr="00A93324">
              <w:rPr>
                <w:rFonts w:ascii="Arial" w:eastAsia="SimSun" w:hAnsi="Arial" w:cs="Arial"/>
                <w:b/>
                <w:bCs/>
                <w:caps/>
                <w:sz w:val="20"/>
                <w:szCs w:val="20"/>
                <w:lang w:val="ro-RO"/>
              </w:rPr>
              <w:t>Categoria de folosinţă</w:t>
            </w:r>
          </w:p>
        </w:tc>
        <w:tc>
          <w:tcPr>
            <w:tcW w:w="7466" w:type="dxa"/>
            <w:gridSpan w:val="5"/>
            <w:vAlign w:val="center"/>
          </w:tcPr>
          <w:p w:rsidR="00A93324" w:rsidRPr="00A93324" w:rsidRDefault="00A93324" w:rsidP="00A93324">
            <w:pPr>
              <w:spacing w:after="0" w:line="240" w:lineRule="auto"/>
              <w:jc w:val="center"/>
              <w:rPr>
                <w:rFonts w:ascii="Arial" w:eastAsia="SimSun" w:hAnsi="Arial" w:cs="Arial"/>
                <w:b/>
                <w:bCs/>
                <w:sz w:val="20"/>
                <w:szCs w:val="20"/>
                <w:lang w:val="ro-RO"/>
              </w:rPr>
            </w:pPr>
            <w:r w:rsidRPr="00A93324">
              <w:rPr>
                <w:rFonts w:ascii="Arial" w:eastAsia="SimSun" w:hAnsi="Arial" w:cs="Arial"/>
                <w:b/>
                <w:bCs/>
                <w:caps/>
                <w:sz w:val="20"/>
                <w:szCs w:val="20"/>
                <w:lang w:val="ro-RO"/>
              </w:rPr>
              <w:t>Suprafaţa (ha)</w:t>
            </w:r>
          </w:p>
        </w:tc>
      </w:tr>
      <w:tr w:rsidR="00A93324" w:rsidRPr="00A93324" w:rsidTr="00A42550">
        <w:trPr>
          <w:cantSplit/>
          <w:trHeight w:val="243"/>
        </w:trPr>
        <w:tc>
          <w:tcPr>
            <w:tcW w:w="2198" w:type="dxa"/>
            <w:vMerge/>
            <w:vAlign w:val="center"/>
          </w:tcPr>
          <w:p w:rsidR="00A93324" w:rsidRPr="00A93324" w:rsidRDefault="00A93324" w:rsidP="00A93324">
            <w:pPr>
              <w:spacing w:after="120" w:line="480" w:lineRule="auto"/>
              <w:jc w:val="center"/>
              <w:rPr>
                <w:rFonts w:ascii="Arial" w:eastAsia="SimSun" w:hAnsi="Arial" w:cs="Arial"/>
                <w:b/>
                <w:bCs/>
                <w:sz w:val="20"/>
                <w:szCs w:val="20"/>
                <w:lang w:val="ro-RO"/>
              </w:rPr>
            </w:pPr>
          </w:p>
        </w:tc>
        <w:tc>
          <w:tcPr>
            <w:tcW w:w="1561"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2005</w:t>
            </w:r>
          </w:p>
        </w:tc>
        <w:tc>
          <w:tcPr>
            <w:tcW w:w="1418"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2006</w:t>
            </w:r>
          </w:p>
        </w:tc>
        <w:tc>
          <w:tcPr>
            <w:tcW w:w="1453"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2007</w:t>
            </w:r>
          </w:p>
        </w:tc>
        <w:tc>
          <w:tcPr>
            <w:tcW w:w="1517"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2008</w:t>
            </w:r>
          </w:p>
        </w:tc>
        <w:tc>
          <w:tcPr>
            <w:tcW w:w="1517"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2009</w:t>
            </w:r>
          </w:p>
        </w:tc>
      </w:tr>
      <w:tr w:rsidR="00A93324" w:rsidRPr="00A93324" w:rsidTr="00A42550">
        <w:trPr>
          <w:trHeight w:val="276"/>
        </w:trPr>
        <w:tc>
          <w:tcPr>
            <w:tcW w:w="219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Arabil</w:t>
            </w:r>
          </w:p>
        </w:tc>
        <w:tc>
          <w:tcPr>
            <w:tcW w:w="1561"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257673</w:t>
            </w:r>
          </w:p>
        </w:tc>
        <w:tc>
          <w:tcPr>
            <w:tcW w:w="141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257698</w:t>
            </w:r>
          </w:p>
        </w:tc>
        <w:tc>
          <w:tcPr>
            <w:tcW w:w="1453"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257740</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257749</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258671</w:t>
            </w:r>
          </w:p>
        </w:tc>
      </w:tr>
      <w:tr w:rsidR="00A93324" w:rsidRPr="00A93324" w:rsidTr="00A42550">
        <w:trPr>
          <w:trHeight w:val="340"/>
        </w:trPr>
        <w:tc>
          <w:tcPr>
            <w:tcW w:w="219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Păşuni</w:t>
            </w:r>
          </w:p>
        </w:tc>
        <w:tc>
          <w:tcPr>
            <w:tcW w:w="1561"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89235</w:t>
            </w:r>
          </w:p>
        </w:tc>
        <w:tc>
          <w:tcPr>
            <w:tcW w:w="141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89179</w:t>
            </w:r>
          </w:p>
        </w:tc>
        <w:tc>
          <w:tcPr>
            <w:tcW w:w="1453"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89172</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89161</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89045</w:t>
            </w:r>
          </w:p>
        </w:tc>
      </w:tr>
      <w:tr w:rsidR="00A93324" w:rsidRPr="00A93324" w:rsidTr="00A42550">
        <w:tc>
          <w:tcPr>
            <w:tcW w:w="219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Fâneţe şi pajişti naturale</w:t>
            </w:r>
          </w:p>
        </w:tc>
        <w:tc>
          <w:tcPr>
            <w:tcW w:w="1561"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29269</w:t>
            </w:r>
          </w:p>
        </w:tc>
        <w:tc>
          <w:tcPr>
            <w:tcW w:w="141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28564</w:t>
            </w:r>
          </w:p>
        </w:tc>
        <w:tc>
          <w:tcPr>
            <w:tcW w:w="1453"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28735</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28746</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28746</w:t>
            </w:r>
          </w:p>
        </w:tc>
      </w:tr>
      <w:tr w:rsidR="00A93324" w:rsidRPr="00A93324" w:rsidTr="00A42550">
        <w:trPr>
          <w:trHeight w:val="396"/>
        </w:trPr>
        <w:tc>
          <w:tcPr>
            <w:tcW w:w="219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Vii</w:t>
            </w:r>
          </w:p>
        </w:tc>
        <w:tc>
          <w:tcPr>
            <w:tcW w:w="1561"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15247</w:t>
            </w:r>
          </w:p>
        </w:tc>
        <w:tc>
          <w:tcPr>
            <w:tcW w:w="141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15713</w:t>
            </w:r>
          </w:p>
        </w:tc>
        <w:tc>
          <w:tcPr>
            <w:tcW w:w="1453"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15444</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15435</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14670</w:t>
            </w:r>
          </w:p>
        </w:tc>
      </w:tr>
      <w:tr w:rsidR="00A93324" w:rsidRPr="00A93324" w:rsidTr="00A42550">
        <w:trPr>
          <w:trHeight w:val="266"/>
        </w:trPr>
        <w:tc>
          <w:tcPr>
            <w:tcW w:w="219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Livezi</w:t>
            </w:r>
          </w:p>
        </w:tc>
        <w:tc>
          <w:tcPr>
            <w:tcW w:w="1561"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10716</w:t>
            </w:r>
          </w:p>
        </w:tc>
        <w:tc>
          <w:tcPr>
            <w:tcW w:w="1418"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10968</w:t>
            </w:r>
          </w:p>
        </w:tc>
        <w:tc>
          <w:tcPr>
            <w:tcW w:w="1453"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10978</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10978</w:t>
            </w:r>
          </w:p>
        </w:tc>
        <w:tc>
          <w:tcPr>
            <w:tcW w:w="1517"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10880</w:t>
            </w:r>
          </w:p>
        </w:tc>
      </w:tr>
      <w:tr w:rsidR="00A93324" w:rsidRPr="00A93324" w:rsidTr="00A42550">
        <w:tc>
          <w:tcPr>
            <w:tcW w:w="2198"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TOTAL AGRICOL</w:t>
            </w:r>
          </w:p>
        </w:tc>
        <w:tc>
          <w:tcPr>
            <w:tcW w:w="1561"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402120</w:t>
            </w:r>
          </w:p>
        </w:tc>
        <w:tc>
          <w:tcPr>
            <w:tcW w:w="1418"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402113</w:t>
            </w:r>
          </w:p>
        </w:tc>
        <w:tc>
          <w:tcPr>
            <w:tcW w:w="1453"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402069</w:t>
            </w:r>
          </w:p>
        </w:tc>
        <w:tc>
          <w:tcPr>
            <w:tcW w:w="1517"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402069</w:t>
            </w:r>
          </w:p>
        </w:tc>
        <w:tc>
          <w:tcPr>
            <w:tcW w:w="1517"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402012</w:t>
            </w:r>
          </w:p>
        </w:tc>
      </w:tr>
      <w:tr w:rsidR="00A93324" w:rsidRPr="00A93324" w:rsidTr="00A42550">
        <w:tc>
          <w:tcPr>
            <w:tcW w:w="2198" w:type="dxa"/>
            <w:vAlign w:val="center"/>
          </w:tcPr>
          <w:p w:rsidR="00A93324" w:rsidRPr="00A93324" w:rsidRDefault="00A93324" w:rsidP="00A93324">
            <w:pPr>
              <w:spacing w:after="120" w:line="240" w:lineRule="auto"/>
              <w:jc w:val="both"/>
              <w:rPr>
                <w:rFonts w:ascii="Arial" w:eastAsia="SimSun" w:hAnsi="Arial" w:cs="Arial"/>
                <w:bCs/>
                <w:sz w:val="20"/>
                <w:szCs w:val="20"/>
                <w:lang w:val="ro-RO"/>
              </w:rPr>
            </w:pPr>
            <w:r w:rsidRPr="00A93324">
              <w:rPr>
                <w:rFonts w:ascii="Arial" w:eastAsia="SimSun" w:hAnsi="Arial" w:cs="Arial"/>
                <w:bCs/>
                <w:sz w:val="20"/>
                <w:szCs w:val="20"/>
                <w:lang w:val="ro-RO"/>
              </w:rPr>
              <w:t xml:space="preserve">Teren scos din </w:t>
            </w:r>
            <w:r w:rsidRPr="00A93324">
              <w:rPr>
                <w:rFonts w:ascii="Arial" w:eastAsia="SimSun" w:hAnsi="Arial" w:cs="Arial"/>
                <w:bCs/>
                <w:sz w:val="20"/>
                <w:szCs w:val="20"/>
                <w:lang w:val="ro-RO"/>
              </w:rPr>
              <w:lastRenderedPageBreak/>
              <w:t>circuitul agricol</w:t>
            </w:r>
          </w:p>
        </w:tc>
        <w:tc>
          <w:tcPr>
            <w:tcW w:w="1561"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lastRenderedPageBreak/>
              <w:t>nu sunt date</w:t>
            </w:r>
          </w:p>
        </w:tc>
        <w:tc>
          <w:tcPr>
            <w:tcW w:w="1418"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c>
          <w:tcPr>
            <w:tcW w:w="1453"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c>
          <w:tcPr>
            <w:tcW w:w="1517" w:type="dxa"/>
            <w:vAlign w:val="center"/>
          </w:tcPr>
          <w:p w:rsidR="00A93324" w:rsidRPr="00A93324" w:rsidRDefault="00A93324" w:rsidP="00A93324">
            <w:pPr>
              <w:spacing w:before="120" w:after="120" w:line="240" w:lineRule="auto"/>
              <w:rPr>
                <w:rFonts w:ascii="Arial" w:eastAsia="SimSun" w:hAnsi="Arial" w:cs="Arial"/>
                <w:b/>
                <w:sz w:val="20"/>
                <w:szCs w:val="20"/>
                <w:lang w:val="ro-RO"/>
              </w:rPr>
            </w:pPr>
            <w:r w:rsidRPr="00A93324">
              <w:rPr>
                <w:rFonts w:ascii="Arial" w:eastAsia="SimSun" w:hAnsi="Arial" w:cs="Arial"/>
                <w:b/>
                <w:sz w:val="20"/>
                <w:szCs w:val="20"/>
                <w:lang w:val="ro-RO"/>
              </w:rPr>
              <w:t>nu sunt date</w:t>
            </w:r>
          </w:p>
        </w:tc>
        <w:tc>
          <w:tcPr>
            <w:tcW w:w="1517"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r>
      <w:tr w:rsidR="00A93324" w:rsidRPr="00A93324" w:rsidTr="00A42550">
        <w:tc>
          <w:tcPr>
            <w:tcW w:w="2198" w:type="dxa"/>
            <w:tcBorders>
              <w:bottom w:val="double" w:sz="6" w:space="0" w:color="000000"/>
            </w:tcBorders>
            <w:vAlign w:val="center"/>
          </w:tcPr>
          <w:p w:rsidR="00A93324" w:rsidRPr="00A93324" w:rsidRDefault="00A93324" w:rsidP="00A93324">
            <w:pPr>
              <w:spacing w:after="120" w:line="240" w:lineRule="auto"/>
              <w:jc w:val="both"/>
              <w:rPr>
                <w:rFonts w:ascii="Arial" w:eastAsia="SimSun" w:hAnsi="Arial" w:cs="Arial"/>
                <w:bCs/>
                <w:sz w:val="20"/>
                <w:szCs w:val="20"/>
                <w:lang w:val="ro-RO"/>
              </w:rPr>
            </w:pPr>
            <w:r w:rsidRPr="00A93324">
              <w:rPr>
                <w:rFonts w:ascii="Arial" w:eastAsia="SimSun" w:hAnsi="Arial" w:cs="Arial"/>
                <w:bCs/>
                <w:sz w:val="20"/>
                <w:szCs w:val="20"/>
                <w:lang w:val="ro-RO"/>
              </w:rPr>
              <w:lastRenderedPageBreak/>
              <w:t>Teren neproductiv</w:t>
            </w:r>
          </w:p>
        </w:tc>
        <w:tc>
          <w:tcPr>
            <w:tcW w:w="1561" w:type="dxa"/>
            <w:tcBorders>
              <w:bottom w:val="double" w:sz="6" w:space="0" w:color="000000"/>
            </w:tcBorders>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c>
          <w:tcPr>
            <w:tcW w:w="1418" w:type="dxa"/>
            <w:tcBorders>
              <w:bottom w:val="double" w:sz="6" w:space="0" w:color="000000"/>
            </w:tcBorders>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c>
          <w:tcPr>
            <w:tcW w:w="1453" w:type="dxa"/>
            <w:tcBorders>
              <w:bottom w:val="double" w:sz="6" w:space="0" w:color="000000"/>
            </w:tcBorders>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c>
          <w:tcPr>
            <w:tcW w:w="1517" w:type="dxa"/>
            <w:tcBorders>
              <w:bottom w:val="double" w:sz="6" w:space="0" w:color="000000"/>
            </w:tcBorders>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c>
          <w:tcPr>
            <w:tcW w:w="1517" w:type="dxa"/>
            <w:tcBorders>
              <w:bottom w:val="double" w:sz="6" w:space="0" w:color="000000"/>
            </w:tcBorders>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nu sunt date</w:t>
            </w:r>
          </w:p>
        </w:tc>
      </w:tr>
    </w:tbl>
    <w:p w:rsidR="00A93324" w:rsidRPr="00A93324" w:rsidRDefault="00A93324" w:rsidP="00A93324">
      <w:pPr>
        <w:spacing w:after="0" w:line="240" w:lineRule="auto"/>
        <w:jc w:val="both"/>
        <w:rPr>
          <w:rFonts w:ascii="Arial" w:eastAsia="SimSun" w:hAnsi="Arial" w:cs="Arial"/>
          <w:sz w:val="24"/>
          <w:szCs w:val="24"/>
          <w:lang w:val="ro-RO"/>
        </w:rPr>
      </w:pPr>
      <w:r w:rsidRPr="00A93324">
        <w:rPr>
          <w:rFonts w:ascii="Arial" w:eastAsia="SimSun" w:hAnsi="Arial" w:cs="Arial"/>
          <w:b/>
          <w:bCs/>
          <w:sz w:val="24"/>
          <w:szCs w:val="24"/>
          <w:lang w:val="ro-RO"/>
        </w:rPr>
        <w:t>Tabelul IV.1.1. - 2. – partea a II-a</w:t>
      </w:r>
    </w:p>
    <w:tbl>
      <w:tblPr>
        <w:tblW w:w="9578" w:type="dxa"/>
        <w:tblInd w:w="25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266"/>
        <w:gridCol w:w="1561"/>
        <w:gridCol w:w="1418"/>
        <w:gridCol w:w="1417"/>
        <w:gridCol w:w="1276"/>
        <w:gridCol w:w="1640"/>
      </w:tblGrid>
      <w:tr w:rsidR="00A93324" w:rsidRPr="00A93324" w:rsidTr="00A42550">
        <w:trPr>
          <w:cantSplit/>
          <w:trHeight w:val="457"/>
        </w:trPr>
        <w:tc>
          <w:tcPr>
            <w:tcW w:w="2266" w:type="dxa"/>
            <w:vMerge w:val="restart"/>
            <w:tcBorders>
              <w:top w:val="double" w:sz="6" w:space="0" w:color="000000"/>
              <w:left w:val="double" w:sz="6" w:space="0" w:color="000000"/>
              <w:right w:val="single" w:sz="6" w:space="0" w:color="000000"/>
            </w:tcBorders>
            <w:vAlign w:val="center"/>
          </w:tcPr>
          <w:p w:rsidR="00A93324" w:rsidRPr="00A93324" w:rsidRDefault="00A93324" w:rsidP="00A93324">
            <w:pPr>
              <w:spacing w:after="0" w:line="240" w:lineRule="auto"/>
              <w:jc w:val="center"/>
              <w:rPr>
                <w:rFonts w:ascii="Arial" w:eastAsia="SimSun" w:hAnsi="Arial" w:cs="Arial"/>
                <w:b/>
                <w:bCs/>
                <w:caps/>
                <w:sz w:val="20"/>
                <w:szCs w:val="20"/>
                <w:lang w:val="ro-RO"/>
              </w:rPr>
            </w:pPr>
            <w:r w:rsidRPr="00A93324">
              <w:rPr>
                <w:rFonts w:ascii="Arial" w:eastAsia="SimSun" w:hAnsi="Arial" w:cs="Arial"/>
                <w:b/>
                <w:bCs/>
                <w:caps/>
                <w:sz w:val="20"/>
                <w:szCs w:val="20"/>
                <w:lang w:val="ro-RO"/>
              </w:rPr>
              <w:t>Categoria de folosinţă</w:t>
            </w:r>
          </w:p>
        </w:tc>
        <w:tc>
          <w:tcPr>
            <w:tcW w:w="7312" w:type="dxa"/>
            <w:gridSpan w:val="5"/>
            <w:tcBorders>
              <w:top w:val="double" w:sz="6" w:space="0" w:color="000000"/>
              <w:left w:val="single" w:sz="6" w:space="0" w:color="000000"/>
              <w:bottom w:val="single" w:sz="6" w:space="0" w:color="000000"/>
              <w:right w:val="double" w:sz="6" w:space="0" w:color="000000"/>
            </w:tcBorders>
            <w:vAlign w:val="center"/>
          </w:tcPr>
          <w:p w:rsidR="00A93324" w:rsidRPr="00A93324" w:rsidRDefault="00A93324" w:rsidP="00A93324">
            <w:pPr>
              <w:spacing w:after="0" w:line="240" w:lineRule="auto"/>
              <w:jc w:val="center"/>
              <w:rPr>
                <w:rFonts w:ascii="Arial" w:eastAsia="SimSun" w:hAnsi="Arial" w:cs="Arial"/>
                <w:b/>
                <w:bCs/>
                <w:caps/>
                <w:sz w:val="20"/>
                <w:szCs w:val="20"/>
                <w:lang w:val="ro-RO"/>
              </w:rPr>
            </w:pPr>
            <w:r w:rsidRPr="00A93324">
              <w:rPr>
                <w:rFonts w:ascii="Arial" w:eastAsia="SimSun" w:hAnsi="Arial" w:cs="Arial"/>
                <w:b/>
                <w:bCs/>
                <w:caps/>
                <w:sz w:val="20"/>
                <w:szCs w:val="20"/>
                <w:lang w:val="ro-RO"/>
              </w:rPr>
              <w:t>Suprafaţa (ha)</w:t>
            </w:r>
          </w:p>
        </w:tc>
      </w:tr>
      <w:tr w:rsidR="00A93324" w:rsidRPr="00A93324" w:rsidTr="00A42550">
        <w:trPr>
          <w:cantSplit/>
          <w:trHeight w:val="243"/>
        </w:trPr>
        <w:tc>
          <w:tcPr>
            <w:tcW w:w="2266" w:type="dxa"/>
            <w:vMerge/>
            <w:tcBorders>
              <w:left w:val="double" w:sz="6" w:space="0" w:color="000000"/>
              <w:right w:val="single" w:sz="6" w:space="0" w:color="000000"/>
            </w:tcBorders>
            <w:vAlign w:val="center"/>
          </w:tcPr>
          <w:p w:rsidR="00A93324" w:rsidRPr="00A93324" w:rsidRDefault="00A93324" w:rsidP="00A93324">
            <w:pPr>
              <w:spacing w:after="120" w:line="480" w:lineRule="auto"/>
              <w:jc w:val="center"/>
              <w:rPr>
                <w:rFonts w:ascii="Arial" w:eastAsia="SimSun" w:hAnsi="Arial" w:cs="Arial"/>
                <w:b/>
                <w:bCs/>
                <w:sz w:val="20"/>
                <w:szCs w:val="20"/>
                <w:lang w:val="ro-RO"/>
              </w:rPr>
            </w:pPr>
          </w:p>
        </w:tc>
        <w:tc>
          <w:tcPr>
            <w:tcW w:w="1561" w:type="dxa"/>
            <w:tcBorders>
              <w:left w:val="single" w:sz="6" w:space="0" w:color="000000"/>
            </w:tcBorders>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2010</w:t>
            </w:r>
          </w:p>
        </w:tc>
        <w:tc>
          <w:tcPr>
            <w:tcW w:w="1418"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2011</w:t>
            </w:r>
          </w:p>
        </w:tc>
        <w:tc>
          <w:tcPr>
            <w:tcW w:w="1417"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2012</w:t>
            </w:r>
          </w:p>
        </w:tc>
        <w:tc>
          <w:tcPr>
            <w:tcW w:w="1276"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2013</w:t>
            </w:r>
          </w:p>
        </w:tc>
        <w:tc>
          <w:tcPr>
            <w:tcW w:w="1640" w:type="dxa"/>
            <w:vAlign w:val="center"/>
          </w:tcPr>
          <w:p w:rsidR="00A93324" w:rsidRPr="00A93324" w:rsidRDefault="00A93324" w:rsidP="00A93324">
            <w:pPr>
              <w:spacing w:after="120" w:line="240" w:lineRule="auto"/>
              <w:jc w:val="center"/>
              <w:rPr>
                <w:rFonts w:ascii="Arial" w:eastAsia="SimSun" w:hAnsi="Arial" w:cs="Arial"/>
                <w:b/>
                <w:bCs/>
                <w:sz w:val="20"/>
                <w:szCs w:val="20"/>
                <w:lang w:val="ro-RO"/>
              </w:rPr>
            </w:pPr>
            <w:r w:rsidRPr="00A93324">
              <w:rPr>
                <w:rFonts w:ascii="Arial" w:eastAsia="SimSun" w:hAnsi="Arial" w:cs="Arial"/>
                <w:b/>
                <w:bCs/>
                <w:sz w:val="20"/>
                <w:szCs w:val="20"/>
                <w:lang w:val="ro-RO"/>
              </w:rPr>
              <w:t>2014</w:t>
            </w:r>
          </w:p>
        </w:tc>
      </w:tr>
      <w:tr w:rsidR="00A93324" w:rsidRPr="00A93324" w:rsidTr="00A42550">
        <w:tc>
          <w:tcPr>
            <w:tcW w:w="2266"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Arabil</w:t>
            </w:r>
          </w:p>
        </w:tc>
        <w:tc>
          <w:tcPr>
            <w:tcW w:w="1561"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258671</w:t>
            </w:r>
          </w:p>
        </w:tc>
        <w:tc>
          <w:tcPr>
            <w:tcW w:w="1418"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257554</w:t>
            </w:r>
          </w:p>
        </w:tc>
        <w:tc>
          <w:tcPr>
            <w:tcW w:w="1417"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258671</w:t>
            </w:r>
          </w:p>
        </w:tc>
        <w:tc>
          <w:tcPr>
            <w:tcW w:w="1276"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256326</w:t>
            </w:r>
          </w:p>
        </w:tc>
        <w:tc>
          <w:tcPr>
            <w:tcW w:w="1640"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256067</w:t>
            </w:r>
          </w:p>
        </w:tc>
      </w:tr>
      <w:tr w:rsidR="00A93324" w:rsidRPr="00A93324" w:rsidTr="00A42550">
        <w:tc>
          <w:tcPr>
            <w:tcW w:w="2266"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Păşuni</w:t>
            </w:r>
          </w:p>
        </w:tc>
        <w:tc>
          <w:tcPr>
            <w:tcW w:w="1561"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89045</w:t>
            </w:r>
          </w:p>
        </w:tc>
        <w:tc>
          <w:tcPr>
            <w:tcW w:w="1418"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89044</w:t>
            </w:r>
          </w:p>
        </w:tc>
        <w:tc>
          <w:tcPr>
            <w:tcW w:w="1417"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89045</w:t>
            </w:r>
          </w:p>
        </w:tc>
        <w:tc>
          <w:tcPr>
            <w:tcW w:w="1276"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89045</w:t>
            </w:r>
          </w:p>
        </w:tc>
        <w:tc>
          <w:tcPr>
            <w:tcW w:w="1640"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89525</w:t>
            </w:r>
          </w:p>
        </w:tc>
      </w:tr>
      <w:tr w:rsidR="00A93324" w:rsidRPr="00A93324" w:rsidTr="00A42550">
        <w:tc>
          <w:tcPr>
            <w:tcW w:w="2266"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Fâneţe şi pajişti naturale</w:t>
            </w:r>
          </w:p>
        </w:tc>
        <w:tc>
          <w:tcPr>
            <w:tcW w:w="1561"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28746</w:t>
            </w:r>
          </w:p>
        </w:tc>
        <w:tc>
          <w:tcPr>
            <w:tcW w:w="1418"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28746</w:t>
            </w:r>
          </w:p>
        </w:tc>
        <w:tc>
          <w:tcPr>
            <w:tcW w:w="1417"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28746</w:t>
            </w:r>
          </w:p>
        </w:tc>
        <w:tc>
          <w:tcPr>
            <w:tcW w:w="1276"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28746</w:t>
            </w:r>
          </w:p>
        </w:tc>
        <w:tc>
          <w:tcPr>
            <w:tcW w:w="1640"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29121</w:t>
            </w:r>
          </w:p>
        </w:tc>
      </w:tr>
      <w:tr w:rsidR="00A93324" w:rsidRPr="00A93324" w:rsidTr="00A42550">
        <w:tc>
          <w:tcPr>
            <w:tcW w:w="2266"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Vii</w:t>
            </w:r>
          </w:p>
        </w:tc>
        <w:tc>
          <w:tcPr>
            <w:tcW w:w="1561"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14595</w:t>
            </w:r>
          </w:p>
        </w:tc>
        <w:tc>
          <w:tcPr>
            <w:tcW w:w="1418"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13649</w:t>
            </w:r>
          </w:p>
        </w:tc>
        <w:tc>
          <w:tcPr>
            <w:tcW w:w="1417"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13649</w:t>
            </w:r>
          </w:p>
        </w:tc>
        <w:tc>
          <w:tcPr>
            <w:tcW w:w="1276"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13649</w:t>
            </w:r>
          </w:p>
        </w:tc>
        <w:tc>
          <w:tcPr>
            <w:tcW w:w="1640"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13649</w:t>
            </w:r>
          </w:p>
        </w:tc>
      </w:tr>
      <w:tr w:rsidR="00A93324" w:rsidRPr="00A93324" w:rsidTr="00A42550">
        <w:tc>
          <w:tcPr>
            <w:tcW w:w="2266" w:type="dxa"/>
            <w:vAlign w:val="center"/>
          </w:tcPr>
          <w:p w:rsidR="00A93324" w:rsidRPr="00A93324" w:rsidRDefault="00A93324" w:rsidP="00A93324">
            <w:pPr>
              <w:spacing w:before="120" w:after="120" w:line="240" w:lineRule="auto"/>
              <w:jc w:val="center"/>
              <w:rPr>
                <w:rFonts w:ascii="Arial" w:eastAsia="SimSun" w:hAnsi="Arial" w:cs="Arial"/>
                <w:sz w:val="20"/>
                <w:szCs w:val="20"/>
                <w:lang w:val="ro-RO"/>
              </w:rPr>
            </w:pPr>
            <w:r w:rsidRPr="00A93324">
              <w:rPr>
                <w:rFonts w:ascii="Arial" w:eastAsia="SimSun" w:hAnsi="Arial" w:cs="Arial"/>
                <w:sz w:val="20"/>
                <w:szCs w:val="20"/>
                <w:lang w:val="ro-RO"/>
              </w:rPr>
              <w:t>Livezi</w:t>
            </w:r>
          </w:p>
        </w:tc>
        <w:tc>
          <w:tcPr>
            <w:tcW w:w="1561"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10838</w:t>
            </w:r>
          </w:p>
        </w:tc>
        <w:tc>
          <w:tcPr>
            <w:tcW w:w="1418"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8129</w:t>
            </w:r>
          </w:p>
        </w:tc>
        <w:tc>
          <w:tcPr>
            <w:tcW w:w="1417"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8700</w:t>
            </w:r>
          </w:p>
        </w:tc>
        <w:tc>
          <w:tcPr>
            <w:tcW w:w="1276"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8700</w:t>
            </w:r>
          </w:p>
        </w:tc>
        <w:tc>
          <w:tcPr>
            <w:tcW w:w="1640" w:type="dxa"/>
            <w:vAlign w:val="center"/>
          </w:tcPr>
          <w:p w:rsidR="00A93324" w:rsidRPr="00A93324" w:rsidRDefault="00A93324" w:rsidP="00A93324">
            <w:pPr>
              <w:spacing w:after="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8692</w:t>
            </w:r>
          </w:p>
        </w:tc>
      </w:tr>
      <w:tr w:rsidR="00A93324" w:rsidRPr="00A93324" w:rsidTr="00A42550">
        <w:tc>
          <w:tcPr>
            <w:tcW w:w="2266" w:type="dxa"/>
            <w:vAlign w:val="center"/>
          </w:tcPr>
          <w:p w:rsidR="00A93324" w:rsidRPr="00A93324" w:rsidRDefault="00A93324" w:rsidP="00A93324">
            <w:pPr>
              <w:spacing w:before="120" w:after="120" w:line="240" w:lineRule="auto"/>
              <w:jc w:val="center"/>
              <w:rPr>
                <w:rFonts w:ascii="Arial" w:eastAsia="SimSun" w:hAnsi="Arial" w:cs="Arial"/>
                <w:b/>
                <w:sz w:val="20"/>
                <w:szCs w:val="20"/>
                <w:lang w:val="ro-RO"/>
              </w:rPr>
            </w:pPr>
            <w:r w:rsidRPr="00A93324">
              <w:rPr>
                <w:rFonts w:ascii="Arial" w:eastAsia="SimSun" w:hAnsi="Arial" w:cs="Arial"/>
                <w:b/>
                <w:sz w:val="20"/>
                <w:szCs w:val="20"/>
                <w:lang w:val="ro-RO"/>
              </w:rPr>
              <w:t>TOTAL AGRICOL</w:t>
            </w:r>
          </w:p>
        </w:tc>
        <w:tc>
          <w:tcPr>
            <w:tcW w:w="1561" w:type="dxa"/>
            <w:vAlign w:val="center"/>
          </w:tcPr>
          <w:p w:rsidR="00A93324" w:rsidRPr="00A93324" w:rsidRDefault="00A93324" w:rsidP="00A93324">
            <w:pPr>
              <w:spacing w:after="0" w:line="240" w:lineRule="auto"/>
              <w:jc w:val="center"/>
              <w:rPr>
                <w:rFonts w:ascii="Arial" w:eastAsia="Times New Roman" w:hAnsi="Arial" w:cs="Arial"/>
                <w:b/>
                <w:sz w:val="20"/>
                <w:szCs w:val="20"/>
                <w:lang w:val="en-GB"/>
              </w:rPr>
            </w:pPr>
            <w:r w:rsidRPr="00A93324">
              <w:rPr>
                <w:rFonts w:ascii="Arial" w:eastAsia="Times New Roman" w:hAnsi="Arial" w:cs="Arial"/>
                <w:b/>
                <w:sz w:val="20"/>
                <w:szCs w:val="20"/>
                <w:lang w:val="en-GB"/>
              </w:rPr>
              <w:t>401895</w:t>
            </w:r>
          </w:p>
        </w:tc>
        <w:tc>
          <w:tcPr>
            <w:tcW w:w="1418" w:type="dxa"/>
            <w:vAlign w:val="center"/>
          </w:tcPr>
          <w:p w:rsidR="00A93324" w:rsidRPr="00A93324" w:rsidRDefault="00A93324" w:rsidP="00A93324">
            <w:pPr>
              <w:spacing w:after="0" w:line="240" w:lineRule="auto"/>
              <w:jc w:val="center"/>
              <w:rPr>
                <w:rFonts w:ascii="Arial" w:eastAsia="Times New Roman" w:hAnsi="Arial" w:cs="Arial"/>
                <w:b/>
                <w:sz w:val="20"/>
                <w:szCs w:val="20"/>
                <w:lang w:val="en-GB"/>
              </w:rPr>
            </w:pPr>
            <w:r w:rsidRPr="00A93324">
              <w:rPr>
                <w:rFonts w:ascii="Arial" w:eastAsia="Times New Roman" w:hAnsi="Arial" w:cs="Arial"/>
                <w:b/>
                <w:sz w:val="20"/>
                <w:szCs w:val="20"/>
                <w:lang w:val="en-GB"/>
              </w:rPr>
              <w:t>397122</w:t>
            </w:r>
          </w:p>
        </w:tc>
        <w:tc>
          <w:tcPr>
            <w:tcW w:w="1417" w:type="dxa"/>
            <w:vAlign w:val="center"/>
          </w:tcPr>
          <w:p w:rsidR="00A93324" w:rsidRPr="00A93324" w:rsidRDefault="00A93324" w:rsidP="00A93324">
            <w:pPr>
              <w:spacing w:after="0" w:line="240" w:lineRule="auto"/>
              <w:jc w:val="center"/>
              <w:rPr>
                <w:rFonts w:ascii="Arial" w:eastAsia="Times New Roman" w:hAnsi="Arial" w:cs="Arial"/>
                <w:b/>
                <w:sz w:val="20"/>
                <w:szCs w:val="20"/>
                <w:lang w:val="en-GB"/>
              </w:rPr>
            </w:pPr>
            <w:r w:rsidRPr="00A93324">
              <w:rPr>
                <w:rFonts w:ascii="Arial" w:eastAsia="Times New Roman" w:hAnsi="Arial" w:cs="Arial"/>
                <w:b/>
                <w:sz w:val="20"/>
                <w:szCs w:val="20"/>
                <w:lang w:val="en-GB"/>
              </w:rPr>
              <w:t>398821</w:t>
            </w:r>
          </w:p>
        </w:tc>
        <w:tc>
          <w:tcPr>
            <w:tcW w:w="1276" w:type="dxa"/>
            <w:vAlign w:val="center"/>
          </w:tcPr>
          <w:p w:rsidR="00A93324" w:rsidRPr="00A93324" w:rsidRDefault="00A93324" w:rsidP="00A93324">
            <w:pPr>
              <w:spacing w:after="0" w:line="240" w:lineRule="auto"/>
              <w:jc w:val="center"/>
              <w:rPr>
                <w:rFonts w:ascii="Arial" w:eastAsia="Times New Roman" w:hAnsi="Arial" w:cs="Arial"/>
                <w:b/>
                <w:sz w:val="20"/>
                <w:szCs w:val="20"/>
                <w:lang w:val="en-GB"/>
              </w:rPr>
            </w:pPr>
            <w:r w:rsidRPr="00A93324">
              <w:rPr>
                <w:rFonts w:ascii="Arial" w:eastAsia="Times New Roman" w:hAnsi="Arial" w:cs="Arial"/>
                <w:b/>
                <w:sz w:val="20"/>
                <w:szCs w:val="20"/>
                <w:lang w:val="en-GB"/>
              </w:rPr>
              <w:t>396466</w:t>
            </w:r>
          </w:p>
        </w:tc>
        <w:tc>
          <w:tcPr>
            <w:tcW w:w="1640" w:type="dxa"/>
            <w:vAlign w:val="center"/>
          </w:tcPr>
          <w:p w:rsidR="00A93324" w:rsidRPr="00A93324" w:rsidRDefault="00A93324" w:rsidP="00A93324">
            <w:pPr>
              <w:spacing w:after="0" w:line="240" w:lineRule="auto"/>
              <w:jc w:val="center"/>
              <w:rPr>
                <w:rFonts w:ascii="Arial" w:eastAsia="Times New Roman" w:hAnsi="Arial" w:cs="Arial"/>
                <w:b/>
                <w:sz w:val="20"/>
                <w:szCs w:val="20"/>
                <w:lang w:val="en-GB"/>
              </w:rPr>
            </w:pPr>
            <w:r w:rsidRPr="00A93324">
              <w:rPr>
                <w:rFonts w:ascii="Arial" w:eastAsia="Times New Roman" w:hAnsi="Arial" w:cs="Arial"/>
                <w:b/>
                <w:sz w:val="20"/>
                <w:szCs w:val="20"/>
                <w:lang w:val="en-GB"/>
              </w:rPr>
              <w:t>397054</w:t>
            </w:r>
          </w:p>
        </w:tc>
      </w:tr>
      <w:tr w:rsidR="00A93324" w:rsidRPr="00A93324" w:rsidTr="00A42550">
        <w:tc>
          <w:tcPr>
            <w:tcW w:w="2266" w:type="dxa"/>
            <w:vAlign w:val="center"/>
          </w:tcPr>
          <w:p w:rsidR="00A93324" w:rsidRPr="00A93324" w:rsidRDefault="00A93324" w:rsidP="00A93324">
            <w:pPr>
              <w:spacing w:after="120" w:line="240" w:lineRule="auto"/>
              <w:jc w:val="both"/>
              <w:rPr>
                <w:rFonts w:ascii="Arial" w:eastAsia="SimSun" w:hAnsi="Arial" w:cs="Arial"/>
                <w:bCs/>
                <w:sz w:val="20"/>
                <w:szCs w:val="20"/>
                <w:lang w:val="ro-RO"/>
              </w:rPr>
            </w:pPr>
            <w:r w:rsidRPr="00A93324">
              <w:rPr>
                <w:rFonts w:ascii="Arial" w:eastAsia="SimSun" w:hAnsi="Arial" w:cs="Arial"/>
                <w:bCs/>
                <w:sz w:val="20"/>
                <w:szCs w:val="20"/>
                <w:lang w:val="ro-RO"/>
              </w:rPr>
              <w:t>Teren scos din circuitul agricol</w:t>
            </w:r>
          </w:p>
        </w:tc>
        <w:tc>
          <w:tcPr>
            <w:tcW w:w="1561" w:type="dxa"/>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72</w:t>
            </w:r>
          </w:p>
        </w:tc>
        <w:tc>
          <w:tcPr>
            <w:tcW w:w="1418" w:type="dxa"/>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46,65</w:t>
            </w:r>
          </w:p>
        </w:tc>
        <w:tc>
          <w:tcPr>
            <w:tcW w:w="1417" w:type="dxa"/>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37</w:t>
            </w:r>
          </w:p>
        </w:tc>
        <w:tc>
          <w:tcPr>
            <w:tcW w:w="1276" w:type="dxa"/>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29</w:t>
            </w:r>
          </w:p>
        </w:tc>
        <w:tc>
          <w:tcPr>
            <w:tcW w:w="1640" w:type="dxa"/>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0,14</w:t>
            </w:r>
          </w:p>
        </w:tc>
      </w:tr>
      <w:tr w:rsidR="00A93324" w:rsidRPr="00A93324" w:rsidTr="00A42550">
        <w:tc>
          <w:tcPr>
            <w:tcW w:w="2266" w:type="dxa"/>
            <w:tcBorders>
              <w:bottom w:val="double" w:sz="6" w:space="0" w:color="000000"/>
            </w:tcBorders>
            <w:vAlign w:val="center"/>
          </w:tcPr>
          <w:p w:rsidR="00A93324" w:rsidRPr="00A93324" w:rsidRDefault="00A93324" w:rsidP="00A93324">
            <w:pPr>
              <w:spacing w:after="120" w:line="240" w:lineRule="auto"/>
              <w:jc w:val="both"/>
              <w:rPr>
                <w:rFonts w:ascii="Arial" w:eastAsia="SimSun" w:hAnsi="Arial" w:cs="Arial"/>
                <w:bCs/>
                <w:sz w:val="20"/>
                <w:szCs w:val="20"/>
                <w:lang w:val="ro-RO"/>
              </w:rPr>
            </w:pPr>
            <w:r w:rsidRPr="00A93324">
              <w:rPr>
                <w:rFonts w:ascii="Arial" w:eastAsia="SimSun" w:hAnsi="Arial" w:cs="Arial"/>
                <w:bCs/>
                <w:sz w:val="20"/>
                <w:szCs w:val="20"/>
                <w:lang w:val="ro-RO"/>
              </w:rPr>
              <w:t>Teren neproductiv</w:t>
            </w:r>
          </w:p>
        </w:tc>
        <w:tc>
          <w:tcPr>
            <w:tcW w:w="1561" w:type="dxa"/>
            <w:tcBorders>
              <w:bottom w:val="double" w:sz="6" w:space="0" w:color="000000"/>
            </w:tcBorders>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5532</w:t>
            </w:r>
          </w:p>
        </w:tc>
        <w:tc>
          <w:tcPr>
            <w:tcW w:w="1418" w:type="dxa"/>
            <w:tcBorders>
              <w:bottom w:val="double" w:sz="6" w:space="0" w:color="000000"/>
            </w:tcBorders>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7854</w:t>
            </w:r>
          </w:p>
        </w:tc>
        <w:tc>
          <w:tcPr>
            <w:tcW w:w="1417" w:type="dxa"/>
            <w:tcBorders>
              <w:bottom w:val="double" w:sz="6" w:space="0" w:color="000000"/>
            </w:tcBorders>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7854</w:t>
            </w:r>
          </w:p>
        </w:tc>
        <w:tc>
          <w:tcPr>
            <w:tcW w:w="1276" w:type="dxa"/>
            <w:tcBorders>
              <w:bottom w:val="double" w:sz="6" w:space="0" w:color="000000"/>
            </w:tcBorders>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8593</w:t>
            </w:r>
          </w:p>
        </w:tc>
        <w:tc>
          <w:tcPr>
            <w:tcW w:w="1640" w:type="dxa"/>
            <w:tcBorders>
              <w:bottom w:val="double" w:sz="6" w:space="0" w:color="000000"/>
            </w:tcBorders>
            <w:vAlign w:val="center"/>
          </w:tcPr>
          <w:p w:rsidR="00A93324" w:rsidRPr="00A93324" w:rsidRDefault="00A93324" w:rsidP="00A93324">
            <w:pPr>
              <w:spacing w:after="120" w:line="240" w:lineRule="auto"/>
              <w:jc w:val="center"/>
              <w:rPr>
                <w:rFonts w:ascii="Arial" w:eastAsia="Times New Roman" w:hAnsi="Arial" w:cs="Arial"/>
                <w:sz w:val="20"/>
                <w:szCs w:val="20"/>
                <w:lang w:val="en-GB"/>
              </w:rPr>
            </w:pPr>
            <w:r w:rsidRPr="00A93324">
              <w:rPr>
                <w:rFonts w:ascii="Arial" w:eastAsia="Times New Roman" w:hAnsi="Arial" w:cs="Arial"/>
                <w:sz w:val="20"/>
                <w:szCs w:val="20"/>
                <w:lang w:val="en-GB"/>
              </w:rPr>
              <w:t>2886</w:t>
            </w:r>
          </w:p>
        </w:tc>
      </w:tr>
    </w:tbl>
    <w:p w:rsidR="00A93324" w:rsidRPr="00A93324" w:rsidRDefault="00A93324" w:rsidP="00A93324">
      <w:pPr>
        <w:spacing w:after="0" w:line="480" w:lineRule="auto"/>
        <w:ind w:firstLine="720"/>
        <w:jc w:val="right"/>
        <w:rPr>
          <w:rFonts w:ascii="Arial" w:eastAsia="SimSun" w:hAnsi="Arial" w:cs="Arial"/>
          <w:i/>
          <w:sz w:val="24"/>
          <w:szCs w:val="24"/>
          <w:lang w:val="ro-RO"/>
        </w:rPr>
      </w:pPr>
      <w:r w:rsidRPr="00A93324">
        <w:rPr>
          <w:rFonts w:ascii="Arial" w:eastAsia="SimSun" w:hAnsi="Arial" w:cs="Arial"/>
          <w:i/>
          <w:sz w:val="24"/>
          <w:szCs w:val="24"/>
          <w:lang w:val="ro-RO"/>
        </w:rPr>
        <w:t>Sursa: Direc</w:t>
      </w:r>
      <w:r w:rsidRPr="00A93324">
        <w:rPr>
          <w:rFonts w:ascii="Arial" w:eastAsia="SimSun" w:hAnsi="Tahoma" w:cs="Arial"/>
          <w:i/>
          <w:sz w:val="24"/>
          <w:szCs w:val="24"/>
          <w:lang w:val="ro-RO"/>
        </w:rPr>
        <w:t>ţ</w:t>
      </w:r>
      <w:r w:rsidRPr="00A93324">
        <w:rPr>
          <w:rFonts w:ascii="Arial" w:eastAsia="SimSun" w:hAnsi="Arial" w:cs="Arial"/>
          <w:i/>
          <w:sz w:val="24"/>
          <w:szCs w:val="24"/>
          <w:lang w:val="ro-RO"/>
        </w:rPr>
        <w:t>ia pentru Agricultură jude</w:t>
      </w:r>
      <w:r w:rsidRPr="00A93324">
        <w:rPr>
          <w:rFonts w:ascii="Arial" w:eastAsia="SimSun" w:hAnsi="Tahoma" w:cs="Arial"/>
          <w:i/>
          <w:sz w:val="24"/>
          <w:szCs w:val="24"/>
          <w:lang w:val="ro-RO"/>
        </w:rPr>
        <w:t>ţ</w:t>
      </w:r>
      <w:r w:rsidRPr="00A93324">
        <w:rPr>
          <w:rFonts w:ascii="Arial" w:eastAsia="SimSun" w:hAnsi="Arial" w:cs="Arial"/>
          <w:i/>
          <w:sz w:val="24"/>
          <w:szCs w:val="24"/>
          <w:lang w:val="ro-RO"/>
        </w:rPr>
        <w:t>eană Buzău</w:t>
      </w:r>
    </w:p>
    <w:p w:rsidR="00A93324" w:rsidRPr="00A93324" w:rsidRDefault="00A93324" w:rsidP="00A93324">
      <w:pPr>
        <w:spacing w:after="0" w:line="240" w:lineRule="auto"/>
        <w:jc w:val="both"/>
        <w:rPr>
          <w:rFonts w:ascii="Arial" w:eastAsia="SimSun" w:hAnsi="Arial" w:cs="Arial"/>
          <w:b/>
          <w:i/>
          <w:iCs/>
          <w:sz w:val="24"/>
          <w:szCs w:val="24"/>
          <w:lang w:val="ro-RO"/>
        </w:rPr>
      </w:pPr>
      <w:r w:rsidRPr="00A93324">
        <w:rPr>
          <w:rFonts w:ascii="Arial" w:eastAsia="SimSun" w:hAnsi="Arial" w:cs="Arial"/>
          <w:b/>
          <w:sz w:val="24"/>
          <w:szCs w:val="24"/>
          <w:lang w:val="ro-RO"/>
        </w:rPr>
        <w:t>Figura IV.1.1.-2. Evolu</w:t>
      </w:r>
      <w:r w:rsidRPr="00A93324">
        <w:rPr>
          <w:rFonts w:ascii="Arial" w:eastAsia="SimSun" w:hAnsi="Tahoma" w:cs="Arial"/>
          <w:b/>
          <w:sz w:val="24"/>
          <w:szCs w:val="24"/>
          <w:lang w:val="ro-RO"/>
        </w:rPr>
        <w:t>ţ</w:t>
      </w:r>
      <w:r w:rsidRPr="00A93324">
        <w:rPr>
          <w:rFonts w:ascii="Arial" w:eastAsia="SimSun" w:hAnsi="Arial" w:cs="Arial"/>
          <w:b/>
          <w:sz w:val="24"/>
          <w:szCs w:val="24"/>
          <w:lang w:val="ro-RO"/>
        </w:rPr>
        <w:t>ia reparti</w:t>
      </w:r>
      <w:r w:rsidRPr="00A93324">
        <w:rPr>
          <w:rFonts w:ascii="Arial" w:eastAsia="SimSun" w:hAnsi="Tahoma" w:cs="Arial"/>
          <w:b/>
          <w:sz w:val="24"/>
          <w:szCs w:val="24"/>
          <w:lang w:val="ro-RO"/>
        </w:rPr>
        <w:t>ţ</w:t>
      </w:r>
      <w:r w:rsidRPr="00A93324">
        <w:rPr>
          <w:rFonts w:ascii="Arial" w:eastAsia="SimSun" w:hAnsi="Arial" w:cs="Arial"/>
          <w:b/>
          <w:sz w:val="24"/>
          <w:szCs w:val="24"/>
          <w:lang w:val="ro-RO"/>
        </w:rPr>
        <w:t>iei terenurilor agricole pe categorii de folosin</w:t>
      </w:r>
      <w:r w:rsidRPr="00A93324">
        <w:rPr>
          <w:rFonts w:ascii="Arial" w:eastAsia="SimSun" w:hAnsi="Tahoma" w:cs="Arial"/>
          <w:b/>
          <w:sz w:val="24"/>
          <w:szCs w:val="24"/>
          <w:lang w:val="ro-RO"/>
        </w:rPr>
        <w:t>ţ</w:t>
      </w:r>
      <w:r w:rsidRPr="00A93324">
        <w:rPr>
          <w:rFonts w:ascii="Arial" w:eastAsia="SimSun" w:hAnsi="Arial" w:cs="Arial"/>
          <w:b/>
          <w:sz w:val="24"/>
          <w:szCs w:val="24"/>
          <w:lang w:val="ro-RO"/>
        </w:rPr>
        <w:t>e  pentru perioada 2005-2014</w:t>
      </w:r>
    </w:p>
    <w:p w:rsidR="00A93324" w:rsidRPr="00A93324" w:rsidRDefault="00A93324" w:rsidP="00A93324">
      <w:pPr>
        <w:spacing w:after="120" w:line="240" w:lineRule="auto"/>
        <w:jc w:val="right"/>
        <w:rPr>
          <w:rFonts w:ascii="Arial" w:hAnsi="Arial" w:cs="Arial"/>
          <w:i/>
          <w:iCs/>
          <w:sz w:val="24"/>
          <w:szCs w:val="24"/>
          <w:lang w:val="ro-RO"/>
        </w:rPr>
      </w:pPr>
      <w:r>
        <w:rPr>
          <w:rFonts w:ascii="Arial" w:hAnsi="Arial" w:cs="Arial"/>
          <w:b/>
          <w:noProof/>
          <w:sz w:val="24"/>
          <w:szCs w:val="24"/>
          <w:lang w:val="ro-RO" w:eastAsia="ro-RO"/>
        </w:rPr>
        <w:drawing>
          <wp:inline distT="0" distB="0" distL="0" distR="0">
            <wp:extent cx="6134100" cy="3009900"/>
            <wp:effectExtent l="0" t="0" r="0" b="0"/>
            <wp:docPr id="164" name="Object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A93324">
        <w:rPr>
          <w:rFonts w:ascii="Arial" w:hAnsi="Arial" w:cs="Arial"/>
          <w:sz w:val="24"/>
          <w:szCs w:val="24"/>
          <w:lang w:val="ro-RO"/>
        </w:rPr>
        <w:t xml:space="preserve">  </w:t>
      </w:r>
      <w:r w:rsidRPr="00A93324">
        <w:rPr>
          <w:rFonts w:ascii="Arial" w:hAnsi="Arial" w:cs="Arial"/>
          <w:i/>
          <w:sz w:val="24"/>
          <w:szCs w:val="24"/>
          <w:lang w:val="ro-RO"/>
        </w:rPr>
        <w:t>Sursa: Direc</w:t>
      </w:r>
      <w:r w:rsidRPr="00A93324">
        <w:rPr>
          <w:rFonts w:ascii="Arial" w:hAnsi="Tahoma" w:cs="Arial"/>
          <w:i/>
          <w:sz w:val="24"/>
          <w:szCs w:val="24"/>
          <w:lang w:val="ro-RO"/>
        </w:rPr>
        <w:t>ţ</w:t>
      </w:r>
      <w:r w:rsidRPr="00A93324">
        <w:rPr>
          <w:rFonts w:ascii="Arial" w:hAnsi="Arial" w:cs="Arial"/>
          <w:i/>
          <w:sz w:val="24"/>
          <w:szCs w:val="24"/>
          <w:lang w:val="ro-RO"/>
        </w:rPr>
        <w:t>ia pentru Agricultură jude</w:t>
      </w:r>
      <w:r w:rsidRPr="00A93324">
        <w:rPr>
          <w:rFonts w:ascii="Arial" w:hAnsi="Tahoma" w:cs="Arial"/>
          <w:i/>
          <w:sz w:val="24"/>
          <w:szCs w:val="24"/>
          <w:lang w:val="ro-RO"/>
        </w:rPr>
        <w:t>ţ</w:t>
      </w:r>
      <w:r w:rsidRPr="00A93324">
        <w:rPr>
          <w:rFonts w:ascii="Arial" w:hAnsi="Arial" w:cs="Arial"/>
          <w:i/>
          <w:sz w:val="24"/>
          <w:szCs w:val="24"/>
          <w:lang w:val="ro-RO"/>
        </w:rPr>
        <w:t>eană Buzău</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Conform informa</w:t>
      </w:r>
      <w:r w:rsidRPr="00A93324">
        <w:rPr>
          <w:rFonts w:ascii="Arial" w:eastAsia="SimSun" w:hAnsi="Tahoma" w:cs="Arial"/>
          <w:sz w:val="24"/>
          <w:szCs w:val="24"/>
          <w:lang w:val="ro-RO"/>
        </w:rPr>
        <w:t>ţ</w:t>
      </w:r>
      <w:r w:rsidRPr="00A93324">
        <w:rPr>
          <w:rFonts w:ascii="Arial" w:eastAsia="SimSun" w:hAnsi="Arial" w:cs="Arial"/>
          <w:sz w:val="24"/>
          <w:szCs w:val="24"/>
          <w:lang w:val="ro-RO"/>
        </w:rPr>
        <w:t>iilor furnizate de Direc</w:t>
      </w:r>
      <w:r w:rsidRPr="00A93324">
        <w:rPr>
          <w:rFonts w:ascii="Arial" w:eastAsia="SimSun" w:hAnsi="Tahoma" w:cs="Arial"/>
          <w:sz w:val="24"/>
          <w:szCs w:val="24"/>
          <w:lang w:val="ro-RO"/>
        </w:rPr>
        <w:t>ţ</w:t>
      </w:r>
      <w:r w:rsidRPr="00A93324">
        <w:rPr>
          <w:rFonts w:ascii="Arial" w:eastAsia="SimSun" w:hAnsi="Arial" w:cs="Arial"/>
          <w:sz w:val="24"/>
          <w:szCs w:val="24"/>
          <w:lang w:val="ro-RO"/>
        </w:rPr>
        <w:t>ia pentru Agricultura Jude</w:t>
      </w:r>
      <w:r w:rsidRPr="00A93324">
        <w:rPr>
          <w:rFonts w:ascii="Arial" w:eastAsia="SimSun" w:hAnsi="Tahoma" w:cs="Arial"/>
          <w:sz w:val="24"/>
          <w:szCs w:val="24"/>
          <w:lang w:val="ro-RO"/>
        </w:rPr>
        <w:t>ţ</w:t>
      </w:r>
      <w:r w:rsidRPr="00A93324">
        <w:rPr>
          <w:rFonts w:ascii="Arial" w:eastAsia="SimSun" w:hAnsi="Arial" w:cs="Arial"/>
          <w:sz w:val="24"/>
          <w:szCs w:val="24"/>
          <w:lang w:val="ro-RO"/>
        </w:rPr>
        <w:t xml:space="preserve">eană Buzău, se observă o relativă stabilitate în menţinerea repartiţiei terenurilor pe categorii de folosinţă, pentru terenurile arabile, păşuni şi fâneţe, dar şi o scădere a suprafeţelor acoperite cu vii şi livezi, mai ales în perioada 2009-2014. Este de remarcat şi faptul că în cursul anului 2014, au fost scoase din circuitul agricol numai </w:t>
      </w:r>
      <w:smartTag w:uri="urn:schemas-microsoft-com:office:smarttags" w:element="metricconverter">
        <w:smartTagPr>
          <w:attr w:name="ProductID" w:val="0,14 ha"/>
        </w:smartTagPr>
        <w:r w:rsidRPr="00A93324">
          <w:rPr>
            <w:rFonts w:ascii="Arial" w:eastAsia="SimSun" w:hAnsi="Arial" w:cs="Arial"/>
            <w:sz w:val="24"/>
            <w:szCs w:val="24"/>
            <w:lang w:val="ro-RO"/>
          </w:rPr>
          <w:t>0,14 ha</w:t>
        </w:r>
      </w:smartTag>
      <w:r w:rsidRPr="00A93324">
        <w:rPr>
          <w:rFonts w:ascii="Arial" w:eastAsia="SimSun" w:hAnsi="Arial" w:cs="Arial"/>
          <w:sz w:val="24"/>
          <w:szCs w:val="24"/>
          <w:lang w:val="ro-RO"/>
        </w:rPr>
        <w:t xml:space="preserve"> de terenuri </w:t>
      </w:r>
      <w:r w:rsidRPr="00A93324">
        <w:rPr>
          <w:rFonts w:ascii="Arial" w:eastAsia="SimSun" w:hAnsi="Tahoma" w:cs="Arial"/>
          <w:sz w:val="24"/>
          <w:szCs w:val="24"/>
          <w:lang w:val="ro-RO"/>
        </w:rPr>
        <w:t>ş</w:t>
      </w:r>
      <w:r w:rsidRPr="00A93324">
        <w:rPr>
          <w:rFonts w:ascii="Arial" w:eastAsia="SimSun" w:hAnsi="Arial" w:cs="Arial"/>
          <w:sz w:val="24"/>
          <w:szCs w:val="24"/>
          <w:lang w:val="ro-RO"/>
        </w:rPr>
        <w:t xml:space="preserve">i au fost inventariate numai </w:t>
      </w:r>
      <w:smartTag w:uri="urn:schemas-microsoft-com:office:smarttags" w:element="metricconverter">
        <w:smartTagPr>
          <w:attr w:name="ProductID" w:val="2886 ha"/>
        </w:smartTagPr>
        <w:r w:rsidRPr="00A93324">
          <w:rPr>
            <w:rFonts w:ascii="Arial" w:eastAsia="SimSun" w:hAnsi="Arial" w:cs="Arial"/>
            <w:sz w:val="24"/>
            <w:szCs w:val="24"/>
            <w:lang w:val="ro-RO"/>
          </w:rPr>
          <w:t>2886 ha</w:t>
        </w:r>
      </w:smartTag>
      <w:r w:rsidRPr="00A93324">
        <w:rPr>
          <w:rFonts w:ascii="Arial" w:eastAsia="SimSun" w:hAnsi="Arial" w:cs="Arial"/>
          <w:sz w:val="24"/>
          <w:szCs w:val="24"/>
          <w:lang w:val="ro-RO"/>
        </w:rPr>
        <w:t xml:space="preserve"> terenuri neproductive, în scădere faţă de anii precedenţi. </w:t>
      </w:r>
    </w:p>
    <w:p w:rsidR="00A93324" w:rsidRPr="00A93324" w:rsidRDefault="00A93324" w:rsidP="00A93324">
      <w:pPr>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b/>
          <w:sz w:val="24"/>
          <w:szCs w:val="24"/>
          <w:lang w:val="ro-RO"/>
        </w:rPr>
        <w:lastRenderedPageBreak/>
        <w:t xml:space="preserve">Tabel IV.1.1.-3 </w:t>
      </w:r>
      <w:r w:rsidRPr="00A93324">
        <w:rPr>
          <w:rFonts w:ascii="Arial" w:eastAsia="SimSun" w:hAnsi="Arial" w:cs="Arial"/>
          <w:b/>
          <w:bCs/>
          <w:sz w:val="24"/>
          <w:szCs w:val="24"/>
          <w:lang w:val="ro-RO"/>
        </w:rPr>
        <w:t xml:space="preserve">Repartiţia terenurilor pe categorii de acoperire/utilizare, în perioada 2010 - 2013  </w:t>
      </w:r>
    </w:p>
    <w:tbl>
      <w:tblPr>
        <w:tblW w:w="91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708"/>
        <w:gridCol w:w="1151"/>
        <w:gridCol w:w="1462"/>
        <w:gridCol w:w="1405"/>
        <w:gridCol w:w="1449"/>
      </w:tblGrid>
      <w:tr w:rsidR="00A93324" w:rsidRPr="00A93324" w:rsidTr="00A42550">
        <w:trPr>
          <w:trHeight w:val="89"/>
          <w:jc w:val="center"/>
        </w:trPr>
        <w:tc>
          <w:tcPr>
            <w:tcW w:w="3708"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b/>
                <w:bCs/>
                <w:sz w:val="24"/>
                <w:szCs w:val="24"/>
                <w:lang w:val="ro-RO"/>
              </w:rPr>
              <w:t>Categoria de acoperire/utilizare</w:t>
            </w:r>
          </w:p>
        </w:tc>
        <w:tc>
          <w:tcPr>
            <w:tcW w:w="5467" w:type="dxa"/>
            <w:gridSpan w:val="4"/>
          </w:tcPr>
          <w:p w:rsidR="00A93324" w:rsidRPr="00A93324" w:rsidRDefault="00A93324" w:rsidP="00A93324">
            <w:pPr>
              <w:tabs>
                <w:tab w:val="left" w:pos="1276"/>
                <w:tab w:val="left" w:leader="dot" w:pos="9356"/>
              </w:tabs>
              <w:spacing w:after="120" w:line="240" w:lineRule="auto"/>
              <w:ind w:left="596"/>
              <w:jc w:val="center"/>
              <w:rPr>
                <w:rFonts w:ascii="Arial" w:eastAsia="SimSun" w:hAnsi="Arial" w:cs="Arial"/>
                <w:sz w:val="24"/>
                <w:szCs w:val="24"/>
                <w:lang w:val="ro-RO"/>
              </w:rPr>
            </w:pPr>
            <w:r w:rsidRPr="00A93324">
              <w:rPr>
                <w:rFonts w:ascii="Arial" w:eastAsia="SimSun" w:hAnsi="Arial" w:cs="Arial"/>
                <w:b/>
                <w:bCs/>
                <w:sz w:val="24"/>
                <w:szCs w:val="24"/>
                <w:lang w:val="ro-RO"/>
              </w:rPr>
              <w:t>Suprafaţa (ha)</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Anul</w:t>
            </w:r>
          </w:p>
        </w:tc>
        <w:tc>
          <w:tcPr>
            <w:tcW w:w="1151" w:type="dxa"/>
            <w:vAlign w:val="center"/>
          </w:tcPr>
          <w:p w:rsidR="00A93324" w:rsidRPr="00A93324" w:rsidRDefault="00A93324" w:rsidP="00A93324">
            <w:pPr>
              <w:spacing w:after="0" w:line="240" w:lineRule="auto"/>
              <w:jc w:val="center"/>
              <w:rPr>
                <w:rFonts w:ascii="Arial" w:eastAsia="Times New Roman" w:hAnsi="Arial" w:cs="Arial"/>
                <w:b/>
                <w:sz w:val="24"/>
                <w:szCs w:val="24"/>
                <w:lang w:val="ro-RO"/>
              </w:rPr>
            </w:pPr>
            <w:r w:rsidRPr="00A93324">
              <w:rPr>
                <w:rFonts w:ascii="Arial" w:eastAsia="Times New Roman" w:hAnsi="Arial" w:cs="Arial"/>
                <w:b/>
                <w:sz w:val="24"/>
                <w:szCs w:val="24"/>
                <w:lang w:val="ro-RO"/>
              </w:rPr>
              <w:t>2010</w:t>
            </w:r>
          </w:p>
        </w:tc>
        <w:tc>
          <w:tcPr>
            <w:tcW w:w="1462"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2011</w:t>
            </w:r>
          </w:p>
        </w:tc>
        <w:tc>
          <w:tcPr>
            <w:tcW w:w="1405"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2012</w:t>
            </w:r>
          </w:p>
        </w:tc>
        <w:tc>
          <w:tcPr>
            <w:tcW w:w="1449"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2013</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b/>
                <w:sz w:val="24"/>
                <w:szCs w:val="24"/>
                <w:lang w:val="ro-RO"/>
              </w:rPr>
            </w:pPr>
            <w:r w:rsidRPr="00A93324">
              <w:rPr>
                <w:rFonts w:ascii="Arial" w:eastAsia="SimSun" w:hAnsi="Arial" w:cs="Arial"/>
                <w:b/>
                <w:sz w:val="24"/>
                <w:szCs w:val="24"/>
                <w:lang w:val="ro-RO"/>
              </w:rPr>
              <w:t xml:space="preserve">Terenuri agricole, </w:t>
            </w:r>
            <w:r w:rsidRPr="00A93324">
              <w:rPr>
                <w:rFonts w:ascii="Arial" w:eastAsia="SimSun" w:hAnsi="Arial" w:cs="Arial"/>
                <w:b/>
                <w:iCs/>
                <w:sz w:val="24"/>
                <w:szCs w:val="24"/>
                <w:lang w:val="ro-RO"/>
              </w:rPr>
              <w:t xml:space="preserve">din care: </w:t>
            </w:r>
          </w:p>
        </w:tc>
        <w:tc>
          <w:tcPr>
            <w:tcW w:w="1151" w:type="dxa"/>
            <w:vAlign w:val="center"/>
          </w:tcPr>
          <w:p w:rsidR="00A93324" w:rsidRPr="00A93324" w:rsidRDefault="00A93324" w:rsidP="00A93324">
            <w:pPr>
              <w:spacing w:after="0" w:line="240" w:lineRule="auto"/>
              <w:jc w:val="center"/>
              <w:rPr>
                <w:rFonts w:ascii="Arial" w:eastAsia="Times New Roman" w:hAnsi="Arial" w:cs="Arial"/>
                <w:b/>
                <w:sz w:val="24"/>
                <w:szCs w:val="24"/>
                <w:lang w:val="ro-RO"/>
              </w:rPr>
            </w:pPr>
            <w:r w:rsidRPr="00A93324">
              <w:rPr>
                <w:rFonts w:ascii="Arial" w:eastAsia="Times New Roman" w:hAnsi="Arial" w:cs="Arial"/>
                <w:b/>
                <w:sz w:val="24"/>
                <w:szCs w:val="24"/>
                <w:lang w:val="ro-RO"/>
              </w:rPr>
              <w:t>401854</w:t>
            </w:r>
          </w:p>
        </w:tc>
        <w:tc>
          <w:tcPr>
            <w:tcW w:w="1462"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401895</w:t>
            </w:r>
          </w:p>
        </w:tc>
        <w:tc>
          <w:tcPr>
            <w:tcW w:w="1405"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402012</w:t>
            </w:r>
          </w:p>
        </w:tc>
        <w:tc>
          <w:tcPr>
            <w:tcW w:w="1449"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402851</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Teren arabil </w:t>
            </w:r>
          </w:p>
        </w:tc>
        <w:tc>
          <w:tcPr>
            <w:tcW w:w="1151"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258641</w:t>
            </w:r>
          </w:p>
        </w:tc>
        <w:tc>
          <w:tcPr>
            <w:tcW w:w="1462"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258911</w:t>
            </w:r>
          </w:p>
        </w:tc>
        <w:tc>
          <w:tcPr>
            <w:tcW w:w="1405"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258671</w:t>
            </w:r>
          </w:p>
        </w:tc>
        <w:tc>
          <w:tcPr>
            <w:tcW w:w="1449"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259280</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Păşuni </w:t>
            </w:r>
          </w:p>
        </w:tc>
        <w:tc>
          <w:tcPr>
            <w:tcW w:w="1151"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89044</w:t>
            </w:r>
          </w:p>
        </w:tc>
        <w:tc>
          <w:tcPr>
            <w:tcW w:w="1462"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89050</w:t>
            </w:r>
          </w:p>
        </w:tc>
        <w:tc>
          <w:tcPr>
            <w:tcW w:w="1405"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89050</w:t>
            </w:r>
          </w:p>
        </w:tc>
        <w:tc>
          <w:tcPr>
            <w:tcW w:w="1449"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89525</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Fâneţe </w:t>
            </w:r>
          </w:p>
        </w:tc>
        <w:tc>
          <w:tcPr>
            <w:tcW w:w="1151"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28913</w:t>
            </w:r>
          </w:p>
        </w:tc>
        <w:tc>
          <w:tcPr>
            <w:tcW w:w="1462"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28924</w:t>
            </w:r>
          </w:p>
        </w:tc>
        <w:tc>
          <w:tcPr>
            <w:tcW w:w="1405"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28746</w:t>
            </w:r>
          </w:p>
        </w:tc>
        <w:tc>
          <w:tcPr>
            <w:tcW w:w="1449"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29191</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Vii şi pepiniere viticole </w:t>
            </w:r>
          </w:p>
        </w:tc>
        <w:tc>
          <w:tcPr>
            <w:tcW w:w="1151"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14536</w:t>
            </w:r>
          </w:p>
        </w:tc>
        <w:tc>
          <w:tcPr>
            <w:tcW w:w="1462"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14684</w:t>
            </w:r>
          </w:p>
        </w:tc>
        <w:tc>
          <w:tcPr>
            <w:tcW w:w="1405"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14670</w:t>
            </w:r>
          </w:p>
        </w:tc>
        <w:tc>
          <w:tcPr>
            <w:tcW w:w="1449" w:type="dxa"/>
            <w:shd w:val="clear" w:color="auto" w:fill="auto"/>
            <w:vAlign w:val="center"/>
          </w:tcPr>
          <w:p w:rsidR="00A93324" w:rsidRPr="00A93324" w:rsidRDefault="00A93324" w:rsidP="00A93324">
            <w:pPr>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14490</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Livezi şi pepiniere pomicole </w:t>
            </w:r>
          </w:p>
        </w:tc>
        <w:tc>
          <w:tcPr>
            <w:tcW w:w="1151" w:type="dxa"/>
            <w:vAlign w:val="center"/>
          </w:tcPr>
          <w:p w:rsidR="00A93324" w:rsidRPr="00A93324" w:rsidRDefault="00A93324" w:rsidP="00A93324">
            <w:pPr>
              <w:spacing w:after="0" w:line="240" w:lineRule="auto"/>
              <w:jc w:val="center"/>
              <w:rPr>
                <w:rFonts w:ascii="Arial" w:eastAsia="Times New Roman" w:hAnsi="Arial" w:cs="Arial"/>
                <w:sz w:val="24"/>
                <w:szCs w:val="24"/>
                <w:lang w:val="ro-RO"/>
              </w:rPr>
            </w:pPr>
            <w:r w:rsidRPr="00A93324">
              <w:rPr>
                <w:rFonts w:ascii="Arial" w:eastAsia="Times New Roman" w:hAnsi="Arial" w:cs="Arial"/>
                <w:sz w:val="24"/>
                <w:szCs w:val="24"/>
                <w:lang w:val="ro-RO"/>
              </w:rPr>
              <w:t>10720</w:t>
            </w:r>
          </w:p>
        </w:tc>
        <w:tc>
          <w:tcPr>
            <w:tcW w:w="1462"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10326</w:t>
            </w:r>
          </w:p>
        </w:tc>
        <w:tc>
          <w:tcPr>
            <w:tcW w:w="1405"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10875</w:t>
            </w:r>
          </w:p>
        </w:tc>
        <w:tc>
          <w:tcPr>
            <w:tcW w:w="1449" w:type="dxa"/>
            <w:shd w:val="clear" w:color="auto" w:fill="auto"/>
            <w:vAlign w:val="center"/>
          </w:tcPr>
          <w:p w:rsidR="00A93324" w:rsidRPr="00A93324" w:rsidRDefault="00A93324" w:rsidP="00A93324">
            <w:pPr>
              <w:tabs>
                <w:tab w:val="left" w:pos="1276"/>
                <w:tab w:val="left" w:leader="dot" w:pos="9356"/>
              </w:tabs>
              <w:spacing w:after="0" w:line="240" w:lineRule="auto"/>
              <w:ind w:left="97"/>
              <w:jc w:val="center"/>
              <w:rPr>
                <w:rFonts w:ascii="Arial" w:eastAsia="SimSun" w:hAnsi="Arial" w:cs="Arial"/>
                <w:sz w:val="24"/>
                <w:szCs w:val="24"/>
                <w:lang w:val="ro-RO"/>
              </w:rPr>
            </w:pPr>
            <w:r w:rsidRPr="00A93324">
              <w:rPr>
                <w:rFonts w:ascii="Arial" w:eastAsia="SimSun" w:hAnsi="Arial" w:cs="Arial"/>
                <w:sz w:val="24"/>
                <w:szCs w:val="24"/>
                <w:lang w:val="ro-RO"/>
              </w:rPr>
              <w:t>10365</w:t>
            </w:r>
          </w:p>
        </w:tc>
      </w:tr>
      <w:tr w:rsidR="00A93324" w:rsidRPr="00A93324" w:rsidTr="00A42550">
        <w:trPr>
          <w:trHeight w:val="540"/>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b/>
                <w:iCs/>
                <w:sz w:val="24"/>
                <w:szCs w:val="24"/>
                <w:lang w:val="ro-RO"/>
              </w:rPr>
              <w:t xml:space="preserve">Terenuri neagricole, din care: </w:t>
            </w:r>
          </w:p>
        </w:tc>
        <w:tc>
          <w:tcPr>
            <w:tcW w:w="1151" w:type="dxa"/>
            <w:vAlign w:val="center"/>
          </w:tcPr>
          <w:p w:rsidR="00A93324" w:rsidRPr="00A93324" w:rsidRDefault="00A93324" w:rsidP="00A93324">
            <w:pPr>
              <w:spacing w:after="0" w:line="240" w:lineRule="auto"/>
              <w:jc w:val="center"/>
              <w:rPr>
                <w:rFonts w:ascii="Arial" w:eastAsia="Times New Roman" w:hAnsi="Arial" w:cs="Arial"/>
                <w:b/>
                <w:sz w:val="24"/>
                <w:szCs w:val="24"/>
                <w:lang w:val="ro-RO"/>
              </w:rPr>
            </w:pPr>
            <w:r w:rsidRPr="00A93324">
              <w:rPr>
                <w:rFonts w:ascii="Arial" w:eastAsia="Times New Roman" w:hAnsi="Arial" w:cs="Arial"/>
                <w:b/>
                <w:sz w:val="24"/>
                <w:szCs w:val="24"/>
                <w:lang w:val="ro-RO"/>
              </w:rPr>
              <w:t>208401</w:t>
            </w:r>
          </w:p>
        </w:tc>
        <w:tc>
          <w:tcPr>
            <w:tcW w:w="1462"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208360</w:t>
            </w:r>
          </w:p>
        </w:tc>
        <w:tc>
          <w:tcPr>
            <w:tcW w:w="1405"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208243</w:t>
            </w:r>
          </w:p>
        </w:tc>
        <w:tc>
          <w:tcPr>
            <w:tcW w:w="1449" w:type="dxa"/>
            <w:shd w:val="clear" w:color="auto" w:fill="auto"/>
            <w:vAlign w:val="center"/>
          </w:tcPr>
          <w:p w:rsidR="00A93324" w:rsidRPr="00A93324" w:rsidRDefault="00A93324" w:rsidP="00A93324">
            <w:pPr>
              <w:tabs>
                <w:tab w:val="left" w:pos="1276"/>
                <w:tab w:val="left" w:leader="dot" w:pos="9356"/>
              </w:tabs>
              <w:spacing w:after="0" w:line="240" w:lineRule="auto"/>
              <w:ind w:left="97"/>
              <w:jc w:val="center"/>
              <w:rPr>
                <w:rFonts w:ascii="Arial" w:eastAsia="SimSun" w:hAnsi="Arial" w:cs="Arial"/>
                <w:b/>
                <w:sz w:val="24"/>
                <w:szCs w:val="24"/>
                <w:lang w:val="ro-RO"/>
              </w:rPr>
            </w:pPr>
            <w:r w:rsidRPr="00A93324">
              <w:rPr>
                <w:rFonts w:ascii="Arial" w:eastAsia="SimSun" w:hAnsi="Arial" w:cs="Arial"/>
                <w:b/>
                <w:sz w:val="24"/>
                <w:szCs w:val="24"/>
                <w:lang w:val="ro-RO"/>
              </w:rPr>
              <w:t>207404</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Păduri şi altă vegetaţie forestieră</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163968</w:t>
            </w:r>
          </w:p>
        </w:tc>
        <w:tc>
          <w:tcPr>
            <w:tcW w:w="1462"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163977</w:t>
            </w:r>
          </w:p>
        </w:tc>
        <w:tc>
          <w:tcPr>
            <w:tcW w:w="1405"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163977</w:t>
            </w:r>
          </w:p>
        </w:tc>
        <w:tc>
          <w:tcPr>
            <w:tcW w:w="1449"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162584</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Ape şi bălţi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11417</w:t>
            </w:r>
          </w:p>
        </w:tc>
        <w:tc>
          <w:tcPr>
            <w:tcW w:w="1462"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11420</w:t>
            </w:r>
          </w:p>
        </w:tc>
        <w:tc>
          <w:tcPr>
            <w:tcW w:w="1405"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11420</w:t>
            </w:r>
          </w:p>
        </w:tc>
        <w:tc>
          <w:tcPr>
            <w:tcW w:w="1449" w:type="dxa"/>
            <w:shd w:val="clear" w:color="auto" w:fill="auto"/>
            <w:vAlign w:val="center"/>
          </w:tcPr>
          <w:p w:rsidR="00A93324" w:rsidRPr="00A93324" w:rsidRDefault="00A93324" w:rsidP="00A93324">
            <w:pPr>
              <w:tabs>
                <w:tab w:val="left" w:pos="1276"/>
                <w:tab w:val="left" w:leader="dot" w:pos="9356"/>
              </w:tabs>
              <w:spacing w:after="0" w:line="240" w:lineRule="auto"/>
              <w:ind w:left="97"/>
              <w:jc w:val="center"/>
              <w:rPr>
                <w:rFonts w:ascii="Arial" w:eastAsia="SimSun" w:hAnsi="Arial" w:cs="Arial"/>
                <w:sz w:val="24"/>
                <w:szCs w:val="24"/>
                <w:lang w:val="ro-RO"/>
              </w:rPr>
            </w:pPr>
            <w:r w:rsidRPr="00A93324">
              <w:rPr>
                <w:rFonts w:ascii="Arial" w:eastAsia="SimSun" w:hAnsi="Arial" w:cs="Arial"/>
                <w:sz w:val="24"/>
                <w:szCs w:val="24"/>
                <w:lang w:val="ro-RO"/>
              </w:rPr>
              <w:t>11040</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Construcţii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15909</w:t>
            </w:r>
          </w:p>
        </w:tc>
        <w:tc>
          <w:tcPr>
            <w:tcW w:w="1462"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16221</w:t>
            </w:r>
          </w:p>
        </w:tc>
        <w:tc>
          <w:tcPr>
            <w:tcW w:w="1405"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16104</w:t>
            </w:r>
          </w:p>
        </w:tc>
        <w:tc>
          <w:tcPr>
            <w:tcW w:w="1449" w:type="dxa"/>
            <w:shd w:val="clear" w:color="auto" w:fill="auto"/>
            <w:vAlign w:val="center"/>
          </w:tcPr>
          <w:p w:rsidR="00A93324" w:rsidRPr="00A93324" w:rsidRDefault="00A93324" w:rsidP="00A93324">
            <w:pPr>
              <w:tabs>
                <w:tab w:val="left" w:pos="1276"/>
                <w:tab w:val="left" w:leader="dot" w:pos="9356"/>
              </w:tabs>
              <w:spacing w:after="0" w:line="240" w:lineRule="auto"/>
              <w:ind w:left="97"/>
              <w:jc w:val="center"/>
              <w:rPr>
                <w:rFonts w:ascii="Arial" w:eastAsia="SimSun" w:hAnsi="Arial" w:cs="Arial"/>
                <w:sz w:val="24"/>
                <w:szCs w:val="24"/>
                <w:lang w:val="ro-RO"/>
              </w:rPr>
            </w:pPr>
            <w:r w:rsidRPr="00A93324">
              <w:rPr>
                <w:rFonts w:ascii="Arial" w:eastAsia="SimSun" w:hAnsi="Arial" w:cs="Arial"/>
                <w:sz w:val="24"/>
                <w:szCs w:val="24"/>
                <w:lang w:val="ro-RO"/>
              </w:rPr>
              <w:t>16355</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Căi de comunicaţii şi căi ferate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8888</w:t>
            </w:r>
          </w:p>
        </w:tc>
        <w:tc>
          <w:tcPr>
            <w:tcW w:w="1462"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8888</w:t>
            </w:r>
          </w:p>
        </w:tc>
        <w:tc>
          <w:tcPr>
            <w:tcW w:w="1405"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8888</w:t>
            </w:r>
          </w:p>
        </w:tc>
        <w:tc>
          <w:tcPr>
            <w:tcW w:w="1449" w:type="dxa"/>
            <w:shd w:val="clear" w:color="auto" w:fill="auto"/>
            <w:vAlign w:val="center"/>
          </w:tcPr>
          <w:p w:rsidR="00A93324" w:rsidRPr="00A93324" w:rsidRDefault="00A93324" w:rsidP="00A93324">
            <w:pPr>
              <w:tabs>
                <w:tab w:val="left" w:pos="1276"/>
                <w:tab w:val="left" w:leader="dot" w:pos="9356"/>
              </w:tabs>
              <w:spacing w:after="0" w:line="240" w:lineRule="auto"/>
              <w:ind w:left="97"/>
              <w:jc w:val="center"/>
              <w:rPr>
                <w:rFonts w:ascii="Arial" w:eastAsia="SimSun" w:hAnsi="Arial" w:cs="Arial"/>
                <w:sz w:val="24"/>
                <w:szCs w:val="24"/>
                <w:lang w:val="ro-RO"/>
              </w:rPr>
            </w:pPr>
            <w:r w:rsidRPr="00A93324">
              <w:rPr>
                <w:rFonts w:ascii="Arial" w:eastAsia="SimSun" w:hAnsi="Arial" w:cs="Arial"/>
                <w:sz w:val="24"/>
                <w:szCs w:val="24"/>
                <w:lang w:val="ro-RO"/>
              </w:rPr>
              <w:t>8832</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Terenuri degradate şi neproductive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8219</w:t>
            </w:r>
          </w:p>
        </w:tc>
        <w:tc>
          <w:tcPr>
            <w:tcW w:w="1462"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7854</w:t>
            </w:r>
          </w:p>
        </w:tc>
        <w:tc>
          <w:tcPr>
            <w:tcW w:w="1405" w:type="dxa"/>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7854</w:t>
            </w:r>
          </w:p>
        </w:tc>
        <w:tc>
          <w:tcPr>
            <w:tcW w:w="1449" w:type="dxa"/>
            <w:shd w:val="clear" w:color="auto" w:fill="auto"/>
            <w:vAlign w:val="center"/>
          </w:tcPr>
          <w:p w:rsidR="00A93324" w:rsidRPr="00A93324" w:rsidRDefault="00A93324" w:rsidP="00A93324">
            <w:pPr>
              <w:tabs>
                <w:tab w:val="left" w:pos="1276"/>
                <w:tab w:val="left" w:leader="dot" w:pos="9356"/>
              </w:tabs>
              <w:spacing w:after="0" w:line="240" w:lineRule="auto"/>
              <w:ind w:left="97"/>
              <w:jc w:val="center"/>
              <w:rPr>
                <w:rFonts w:ascii="Arial" w:eastAsia="SimSun" w:hAnsi="Arial" w:cs="Arial"/>
                <w:sz w:val="24"/>
                <w:szCs w:val="24"/>
                <w:lang w:val="ro-RO"/>
              </w:rPr>
            </w:pPr>
            <w:r w:rsidRPr="00A93324">
              <w:rPr>
                <w:rFonts w:ascii="Arial" w:eastAsia="SimSun" w:hAnsi="Arial" w:cs="Arial"/>
                <w:sz w:val="24"/>
                <w:szCs w:val="24"/>
                <w:lang w:val="ro-RO"/>
              </w:rPr>
              <w:t>8593</w:t>
            </w:r>
          </w:p>
        </w:tc>
      </w:tr>
      <w:tr w:rsidR="00A93324" w:rsidRPr="00A93324" w:rsidTr="00A42550">
        <w:trPr>
          <w:trHeight w:val="65"/>
          <w:jc w:val="center"/>
        </w:trPr>
        <w:tc>
          <w:tcPr>
            <w:tcW w:w="3708" w:type="dxa"/>
          </w:tcPr>
          <w:p w:rsidR="00A93324" w:rsidRPr="00A93324" w:rsidRDefault="00A93324" w:rsidP="00A93324">
            <w:pPr>
              <w:tabs>
                <w:tab w:val="left" w:pos="1276"/>
                <w:tab w:val="left" w:leader="dot" w:pos="9356"/>
              </w:tabs>
              <w:spacing w:after="120" w:line="240" w:lineRule="auto"/>
              <w:ind w:left="596"/>
              <w:rPr>
                <w:rFonts w:ascii="Arial" w:eastAsia="SimSun" w:hAnsi="Arial" w:cs="Arial"/>
                <w:sz w:val="24"/>
                <w:szCs w:val="24"/>
                <w:lang w:val="ro-RO"/>
              </w:rPr>
            </w:pPr>
            <w:r w:rsidRPr="00A93324">
              <w:rPr>
                <w:rFonts w:ascii="Arial" w:eastAsia="SimSun" w:hAnsi="Arial" w:cs="Arial"/>
                <w:b/>
                <w:bCs/>
                <w:sz w:val="24"/>
                <w:szCs w:val="24"/>
                <w:lang w:val="ro-RO"/>
              </w:rPr>
              <w:t xml:space="preserve">TOTAL </w:t>
            </w:r>
          </w:p>
        </w:tc>
        <w:tc>
          <w:tcPr>
            <w:tcW w:w="1151" w:type="dxa"/>
            <w:vAlign w:val="center"/>
          </w:tcPr>
          <w:p w:rsidR="00A93324" w:rsidRPr="00A93324" w:rsidRDefault="00A93324" w:rsidP="00A93324">
            <w:pPr>
              <w:spacing w:after="0" w:line="240" w:lineRule="auto"/>
              <w:jc w:val="center"/>
              <w:rPr>
                <w:rFonts w:ascii="Arial" w:eastAsia="Times New Roman" w:hAnsi="Arial" w:cs="Arial"/>
                <w:b/>
                <w:sz w:val="24"/>
                <w:szCs w:val="24"/>
                <w:lang w:val="ro-RO"/>
              </w:rPr>
            </w:pPr>
            <w:r w:rsidRPr="00A93324">
              <w:rPr>
                <w:rFonts w:ascii="Arial" w:eastAsia="Times New Roman" w:hAnsi="Arial" w:cs="Arial"/>
                <w:b/>
                <w:sz w:val="24"/>
                <w:szCs w:val="24"/>
                <w:lang w:val="ro-RO"/>
              </w:rPr>
              <w:t>610255</w:t>
            </w:r>
          </w:p>
        </w:tc>
        <w:tc>
          <w:tcPr>
            <w:tcW w:w="1462"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610255</w:t>
            </w:r>
          </w:p>
        </w:tc>
        <w:tc>
          <w:tcPr>
            <w:tcW w:w="1405"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610255</w:t>
            </w:r>
          </w:p>
        </w:tc>
        <w:tc>
          <w:tcPr>
            <w:tcW w:w="1449" w:type="dxa"/>
            <w:shd w:val="clear" w:color="auto" w:fill="auto"/>
            <w:vAlign w:val="center"/>
          </w:tcPr>
          <w:p w:rsidR="00A93324" w:rsidRPr="00A93324" w:rsidRDefault="00A93324" w:rsidP="00A93324">
            <w:pPr>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610255</w:t>
            </w:r>
          </w:p>
        </w:tc>
      </w:tr>
    </w:tbl>
    <w:p w:rsidR="00A93324" w:rsidRPr="00A93324" w:rsidRDefault="00A93324" w:rsidP="00A93324">
      <w:pPr>
        <w:tabs>
          <w:tab w:val="left" w:pos="1276"/>
          <w:tab w:val="left" w:leader="dot" w:pos="9356"/>
        </w:tabs>
        <w:spacing w:after="120" w:line="240" w:lineRule="auto"/>
        <w:ind w:left="595"/>
        <w:jc w:val="right"/>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Direc</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ia Jude</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rPr>
          <w:rFonts w:ascii="Arial" w:eastAsia="SimSun" w:hAnsi="Arial" w:cs="Arial"/>
          <w:b/>
          <w:bCs/>
          <w:sz w:val="24"/>
          <w:szCs w:val="24"/>
          <w:lang w:val="ro-RO"/>
        </w:rPr>
      </w:pPr>
      <w:r w:rsidRPr="00A93324">
        <w:rPr>
          <w:rFonts w:ascii="Arial" w:eastAsia="SimSun" w:hAnsi="Arial" w:cs="Arial"/>
          <w:b/>
          <w:iCs/>
          <w:sz w:val="24"/>
          <w:szCs w:val="24"/>
          <w:lang w:val="ro-RO"/>
        </w:rPr>
        <w:t>Figura IV.1.1. -3</w:t>
      </w:r>
      <w:r w:rsidRPr="00A93324">
        <w:rPr>
          <w:rFonts w:ascii="Arial" w:eastAsia="SimSun" w:hAnsi="Arial" w:cs="Arial"/>
          <w:i/>
          <w:iCs/>
          <w:sz w:val="24"/>
          <w:szCs w:val="24"/>
          <w:lang w:val="ro-RO"/>
        </w:rPr>
        <w:t xml:space="preserve"> </w:t>
      </w:r>
      <w:r w:rsidRPr="00A93324">
        <w:rPr>
          <w:rFonts w:ascii="Arial" w:eastAsia="SimSun" w:hAnsi="Arial" w:cs="Arial"/>
          <w:b/>
          <w:bCs/>
          <w:sz w:val="24"/>
          <w:szCs w:val="24"/>
          <w:lang w:val="ro-RO"/>
        </w:rPr>
        <w:t xml:space="preserve">Repartiţia terenurilor pe categorii de acoperire/utilizare, în perioada 2010 – 2013 </w:t>
      </w:r>
    </w:p>
    <w:p w:rsidR="00A93324" w:rsidRPr="00A93324" w:rsidRDefault="00A93324" w:rsidP="00A93324">
      <w:pPr>
        <w:tabs>
          <w:tab w:val="left" w:pos="1276"/>
          <w:tab w:val="left" w:leader="dot" w:pos="9356"/>
        </w:tabs>
        <w:spacing w:after="120" w:line="240" w:lineRule="auto"/>
        <w:ind w:right="97"/>
        <w:jc w:val="right"/>
        <w:rPr>
          <w:rFonts w:ascii="Arial" w:eastAsia="SimSun" w:hAnsi="Arial" w:cs="Arial"/>
          <w:sz w:val="24"/>
          <w:szCs w:val="24"/>
          <w:lang w:val="ro-RO"/>
        </w:rPr>
      </w:pPr>
      <w:r>
        <w:rPr>
          <w:rFonts w:ascii="Arial" w:eastAsia="SimSun" w:hAnsi="Arial" w:cs="Arial"/>
          <w:b/>
          <w:noProof/>
          <w:sz w:val="24"/>
          <w:szCs w:val="24"/>
          <w:lang w:val="ro-RO" w:eastAsia="ro-RO"/>
        </w:rPr>
        <w:drawing>
          <wp:inline distT="0" distB="0" distL="0" distR="0">
            <wp:extent cx="6115050" cy="3314700"/>
            <wp:effectExtent l="0" t="0" r="0" b="0"/>
            <wp:docPr id="165" name="Object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A93324">
        <w:rPr>
          <w:rFonts w:ascii="Arial" w:eastAsia="SimSun" w:hAnsi="Arial" w:cs="Arial"/>
          <w:i/>
          <w:iCs/>
          <w:sz w:val="24"/>
          <w:szCs w:val="24"/>
          <w:lang w:val="ro-RO"/>
        </w:rPr>
        <w:t>Sursa: Direc</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ia Jude</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lastRenderedPageBreak/>
        <w:t>După cum se poate uşor observa ponderea cea mai mare după categoria  de folosinţă o deţin terenurile arabile (42,49%) urmate de terenurile acoperite de p</w:t>
      </w:r>
      <w:r w:rsidRPr="00A93324">
        <w:rPr>
          <w:rFonts w:ascii="Arial" w:eastAsia="SimSun" w:hAnsi="Arial" w:cs="Arial"/>
          <w:iCs/>
          <w:sz w:val="24"/>
          <w:szCs w:val="24"/>
          <w:lang w:val="ro-RO"/>
        </w:rPr>
        <w:t>ăduri şi altă vegetaţie forestieră (26,64%).</w:t>
      </w:r>
    </w:p>
    <w:p w:rsidR="00A93324" w:rsidRPr="00A93324" w:rsidRDefault="00A93324" w:rsidP="00A93324">
      <w:pPr>
        <w:tabs>
          <w:tab w:val="left" w:pos="1276"/>
          <w:tab w:val="left" w:leader="dot" w:pos="9356"/>
        </w:tabs>
        <w:spacing w:after="120" w:line="240" w:lineRule="auto"/>
        <w:ind w:left="596"/>
        <w:rPr>
          <w:rFonts w:ascii="Arial" w:eastAsia="SimSun" w:hAnsi="Arial" w:cs="Arial"/>
          <w:b/>
          <w:i/>
          <w:sz w:val="24"/>
          <w:szCs w:val="24"/>
          <w:lang w:val="ro-RO"/>
        </w:rPr>
      </w:pPr>
      <w:r w:rsidRPr="00A93324">
        <w:rPr>
          <w:rFonts w:ascii="Arial" w:eastAsia="SimSun" w:hAnsi="Arial" w:cs="Arial"/>
          <w:b/>
          <w:i/>
          <w:sz w:val="24"/>
          <w:szCs w:val="24"/>
          <w:lang w:val="ro-RO"/>
        </w:rPr>
        <w:t xml:space="preserve">IV.1.2  Tendinţe privind schimbarea destinaţiei utilizării terenurilor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Deoarece Direcţia Judeţeană pentru Statistică Buzău ne-a furnizat datele privind repartiţia terenurilor pe categorii de folosinţă până la nivelul anului 2013 inclusiv, toate calculele efectuate în scopul determinării schimbării în utilizarea terenurilor au fost efectuate între anii 2010 şi 2013, după cum se poate observa din tabelul IV.1.2.-1 de mai jos :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sz w:val="24"/>
          <w:szCs w:val="24"/>
          <w:lang w:val="ro-RO"/>
        </w:rPr>
        <w:t xml:space="preserve">Tabel IV.1.2.-1 </w:t>
      </w:r>
      <w:r w:rsidRPr="00A93324">
        <w:rPr>
          <w:rFonts w:ascii="Arial" w:eastAsia="SimSun" w:hAnsi="Arial" w:cs="Arial"/>
          <w:b/>
          <w:bCs/>
          <w:sz w:val="24"/>
          <w:szCs w:val="24"/>
          <w:lang w:val="ro-RO"/>
        </w:rPr>
        <w:t>Schimbări în acoperirea/utilizarea terenurilor în judeţul Buzău, în perioada 2010 - 2013</w:t>
      </w:r>
    </w:p>
    <w:tbl>
      <w:tblPr>
        <w:tblW w:w="9639"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478"/>
        <w:gridCol w:w="1151"/>
        <w:gridCol w:w="1151"/>
        <w:gridCol w:w="1151"/>
        <w:gridCol w:w="1151"/>
        <w:gridCol w:w="1714"/>
        <w:gridCol w:w="1843"/>
      </w:tblGrid>
      <w:tr w:rsidR="00A93324" w:rsidRPr="00A93324" w:rsidTr="00A42550">
        <w:trPr>
          <w:trHeight w:val="65"/>
        </w:trPr>
        <w:tc>
          <w:tcPr>
            <w:tcW w:w="1478" w:type="dxa"/>
            <w:vMerge w:val="restart"/>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b/>
                <w:bCs/>
                <w:color w:val="000000"/>
                <w:lang w:val="ro-RO" w:eastAsia="ro-RO"/>
              </w:rPr>
              <w:t>Categoria de acoperire</w:t>
            </w:r>
          </w:p>
          <w:p w:rsidR="00A93324" w:rsidRPr="00A93324" w:rsidRDefault="00A93324" w:rsidP="00A93324">
            <w:pPr>
              <w:autoSpaceDE w:val="0"/>
              <w:autoSpaceDN w:val="0"/>
              <w:adjustRightInd w:val="0"/>
              <w:spacing w:after="0" w:line="240" w:lineRule="auto"/>
              <w:jc w:val="center"/>
              <w:rPr>
                <w:rFonts w:ascii="Arial" w:eastAsia="Times New Roman" w:hAnsi="Arial" w:cs="Arial"/>
                <w:b/>
                <w:bCs/>
                <w:color w:val="000000"/>
                <w:lang w:val="ro-RO" w:eastAsia="ro-RO"/>
              </w:rPr>
            </w:pPr>
          </w:p>
        </w:tc>
        <w:tc>
          <w:tcPr>
            <w:tcW w:w="4604" w:type="dxa"/>
            <w:gridSpan w:val="4"/>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Suprafaţa (ha)</w:t>
            </w:r>
          </w:p>
        </w:tc>
        <w:tc>
          <w:tcPr>
            <w:tcW w:w="1714" w:type="dxa"/>
            <w:vMerge w:val="restart"/>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b/>
                <w:bCs/>
                <w:color w:val="000000"/>
                <w:lang w:val="ro-RO" w:eastAsia="ro-RO"/>
              </w:rPr>
              <w:t>Schimbări în acoperirea/utilizarea terenurilor,</w:t>
            </w:r>
          </w:p>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b/>
                <w:bCs/>
                <w:color w:val="000000"/>
                <w:lang w:val="ro-RO" w:eastAsia="ro-RO"/>
              </w:rPr>
              <w:t xml:space="preserve">2010-2013 - </w:t>
            </w:r>
            <w:r w:rsidRPr="00A93324">
              <w:rPr>
                <w:rFonts w:ascii="Arial" w:eastAsia="Times New Roman" w:hAnsi="Arial" w:cs="Arial"/>
                <w:b/>
                <w:bCs/>
                <w:i/>
                <w:iCs/>
                <w:color w:val="000000"/>
                <w:lang w:val="ro-RO" w:eastAsia="ro-RO"/>
              </w:rPr>
              <w:t>(ha)</w:t>
            </w:r>
          </w:p>
        </w:tc>
        <w:tc>
          <w:tcPr>
            <w:tcW w:w="1843" w:type="dxa"/>
            <w:vMerge w:val="restart"/>
            <w:vAlign w:val="bottom"/>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b/>
                <w:bCs/>
                <w:color w:val="000000"/>
                <w:lang w:val="ro-RO" w:eastAsia="ro-RO"/>
              </w:rPr>
              <w:t>Schimbări în acoperirea/ utilizarea terenurilor</w:t>
            </w:r>
          </w:p>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b/>
                <w:bCs/>
                <w:color w:val="000000"/>
                <w:lang w:val="ro-RO" w:eastAsia="ro-RO"/>
              </w:rPr>
              <w:t>(% din anul 2010)</w:t>
            </w:r>
          </w:p>
        </w:tc>
      </w:tr>
      <w:tr w:rsidR="00A93324" w:rsidRPr="00A93324" w:rsidTr="00A42550">
        <w:trPr>
          <w:trHeight w:val="65"/>
        </w:trPr>
        <w:tc>
          <w:tcPr>
            <w:tcW w:w="1478" w:type="dxa"/>
            <w:vMerge/>
          </w:tcPr>
          <w:p w:rsidR="00A93324" w:rsidRPr="00A93324" w:rsidRDefault="00A93324" w:rsidP="00A93324">
            <w:pPr>
              <w:autoSpaceDE w:val="0"/>
              <w:autoSpaceDN w:val="0"/>
              <w:adjustRightInd w:val="0"/>
              <w:spacing w:after="0" w:line="240" w:lineRule="auto"/>
              <w:rPr>
                <w:rFonts w:ascii="Arial" w:eastAsia="Times New Roman" w:hAnsi="Arial" w:cs="Arial"/>
                <w:color w:val="000000"/>
                <w:lang w:val="ro-RO" w:eastAsia="ro-RO"/>
              </w:rPr>
            </w:pP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2010</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2011</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2012</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2013</w:t>
            </w:r>
          </w:p>
        </w:tc>
        <w:tc>
          <w:tcPr>
            <w:tcW w:w="1714" w:type="dxa"/>
            <w:vMerge/>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p>
        </w:tc>
        <w:tc>
          <w:tcPr>
            <w:tcW w:w="1843" w:type="dxa"/>
            <w:vMerge/>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p>
        </w:tc>
      </w:tr>
      <w:tr w:rsidR="00A93324" w:rsidRPr="00A93324" w:rsidTr="00A42550">
        <w:trPr>
          <w:trHeight w:val="304"/>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 xml:space="preserve">Total </w:t>
            </w:r>
          </w:p>
        </w:tc>
        <w:tc>
          <w:tcPr>
            <w:tcW w:w="1151" w:type="dxa"/>
            <w:vAlign w:val="center"/>
          </w:tcPr>
          <w:p w:rsidR="00A93324" w:rsidRPr="00A93324" w:rsidRDefault="00A93324" w:rsidP="00A93324">
            <w:pPr>
              <w:spacing w:after="0" w:line="240" w:lineRule="auto"/>
              <w:rPr>
                <w:rFonts w:ascii="Arial" w:eastAsia="Times New Roman" w:hAnsi="Arial" w:cs="Arial"/>
                <w:b/>
                <w:lang w:val="ro-RO"/>
              </w:rPr>
            </w:pPr>
            <w:r w:rsidRPr="00A93324">
              <w:rPr>
                <w:rFonts w:ascii="Arial" w:eastAsia="Times New Roman" w:hAnsi="Arial" w:cs="Arial"/>
                <w:b/>
                <w:lang w:val="ro-RO"/>
              </w:rPr>
              <w:t>610255</w:t>
            </w:r>
          </w:p>
        </w:tc>
        <w:tc>
          <w:tcPr>
            <w:tcW w:w="1151"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610255</w:t>
            </w:r>
          </w:p>
        </w:tc>
        <w:tc>
          <w:tcPr>
            <w:tcW w:w="1151"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610255</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610255</w:t>
            </w:r>
          </w:p>
        </w:tc>
        <w:tc>
          <w:tcPr>
            <w:tcW w:w="1714"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color w:val="000000"/>
                <w:lang w:val="ro-RO" w:eastAsia="ro-RO"/>
              </w:rPr>
              <w:t>-</w:t>
            </w:r>
          </w:p>
        </w:tc>
        <w:tc>
          <w:tcPr>
            <w:tcW w:w="1843"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p>
        </w:tc>
      </w:tr>
      <w:tr w:rsidR="00A93324" w:rsidRPr="00A93324" w:rsidTr="00A42550">
        <w:trPr>
          <w:trHeight w:val="521"/>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Terenuri agricole , din care:</w:t>
            </w:r>
          </w:p>
        </w:tc>
        <w:tc>
          <w:tcPr>
            <w:tcW w:w="1151" w:type="dxa"/>
            <w:vAlign w:val="center"/>
          </w:tcPr>
          <w:p w:rsidR="00A93324" w:rsidRPr="00A93324" w:rsidRDefault="00A93324" w:rsidP="00A93324">
            <w:pPr>
              <w:spacing w:after="0" w:line="240" w:lineRule="auto"/>
              <w:jc w:val="center"/>
              <w:rPr>
                <w:rFonts w:ascii="Arial" w:eastAsia="Times New Roman" w:hAnsi="Arial" w:cs="Arial"/>
                <w:b/>
                <w:i/>
                <w:lang w:val="ro-RO"/>
              </w:rPr>
            </w:pPr>
            <w:r w:rsidRPr="00A93324">
              <w:rPr>
                <w:rFonts w:ascii="Arial" w:eastAsia="Times New Roman" w:hAnsi="Arial" w:cs="Arial"/>
                <w:b/>
                <w:i/>
                <w:lang w:val="ro-RO"/>
              </w:rPr>
              <w:t>401854</w:t>
            </w:r>
          </w:p>
        </w:tc>
        <w:tc>
          <w:tcPr>
            <w:tcW w:w="1151" w:type="dxa"/>
            <w:vAlign w:val="center"/>
          </w:tcPr>
          <w:p w:rsidR="00A93324" w:rsidRPr="00A93324" w:rsidRDefault="00A93324" w:rsidP="00A93324">
            <w:pPr>
              <w:spacing w:after="0" w:line="240" w:lineRule="auto"/>
              <w:jc w:val="center"/>
              <w:rPr>
                <w:rFonts w:ascii="Arial" w:eastAsia="SimSun" w:hAnsi="Arial" w:cs="Arial"/>
                <w:b/>
                <w:i/>
                <w:lang w:val="ro-RO"/>
              </w:rPr>
            </w:pPr>
            <w:r w:rsidRPr="00A93324">
              <w:rPr>
                <w:rFonts w:ascii="Arial" w:eastAsia="SimSun" w:hAnsi="Arial" w:cs="Arial"/>
                <w:b/>
                <w:i/>
                <w:lang w:val="ro-RO"/>
              </w:rPr>
              <w:t>401895</w:t>
            </w:r>
          </w:p>
        </w:tc>
        <w:tc>
          <w:tcPr>
            <w:tcW w:w="1151" w:type="dxa"/>
            <w:vAlign w:val="center"/>
          </w:tcPr>
          <w:p w:rsidR="00A93324" w:rsidRPr="00A93324" w:rsidRDefault="00A93324" w:rsidP="00A93324">
            <w:pPr>
              <w:spacing w:after="0" w:line="240" w:lineRule="auto"/>
              <w:jc w:val="center"/>
              <w:rPr>
                <w:rFonts w:ascii="Arial" w:eastAsia="SimSun" w:hAnsi="Arial" w:cs="Arial"/>
                <w:b/>
                <w:i/>
                <w:lang w:val="ro-RO"/>
              </w:rPr>
            </w:pPr>
            <w:r w:rsidRPr="00A93324">
              <w:rPr>
                <w:rFonts w:ascii="Arial" w:eastAsia="SimSun" w:hAnsi="Arial" w:cs="Arial"/>
                <w:b/>
                <w:i/>
                <w:lang w:val="ro-RO"/>
              </w:rPr>
              <w:t>402012</w:t>
            </w:r>
          </w:p>
        </w:tc>
        <w:tc>
          <w:tcPr>
            <w:tcW w:w="1151" w:type="dxa"/>
            <w:vAlign w:val="center"/>
          </w:tcPr>
          <w:p w:rsidR="00A93324" w:rsidRPr="00A93324" w:rsidRDefault="00A93324" w:rsidP="00A93324">
            <w:pPr>
              <w:spacing w:after="0" w:line="240" w:lineRule="auto"/>
              <w:jc w:val="right"/>
              <w:rPr>
                <w:rFonts w:ascii="Arial" w:eastAsia="Times New Roman" w:hAnsi="Arial" w:cs="Arial"/>
                <w:b/>
                <w:i/>
                <w:color w:val="FF0000"/>
                <w:lang w:val="ro-RO"/>
              </w:rPr>
            </w:pPr>
            <w:r w:rsidRPr="00A93324">
              <w:rPr>
                <w:rFonts w:ascii="Arial" w:eastAsia="SimSun" w:hAnsi="Arial" w:cs="Arial"/>
                <w:b/>
                <w:i/>
                <w:lang w:val="ro-RO"/>
              </w:rPr>
              <w:t>402851</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997</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0,25 %</w:t>
            </w:r>
          </w:p>
        </w:tc>
      </w:tr>
      <w:tr w:rsidR="00A93324" w:rsidRPr="00A93324" w:rsidTr="00A42550">
        <w:trPr>
          <w:trHeight w:val="543"/>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iCs/>
                <w:color w:val="000000"/>
                <w:lang w:val="ro-RO" w:eastAsia="ro-RO"/>
              </w:rPr>
              <w:t xml:space="preserve">Teren arabil </w:t>
            </w:r>
          </w:p>
        </w:tc>
        <w:tc>
          <w:tcPr>
            <w:tcW w:w="1151" w:type="dxa"/>
            <w:vAlign w:val="center"/>
          </w:tcPr>
          <w:p w:rsidR="00A93324" w:rsidRPr="00A93324" w:rsidRDefault="00A93324" w:rsidP="00A93324">
            <w:pPr>
              <w:spacing w:after="0" w:line="240" w:lineRule="auto"/>
              <w:jc w:val="center"/>
              <w:rPr>
                <w:rFonts w:ascii="Arial" w:eastAsia="Times New Roman" w:hAnsi="Arial" w:cs="Arial"/>
                <w:lang w:val="ro-RO"/>
              </w:rPr>
            </w:pPr>
            <w:r w:rsidRPr="00A93324">
              <w:rPr>
                <w:rFonts w:ascii="Arial" w:eastAsia="Times New Roman" w:hAnsi="Arial" w:cs="Arial"/>
                <w:lang w:val="ro-RO"/>
              </w:rPr>
              <w:t>258641</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258911</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258671</w:t>
            </w:r>
          </w:p>
        </w:tc>
        <w:tc>
          <w:tcPr>
            <w:tcW w:w="1151" w:type="dxa"/>
            <w:vAlign w:val="center"/>
          </w:tcPr>
          <w:p w:rsidR="00A93324" w:rsidRPr="00A93324" w:rsidRDefault="00A93324" w:rsidP="00A93324">
            <w:pPr>
              <w:spacing w:after="0" w:line="240" w:lineRule="auto"/>
              <w:jc w:val="right"/>
              <w:rPr>
                <w:rFonts w:ascii="Arial" w:eastAsia="Times New Roman" w:hAnsi="Arial" w:cs="Arial"/>
                <w:color w:val="FF0000"/>
                <w:lang w:val="ro-RO"/>
              </w:rPr>
            </w:pPr>
            <w:r w:rsidRPr="00A93324">
              <w:rPr>
                <w:rFonts w:ascii="Arial" w:eastAsia="SimSun" w:hAnsi="Arial" w:cs="Arial"/>
                <w:lang w:val="ro-RO"/>
              </w:rPr>
              <w:t>259280</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639</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0,25 %</w:t>
            </w:r>
          </w:p>
        </w:tc>
      </w:tr>
      <w:tr w:rsidR="00A93324" w:rsidRPr="00A93324" w:rsidTr="00A42550">
        <w:trPr>
          <w:trHeight w:val="344"/>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iCs/>
                <w:color w:val="000000"/>
                <w:lang w:val="ro-RO" w:eastAsia="ro-RO"/>
              </w:rPr>
              <w:t xml:space="preserve">Păşuni </w:t>
            </w:r>
          </w:p>
        </w:tc>
        <w:tc>
          <w:tcPr>
            <w:tcW w:w="1151" w:type="dxa"/>
            <w:vAlign w:val="center"/>
          </w:tcPr>
          <w:p w:rsidR="00A93324" w:rsidRPr="00A93324" w:rsidRDefault="00A93324" w:rsidP="00A93324">
            <w:pPr>
              <w:spacing w:after="0" w:line="240" w:lineRule="auto"/>
              <w:jc w:val="center"/>
              <w:rPr>
                <w:rFonts w:ascii="Arial" w:eastAsia="Times New Roman" w:hAnsi="Arial" w:cs="Arial"/>
                <w:lang w:val="ro-RO"/>
              </w:rPr>
            </w:pPr>
            <w:r w:rsidRPr="00A93324">
              <w:rPr>
                <w:rFonts w:ascii="Arial" w:eastAsia="Times New Roman" w:hAnsi="Arial" w:cs="Arial"/>
                <w:lang w:val="ro-RO"/>
              </w:rPr>
              <w:t>89044</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89050</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89050</w:t>
            </w:r>
          </w:p>
        </w:tc>
        <w:tc>
          <w:tcPr>
            <w:tcW w:w="1151" w:type="dxa"/>
            <w:vAlign w:val="center"/>
          </w:tcPr>
          <w:p w:rsidR="00A93324" w:rsidRPr="00A93324" w:rsidRDefault="00A93324" w:rsidP="00A93324">
            <w:pPr>
              <w:spacing w:after="0" w:line="240" w:lineRule="auto"/>
              <w:jc w:val="right"/>
              <w:rPr>
                <w:rFonts w:ascii="Arial" w:eastAsia="Times New Roman" w:hAnsi="Arial" w:cs="Arial"/>
                <w:color w:val="FF0000"/>
                <w:lang w:val="ro-RO"/>
              </w:rPr>
            </w:pPr>
            <w:r w:rsidRPr="00A93324">
              <w:rPr>
                <w:rFonts w:ascii="Arial" w:eastAsia="SimSun" w:hAnsi="Arial" w:cs="Arial"/>
                <w:lang w:val="ro-RO"/>
              </w:rPr>
              <w:t>89525</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481</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0,54 %</w:t>
            </w:r>
          </w:p>
        </w:tc>
      </w:tr>
      <w:tr w:rsidR="00A93324" w:rsidRPr="00A93324" w:rsidTr="00A42550">
        <w:trPr>
          <w:trHeight w:val="340"/>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iCs/>
                <w:color w:val="000000"/>
                <w:lang w:val="ro-RO" w:eastAsia="ro-RO"/>
              </w:rPr>
              <w:t>Fâne</w:t>
            </w:r>
            <w:r w:rsidRPr="00A93324">
              <w:rPr>
                <w:rFonts w:ascii="Arial" w:eastAsia="Times New Roman" w:hAnsi="Arial" w:cs="Arial"/>
                <w:b/>
                <w:color w:val="000000"/>
                <w:lang w:val="ro-RO" w:eastAsia="ro-RO"/>
              </w:rPr>
              <w:t>ţ</w:t>
            </w:r>
            <w:r w:rsidRPr="00A93324">
              <w:rPr>
                <w:rFonts w:ascii="Arial" w:eastAsia="Times New Roman" w:hAnsi="Arial" w:cs="Arial"/>
                <w:b/>
                <w:iCs/>
                <w:color w:val="000000"/>
                <w:lang w:val="ro-RO" w:eastAsia="ro-RO"/>
              </w:rPr>
              <w:t xml:space="preserve">e </w:t>
            </w:r>
          </w:p>
        </w:tc>
        <w:tc>
          <w:tcPr>
            <w:tcW w:w="1151" w:type="dxa"/>
            <w:vAlign w:val="center"/>
          </w:tcPr>
          <w:p w:rsidR="00A93324" w:rsidRPr="00A93324" w:rsidRDefault="00A93324" w:rsidP="00A93324">
            <w:pPr>
              <w:spacing w:after="0" w:line="240" w:lineRule="auto"/>
              <w:jc w:val="center"/>
              <w:rPr>
                <w:rFonts w:ascii="Arial" w:eastAsia="Times New Roman" w:hAnsi="Arial" w:cs="Arial"/>
                <w:lang w:val="ro-RO"/>
              </w:rPr>
            </w:pPr>
            <w:r w:rsidRPr="00A93324">
              <w:rPr>
                <w:rFonts w:ascii="Arial" w:eastAsia="Times New Roman" w:hAnsi="Arial" w:cs="Arial"/>
                <w:lang w:val="ro-RO"/>
              </w:rPr>
              <w:t>28913</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28924</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28746</w:t>
            </w:r>
          </w:p>
        </w:tc>
        <w:tc>
          <w:tcPr>
            <w:tcW w:w="1151" w:type="dxa"/>
            <w:vAlign w:val="center"/>
          </w:tcPr>
          <w:p w:rsidR="00A93324" w:rsidRPr="00A93324" w:rsidRDefault="00A93324" w:rsidP="00A93324">
            <w:pPr>
              <w:spacing w:after="0" w:line="240" w:lineRule="auto"/>
              <w:jc w:val="right"/>
              <w:rPr>
                <w:rFonts w:ascii="Arial" w:eastAsia="Times New Roman" w:hAnsi="Arial" w:cs="Arial"/>
                <w:color w:val="FF0000"/>
                <w:lang w:val="ro-RO"/>
              </w:rPr>
            </w:pPr>
            <w:r w:rsidRPr="00A93324">
              <w:rPr>
                <w:rFonts w:ascii="Arial" w:eastAsia="SimSun" w:hAnsi="Arial" w:cs="Arial"/>
                <w:lang w:val="ro-RO"/>
              </w:rPr>
              <w:t>29191</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278</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0,96 %</w:t>
            </w:r>
          </w:p>
        </w:tc>
      </w:tr>
      <w:tr w:rsidR="00A93324" w:rsidRPr="00A93324" w:rsidTr="00A42550">
        <w:trPr>
          <w:trHeight w:val="149"/>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iCs/>
                <w:color w:val="000000"/>
                <w:lang w:val="ro-RO" w:eastAsia="ro-RO"/>
              </w:rPr>
              <w:t xml:space="preserve">Vii şi pepiniere viticole </w:t>
            </w:r>
          </w:p>
        </w:tc>
        <w:tc>
          <w:tcPr>
            <w:tcW w:w="1151" w:type="dxa"/>
            <w:vAlign w:val="center"/>
          </w:tcPr>
          <w:p w:rsidR="00A93324" w:rsidRPr="00A93324" w:rsidRDefault="00A93324" w:rsidP="00A93324">
            <w:pPr>
              <w:spacing w:after="0" w:line="240" w:lineRule="auto"/>
              <w:jc w:val="center"/>
              <w:rPr>
                <w:rFonts w:ascii="Arial" w:eastAsia="Times New Roman" w:hAnsi="Arial" w:cs="Arial"/>
                <w:lang w:val="ro-RO"/>
              </w:rPr>
            </w:pPr>
            <w:r w:rsidRPr="00A93324">
              <w:rPr>
                <w:rFonts w:ascii="Arial" w:eastAsia="Times New Roman" w:hAnsi="Arial" w:cs="Arial"/>
                <w:lang w:val="ro-RO"/>
              </w:rPr>
              <w:t>14536</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14684</w:t>
            </w:r>
          </w:p>
        </w:tc>
        <w:tc>
          <w:tcPr>
            <w:tcW w:w="1151"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14670</w:t>
            </w:r>
          </w:p>
        </w:tc>
        <w:tc>
          <w:tcPr>
            <w:tcW w:w="1151" w:type="dxa"/>
            <w:vAlign w:val="center"/>
          </w:tcPr>
          <w:p w:rsidR="00A93324" w:rsidRPr="00A93324" w:rsidRDefault="00A93324" w:rsidP="00A93324">
            <w:pPr>
              <w:spacing w:after="0" w:line="240" w:lineRule="auto"/>
              <w:jc w:val="right"/>
              <w:rPr>
                <w:rFonts w:ascii="Arial" w:eastAsia="Times New Roman" w:hAnsi="Arial" w:cs="Arial"/>
                <w:color w:val="FF0000"/>
                <w:lang w:val="ro-RO"/>
              </w:rPr>
            </w:pPr>
            <w:r w:rsidRPr="00A93324">
              <w:rPr>
                <w:rFonts w:ascii="Arial" w:eastAsia="SimSun" w:hAnsi="Arial" w:cs="Arial"/>
                <w:lang w:val="ro-RO"/>
              </w:rPr>
              <w:t>14490</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-46</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-0,32 %</w:t>
            </w:r>
          </w:p>
        </w:tc>
      </w:tr>
      <w:tr w:rsidR="00A93324" w:rsidRPr="00A93324" w:rsidTr="00A42550">
        <w:trPr>
          <w:trHeight w:val="229"/>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iCs/>
                <w:color w:val="000000"/>
                <w:lang w:val="ro-RO" w:eastAsia="ro-RO"/>
              </w:rPr>
              <w:t xml:space="preserve">Livezi şi pepiniere pomicole </w:t>
            </w:r>
          </w:p>
        </w:tc>
        <w:tc>
          <w:tcPr>
            <w:tcW w:w="1151" w:type="dxa"/>
            <w:vAlign w:val="center"/>
          </w:tcPr>
          <w:p w:rsidR="00A93324" w:rsidRPr="00A93324" w:rsidRDefault="00A93324" w:rsidP="00A93324">
            <w:pPr>
              <w:spacing w:after="0" w:line="240" w:lineRule="auto"/>
              <w:jc w:val="center"/>
              <w:rPr>
                <w:rFonts w:ascii="Arial" w:eastAsia="Times New Roman" w:hAnsi="Arial" w:cs="Arial"/>
                <w:lang w:val="ro-RO"/>
              </w:rPr>
            </w:pPr>
            <w:r w:rsidRPr="00A93324">
              <w:rPr>
                <w:rFonts w:ascii="Arial" w:eastAsia="Times New Roman" w:hAnsi="Arial" w:cs="Arial"/>
                <w:lang w:val="ro-RO"/>
              </w:rPr>
              <w:t>10720</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10326</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10875</w:t>
            </w:r>
          </w:p>
        </w:tc>
        <w:tc>
          <w:tcPr>
            <w:tcW w:w="1151" w:type="dxa"/>
            <w:vAlign w:val="center"/>
          </w:tcPr>
          <w:p w:rsidR="00A93324" w:rsidRPr="00A93324" w:rsidRDefault="00A93324" w:rsidP="00A93324">
            <w:pPr>
              <w:spacing w:after="0" w:line="240" w:lineRule="auto"/>
              <w:jc w:val="right"/>
              <w:rPr>
                <w:rFonts w:ascii="Arial" w:eastAsia="Times New Roman" w:hAnsi="Arial" w:cs="Arial"/>
                <w:color w:val="FF0000"/>
                <w:lang w:val="ro-RO"/>
              </w:rPr>
            </w:pPr>
            <w:r w:rsidRPr="00A93324">
              <w:rPr>
                <w:rFonts w:ascii="Arial" w:eastAsia="SimSun" w:hAnsi="Arial" w:cs="Arial"/>
                <w:lang w:val="ro-RO"/>
              </w:rPr>
              <w:t>10365</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-355</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-3,31 %</w:t>
            </w:r>
          </w:p>
        </w:tc>
      </w:tr>
      <w:tr w:rsidR="00A93324" w:rsidRPr="00A93324" w:rsidTr="00A42550">
        <w:trPr>
          <w:trHeight w:val="65"/>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Terenuri neagricole total , din care:</w:t>
            </w:r>
          </w:p>
        </w:tc>
        <w:tc>
          <w:tcPr>
            <w:tcW w:w="1151" w:type="dxa"/>
            <w:vAlign w:val="center"/>
          </w:tcPr>
          <w:p w:rsidR="00A93324" w:rsidRPr="00A93324" w:rsidRDefault="00A93324" w:rsidP="00A93324">
            <w:pPr>
              <w:spacing w:after="0" w:line="240" w:lineRule="auto"/>
              <w:jc w:val="center"/>
              <w:rPr>
                <w:rFonts w:ascii="Arial" w:eastAsia="Times New Roman" w:hAnsi="Arial" w:cs="Arial"/>
                <w:b/>
                <w:i/>
                <w:lang w:val="ro-RO"/>
              </w:rPr>
            </w:pPr>
            <w:r w:rsidRPr="00A93324">
              <w:rPr>
                <w:rFonts w:ascii="Arial" w:eastAsia="Times New Roman" w:hAnsi="Arial" w:cs="Arial"/>
                <w:b/>
                <w:i/>
                <w:lang w:val="ro-RO"/>
              </w:rPr>
              <w:t>208401</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i/>
                <w:lang w:val="ro-RO"/>
              </w:rPr>
            </w:pPr>
            <w:r w:rsidRPr="00A93324">
              <w:rPr>
                <w:rFonts w:ascii="Arial" w:eastAsia="SimSun" w:hAnsi="Arial" w:cs="Arial"/>
                <w:b/>
                <w:i/>
                <w:lang w:val="ro-RO"/>
              </w:rPr>
              <w:t>208360</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i/>
                <w:lang w:val="ro-RO"/>
              </w:rPr>
            </w:pPr>
            <w:r w:rsidRPr="00A93324">
              <w:rPr>
                <w:rFonts w:ascii="Arial" w:eastAsia="SimSun" w:hAnsi="Arial" w:cs="Arial"/>
                <w:b/>
                <w:i/>
                <w:lang w:val="ro-RO"/>
              </w:rPr>
              <w:t>208243</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b/>
                <w:i/>
                <w:color w:val="000000"/>
                <w:lang w:val="ro-RO" w:eastAsia="ro-RO"/>
              </w:rPr>
            </w:pPr>
            <w:r w:rsidRPr="00A93324">
              <w:rPr>
                <w:rFonts w:ascii="Arial" w:eastAsia="Times New Roman" w:hAnsi="Arial" w:cs="Arial"/>
                <w:b/>
                <w:i/>
                <w:color w:val="000000"/>
                <w:lang w:val="ro-RO" w:eastAsia="ro-RO"/>
              </w:rPr>
              <w:t>207404</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-997</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-0,48 %</w:t>
            </w:r>
          </w:p>
        </w:tc>
      </w:tr>
      <w:tr w:rsidR="00A93324" w:rsidRPr="00A93324" w:rsidTr="00A42550">
        <w:trPr>
          <w:trHeight w:val="65"/>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Păduri şi altă vegetaţie forestieră</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163968</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163977</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163977</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color w:val="000000"/>
                <w:lang w:val="ro-RO" w:eastAsia="ro-RO"/>
              </w:rPr>
              <w:t>162584</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-1384</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-0,84 %</w:t>
            </w:r>
          </w:p>
        </w:tc>
      </w:tr>
      <w:tr w:rsidR="00A93324" w:rsidRPr="00A93324" w:rsidTr="00A42550">
        <w:trPr>
          <w:trHeight w:val="358"/>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 xml:space="preserve">Ape şi bălţi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11417</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11420</w:t>
            </w:r>
          </w:p>
        </w:tc>
        <w:tc>
          <w:tcPr>
            <w:tcW w:w="1151"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lang w:val="ro-RO"/>
              </w:rPr>
            </w:pPr>
            <w:r w:rsidRPr="00A93324">
              <w:rPr>
                <w:rFonts w:ascii="Arial" w:eastAsia="SimSun" w:hAnsi="Arial" w:cs="Arial"/>
                <w:lang w:val="ro-RO"/>
              </w:rPr>
              <w:t>11420</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color w:val="000000"/>
                <w:lang w:val="ro-RO" w:eastAsia="ro-RO"/>
              </w:rPr>
              <w:t>11040</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-377</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-3,30 %</w:t>
            </w:r>
          </w:p>
        </w:tc>
      </w:tr>
      <w:tr w:rsidR="00A93324" w:rsidRPr="00A93324" w:rsidTr="00A42550">
        <w:trPr>
          <w:trHeight w:val="340"/>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 xml:space="preserve">Construcţii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15909</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16221</w:t>
            </w:r>
          </w:p>
        </w:tc>
        <w:tc>
          <w:tcPr>
            <w:tcW w:w="1151"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lang w:val="ro-RO"/>
              </w:rPr>
            </w:pPr>
            <w:r w:rsidRPr="00A93324">
              <w:rPr>
                <w:rFonts w:ascii="Arial" w:eastAsia="SimSun" w:hAnsi="Arial" w:cs="Arial"/>
                <w:lang w:val="ro-RO"/>
              </w:rPr>
              <w:t>16104</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color w:val="000000"/>
                <w:lang w:val="ro-RO" w:eastAsia="ro-RO"/>
              </w:rPr>
              <w:t>16355</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446</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2,80 %</w:t>
            </w:r>
          </w:p>
        </w:tc>
      </w:tr>
      <w:tr w:rsidR="00A93324" w:rsidRPr="00A93324" w:rsidTr="00A42550">
        <w:trPr>
          <w:trHeight w:val="149"/>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 xml:space="preserve">Căi de comunicaţii şi căi ferate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8888</w:t>
            </w:r>
          </w:p>
        </w:tc>
        <w:tc>
          <w:tcPr>
            <w:tcW w:w="1151"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lang w:val="ro-RO"/>
              </w:rPr>
            </w:pPr>
            <w:r w:rsidRPr="00A93324">
              <w:rPr>
                <w:rFonts w:ascii="Arial" w:eastAsia="SimSun" w:hAnsi="Arial" w:cs="Arial"/>
                <w:lang w:val="ro-RO"/>
              </w:rPr>
              <w:t>8888</w:t>
            </w:r>
          </w:p>
        </w:tc>
        <w:tc>
          <w:tcPr>
            <w:tcW w:w="1151"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lang w:val="ro-RO"/>
              </w:rPr>
            </w:pPr>
            <w:r w:rsidRPr="00A93324">
              <w:rPr>
                <w:rFonts w:ascii="Arial" w:eastAsia="SimSun" w:hAnsi="Arial" w:cs="Arial"/>
                <w:lang w:val="ro-RO"/>
              </w:rPr>
              <w:t>8888</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color w:val="000000"/>
                <w:lang w:val="ro-RO" w:eastAsia="ro-RO"/>
              </w:rPr>
              <w:t>8832</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-56</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-0,63 %</w:t>
            </w:r>
          </w:p>
        </w:tc>
      </w:tr>
      <w:tr w:rsidR="00A93324" w:rsidRPr="00A93324" w:rsidTr="00A42550">
        <w:trPr>
          <w:trHeight w:val="149"/>
        </w:trPr>
        <w:tc>
          <w:tcPr>
            <w:tcW w:w="1478" w:type="dxa"/>
          </w:tcPr>
          <w:p w:rsidR="00A93324" w:rsidRPr="00A93324" w:rsidRDefault="00A93324" w:rsidP="00A93324">
            <w:pPr>
              <w:autoSpaceDE w:val="0"/>
              <w:autoSpaceDN w:val="0"/>
              <w:adjustRightInd w:val="0"/>
              <w:spacing w:after="0" w:line="240" w:lineRule="auto"/>
              <w:rPr>
                <w:rFonts w:ascii="Arial" w:eastAsia="Times New Roman" w:hAnsi="Arial" w:cs="Arial"/>
                <w:b/>
                <w:color w:val="000000"/>
                <w:lang w:val="ro-RO" w:eastAsia="ro-RO"/>
              </w:rPr>
            </w:pPr>
            <w:r w:rsidRPr="00A93324">
              <w:rPr>
                <w:rFonts w:ascii="Arial" w:eastAsia="Times New Roman" w:hAnsi="Arial" w:cs="Arial"/>
                <w:b/>
                <w:color w:val="000000"/>
                <w:lang w:val="ro-RO" w:eastAsia="ro-RO"/>
              </w:rPr>
              <w:t xml:space="preserve">Terenuri degradate şi neproductive </w:t>
            </w:r>
          </w:p>
        </w:tc>
        <w:tc>
          <w:tcPr>
            <w:tcW w:w="115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lang w:val="ro-RO"/>
              </w:rPr>
            </w:pPr>
            <w:r w:rsidRPr="00A93324">
              <w:rPr>
                <w:rFonts w:ascii="Arial" w:eastAsia="SimSun" w:hAnsi="Arial" w:cs="Arial"/>
                <w:lang w:val="ro-RO"/>
              </w:rPr>
              <w:t>8219</w:t>
            </w:r>
          </w:p>
        </w:tc>
        <w:tc>
          <w:tcPr>
            <w:tcW w:w="1151"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lang w:val="ro-RO"/>
              </w:rPr>
            </w:pPr>
            <w:r w:rsidRPr="00A93324">
              <w:rPr>
                <w:rFonts w:ascii="Arial" w:eastAsia="SimSun" w:hAnsi="Arial" w:cs="Arial"/>
                <w:lang w:val="ro-RO"/>
              </w:rPr>
              <w:t>7854</w:t>
            </w:r>
          </w:p>
        </w:tc>
        <w:tc>
          <w:tcPr>
            <w:tcW w:w="1151" w:type="dxa"/>
            <w:vAlign w:val="center"/>
          </w:tcPr>
          <w:p w:rsidR="00A93324" w:rsidRPr="00A93324" w:rsidRDefault="00A93324" w:rsidP="00A93324">
            <w:pPr>
              <w:tabs>
                <w:tab w:val="left" w:pos="1276"/>
                <w:tab w:val="left" w:leader="dot" w:pos="9356"/>
              </w:tabs>
              <w:spacing w:after="0" w:line="240" w:lineRule="auto"/>
              <w:rPr>
                <w:rFonts w:ascii="Arial" w:eastAsia="SimSun" w:hAnsi="Arial" w:cs="Arial"/>
                <w:lang w:val="ro-RO"/>
              </w:rPr>
            </w:pPr>
            <w:r w:rsidRPr="00A93324">
              <w:rPr>
                <w:rFonts w:ascii="Arial" w:eastAsia="SimSun" w:hAnsi="Arial" w:cs="Arial"/>
                <w:lang w:val="ro-RO"/>
              </w:rPr>
              <w:t>7854</w:t>
            </w:r>
          </w:p>
        </w:tc>
        <w:tc>
          <w:tcPr>
            <w:tcW w:w="1151" w:type="dxa"/>
            <w:vAlign w:val="center"/>
          </w:tcPr>
          <w:p w:rsidR="00A93324" w:rsidRPr="00A93324" w:rsidRDefault="00A93324" w:rsidP="00A93324">
            <w:pPr>
              <w:autoSpaceDE w:val="0"/>
              <w:autoSpaceDN w:val="0"/>
              <w:adjustRightInd w:val="0"/>
              <w:spacing w:after="0" w:line="240" w:lineRule="auto"/>
              <w:jc w:val="center"/>
              <w:rPr>
                <w:rFonts w:ascii="Arial" w:eastAsia="Times New Roman" w:hAnsi="Arial" w:cs="Arial"/>
                <w:color w:val="000000"/>
                <w:lang w:val="ro-RO" w:eastAsia="ro-RO"/>
              </w:rPr>
            </w:pPr>
            <w:r w:rsidRPr="00A93324">
              <w:rPr>
                <w:rFonts w:ascii="Arial" w:eastAsia="Times New Roman" w:hAnsi="Arial" w:cs="Arial"/>
                <w:color w:val="000000"/>
                <w:lang w:val="ro-RO" w:eastAsia="ro-RO"/>
              </w:rPr>
              <w:t>8593</w:t>
            </w:r>
          </w:p>
        </w:tc>
        <w:tc>
          <w:tcPr>
            <w:tcW w:w="1714" w:type="dxa"/>
            <w:vAlign w:val="center"/>
          </w:tcPr>
          <w:p w:rsidR="00A93324" w:rsidRPr="00A93324" w:rsidRDefault="00A93324" w:rsidP="00A93324">
            <w:pPr>
              <w:spacing w:after="0" w:line="240" w:lineRule="auto"/>
              <w:jc w:val="center"/>
              <w:rPr>
                <w:rFonts w:ascii="Arial" w:eastAsia="SimSun" w:hAnsi="Arial" w:cs="Arial"/>
                <w:b/>
                <w:lang w:val="ro-RO"/>
              </w:rPr>
            </w:pPr>
            <w:r w:rsidRPr="00A93324">
              <w:rPr>
                <w:rFonts w:ascii="Arial" w:eastAsia="SimSun" w:hAnsi="Arial" w:cs="Arial"/>
                <w:b/>
                <w:lang w:val="ro-RO"/>
              </w:rPr>
              <w:t>374</w:t>
            </w:r>
          </w:p>
        </w:tc>
        <w:tc>
          <w:tcPr>
            <w:tcW w:w="1843" w:type="dxa"/>
            <w:vAlign w:val="center"/>
          </w:tcPr>
          <w:p w:rsidR="00A93324" w:rsidRPr="00A93324" w:rsidRDefault="00A93324" w:rsidP="00A93324">
            <w:pPr>
              <w:spacing w:after="0" w:line="240" w:lineRule="auto"/>
              <w:jc w:val="center"/>
              <w:rPr>
                <w:rFonts w:ascii="Arial" w:eastAsia="SimSun" w:hAnsi="Arial" w:cs="Arial"/>
                <w:lang w:val="ro-RO"/>
              </w:rPr>
            </w:pPr>
            <w:r w:rsidRPr="00A93324">
              <w:rPr>
                <w:rFonts w:ascii="Arial" w:eastAsia="SimSun" w:hAnsi="Arial" w:cs="Arial"/>
                <w:lang w:val="ro-RO"/>
              </w:rPr>
              <w:t>4,55 %</w:t>
            </w:r>
          </w:p>
        </w:tc>
      </w:tr>
    </w:tbl>
    <w:p w:rsidR="00A93324" w:rsidRPr="00A93324" w:rsidRDefault="00A93324" w:rsidP="00A93324">
      <w:pPr>
        <w:tabs>
          <w:tab w:val="left" w:pos="1276"/>
          <w:tab w:val="left" w:leader="dot" w:pos="9356"/>
        </w:tabs>
        <w:spacing w:after="120" w:line="240" w:lineRule="auto"/>
        <w:ind w:left="596"/>
        <w:jc w:val="right"/>
        <w:rPr>
          <w:rFonts w:ascii="Arial" w:eastAsia="SimSun" w:hAnsi="Arial" w:cs="Arial"/>
          <w:i/>
          <w:iCs/>
          <w:sz w:val="24"/>
          <w:szCs w:val="24"/>
          <w:lang w:val="ro-RO"/>
        </w:rPr>
      </w:pPr>
      <w:r w:rsidRPr="00A93324">
        <w:rPr>
          <w:rFonts w:ascii="Arial" w:eastAsia="SimSun" w:hAnsi="Arial" w:cs="Arial"/>
          <w:i/>
          <w:iCs/>
          <w:sz w:val="24"/>
          <w:szCs w:val="24"/>
          <w:lang w:val="ro-RO"/>
        </w:rPr>
        <w:t>Sursa: Direc</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ia Jude</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Reprezentarea grafică a modificărilor survenite în utilizarea terenurilor, în perioada 2010-2013 se poate vizualiza în figurile de mai jos: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sz w:val="24"/>
          <w:szCs w:val="24"/>
          <w:lang w:val="ro-RO"/>
        </w:rPr>
        <w:lastRenderedPageBreak/>
        <w:t xml:space="preserve">Figura IV.1.2.-1 </w:t>
      </w:r>
      <w:r w:rsidRPr="00A93324">
        <w:rPr>
          <w:rFonts w:ascii="Arial" w:eastAsia="SimSun" w:hAnsi="Arial" w:cs="Arial"/>
          <w:b/>
          <w:bCs/>
          <w:sz w:val="24"/>
          <w:szCs w:val="24"/>
          <w:lang w:val="ro-RO"/>
        </w:rPr>
        <w:t>Schimbări în acoperirea/utilizarea terenurilor în judeţul Buzău, în perioada 2010 - 2013</w:t>
      </w:r>
    </w:p>
    <w:p w:rsidR="00A93324" w:rsidRPr="00A93324" w:rsidRDefault="00A93324" w:rsidP="00A93324">
      <w:pPr>
        <w:spacing w:after="120" w:line="240" w:lineRule="auto"/>
        <w:jc w:val="right"/>
        <w:rPr>
          <w:rFonts w:ascii="Arial" w:eastAsia="SimSun" w:hAnsi="Arial" w:cs="Arial"/>
          <w:bCs/>
          <w:i/>
          <w:iCs/>
          <w:sz w:val="24"/>
          <w:szCs w:val="24"/>
          <w:lang w:val="ro-RO"/>
        </w:rPr>
      </w:pPr>
      <w:r>
        <w:rPr>
          <w:rFonts w:ascii="Arial" w:eastAsia="SimSun" w:hAnsi="Arial" w:cs="Arial"/>
          <w:bCs/>
          <w:noProof/>
          <w:sz w:val="20"/>
          <w:szCs w:val="20"/>
          <w:lang w:val="ro-RO" w:eastAsia="ro-RO"/>
        </w:rPr>
        <w:drawing>
          <wp:inline distT="0" distB="0" distL="0" distR="0">
            <wp:extent cx="6076950" cy="2457450"/>
            <wp:effectExtent l="0" t="0" r="0" b="0"/>
            <wp:docPr id="166" name="Object 1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A93324">
        <w:rPr>
          <w:rFonts w:ascii="Arial" w:eastAsia="SimSun" w:hAnsi="Arial" w:cs="Arial"/>
          <w:b/>
          <w:bCs/>
          <w:i/>
          <w:sz w:val="20"/>
          <w:szCs w:val="20"/>
          <w:lang w:val="ro-RO"/>
        </w:rPr>
        <w:t xml:space="preserve"> </w:t>
      </w:r>
      <w:r w:rsidRPr="00A93324">
        <w:rPr>
          <w:rFonts w:ascii="Arial" w:eastAsia="SimSun" w:hAnsi="Arial" w:cs="Arial"/>
          <w:bCs/>
          <w:i/>
          <w:iCs/>
          <w:sz w:val="24"/>
          <w:szCs w:val="24"/>
          <w:lang w:val="ro-RO"/>
        </w:rPr>
        <w:t>Sursa: Direcţia Judeţeană de Statistică Buzău</w:t>
      </w:r>
    </w:p>
    <w:p w:rsidR="00A93324" w:rsidRPr="00A93324" w:rsidRDefault="00A93324" w:rsidP="00A93324">
      <w:pPr>
        <w:tabs>
          <w:tab w:val="left" w:pos="1276"/>
          <w:tab w:val="left" w:leader="dot" w:pos="9356"/>
        </w:tabs>
        <w:spacing w:after="120" w:line="240" w:lineRule="auto"/>
        <w:ind w:left="596"/>
        <w:jc w:val="right"/>
        <w:rPr>
          <w:rFonts w:ascii="Arial" w:eastAsia="SimSun" w:hAnsi="Arial" w:cs="Arial"/>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b/>
          <w:sz w:val="24"/>
          <w:szCs w:val="24"/>
          <w:lang w:val="ro-RO"/>
        </w:rPr>
        <w:t xml:space="preserve">Figura IV.1.2.-2 </w:t>
      </w:r>
      <w:r w:rsidRPr="00A93324">
        <w:rPr>
          <w:rFonts w:ascii="Arial" w:eastAsia="SimSun" w:hAnsi="Arial" w:cs="Arial"/>
          <w:b/>
          <w:bCs/>
          <w:sz w:val="24"/>
          <w:szCs w:val="24"/>
          <w:lang w:val="ro-RO"/>
        </w:rPr>
        <w:t>Schimbări în acoperirea/utilizarea terenurilor în judeţul Buzău, procent din anul 2010</w:t>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r>
        <w:rPr>
          <w:rFonts w:ascii="Arial" w:eastAsia="SimSun" w:hAnsi="Arial" w:cs="Arial"/>
          <w:b/>
          <w:noProof/>
          <w:sz w:val="24"/>
          <w:szCs w:val="24"/>
          <w:lang w:val="ro-RO" w:eastAsia="ro-RO"/>
        </w:rPr>
        <w:drawing>
          <wp:inline distT="0" distB="0" distL="0" distR="0">
            <wp:extent cx="6067425" cy="2971800"/>
            <wp:effectExtent l="0" t="0" r="0" b="0"/>
            <wp:docPr id="167" name="Object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A93324">
        <w:rPr>
          <w:rFonts w:ascii="Arial" w:eastAsia="SimSun" w:hAnsi="Arial" w:cs="Arial"/>
          <w:i/>
          <w:iCs/>
          <w:sz w:val="24"/>
          <w:szCs w:val="24"/>
          <w:lang w:val="ro-RO"/>
        </w:rPr>
        <w:t>Sursa: Direc</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ia Jude</w:t>
      </w:r>
      <w:r w:rsidRPr="00A93324">
        <w:rPr>
          <w:rFonts w:ascii="Tahoma" w:eastAsia="SimSun" w:hAnsi="Tahoma" w:cs="Tahoma"/>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După cum se observă din datele şi graficele prezentate există o uşoară tendinţă de creştere a suprafeţelor agricole prin creşterea suprafeţelor cu terenuri arabile, păşuni şi fâneţe, creştere ce acoperă pe ansamblu scăderea intervenită pentru terenurile cu vii şi livezi. Terenurile neagricole prezintă o tendinţă de scădere datorită în special scăderii suprafeţelor acoperite cu păduri şi altă vegetaţie forestieră, ape şi bălţi, tendinţă neacoperită de creşterea suprafeţelor destinate construcţiilor sau a celor acoperite de terenuri neproductive. </w:t>
      </w:r>
    </w:p>
    <w:p w:rsidR="00A93324" w:rsidRPr="00A93324" w:rsidRDefault="00A93324" w:rsidP="00A93324">
      <w:pPr>
        <w:shd w:val="clear" w:color="auto" w:fill="D9D9D9"/>
        <w:tabs>
          <w:tab w:val="left" w:pos="5220"/>
          <w:tab w:val="left" w:pos="5400"/>
          <w:tab w:val="left" w:leader="dot" w:pos="9356"/>
        </w:tabs>
        <w:spacing w:after="120" w:line="240" w:lineRule="auto"/>
        <w:ind w:left="293"/>
        <w:rPr>
          <w:rFonts w:ascii="Arial" w:eastAsia="SimSun" w:hAnsi="Arial" w:cs="Arial"/>
          <w:b/>
          <w:sz w:val="24"/>
          <w:szCs w:val="24"/>
          <w:lang w:val="ro-RO"/>
        </w:rPr>
      </w:pPr>
      <w:r w:rsidRPr="00A93324">
        <w:rPr>
          <w:rFonts w:ascii="Arial" w:eastAsia="SimSun" w:hAnsi="Arial" w:cs="Arial"/>
          <w:b/>
          <w:sz w:val="24"/>
          <w:szCs w:val="24"/>
          <w:lang w:val="ro-RO"/>
        </w:rPr>
        <w:t xml:space="preserve">IV.2 Impactul schimbării utilizării terenurilor asupra mediului    </w:t>
      </w:r>
    </w:p>
    <w:p w:rsidR="00A93324" w:rsidRPr="00A93324" w:rsidRDefault="00A93324" w:rsidP="00A93324">
      <w:pPr>
        <w:tabs>
          <w:tab w:val="left" w:pos="1276"/>
          <w:tab w:val="left" w:leader="dot" w:pos="9356"/>
        </w:tabs>
        <w:spacing w:after="120" w:line="240" w:lineRule="auto"/>
        <w:ind w:left="596"/>
        <w:rPr>
          <w:rFonts w:ascii="Arial" w:eastAsia="SimSun" w:hAnsi="Arial" w:cs="Arial"/>
          <w:b/>
          <w:i/>
          <w:sz w:val="24"/>
          <w:szCs w:val="24"/>
          <w:lang w:val="ro-RO"/>
        </w:rPr>
      </w:pPr>
      <w:r w:rsidRPr="00A93324">
        <w:rPr>
          <w:rFonts w:ascii="Arial" w:eastAsia="SimSun" w:hAnsi="Arial" w:cs="Arial"/>
          <w:b/>
          <w:i/>
          <w:sz w:val="24"/>
          <w:szCs w:val="24"/>
          <w:lang w:val="ro-RO"/>
        </w:rPr>
        <w:t>IV.2.1 Impactul schimbării utilizării terenurilor asupra terenurilor agricole</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În privinţa suprafeţelor scoase din circuitul agricol, acestea au primit alte folosinţe, în special pentru construirea reţelelor de alimentare cu apă şi canalizare, a staţiilor de epurare a apelor uzate, amplasarea de parcuri eoliene, parcuri fotovoltaice, staţii de telefonie mobilă, precum şi pentru alte construcţii. </w:t>
      </w:r>
    </w:p>
    <w:p w:rsidR="00A93324" w:rsidRPr="00A93324" w:rsidRDefault="00A93324" w:rsidP="00A93324">
      <w:pPr>
        <w:tabs>
          <w:tab w:val="left" w:pos="1276"/>
          <w:tab w:val="left" w:leader="dot" w:pos="9356"/>
        </w:tabs>
        <w:spacing w:after="120" w:line="240" w:lineRule="auto"/>
        <w:jc w:val="both"/>
        <w:rPr>
          <w:rFonts w:ascii="Arial" w:eastAsia="SimSun" w:hAnsi="Arial" w:cs="Arial"/>
          <w:b/>
          <w:i/>
          <w:iCs/>
          <w:sz w:val="24"/>
          <w:szCs w:val="24"/>
          <w:lang w:val="ro-RO"/>
        </w:rPr>
      </w:pPr>
      <w:r w:rsidRPr="00A93324">
        <w:rPr>
          <w:rFonts w:ascii="Arial" w:eastAsia="SimSun" w:hAnsi="Arial" w:cs="Arial"/>
          <w:b/>
          <w:i/>
          <w:iCs/>
          <w:sz w:val="24"/>
          <w:szCs w:val="24"/>
          <w:lang w:val="ro-RO"/>
        </w:rPr>
        <w:lastRenderedPageBreak/>
        <w:t xml:space="preserve">Nu deţinem însă, la nivelul judeţului Buzău, datele necesare pentru a pune în evidenţă suprafeţele convertite sau ponderile acestora pe diferite categorii.  </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În multe cazuri, clima, tehnologia şi economia par a fi factorii determinanţi ai schimbării utilizării terenurilor la diferite scări spaţiale şi temporale. În acelaşi timp, transformarea terenurilor pare a fi un mecanism de feedback adaptabil pe care fermierii îl utilizează pentru a netezi impactul variaţiilor climatice, în special în perioadele extrem de uscate şi umede. Schimbările utilizării terenurilor sunt adesea asociate cu schimbarea în acoperirea terenurilor şi asociată cu emisiile de carbon. Rezervele de carbon din sol vor fi de asemenea afectate, cu toate că acest efect va depinde de tratamentul ulterior al terenului. </w:t>
      </w:r>
    </w:p>
    <w:p w:rsidR="00A93324" w:rsidRPr="00A93324" w:rsidRDefault="00A93324" w:rsidP="00A93324">
      <w:pPr>
        <w:tabs>
          <w:tab w:val="left" w:pos="1276"/>
          <w:tab w:val="left" w:leader="dot" w:pos="9356"/>
        </w:tabs>
        <w:spacing w:after="120" w:line="240" w:lineRule="auto"/>
        <w:ind w:left="596"/>
        <w:rPr>
          <w:rFonts w:ascii="Arial" w:eastAsia="SimSun" w:hAnsi="Arial" w:cs="Arial"/>
          <w:b/>
          <w:i/>
          <w:sz w:val="24"/>
          <w:szCs w:val="24"/>
          <w:lang w:val="ro-RO"/>
        </w:rPr>
      </w:pPr>
      <w:r w:rsidRPr="00A93324">
        <w:rPr>
          <w:rFonts w:ascii="Arial" w:eastAsia="SimSun" w:hAnsi="Arial" w:cs="Arial"/>
          <w:b/>
          <w:i/>
          <w:sz w:val="24"/>
          <w:szCs w:val="24"/>
          <w:lang w:val="ro-RO"/>
        </w:rPr>
        <w:t xml:space="preserve">IV.2.2. Impactul schimbării utilizării terenurilor asupra habitatelor </w:t>
      </w:r>
    </w:p>
    <w:p w:rsidR="00A93324" w:rsidRPr="00A93324" w:rsidRDefault="00A93324" w:rsidP="00A93324">
      <w:pPr>
        <w:keepLines/>
        <w:spacing w:after="120" w:line="240" w:lineRule="auto"/>
        <w:jc w:val="both"/>
        <w:rPr>
          <w:rFonts w:ascii="Arial" w:eastAsia="Times New Roman" w:hAnsi="Arial" w:cs="Arial"/>
          <w:iCs/>
          <w:sz w:val="24"/>
          <w:szCs w:val="24"/>
          <w:lang w:val="ro-RO"/>
        </w:rPr>
      </w:pPr>
      <w:r w:rsidRPr="00A93324">
        <w:rPr>
          <w:rFonts w:ascii="Arial" w:eastAsia="Times New Roman" w:hAnsi="Arial" w:cs="Arial"/>
          <w:iCs/>
          <w:sz w:val="24"/>
          <w:szCs w:val="24"/>
          <w:lang w:val="ro-RO"/>
        </w:rPr>
        <w:t xml:space="preserve">Impactul schimbării utilizării terenurilor asupra habitatelor este în special generat de: </w:t>
      </w:r>
    </w:p>
    <w:p w:rsidR="00A93324" w:rsidRPr="00A93324" w:rsidRDefault="00A93324" w:rsidP="00A93324">
      <w:pPr>
        <w:keepLines/>
        <w:numPr>
          <w:ilvl w:val="0"/>
          <w:numId w:val="5"/>
        </w:numPr>
        <w:spacing w:after="120" w:line="240" w:lineRule="auto"/>
        <w:ind w:left="714" w:hanging="357"/>
        <w:jc w:val="both"/>
        <w:rPr>
          <w:rFonts w:ascii="Arial" w:eastAsia="Times New Roman" w:hAnsi="Arial" w:cs="Arial"/>
          <w:iCs/>
          <w:sz w:val="24"/>
          <w:szCs w:val="24"/>
          <w:lang w:val="ro-RO"/>
        </w:rPr>
      </w:pPr>
      <w:r w:rsidRPr="00A93324">
        <w:rPr>
          <w:rFonts w:ascii="Arial" w:eastAsia="Times New Roman" w:hAnsi="Arial" w:cs="Arial"/>
          <w:iCs/>
          <w:sz w:val="24"/>
          <w:szCs w:val="24"/>
          <w:lang w:val="ro-RO"/>
        </w:rPr>
        <w:t>procesul de conversie a terenurilor în scopul dezvoltării urbane, industriale, agricole, turistice sau pentru transport, care reprezintă cauza principală a pierderii de biodiversitate, ducând la degradarea, distrugerea şi câteodată la fragmentarea habitatelor. Extinderea intravilanului în zonele din imediata vecinătate a ariilor naturale protejate sau chiar în interiorul acestora cu scopul de realizare ulterioară a unor zone rezidenţiale sau chiar staţiuni turistice generează o presiune puternică asupra ariilor naturale protejate;</w:t>
      </w:r>
    </w:p>
    <w:p w:rsidR="00A93324" w:rsidRPr="00A93324" w:rsidRDefault="00A93324" w:rsidP="00A93324">
      <w:pPr>
        <w:keepLines/>
        <w:numPr>
          <w:ilvl w:val="0"/>
          <w:numId w:val="5"/>
        </w:numPr>
        <w:spacing w:after="120" w:line="240" w:lineRule="auto"/>
        <w:ind w:left="714" w:hanging="357"/>
        <w:jc w:val="both"/>
        <w:rPr>
          <w:rFonts w:ascii="Arial" w:eastAsia="Times New Roman" w:hAnsi="Arial" w:cs="Arial"/>
          <w:iCs/>
          <w:sz w:val="24"/>
          <w:szCs w:val="24"/>
          <w:lang w:val="ro-RO"/>
        </w:rPr>
      </w:pPr>
      <w:r w:rsidRPr="00A93324">
        <w:rPr>
          <w:rFonts w:ascii="Arial" w:eastAsia="Times New Roman" w:hAnsi="Arial" w:cs="Arial"/>
          <w:iCs/>
          <w:sz w:val="24"/>
          <w:szCs w:val="24"/>
          <w:lang w:val="ro-RO"/>
        </w:rPr>
        <w:t>intensificarea investiţiilor pentru dezvoltarea infrastructurii (transport auto, feroviar şi fluvial, turism, producere şi transport de energie etc.) fără măsuri pentru diminuarea/eliminarea impactului asupra biodiversităţii poate fi considerată principala ameninţare la adresa biodiversităţii, în contextul dezvoltării economice actuale;</w:t>
      </w:r>
    </w:p>
    <w:p w:rsidR="00A93324" w:rsidRPr="00A93324" w:rsidRDefault="00A93324" w:rsidP="00A93324">
      <w:pPr>
        <w:keepLines/>
        <w:numPr>
          <w:ilvl w:val="0"/>
          <w:numId w:val="5"/>
        </w:numPr>
        <w:spacing w:after="120" w:line="240" w:lineRule="auto"/>
        <w:ind w:left="714" w:hanging="357"/>
        <w:jc w:val="both"/>
        <w:rPr>
          <w:rFonts w:ascii="Arial" w:eastAsia="Times New Roman" w:hAnsi="Arial" w:cs="Arial"/>
          <w:iCs/>
          <w:sz w:val="24"/>
          <w:szCs w:val="24"/>
          <w:lang w:val="ro-RO"/>
        </w:rPr>
      </w:pPr>
      <w:r w:rsidRPr="00A93324">
        <w:rPr>
          <w:rFonts w:ascii="Arial" w:eastAsia="Times New Roman" w:hAnsi="Arial" w:cs="Arial"/>
          <w:iCs/>
          <w:sz w:val="24"/>
          <w:szCs w:val="24"/>
          <w:lang w:val="ro-RO"/>
        </w:rPr>
        <w:t>extinderea şi dezvoltarea aşezărilor umane este o ameninţare pentru biodiversitate deoarece fragmentarea habitatelor apare şi atunci când există aglomerări mari de locuinţe, dar şi în cazul celor izolate, datorită construcţiei suplimentare de căi de acces şi utilităţi.</w:t>
      </w:r>
    </w:p>
    <w:p w:rsidR="00A93324" w:rsidRPr="00A93324" w:rsidRDefault="00A93324" w:rsidP="00A93324">
      <w:pPr>
        <w:keepLines/>
        <w:spacing w:before="120" w:after="120" w:line="288" w:lineRule="auto"/>
        <w:contextualSpacing/>
        <w:jc w:val="both"/>
        <w:rPr>
          <w:rFonts w:ascii="Arial" w:eastAsia="Times New Roman" w:hAnsi="Arial" w:cs="Arial"/>
          <w:i/>
          <w:iCs/>
          <w:sz w:val="24"/>
          <w:szCs w:val="24"/>
          <w:lang w:val="ro-RO"/>
        </w:rPr>
      </w:pPr>
      <w:r w:rsidRPr="00A93324">
        <w:rPr>
          <w:rFonts w:ascii="Arial" w:eastAsia="Times New Roman" w:hAnsi="Arial" w:cs="Arial"/>
          <w:iCs/>
          <w:sz w:val="24"/>
          <w:szCs w:val="24"/>
          <w:lang w:val="ro-RO"/>
        </w:rPr>
        <w:t>Din punctul de vedere al utilizării terenurilor, impactul schimbării utilizării terenurilor asupra biodiversităţii judeţului Buzău este generat în special de :</w:t>
      </w:r>
    </w:p>
    <w:p w:rsidR="00A93324" w:rsidRPr="00A93324" w:rsidRDefault="00A93324" w:rsidP="00A93324">
      <w:pPr>
        <w:keepLines/>
        <w:numPr>
          <w:ilvl w:val="0"/>
          <w:numId w:val="5"/>
        </w:numPr>
        <w:spacing w:after="120" w:line="240" w:lineRule="auto"/>
        <w:ind w:left="714" w:hanging="357"/>
        <w:jc w:val="both"/>
        <w:rPr>
          <w:rFonts w:ascii="Arial" w:eastAsia="Times New Roman" w:hAnsi="Arial" w:cs="Arial"/>
          <w:i/>
          <w:iCs/>
          <w:sz w:val="24"/>
          <w:szCs w:val="24"/>
          <w:lang w:val="ro-RO"/>
        </w:rPr>
      </w:pPr>
      <w:r w:rsidRPr="00A93324">
        <w:rPr>
          <w:rFonts w:ascii="Arial" w:eastAsia="Times New Roman" w:hAnsi="Arial" w:cs="Arial"/>
          <w:iCs/>
          <w:sz w:val="24"/>
          <w:szCs w:val="24"/>
          <w:lang w:val="ro-RO"/>
        </w:rPr>
        <w:t>trecerea păşunilor din zona de câmpie în proprietate privată şi transformarea lor în terenuri arabile pentru culturi energetice;</w:t>
      </w:r>
    </w:p>
    <w:p w:rsidR="00A93324" w:rsidRPr="00A93324" w:rsidRDefault="00A93324" w:rsidP="00A93324">
      <w:pPr>
        <w:keepLines/>
        <w:numPr>
          <w:ilvl w:val="0"/>
          <w:numId w:val="5"/>
        </w:numPr>
        <w:spacing w:after="120" w:line="240" w:lineRule="auto"/>
        <w:ind w:left="714" w:hanging="357"/>
        <w:jc w:val="both"/>
        <w:rPr>
          <w:rFonts w:ascii="Arial" w:eastAsia="Times New Roman" w:hAnsi="Arial" w:cs="Arial"/>
          <w:i/>
          <w:iCs/>
          <w:sz w:val="24"/>
          <w:szCs w:val="24"/>
          <w:lang w:val="ro-RO"/>
        </w:rPr>
      </w:pPr>
      <w:r w:rsidRPr="00A93324">
        <w:rPr>
          <w:rFonts w:ascii="Arial" w:eastAsia="Times New Roman" w:hAnsi="Arial" w:cs="Arial"/>
          <w:iCs/>
          <w:sz w:val="24"/>
          <w:szCs w:val="24"/>
          <w:lang w:val="ro-RO"/>
        </w:rPr>
        <w:t>desecarea mlaştinilor sau utilizarea lor pentru culturi de specii alohtone în vederea obţinerii profitului economic;</w:t>
      </w:r>
    </w:p>
    <w:p w:rsidR="00A93324" w:rsidRPr="00A93324" w:rsidRDefault="00A93324" w:rsidP="00A93324">
      <w:pPr>
        <w:keepLines/>
        <w:numPr>
          <w:ilvl w:val="0"/>
          <w:numId w:val="5"/>
        </w:numPr>
        <w:spacing w:after="120" w:line="240" w:lineRule="auto"/>
        <w:ind w:left="714" w:hanging="357"/>
        <w:jc w:val="both"/>
        <w:rPr>
          <w:rFonts w:ascii="Arial" w:eastAsia="Times New Roman" w:hAnsi="Arial" w:cs="Arial"/>
          <w:i/>
          <w:iCs/>
          <w:sz w:val="24"/>
          <w:szCs w:val="24"/>
          <w:lang w:val="ro-RO"/>
        </w:rPr>
      </w:pPr>
      <w:r w:rsidRPr="00A93324">
        <w:rPr>
          <w:rFonts w:ascii="Arial" w:eastAsia="Times New Roman" w:hAnsi="Arial" w:cs="Arial"/>
          <w:iCs/>
          <w:sz w:val="24"/>
          <w:szCs w:val="24"/>
          <w:lang w:val="ro-RO"/>
        </w:rPr>
        <w:t>împădurirea pajiştilor cu productivitate scăzută şi a habitatelor de stepă, considerate impropriu de către autorităţi ca fiind terenuri „degradate”;</w:t>
      </w:r>
    </w:p>
    <w:p w:rsidR="00A93324" w:rsidRPr="00A93324" w:rsidRDefault="00A93324" w:rsidP="00A93324">
      <w:pPr>
        <w:keepLines/>
        <w:numPr>
          <w:ilvl w:val="0"/>
          <w:numId w:val="5"/>
        </w:numPr>
        <w:spacing w:after="120" w:line="240" w:lineRule="auto"/>
        <w:ind w:left="714" w:hanging="357"/>
        <w:jc w:val="both"/>
        <w:rPr>
          <w:rFonts w:ascii="Arial" w:eastAsia="Times New Roman" w:hAnsi="Arial" w:cs="Arial"/>
          <w:i/>
          <w:iCs/>
          <w:sz w:val="24"/>
          <w:szCs w:val="24"/>
          <w:lang w:val="ro-RO"/>
        </w:rPr>
      </w:pPr>
      <w:r w:rsidRPr="00A93324">
        <w:rPr>
          <w:rFonts w:ascii="Arial" w:eastAsia="Times New Roman" w:hAnsi="Arial" w:cs="Arial"/>
          <w:iCs/>
          <w:sz w:val="24"/>
          <w:szCs w:val="24"/>
          <w:lang w:val="ro-RO"/>
        </w:rPr>
        <w:t>abandonarea pajiştilor şi păşunilor, în special în zonele înalte, mai greu accesibile, care vor fi invadate de vegetaţia forestieră.</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Regimul juridic al terenurilor judeţului Buzău, la nivelul anului 2012 raportat la anul 1990, este prezentat în tabelul </w:t>
      </w:r>
      <w:r w:rsidRPr="00A93324">
        <w:rPr>
          <w:rFonts w:ascii="Arial" w:eastAsia="SimSun" w:hAnsi="Arial" w:cs="Arial"/>
          <w:sz w:val="24"/>
          <w:szCs w:val="24"/>
          <w:lang w:val="ro-RO"/>
        </w:rPr>
        <w:t>IV.2.2.-1.</w:t>
      </w:r>
      <w:r w:rsidRPr="00A93324">
        <w:rPr>
          <w:rFonts w:ascii="Arial" w:eastAsia="SimSun" w:hAnsi="Arial" w:cs="Arial"/>
          <w:iCs/>
          <w:sz w:val="24"/>
          <w:szCs w:val="24"/>
          <w:lang w:val="ro-RO"/>
        </w:rPr>
        <w:t xml:space="preserve"> Pentru anii 2013-2014 nu au fost furnizate date suplimentare</w:t>
      </w:r>
      <w:r w:rsidRPr="00A93324">
        <w:rPr>
          <w:rFonts w:ascii="Arial" w:eastAsia="SimSun" w:hAnsi="Arial" w:cs="Arial"/>
          <w:iCs/>
          <w:color w:val="FF0000"/>
          <w:sz w:val="24"/>
          <w:szCs w:val="24"/>
          <w:lang w:val="ro-RO"/>
        </w:rPr>
        <w:t>.</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b/>
          <w:iCs/>
          <w:sz w:val="24"/>
          <w:szCs w:val="24"/>
          <w:lang w:val="ro-RO"/>
        </w:rPr>
        <w:t xml:space="preserve">Tabel </w:t>
      </w:r>
      <w:r w:rsidRPr="00A93324">
        <w:rPr>
          <w:rFonts w:ascii="Arial" w:eastAsia="SimSun" w:hAnsi="Arial" w:cs="Arial"/>
          <w:b/>
          <w:i/>
          <w:sz w:val="24"/>
          <w:szCs w:val="24"/>
          <w:lang w:val="ro-RO"/>
        </w:rPr>
        <w:t xml:space="preserve">IV.2.2-1 </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0"/>
        <w:gridCol w:w="2202"/>
        <w:gridCol w:w="2530"/>
        <w:gridCol w:w="2602"/>
      </w:tblGrid>
      <w:tr w:rsidR="00A93324" w:rsidRPr="00A93324" w:rsidTr="00A42550">
        <w:trPr>
          <w:jc w:val="center"/>
        </w:trPr>
        <w:tc>
          <w:tcPr>
            <w:tcW w:w="219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b/>
                <w:iCs/>
                <w:sz w:val="24"/>
                <w:szCs w:val="24"/>
                <w:lang w:val="ro-RO"/>
              </w:rPr>
            </w:pPr>
            <w:r w:rsidRPr="00A93324">
              <w:rPr>
                <w:rFonts w:ascii="Arial" w:eastAsia="SimSun" w:hAnsi="Arial" w:cs="Arial"/>
                <w:b/>
                <w:iCs/>
                <w:sz w:val="24"/>
                <w:szCs w:val="24"/>
                <w:lang w:val="ro-RO"/>
              </w:rPr>
              <w:t>Anul</w:t>
            </w:r>
          </w:p>
        </w:tc>
        <w:tc>
          <w:tcPr>
            <w:tcW w:w="2202"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b/>
                <w:iCs/>
                <w:sz w:val="24"/>
                <w:szCs w:val="24"/>
                <w:lang w:val="ro-RO"/>
              </w:rPr>
            </w:pPr>
            <w:r w:rsidRPr="00A93324">
              <w:rPr>
                <w:rFonts w:ascii="Arial" w:eastAsia="SimSun" w:hAnsi="Arial" w:cs="Arial"/>
                <w:b/>
                <w:iCs/>
                <w:sz w:val="24"/>
                <w:szCs w:val="24"/>
                <w:lang w:val="ro-RO"/>
              </w:rPr>
              <w:t>Suprafa</w:t>
            </w:r>
            <w:r w:rsidRPr="00A93324">
              <w:rPr>
                <w:rFonts w:ascii="Arial" w:eastAsia="SimSun" w:hAnsi="Tahoma" w:cs="Arial"/>
                <w:b/>
                <w:iCs/>
                <w:sz w:val="24"/>
                <w:szCs w:val="24"/>
                <w:lang w:val="ro-RO"/>
              </w:rPr>
              <w:t>ţ</w:t>
            </w:r>
            <w:r w:rsidRPr="00A93324">
              <w:rPr>
                <w:rFonts w:ascii="Arial" w:eastAsia="SimSun" w:hAnsi="Arial" w:cs="Arial"/>
                <w:b/>
                <w:iCs/>
                <w:sz w:val="24"/>
                <w:szCs w:val="24"/>
                <w:lang w:val="ro-RO"/>
              </w:rPr>
              <w:t>ă totală (ha)</w:t>
            </w:r>
          </w:p>
        </w:tc>
        <w:tc>
          <w:tcPr>
            <w:tcW w:w="253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b/>
                <w:iCs/>
                <w:sz w:val="24"/>
                <w:szCs w:val="24"/>
                <w:lang w:val="ro-RO"/>
              </w:rPr>
            </w:pPr>
            <w:r w:rsidRPr="00A93324">
              <w:rPr>
                <w:rFonts w:ascii="Arial" w:eastAsia="SimSun" w:hAnsi="Arial" w:cs="Arial"/>
                <w:b/>
                <w:iCs/>
                <w:sz w:val="24"/>
                <w:szCs w:val="24"/>
                <w:lang w:val="ro-RO"/>
              </w:rPr>
              <w:t>Suprafa</w:t>
            </w:r>
            <w:r w:rsidRPr="00A93324">
              <w:rPr>
                <w:rFonts w:ascii="Arial" w:eastAsia="SimSun" w:hAnsi="Tahoma" w:cs="Arial"/>
                <w:b/>
                <w:iCs/>
                <w:sz w:val="24"/>
                <w:szCs w:val="24"/>
                <w:lang w:val="ro-RO"/>
              </w:rPr>
              <w:t>ţ</w:t>
            </w:r>
            <w:r w:rsidRPr="00A93324">
              <w:rPr>
                <w:rFonts w:ascii="Arial" w:eastAsia="SimSun" w:hAnsi="Arial" w:cs="Arial"/>
                <w:b/>
                <w:iCs/>
                <w:sz w:val="24"/>
                <w:szCs w:val="24"/>
                <w:lang w:val="ro-RO"/>
              </w:rPr>
              <w:t>ă intravilan (ha)</w:t>
            </w:r>
          </w:p>
        </w:tc>
        <w:tc>
          <w:tcPr>
            <w:tcW w:w="2602"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b/>
                <w:iCs/>
                <w:sz w:val="24"/>
                <w:szCs w:val="24"/>
                <w:lang w:val="ro-RO"/>
              </w:rPr>
            </w:pPr>
            <w:r w:rsidRPr="00A93324">
              <w:rPr>
                <w:rFonts w:ascii="Arial" w:eastAsia="SimSun" w:hAnsi="Arial" w:cs="Arial"/>
                <w:b/>
                <w:iCs/>
                <w:sz w:val="24"/>
                <w:szCs w:val="24"/>
                <w:lang w:val="ro-RO"/>
              </w:rPr>
              <w:t>Suprafa</w:t>
            </w:r>
            <w:r w:rsidRPr="00A93324">
              <w:rPr>
                <w:rFonts w:ascii="Arial" w:eastAsia="SimSun" w:hAnsi="Tahoma" w:cs="Arial"/>
                <w:b/>
                <w:iCs/>
                <w:sz w:val="24"/>
                <w:szCs w:val="24"/>
                <w:lang w:val="ro-RO"/>
              </w:rPr>
              <w:t>ţ</w:t>
            </w:r>
            <w:r w:rsidRPr="00A93324">
              <w:rPr>
                <w:rFonts w:ascii="Arial" w:eastAsia="SimSun" w:hAnsi="Arial" w:cs="Arial"/>
                <w:b/>
                <w:iCs/>
                <w:sz w:val="24"/>
                <w:szCs w:val="24"/>
                <w:lang w:val="ro-RO"/>
              </w:rPr>
              <w:t>ă extravilan (ha)</w:t>
            </w:r>
          </w:p>
        </w:tc>
      </w:tr>
      <w:tr w:rsidR="00A93324" w:rsidRPr="00A93324" w:rsidTr="00A42550">
        <w:trPr>
          <w:jc w:val="center"/>
        </w:trPr>
        <w:tc>
          <w:tcPr>
            <w:tcW w:w="219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1990</w:t>
            </w:r>
          </w:p>
        </w:tc>
        <w:tc>
          <w:tcPr>
            <w:tcW w:w="2202"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610255</w:t>
            </w:r>
          </w:p>
        </w:tc>
        <w:tc>
          <w:tcPr>
            <w:tcW w:w="253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29551</w:t>
            </w:r>
          </w:p>
        </w:tc>
        <w:tc>
          <w:tcPr>
            <w:tcW w:w="2602"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580704</w:t>
            </w:r>
          </w:p>
        </w:tc>
      </w:tr>
      <w:tr w:rsidR="00A93324" w:rsidRPr="00A93324" w:rsidTr="00A42550">
        <w:trPr>
          <w:jc w:val="center"/>
        </w:trPr>
        <w:tc>
          <w:tcPr>
            <w:tcW w:w="219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2012</w:t>
            </w:r>
          </w:p>
        </w:tc>
        <w:tc>
          <w:tcPr>
            <w:tcW w:w="2202"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610255</w:t>
            </w:r>
          </w:p>
        </w:tc>
        <w:tc>
          <w:tcPr>
            <w:tcW w:w="253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42387</w:t>
            </w:r>
          </w:p>
        </w:tc>
        <w:tc>
          <w:tcPr>
            <w:tcW w:w="2602"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567868</w:t>
            </w:r>
          </w:p>
        </w:tc>
      </w:tr>
    </w:tbl>
    <w:p w:rsidR="00A93324" w:rsidRPr="00A93324" w:rsidRDefault="00A93324" w:rsidP="00A93324">
      <w:pPr>
        <w:tabs>
          <w:tab w:val="left" w:pos="1276"/>
          <w:tab w:val="left" w:leader="dot" w:pos="9356"/>
        </w:tabs>
        <w:spacing w:after="120" w:line="240" w:lineRule="auto"/>
        <w:ind w:left="596"/>
        <w:jc w:val="right"/>
        <w:rPr>
          <w:rFonts w:ascii="Arial" w:eastAsia="SimSun" w:hAnsi="Arial" w:cs="Arial"/>
          <w:i/>
          <w:iCs/>
          <w:sz w:val="24"/>
          <w:szCs w:val="24"/>
          <w:lang w:val="ro-RO"/>
        </w:rPr>
      </w:pPr>
      <w:r w:rsidRPr="00A93324">
        <w:rPr>
          <w:rFonts w:ascii="Arial" w:eastAsia="SimSun" w:hAnsi="Arial" w:cs="Arial"/>
          <w:i/>
          <w:iCs/>
          <w:sz w:val="24"/>
          <w:szCs w:val="24"/>
          <w:lang w:val="ro-RO"/>
        </w:rPr>
        <w:t>Sursa: OCPI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iCs/>
          <w:color w:val="FF0000"/>
          <w:sz w:val="24"/>
          <w:szCs w:val="24"/>
          <w:lang w:val="ro-RO"/>
        </w:rPr>
      </w:pPr>
      <w:r w:rsidRPr="00A93324">
        <w:rPr>
          <w:rFonts w:ascii="Arial" w:eastAsia="SimSun" w:hAnsi="Arial" w:cs="Arial"/>
          <w:iCs/>
          <w:sz w:val="24"/>
          <w:szCs w:val="24"/>
          <w:lang w:val="ro-RO"/>
        </w:rPr>
        <w:lastRenderedPageBreak/>
        <w:t xml:space="preserve">Se observă că în ultimii 22 de ani suprafeţele înscrise în intravilan au crescut cu peste 43,5%. </w:t>
      </w:r>
    </w:p>
    <w:p w:rsidR="00A93324" w:rsidRPr="00A93324" w:rsidRDefault="00A93324" w:rsidP="00A93324">
      <w:pPr>
        <w:tabs>
          <w:tab w:val="left" w:pos="1276"/>
          <w:tab w:val="left" w:leader="dot" w:pos="9356"/>
        </w:tabs>
        <w:spacing w:after="120" w:line="240" w:lineRule="auto"/>
        <w:jc w:val="both"/>
        <w:rPr>
          <w:rFonts w:ascii="Arial" w:eastAsia="SimSun" w:hAnsi="Arial" w:cs="Arial"/>
          <w:b/>
          <w:iCs/>
          <w:sz w:val="24"/>
          <w:szCs w:val="24"/>
          <w:lang w:val="ro-RO"/>
        </w:rPr>
      </w:pPr>
      <w:r w:rsidRPr="00A93324">
        <w:rPr>
          <w:rFonts w:ascii="Arial" w:eastAsia="SimSun" w:hAnsi="Arial" w:cs="Arial"/>
          <w:b/>
          <w:iCs/>
          <w:sz w:val="24"/>
          <w:szCs w:val="24"/>
          <w:lang w:val="ro-RO"/>
        </w:rPr>
        <w:t xml:space="preserve">Tabel </w:t>
      </w:r>
      <w:r w:rsidRPr="00A93324">
        <w:rPr>
          <w:rFonts w:ascii="Arial" w:eastAsia="SimSun" w:hAnsi="Arial" w:cs="Arial"/>
          <w:b/>
          <w:i/>
          <w:sz w:val="24"/>
          <w:szCs w:val="24"/>
          <w:lang w:val="ro-RO"/>
        </w:rPr>
        <w:t xml:space="preserve">IV.2.2-2 </w:t>
      </w:r>
      <w:r w:rsidRPr="00A93324">
        <w:rPr>
          <w:rFonts w:ascii="Arial" w:eastAsia="SimSun" w:hAnsi="Arial" w:cs="Arial"/>
          <w:b/>
          <w:iCs/>
          <w:sz w:val="24"/>
          <w:szCs w:val="24"/>
          <w:lang w:val="ro-RO"/>
        </w:rPr>
        <w:t xml:space="preserve">Ponderea deţinută de proprietăţile private în totalul suprafeţei judeţului Buzău </w:t>
      </w:r>
    </w:p>
    <w:tbl>
      <w:tblPr>
        <w:tblW w:w="95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2190"/>
        <w:gridCol w:w="2366"/>
        <w:gridCol w:w="2366"/>
        <w:gridCol w:w="2602"/>
      </w:tblGrid>
      <w:tr w:rsidR="00A93324" w:rsidRPr="00A93324" w:rsidTr="00A42550">
        <w:trPr>
          <w:jc w:val="center"/>
        </w:trPr>
        <w:tc>
          <w:tcPr>
            <w:tcW w:w="2190" w:type="dxa"/>
            <w:vAlign w:val="center"/>
          </w:tcPr>
          <w:p w:rsidR="00A93324" w:rsidRPr="00A93324" w:rsidRDefault="00A93324" w:rsidP="00A93324">
            <w:pPr>
              <w:tabs>
                <w:tab w:val="left" w:pos="1276"/>
                <w:tab w:val="left" w:leader="dot" w:pos="9356"/>
              </w:tabs>
              <w:spacing w:after="120" w:line="240" w:lineRule="auto"/>
              <w:ind w:left="596"/>
              <w:jc w:val="center"/>
              <w:rPr>
                <w:rFonts w:ascii="Arial" w:eastAsia="SimSun" w:hAnsi="Arial" w:cs="Arial"/>
                <w:b/>
                <w:iCs/>
                <w:sz w:val="24"/>
                <w:szCs w:val="24"/>
                <w:lang w:val="ro-RO"/>
              </w:rPr>
            </w:pPr>
            <w:r w:rsidRPr="00A93324">
              <w:rPr>
                <w:rFonts w:ascii="Arial" w:eastAsia="SimSun" w:hAnsi="Arial" w:cs="Arial"/>
                <w:b/>
                <w:iCs/>
                <w:sz w:val="24"/>
                <w:szCs w:val="24"/>
                <w:lang w:val="ro-RO"/>
              </w:rPr>
              <w:t>Anul</w:t>
            </w:r>
          </w:p>
        </w:tc>
        <w:tc>
          <w:tcPr>
            <w:tcW w:w="2366" w:type="dxa"/>
            <w:vAlign w:val="center"/>
          </w:tcPr>
          <w:p w:rsidR="00A93324" w:rsidRPr="00A93324" w:rsidRDefault="00A93324" w:rsidP="00A93324">
            <w:pPr>
              <w:tabs>
                <w:tab w:val="left" w:pos="1276"/>
                <w:tab w:val="left" w:leader="dot" w:pos="9356"/>
              </w:tabs>
              <w:spacing w:after="120" w:line="240" w:lineRule="auto"/>
              <w:ind w:left="56"/>
              <w:jc w:val="center"/>
              <w:rPr>
                <w:rFonts w:ascii="Arial" w:eastAsia="SimSun" w:hAnsi="Arial" w:cs="Arial"/>
                <w:b/>
                <w:iCs/>
                <w:sz w:val="24"/>
                <w:szCs w:val="24"/>
                <w:lang w:val="ro-RO"/>
              </w:rPr>
            </w:pPr>
            <w:r w:rsidRPr="00A93324">
              <w:rPr>
                <w:rFonts w:ascii="Arial" w:eastAsia="SimSun" w:hAnsi="Arial" w:cs="Arial"/>
                <w:b/>
                <w:iCs/>
                <w:sz w:val="24"/>
                <w:szCs w:val="24"/>
                <w:lang w:val="ro-RO"/>
              </w:rPr>
              <w:t>Suprafa</w:t>
            </w:r>
            <w:r w:rsidRPr="00A93324">
              <w:rPr>
                <w:rFonts w:ascii="Arial" w:eastAsia="SimSun" w:hAnsi="Tahoma" w:cs="Arial"/>
                <w:b/>
                <w:iCs/>
                <w:sz w:val="24"/>
                <w:szCs w:val="24"/>
                <w:lang w:val="ro-RO"/>
              </w:rPr>
              <w:t>ţ</w:t>
            </w:r>
            <w:r w:rsidRPr="00A93324">
              <w:rPr>
                <w:rFonts w:ascii="Arial" w:eastAsia="SimSun" w:hAnsi="Arial" w:cs="Arial"/>
                <w:b/>
                <w:iCs/>
                <w:sz w:val="24"/>
                <w:szCs w:val="24"/>
                <w:lang w:val="ro-RO"/>
              </w:rPr>
              <w:t>ă totală a judeţului Buzău (ha)</w:t>
            </w:r>
          </w:p>
        </w:tc>
        <w:tc>
          <w:tcPr>
            <w:tcW w:w="2366" w:type="dxa"/>
            <w:vAlign w:val="center"/>
          </w:tcPr>
          <w:p w:rsidR="00A93324" w:rsidRPr="00A93324" w:rsidRDefault="00A93324" w:rsidP="00A93324">
            <w:pPr>
              <w:tabs>
                <w:tab w:val="left" w:pos="1276"/>
                <w:tab w:val="left" w:leader="dot" w:pos="9356"/>
              </w:tabs>
              <w:spacing w:after="120" w:line="240" w:lineRule="auto"/>
              <w:ind w:left="100"/>
              <w:jc w:val="center"/>
              <w:rPr>
                <w:rFonts w:ascii="Arial" w:eastAsia="SimSun" w:hAnsi="Arial" w:cs="Arial"/>
                <w:b/>
                <w:iCs/>
                <w:sz w:val="24"/>
                <w:szCs w:val="24"/>
                <w:lang w:val="ro-RO"/>
              </w:rPr>
            </w:pPr>
            <w:r w:rsidRPr="00A93324">
              <w:rPr>
                <w:rFonts w:ascii="Arial" w:eastAsia="SimSun" w:hAnsi="Arial" w:cs="Arial"/>
                <w:b/>
                <w:iCs/>
                <w:sz w:val="24"/>
                <w:szCs w:val="24"/>
                <w:lang w:val="ro-RO"/>
              </w:rPr>
              <w:t>Suprafa</w:t>
            </w:r>
            <w:r w:rsidRPr="00A93324">
              <w:rPr>
                <w:rFonts w:ascii="Arial" w:eastAsia="SimSun" w:hAnsi="Tahoma" w:cs="Arial"/>
                <w:b/>
                <w:iCs/>
                <w:sz w:val="24"/>
                <w:szCs w:val="24"/>
                <w:lang w:val="ro-RO"/>
              </w:rPr>
              <w:t>ţ</w:t>
            </w:r>
            <w:r w:rsidRPr="00A93324">
              <w:rPr>
                <w:rFonts w:ascii="Arial" w:eastAsia="SimSun" w:hAnsi="Arial" w:cs="Arial"/>
                <w:b/>
                <w:iCs/>
                <w:sz w:val="24"/>
                <w:szCs w:val="24"/>
                <w:lang w:val="ro-RO"/>
              </w:rPr>
              <w:t>ă în proprietate privată (ha)</w:t>
            </w:r>
          </w:p>
        </w:tc>
        <w:tc>
          <w:tcPr>
            <w:tcW w:w="2602" w:type="dxa"/>
            <w:vAlign w:val="center"/>
          </w:tcPr>
          <w:p w:rsidR="00A93324" w:rsidRPr="00A93324" w:rsidRDefault="00A93324" w:rsidP="00A93324">
            <w:pPr>
              <w:tabs>
                <w:tab w:val="left" w:pos="1276"/>
                <w:tab w:val="left" w:leader="dot" w:pos="9356"/>
              </w:tabs>
              <w:spacing w:after="120" w:line="240" w:lineRule="auto"/>
              <w:ind w:left="2"/>
              <w:jc w:val="center"/>
              <w:rPr>
                <w:rFonts w:ascii="Arial" w:eastAsia="SimSun" w:hAnsi="Arial" w:cs="Arial"/>
                <w:b/>
                <w:iCs/>
                <w:sz w:val="24"/>
                <w:szCs w:val="24"/>
                <w:lang w:val="ro-RO"/>
              </w:rPr>
            </w:pPr>
            <w:r w:rsidRPr="00A93324">
              <w:rPr>
                <w:rFonts w:ascii="Arial" w:eastAsia="SimSun" w:hAnsi="Arial" w:cs="Arial"/>
                <w:b/>
                <w:iCs/>
                <w:sz w:val="24"/>
                <w:szCs w:val="24"/>
                <w:lang w:val="ro-RO"/>
              </w:rPr>
              <w:t>Ponderea proprietăţii private în suprafaţa totală (%)</w:t>
            </w:r>
          </w:p>
        </w:tc>
      </w:tr>
      <w:tr w:rsidR="00A93324" w:rsidRPr="00A93324" w:rsidTr="00A42550">
        <w:trPr>
          <w:jc w:val="center"/>
        </w:trPr>
        <w:tc>
          <w:tcPr>
            <w:tcW w:w="219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2010</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610255</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456968</w:t>
            </w:r>
          </w:p>
        </w:tc>
        <w:tc>
          <w:tcPr>
            <w:tcW w:w="2602" w:type="dxa"/>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74,88</w:t>
            </w:r>
          </w:p>
        </w:tc>
      </w:tr>
      <w:tr w:rsidR="00A93324" w:rsidRPr="00A93324" w:rsidTr="00A42550">
        <w:trPr>
          <w:jc w:val="center"/>
        </w:trPr>
        <w:tc>
          <w:tcPr>
            <w:tcW w:w="219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2011</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610255</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461990</w:t>
            </w:r>
          </w:p>
        </w:tc>
        <w:tc>
          <w:tcPr>
            <w:tcW w:w="2602" w:type="dxa"/>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75,70</w:t>
            </w:r>
          </w:p>
        </w:tc>
      </w:tr>
      <w:tr w:rsidR="00A93324" w:rsidRPr="00A93324" w:rsidTr="00A42550">
        <w:trPr>
          <w:jc w:val="center"/>
        </w:trPr>
        <w:tc>
          <w:tcPr>
            <w:tcW w:w="219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2012</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610255</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456959</w:t>
            </w:r>
          </w:p>
        </w:tc>
        <w:tc>
          <w:tcPr>
            <w:tcW w:w="2602" w:type="dxa"/>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74,88</w:t>
            </w:r>
          </w:p>
        </w:tc>
      </w:tr>
      <w:tr w:rsidR="00A93324" w:rsidRPr="00A93324" w:rsidTr="00A42550">
        <w:trPr>
          <w:jc w:val="center"/>
        </w:trPr>
        <w:tc>
          <w:tcPr>
            <w:tcW w:w="2190"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2013</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610255</w:t>
            </w:r>
          </w:p>
        </w:tc>
        <w:tc>
          <w:tcPr>
            <w:tcW w:w="2366" w:type="dxa"/>
          </w:tcPr>
          <w:p w:rsidR="00A93324" w:rsidRPr="00A93324" w:rsidRDefault="00A93324" w:rsidP="00A93324">
            <w:pPr>
              <w:tabs>
                <w:tab w:val="left" w:pos="1276"/>
                <w:tab w:val="left" w:leader="dot" w:pos="9356"/>
              </w:tabs>
              <w:spacing w:after="120" w:line="240" w:lineRule="auto"/>
              <w:ind w:left="596"/>
              <w:jc w:val="both"/>
              <w:rPr>
                <w:rFonts w:ascii="Arial" w:eastAsia="SimSun" w:hAnsi="Arial" w:cs="Arial"/>
                <w:iCs/>
                <w:sz w:val="24"/>
                <w:szCs w:val="24"/>
                <w:lang w:val="ro-RO"/>
              </w:rPr>
            </w:pPr>
            <w:r w:rsidRPr="00A93324">
              <w:rPr>
                <w:rFonts w:ascii="Arial" w:eastAsia="SimSun" w:hAnsi="Arial" w:cs="Arial"/>
                <w:iCs/>
                <w:sz w:val="24"/>
                <w:szCs w:val="24"/>
                <w:lang w:val="ro-RO"/>
              </w:rPr>
              <w:t>475421</w:t>
            </w:r>
          </w:p>
        </w:tc>
        <w:tc>
          <w:tcPr>
            <w:tcW w:w="2602" w:type="dxa"/>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77,91</w:t>
            </w:r>
          </w:p>
        </w:tc>
      </w:tr>
    </w:tbl>
    <w:p w:rsidR="00A93324" w:rsidRPr="00A93324" w:rsidRDefault="00A93324" w:rsidP="00A93324">
      <w:pPr>
        <w:tabs>
          <w:tab w:val="left" w:pos="1276"/>
          <w:tab w:val="left" w:leader="dot" w:pos="9356"/>
        </w:tabs>
        <w:spacing w:after="120" w:line="240" w:lineRule="auto"/>
        <w:ind w:left="596"/>
        <w:jc w:val="right"/>
        <w:rPr>
          <w:rFonts w:ascii="Arial" w:eastAsia="SimSun" w:hAnsi="Arial" w:cs="Arial"/>
          <w:i/>
          <w:iCs/>
          <w:sz w:val="24"/>
          <w:szCs w:val="24"/>
          <w:lang w:val="ro-RO"/>
        </w:rPr>
      </w:pPr>
      <w:r w:rsidRPr="00A93324">
        <w:rPr>
          <w:rFonts w:ascii="Arial" w:eastAsia="SimSun" w:hAnsi="Arial" w:cs="Arial"/>
          <w:i/>
          <w:iCs/>
          <w:sz w:val="24"/>
          <w:szCs w:val="24"/>
          <w:lang w:val="ro-RO"/>
        </w:rPr>
        <w:t>Sursa: Institutul Naţional de Statistică</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Se observă o creştere a ponderii proprietăţii private în suprafaţa totală a judeţului. </w:t>
      </w:r>
    </w:p>
    <w:p w:rsidR="00A93324" w:rsidRPr="00A93324" w:rsidRDefault="00A93324" w:rsidP="00A93324">
      <w:pPr>
        <w:tabs>
          <w:tab w:val="left" w:pos="1276"/>
          <w:tab w:val="left" w:leader="dot" w:pos="9356"/>
        </w:tabs>
        <w:spacing w:after="120" w:line="240" w:lineRule="auto"/>
        <w:jc w:val="both"/>
        <w:rPr>
          <w:rFonts w:ascii="Arial" w:eastAsia="SimSun" w:hAnsi="Arial" w:cs="Arial"/>
          <w:b/>
          <w:iCs/>
          <w:sz w:val="24"/>
          <w:szCs w:val="24"/>
          <w:lang w:val="ro-RO"/>
        </w:rPr>
      </w:pPr>
      <w:r w:rsidRPr="00A93324">
        <w:rPr>
          <w:rFonts w:ascii="Arial" w:eastAsia="SimSun" w:hAnsi="Arial" w:cs="Arial"/>
          <w:b/>
          <w:iCs/>
          <w:sz w:val="24"/>
          <w:szCs w:val="24"/>
          <w:lang w:val="ro-RO"/>
        </w:rPr>
        <w:t xml:space="preserve">Tabelul </w:t>
      </w:r>
      <w:r w:rsidRPr="00A93324">
        <w:rPr>
          <w:rFonts w:ascii="Arial" w:eastAsia="SimSun" w:hAnsi="Arial" w:cs="Arial"/>
          <w:b/>
          <w:i/>
          <w:sz w:val="24"/>
          <w:szCs w:val="24"/>
          <w:lang w:val="ro-RO"/>
        </w:rPr>
        <w:t xml:space="preserve">IV.2.2. - 3 </w:t>
      </w:r>
      <w:r w:rsidRPr="00A93324">
        <w:rPr>
          <w:rFonts w:ascii="Arial" w:eastAsia="SimSun" w:hAnsi="Arial" w:cs="Arial"/>
          <w:b/>
          <w:iCs/>
          <w:sz w:val="24"/>
          <w:szCs w:val="24"/>
          <w:lang w:val="ro-RO"/>
        </w:rPr>
        <w:t xml:space="preserve"> Repartiţia terenurilor pe categorii de folosinţă şi tipuri de proprietate în anii 2012 şi 2013 </w:t>
      </w:r>
    </w:p>
    <w:tbl>
      <w:tblPr>
        <w:tblW w:w="9520" w:type="dxa"/>
        <w:jc w:val="center"/>
        <w:tblInd w:w="1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044"/>
        <w:gridCol w:w="1647"/>
        <w:gridCol w:w="1698"/>
        <w:gridCol w:w="1625"/>
        <w:gridCol w:w="1506"/>
      </w:tblGrid>
      <w:tr w:rsidR="00A93324" w:rsidRPr="00A93324" w:rsidTr="00A42550">
        <w:trPr>
          <w:trHeight w:val="89"/>
          <w:jc w:val="center"/>
        </w:trPr>
        <w:tc>
          <w:tcPr>
            <w:tcW w:w="304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b/>
                <w:bCs/>
                <w:sz w:val="24"/>
                <w:szCs w:val="24"/>
                <w:lang w:val="ro-RO"/>
              </w:rPr>
              <w:t>Categoria de acoperire/utilizare</w:t>
            </w:r>
          </w:p>
        </w:tc>
        <w:tc>
          <w:tcPr>
            <w:tcW w:w="6476" w:type="dxa"/>
            <w:gridSpan w:val="4"/>
            <w:vAlign w:val="center"/>
          </w:tcPr>
          <w:p w:rsidR="00A93324" w:rsidRPr="00A93324" w:rsidRDefault="00A93324" w:rsidP="00A93324">
            <w:pPr>
              <w:tabs>
                <w:tab w:val="left" w:pos="1276"/>
                <w:tab w:val="left" w:leader="dot" w:pos="9356"/>
              </w:tabs>
              <w:spacing w:after="120" w:line="240" w:lineRule="auto"/>
              <w:ind w:left="596"/>
              <w:jc w:val="center"/>
              <w:rPr>
                <w:rFonts w:ascii="Arial" w:eastAsia="SimSun" w:hAnsi="Arial" w:cs="Arial"/>
                <w:sz w:val="24"/>
                <w:szCs w:val="24"/>
                <w:lang w:val="ro-RO"/>
              </w:rPr>
            </w:pPr>
            <w:r w:rsidRPr="00A93324">
              <w:rPr>
                <w:rFonts w:ascii="Arial" w:eastAsia="SimSun" w:hAnsi="Arial" w:cs="Arial"/>
                <w:b/>
                <w:bCs/>
                <w:sz w:val="24"/>
                <w:szCs w:val="24"/>
                <w:lang w:val="ro-RO"/>
              </w:rPr>
              <w:t>Suprafaţa (ha)</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Anul</w:t>
            </w:r>
          </w:p>
        </w:tc>
        <w:tc>
          <w:tcPr>
            <w:tcW w:w="3345" w:type="dxa"/>
            <w:gridSpan w:val="2"/>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2012</w:t>
            </w:r>
          </w:p>
        </w:tc>
        <w:tc>
          <w:tcPr>
            <w:tcW w:w="3131" w:type="dxa"/>
            <w:gridSpan w:val="2"/>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2013</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b/>
                <w:sz w:val="24"/>
                <w:szCs w:val="24"/>
                <w:lang w:val="ro-RO"/>
              </w:rPr>
            </w:pPr>
          </w:p>
        </w:tc>
        <w:tc>
          <w:tcPr>
            <w:tcW w:w="1647" w:type="dxa"/>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Totală</w:t>
            </w:r>
          </w:p>
        </w:tc>
        <w:tc>
          <w:tcPr>
            <w:tcW w:w="1698"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Din care în  proprietate privată</w:t>
            </w:r>
          </w:p>
        </w:tc>
        <w:tc>
          <w:tcPr>
            <w:tcW w:w="1625"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Totală</w:t>
            </w:r>
          </w:p>
        </w:tc>
        <w:tc>
          <w:tcPr>
            <w:tcW w:w="1506"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Din care în  proprietate privată</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b/>
                <w:sz w:val="24"/>
                <w:szCs w:val="24"/>
                <w:lang w:val="ro-RO"/>
              </w:rPr>
            </w:pPr>
            <w:r w:rsidRPr="00A93324">
              <w:rPr>
                <w:rFonts w:ascii="Arial" w:eastAsia="SimSun" w:hAnsi="Arial" w:cs="Arial"/>
                <w:b/>
                <w:sz w:val="24"/>
                <w:szCs w:val="24"/>
                <w:lang w:val="ro-RO"/>
              </w:rPr>
              <w:t xml:space="preserve">Terenuri agricole, </w:t>
            </w:r>
            <w:r w:rsidRPr="00A93324">
              <w:rPr>
                <w:rFonts w:ascii="Arial" w:eastAsia="SimSun" w:hAnsi="Arial" w:cs="Arial"/>
                <w:b/>
                <w:iCs/>
                <w:sz w:val="24"/>
                <w:szCs w:val="24"/>
                <w:lang w:val="ro-RO"/>
              </w:rPr>
              <w:t xml:space="preserve">din care </w:t>
            </w:r>
          </w:p>
        </w:tc>
        <w:tc>
          <w:tcPr>
            <w:tcW w:w="1647" w:type="dxa"/>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402012</w:t>
            </w:r>
          </w:p>
        </w:tc>
        <w:tc>
          <w:tcPr>
            <w:tcW w:w="1698"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bCs/>
                <w:iCs/>
                <w:sz w:val="24"/>
                <w:szCs w:val="24"/>
                <w:lang w:val="ro-RO"/>
              </w:rPr>
              <w:t>389292</w:t>
            </w:r>
          </w:p>
        </w:tc>
        <w:tc>
          <w:tcPr>
            <w:tcW w:w="1625"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402851</w:t>
            </w:r>
          </w:p>
        </w:tc>
        <w:tc>
          <w:tcPr>
            <w:tcW w:w="1506"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389596</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Teren arabil </w:t>
            </w:r>
          </w:p>
        </w:tc>
        <w:tc>
          <w:tcPr>
            <w:tcW w:w="1647" w:type="dxa"/>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258671</w:t>
            </w:r>
          </w:p>
        </w:tc>
        <w:tc>
          <w:tcPr>
            <w:tcW w:w="1698"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251603</w:t>
            </w:r>
          </w:p>
        </w:tc>
        <w:tc>
          <w:tcPr>
            <w:tcW w:w="1625"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259280</w:t>
            </w:r>
          </w:p>
        </w:tc>
        <w:tc>
          <w:tcPr>
            <w:tcW w:w="1506"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251402</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Păşuni </w:t>
            </w:r>
          </w:p>
        </w:tc>
        <w:tc>
          <w:tcPr>
            <w:tcW w:w="1647" w:type="dxa"/>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89050</w:t>
            </w:r>
          </w:p>
        </w:tc>
        <w:tc>
          <w:tcPr>
            <w:tcW w:w="1698"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85297</w:t>
            </w:r>
          </w:p>
        </w:tc>
        <w:tc>
          <w:tcPr>
            <w:tcW w:w="1625"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89525</w:t>
            </w:r>
          </w:p>
        </w:tc>
        <w:tc>
          <w:tcPr>
            <w:tcW w:w="1506"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85822</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Fâneţe </w:t>
            </w:r>
          </w:p>
        </w:tc>
        <w:tc>
          <w:tcPr>
            <w:tcW w:w="1647" w:type="dxa"/>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28746</w:t>
            </w:r>
          </w:p>
        </w:tc>
        <w:tc>
          <w:tcPr>
            <w:tcW w:w="1698"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27388</w:t>
            </w:r>
          </w:p>
        </w:tc>
        <w:tc>
          <w:tcPr>
            <w:tcW w:w="1625"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29191</w:t>
            </w:r>
          </w:p>
        </w:tc>
        <w:tc>
          <w:tcPr>
            <w:tcW w:w="1506"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27917</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Vii şi pepiniere viticole </w:t>
            </w:r>
          </w:p>
        </w:tc>
        <w:tc>
          <w:tcPr>
            <w:tcW w:w="1647" w:type="dxa"/>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14670</w:t>
            </w:r>
          </w:p>
        </w:tc>
        <w:tc>
          <w:tcPr>
            <w:tcW w:w="1698"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14520</w:t>
            </w:r>
          </w:p>
        </w:tc>
        <w:tc>
          <w:tcPr>
            <w:tcW w:w="1625"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14490</w:t>
            </w:r>
          </w:p>
        </w:tc>
        <w:tc>
          <w:tcPr>
            <w:tcW w:w="1506" w:type="dxa"/>
            <w:shd w:val="clear" w:color="auto" w:fill="auto"/>
            <w:vAlign w:val="center"/>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14300</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 xml:space="preserve">Livezi şi pepiniere pomicole </w:t>
            </w:r>
          </w:p>
        </w:tc>
        <w:tc>
          <w:tcPr>
            <w:tcW w:w="164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10875</w:t>
            </w:r>
          </w:p>
        </w:tc>
        <w:tc>
          <w:tcPr>
            <w:tcW w:w="1698"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10484</w:t>
            </w:r>
          </w:p>
        </w:tc>
        <w:tc>
          <w:tcPr>
            <w:tcW w:w="162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10365</w:t>
            </w:r>
          </w:p>
        </w:tc>
        <w:tc>
          <w:tcPr>
            <w:tcW w:w="1506" w:type="dxa"/>
            <w:shd w:val="clear" w:color="auto" w:fill="auto"/>
            <w:vAlign w:val="center"/>
          </w:tcPr>
          <w:p w:rsidR="00A93324" w:rsidRPr="00A93324" w:rsidRDefault="00A93324" w:rsidP="00A93324">
            <w:pPr>
              <w:tabs>
                <w:tab w:val="left" w:pos="1276"/>
                <w:tab w:val="left" w:leader="dot" w:pos="9356"/>
              </w:tabs>
              <w:spacing w:after="120" w:line="240" w:lineRule="auto"/>
              <w:ind w:left="42"/>
              <w:jc w:val="center"/>
              <w:rPr>
                <w:rFonts w:ascii="Arial" w:eastAsia="SimSun" w:hAnsi="Arial" w:cs="Arial"/>
                <w:sz w:val="24"/>
                <w:szCs w:val="24"/>
                <w:lang w:val="ro-RO"/>
              </w:rPr>
            </w:pPr>
            <w:r w:rsidRPr="00A93324">
              <w:rPr>
                <w:rFonts w:ascii="Arial" w:eastAsia="SimSun" w:hAnsi="Arial" w:cs="Arial"/>
                <w:sz w:val="24"/>
                <w:szCs w:val="24"/>
                <w:lang w:val="ro-RO"/>
              </w:rPr>
              <w:t>10155</w:t>
            </w:r>
          </w:p>
        </w:tc>
      </w:tr>
      <w:tr w:rsidR="00A93324" w:rsidRPr="00A93324" w:rsidTr="00A42550">
        <w:trPr>
          <w:trHeight w:val="540"/>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b/>
                <w:iCs/>
                <w:sz w:val="24"/>
                <w:szCs w:val="24"/>
                <w:lang w:val="ro-RO"/>
              </w:rPr>
              <w:t>Terenuri neagricole, din care</w:t>
            </w:r>
            <w:r w:rsidRPr="00A93324">
              <w:rPr>
                <w:rFonts w:ascii="Arial" w:eastAsia="SimSun" w:hAnsi="Arial" w:cs="Arial"/>
                <w:iCs/>
                <w:sz w:val="24"/>
                <w:szCs w:val="24"/>
                <w:lang w:val="ro-RO"/>
              </w:rPr>
              <w:t xml:space="preserve">: </w:t>
            </w:r>
          </w:p>
        </w:tc>
        <w:tc>
          <w:tcPr>
            <w:tcW w:w="164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208243</w:t>
            </w:r>
          </w:p>
        </w:tc>
        <w:tc>
          <w:tcPr>
            <w:tcW w:w="1698"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67667</w:t>
            </w:r>
          </w:p>
        </w:tc>
        <w:tc>
          <w:tcPr>
            <w:tcW w:w="162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207404</w:t>
            </w:r>
          </w:p>
        </w:tc>
        <w:tc>
          <w:tcPr>
            <w:tcW w:w="1506" w:type="dxa"/>
            <w:shd w:val="clear" w:color="auto" w:fill="auto"/>
            <w:vAlign w:val="center"/>
          </w:tcPr>
          <w:p w:rsidR="00A93324" w:rsidRPr="00A93324" w:rsidRDefault="00A93324" w:rsidP="00A93324">
            <w:pPr>
              <w:tabs>
                <w:tab w:val="left" w:pos="1276"/>
                <w:tab w:val="left" w:leader="dot" w:pos="9356"/>
              </w:tabs>
              <w:spacing w:after="120" w:line="240" w:lineRule="auto"/>
              <w:ind w:left="42"/>
              <w:jc w:val="center"/>
              <w:rPr>
                <w:rFonts w:ascii="Arial" w:eastAsia="SimSun" w:hAnsi="Arial" w:cs="Arial"/>
                <w:b/>
                <w:sz w:val="24"/>
                <w:szCs w:val="24"/>
                <w:lang w:val="ro-RO"/>
              </w:rPr>
            </w:pPr>
            <w:r w:rsidRPr="00A93324">
              <w:rPr>
                <w:rFonts w:ascii="Arial" w:eastAsia="SimSun" w:hAnsi="Arial" w:cs="Arial"/>
                <w:b/>
                <w:sz w:val="24"/>
                <w:szCs w:val="24"/>
                <w:lang w:val="ro-RO"/>
              </w:rPr>
              <w:t>85825</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iCs/>
                <w:sz w:val="24"/>
                <w:szCs w:val="24"/>
                <w:lang w:val="ro-RO"/>
              </w:rPr>
              <w:t>Păduri şi altă vegetaţie forestieră</w:t>
            </w:r>
          </w:p>
        </w:tc>
        <w:tc>
          <w:tcPr>
            <w:tcW w:w="164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163977</w:t>
            </w:r>
          </w:p>
        </w:tc>
        <w:tc>
          <w:tcPr>
            <w:tcW w:w="1698"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Cs/>
                <w:color w:val="FF0000"/>
                <w:sz w:val="24"/>
                <w:szCs w:val="24"/>
                <w:lang w:val="ro-RO"/>
              </w:rPr>
            </w:pPr>
            <w:r w:rsidRPr="00A93324">
              <w:rPr>
                <w:rFonts w:ascii="Arial" w:eastAsia="SimSun" w:hAnsi="Arial" w:cs="Arial"/>
                <w:sz w:val="24"/>
                <w:szCs w:val="24"/>
                <w:lang w:val="ro-RO"/>
              </w:rPr>
              <w:t>51998</w:t>
            </w:r>
          </w:p>
        </w:tc>
        <w:tc>
          <w:tcPr>
            <w:tcW w:w="162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162584</w:t>
            </w:r>
          </w:p>
        </w:tc>
        <w:tc>
          <w:tcPr>
            <w:tcW w:w="1506"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69271</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Ape şi bălţi </w:t>
            </w:r>
          </w:p>
        </w:tc>
        <w:tc>
          <w:tcPr>
            <w:tcW w:w="164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11420</w:t>
            </w:r>
          </w:p>
        </w:tc>
        <w:tc>
          <w:tcPr>
            <w:tcW w:w="1698" w:type="dxa"/>
            <w:shd w:val="clear" w:color="auto" w:fill="auto"/>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iCs/>
                <w:color w:val="FF0000"/>
                <w:sz w:val="24"/>
                <w:szCs w:val="24"/>
                <w:lang w:val="ro-RO"/>
              </w:rPr>
            </w:pPr>
            <w:r w:rsidRPr="00A93324">
              <w:rPr>
                <w:rFonts w:ascii="Arial" w:eastAsia="SimSun" w:hAnsi="Arial" w:cs="Arial"/>
                <w:sz w:val="24"/>
                <w:szCs w:val="24"/>
                <w:lang w:val="ro-RO"/>
              </w:rPr>
              <w:t>109</w:t>
            </w:r>
          </w:p>
        </w:tc>
        <w:tc>
          <w:tcPr>
            <w:tcW w:w="162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11040</w:t>
            </w:r>
          </w:p>
        </w:tc>
        <w:tc>
          <w:tcPr>
            <w:tcW w:w="1506"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234</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Construcţii </w:t>
            </w:r>
          </w:p>
        </w:tc>
        <w:tc>
          <w:tcPr>
            <w:tcW w:w="164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16104</w:t>
            </w:r>
          </w:p>
        </w:tc>
        <w:tc>
          <w:tcPr>
            <w:tcW w:w="1698"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Cs/>
                <w:color w:val="FF0000"/>
                <w:sz w:val="24"/>
                <w:szCs w:val="24"/>
                <w:lang w:val="ro-RO"/>
              </w:rPr>
            </w:pPr>
            <w:r w:rsidRPr="00A93324">
              <w:rPr>
                <w:rFonts w:ascii="Arial" w:eastAsia="SimSun" w:hAnsi="Arial" w:cs="Arial"/>
                <w:sz w:val="24"/>
                <w:szCs w:val="24"/>
                <w:lang w:val="ro-RO"/>
              </w:rPr>
              <w:t>13579</w:t>
            </w:r>
          </w:p>
        </w:tc>
        <w:tc>
          <w:tcPr>
            <w:tcW w:w="162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16355</w:t>
            </w:r>
          </w:p>
        </w:tc>
        <w:tc>
          <w:tcPr>
            <w:tcW w:w="1506"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13894</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Căi de comunicaţii şi căi ferate </w:t>
            </w:r>
          </w:p>
        </w:tc>
        <w:tc>
          <w:tcPr>
            <w:tcW w:w="164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8888</w:t>
            </w:r>
          </w:p>
        </w:tc>
        <w:tc>
          <w:tcPr>
            <w:tcW w:w="1698" w:type="dxa"/>
            <w:shd w:val="clear" w:color="auto" w:fill="auto"/>
            <w:vAlign w:val="center"/>
          </w:tcPr>
          <w:p w:rsidR="00A93324" w:rsidRPr="00A93324" w:rsidRDefault="00A93324" w:rsidP="00A93324">
            <w:pPr>
              <w:tabs>
                <w:tab w:val="left" w:pos="1276"/>
                <w:tab w:val="left" w:leader="dot" w:pos="9356"/>
              </w:tabs>
              <w:spacing w:after="120" w:line="240" w:lineRule="auto"/>
              <w:ind w:left="596"/>
              <w:rPr>
                <w:rFonts w:ascii="Arial" w:eastAsia="SimSun" w:hAnsi="Arial" w:cs="Arial"/>
                <w:b/>
                <w:bCs/>
                <w:iCs/>
                <w:sz w:val="24"/>
                <w:szCs w:val="24"/>
                <w:lang w:val="ro-RO"/>
              </w:rPr>
            </w:pPr>
            <w:r w:rsidRPr="00A93324">
              <w:rPr>
                <w:rFonts w:ascii="Arial" w:eastAsia="SimSun" w:hAnsi="Arial" w:cs="Arial"/>
                <w:bCs/>
                <w:iCs/>
                <w:sz w:val="24"/>
                <w:szCs w:val="24"/>
                <w:lang w:val="ro-RO"/>
              </w:rPr>
              <w:t>20</w:t>
            </w:r>
          </w:p>
        </w:tc>
        <w:tc>
          <w:tcPr>
            <w:tcW w:w="162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8832</w:t>
            </w:r>
          </w:p>
        </w:tc>
        <w:tc>
          <w:tcPr>
            <w:tcW w:w="1506"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21</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rPr>
                <w:rFonts w:ascii="Arial" w:eastAsia="SimSun" w:hAnsi="Arial" w:cs="Arial"/>
                <w:sz w:val="24"/>
                <w:szCs w:val="24"/>
                <w:lang w:val="ro-RO"/>
              </w:rPr>
            </w:pPr>
            <w:r w:rsidRPr="00A93324">
              <w:rPr>
                <w:rFonts w:ascii="Arial" w:eastAsia="SimSun" w:hAnsi="Arial" w:cs="Arial"/>
                <w:sz w:val="24"/>
                <w:szCs w:val="24"/>
                <w:lang w:val="ro-RO"/>
              </w:rPr>
              <w:t xml:space="preserve">Terenuri degradate şi neproductive </w:t>
            </w:r>
          </w:p>
        </w:tc>
        <w:tc>
          <w:tcPr>
            <w:tcW w:w="164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7854</w:t>
            </w:r>
          </w:p>
        </w:tc>
        <w:tc>
          <w:tcPr>
            <w:tcW w:w="1698"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bCs/>
                <w:iCs/>
                <w:sz w:val="24"/>
                <w:szCs w:val="24"/>
                <w:lang w:val="ro-RO"/>
              </w:rPr>
              <w:t>1961</w:t>
            </w:r>
          </w:p>
        </w:tc>
        <w:tc>
          <w:tcPr>
            <w:tcW w:w="1625"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8593</w:t>
            </w:r>
          </w:p>
        </w:tc>
        <w:tc>
          <w:tcPr>
            <w:tcW w:w="1506" w:type="dxa"/>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2405</w:t>
            </w:r>
          </w:p>
        </w:tc>
      </w:tr>
      <w:tr w:rsidR="00A93324" w:rsidRPr="00A93324" w:rsidTr="00A42550">
        <w:trPr>
          <w:trHeight w:val="65"/>
          <w:jc w:val="center"/>
        </w:trPr>
        <w:tc>
          <w:tcPr>
            <w:tcW w:w="3044" w:type="dxa"/>
          </w:tcPr>
          <w:p w:rsidR="00A93324" w:rsidRPr="00A93324" w:rsidRDefault="00A93324" w:rsidP="00A93324">
            <w:pPr>
              <w:tabs>
                <w:tab w:val="left" w:pos="1276"/>
                <w:tab w:val="left" w:leader="dot" w:pos="9356"/>
              </w:tabs>
              <w:spacing w:after="120" w:line="240" w:lineRule="auto"/>
              <w:ind w:left="596"/>
              <w:rPr>
                <w:rFonts w:ascii="Arial" w:eastAsia="SimSun" w:hAnsi="Arial" w:cs="Arial"/>
                <w:sz w:val="24"/>
                <w:szCs w:val="24"/>
                <w:lang w:val="ro-RO"/>
              </w:rPr>
            </w:pPr>
            <w:r w:rsidRPr="00A93324">
              <w:rPr>
                <w:rFonts w:ascii="Arial" w:eastAsia="SimSun" w:hAnsi="Arial" w:cs="Arial"/>
                <w:b/>
                <w:bCs/>
                <w:sz w:val="24"/>
                <w:szCs w:val="24"/>
                <w:lang w:val="ro-RO"/>
              </w:rPr>
              <w:t xml:space="preserve">TOTAL </w:t>
            </w:r>
          </w:p>
        </w:tc>
        <w:tc>
          <w:tcPr>
            <w:tcW w:w="1647" w:type="dxa"/>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610255</w:t>
            </w:r>
          </w:p>
        </w:tc>
        <w:tc>
          <w:tcPr>
            <w:tcW w:w="1698"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456959</w:t>
            </w:r>
          </w:p>
        </w:tc>
        <w:tc>
          <w:tcPr>
            <w:tcW w:w="1625"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610255</w:t>
            </w:r>
          </w:p>
        </w:tc>
        <w:tc>
          <w:tcPr>
            <w:tcW w:w="1506" w:type="dxa"/>
            <w:shd w:val="clear" w:color="auto" w:fill="auto"/>
            <w:vAlign w:val="center"/>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475421</w:t>
            </w:r>
          </w:p>
        </w:tc>
      </w:tr>
    </w:tbl>
    <w:p w:rsidR="00A93324" w:rsidRPr="00A93324" w:rsidRDefault="00A93324" w:rsidP="00A93324">
      <w:pPr>
        <w:tabs>
          <w:tab w:val="left" w:pos="1276"/>
          <w:tab w:val="left" w:leader="dot" w:pos="9356"/>
        </w:tabs>
        <w:spacing w:after="120" w:line="240" w:lineRule="auto"/>
        <w:ind w:left="596"/>
        <w:jc w:val="right"/>
        <w:rPr>
          <w:rFonts w:ascii="Arial" w:eastAsia="SimSun" w:hAnsi="Arial" w:cs="Arial"/>
          <w:i/>
          <w:iCs/>
          <w:sz w:val="24"/>
          <w:szCs w:val="24"/>
          <w:lang w:val="ro-RO"/>
        </w:rPr>
      </w:pPr>
      <w:r w:rsidRPr="00A93324">
        <w:rPr>
          <w:rFonts w:ascii="Arial" w:eastAsia="SimSun" w:hAnsi="Arial" w:cs="Arial"/>
          <w:i/>
          <w:sz w:val="24"/>
          <w:szCs w:val="24"/>
          <w:lang w:val="ro-RO"/>
        </w:rPr>
        <w:t xml:space="preserve"> </w:t>
      </w:r>
      <w:r w:rsidRPr="00A93324">
        <w:rPr>
          <w:rFonts w:ascii="Arial" w:eastAsia="SimSun" w:hAnsi="Arial" w:cs="Arial"/>
          <w:i/>
          <w:iCs/>
          <w:sz w:val="24"/>
          <w:szCs w:val="24"/>
          <w:lang w:val="ro-RO"/>
        </w:rPr>
        <w:t>Sursa: Institutul Naţional de Statistică</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lastRenderedPageBreak/>
        <w:t xml:space="preserve">Aşa cum se poate observa din tabelul prezentat mai sus scăderea cea mai mare în funcţie de categoria de folosinţă şi forma de proprietate, de aproximativ </w:t>
      </w:r>
      <w:smartTag w:uri="urn:schemas-microsoft-com:office:smarttags" w:element="metricconverter">
        <w:smartTagPr>
          <w:attr w:name="ProductID" w:val="329 ha"/>
        </w:smartTagPr>
        <w:r w:rsidRPr="00A93324">
          <w:rPr>
            <w:rFonts w:ascii="Arial" w:eastAsia="SimSun" w:hAnsi="Arial" w:cs="Arial"/>
            <w:iCs/>
            <w:sz w:val="24"/>
            <w:szCs w:val="24"/>
            <w:lang w:val="ro-RO"/>
          </w:rPr>
          <w:t>329 ha</w:t>
        </w:r>
      </w:smartTag>
      <w:r w:rsidRPr="00A93324">
        <w:rPr>
          <w:rFonts w:ascii="Arial" w:eastAsia="SimSun" w:hAnsi="Arial" w:cs="Arial"/>
          <w:iCs/>
          <w:sz w:val="24"/>
          <w:szCs w:val="24"/>
          <w:lang w:val="ro-RO"/>
        </w:rPr>
        <w:t xml:space="preserve">, se remarcă în rândul terenurilor acoperite cu livezi deţinute în proprietate privată, urmate de cele acoperite cu vii şi de cele arabile deţinute tot în proprietate privată, care au avut scăderi cu 220, respectiv </w:t>
      </w:r>
      <w:smartTag w:uri="urn:schemas-microsoft-com:office:smarttags" w:element="metricconverter">
        <w:smartTagPr>
          <w:attr w:name="ProductID" w:val="202 ha"/>
        </w:smartTagPr>
        <w:r w:rsidRPr="00A93324">
          <w:rPr>
            <w:rFonts w:ascii="Arial" w:eastAsia="SimSun" w:hAnsi="Arial" w:cs="Arial"/>
            <w:iCs/>
            <w:sz w:val="24"/>
            <w:szCs w:val="24"/>
            <w:lang w:val="ro-RO"/>
          </w:rPr>
          <w:t>202 ha</w:t>
        </w:r>
      </w:smartTag>
      <w:r w:rsidRPr="00A93324">
        <w:rPr>
          <w:rFonts w:ascii="Arial" w:eastAsia="SimSun" w:hAnsi="Arial" w:cs="Arial"/>
          <w:iCs/>
          <w:sz w:val="24"/>
          <w:szCs w:val="24"/>
          <w:lang w:val="ro-RO"/>
        </w:rPr>
        <w:t xml:space="preserve">, iar creşterea cea mai  puternică se înregistrează în suprafeţele de pădure trecute în proprietate privată, diferenţa între anul 2013 şi 2012 fiind de </w:t>
      </w:r>
      <w:smartTag w:uri="urn:schemas-microsoft-com:office:smarttags" w:element="metricconverter">
        <w:smartTagPr>
          <w:attr w:name="ProductID" w:val="17273 ha"/>
        </w:smartTagPr>
        <w:r w:rsidRPr="00A93324">
          <w:rPr>
            <w:rFonts w:ascii="Arial" w:eastAsia="SimSun" w:hAnsi="Arial" w:cs="Arial"/>
            <w:iCs/>
            <w:sz w:val="24"/>
            <w:szCs w:val="24"/>
            <w:lang w:val="ro-RO"/>
          </w:rPr>
          <w:t>17273 ha</w:t>
        </w:r>
      </w:smartTag>
      <w:r w:rsidRPr="00A93324">
        <w:rPr>
          <w:rFonts w:ascii="Arial" w:eastAsia="SimSun" w:hAnsi="Arial" w:cs="Arial"/>
          <w:iCs/>
          <w:sz w:val="24"/>
          <w:szCs w:val="24"/>
          <w:lang w:val="ro-RO"/>
        </w:rPr>
        <w:t xml:space="preserve">. </w:t>
      </w:r>
    </w:p>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La nivelul suprafeţelor totale, cele mai mari scăderi au fost înregistrate în cazul terenurilor acoperite cu păduri şi altă vegetaţie forestieră (</w:t>
      </w:r>
      <w:smartTag w:uri="urn:schemas-microsoft-com:office:smarttags" w:element="metricconverter">
        <w:smartTagPr>
          <w:attr w:name="ProductID" w:val="-1384 ha"/>
        </w:smartTagPr>
        <w:r w:rsidRPr="0091400B">
          <w:rPr>
            <w:rFonts w:ascii="Arial" w:eastAsia="SimSun" w:hAnsi="Arial" w:cs="Arial"/>
            <w:iCs/>
            <w:sz w:val="24"/>
            <w:szCs w:val="24"/>
            <w:lang w:val="ro-RO"/>
          </w:rPr>
          <w:t>-1384 ha</w:t>
        </w:r>
      </w:smartTag>
      <w:r w:rsidRPr="0091400B">
        <w:rPr>
          <w:rFonts w:ascii="Arial" w:eastAsia="SimSun" w:hAnsi="Arial" w:cs="Arial"/>
          <w:iCs/>
          <w:sz w:val="24"/>
          <w:szCs w:val="24"/>
          <w:lang w:val="ro-RO"/>
        </w:rPr>
        <w:t>), urmate de terenurile acoperite cu ape şi bălţi (</w:t>
      </w:r>
      <w:smartTag w:uri="urn:schemas-microsoft-com:office:smarttags" w:element="metricconverter">
        <w:smartTagPr>
          <w:attr w:name="ProductID" w:val="-377 ha"/>
        </w:smartTagPr>
        <w:r w:rsidRPr="0091400B">
          <w:rPr>
            <w:rFonts w:ascii="Arial" w:eastAsia="SimSun" w:hAnsi="Arial" w:cs="Arial"/>
            <w:iCs/>
            <w:sz w:val="24"/>
            <w:szCs w:val="24"/>
            <w:lang w:val="ro-RO"/>
          </w:rPr>
          <w:t>-377 ha</w:t>
        </w:r>
      </w:smartTag>
      <w:r w:rsidRPr="0091400B">
        <w:rPr>
          <w:rFonts w:ascii="Arial" w:eastAsia="SimSun" w:hAnsi="Arial" w:cs="Arial"/>
          <w:iCs/>
          <w:sz w:val="24"/>
          <w:szCs w:val="24"/>
          <w:lang w:val="ro-RO"/>
        </w:rPr>
        <w:t xml:space="preserve">), iar creşterea cea mai mare au cunoscut-o terenurile arabile cu </w:t>
      </w:r>
      <w:smartTag w:uri="urn:schemas-microsoft-com:office:smarttags" w:element="metricconverter">
        <w:smartTagPr>
          <w:attr w:name="ProductID" w:val="609 ha"/>
        </w:smartTagPr>
        <w:r w:rsidRPr="0091400B">
          <w:rPr>
            <w:rFonts w:ascii="Arial" w:eastAsia="SimSun" w:hAnsi="Arial" w:cs="Arial"/>
            <w:iCs/>
            <w:sz w:val="24"/>
            <w:szCs w:val="24"/>
            <w:lang w:val="ro-RO"/>
          </w:rPr>
          <w:t>609 ha</w:t>
        </w:r>
      </w:smartTag>
      <w:r w:rsidRPr="0091400B">
        <w:rPr>
          <w:rFonts w:ascii="Arial" w:eastAsia="SimSun" w:hAnsi="Arial" w:cs="Arial"/>
          <w:iCs/>
          <w:sz w:val="24"/>
          <w:szCs w:val="24"/>
          <w:lang w:val="ro-RO"/>
        </w:rPr>
        <w:t xml:space="preserve">, urmate de terenurile ocupate cu construcţii cu 496 ha. </w:t>
      </w:r>
    </w:p>
    <w:p w:rsidR="0091400B" w:rsidRPr="0091400B" w:rsidRDefault="0091400B" w:rsidP="0091400B">
      <w:pPr>
        <w:tabs>
          <w:tab w:val="left" w:pos="1276"/>
          <w:tab w:val="left" w:leader="dot" w:pos="9356"/>
        </w:tabs>
        <w:spacing w:after="120" w:line="240" w:lineRule="auto"/>
        <w:jc w:val="both"/>
        <w:rPr>
          <w:rFonts w:ascii="Arial" w:eastAsia="SimSun" w:hAnsi="Arial" w:cs="Arial"/>
          <w:b/>
          <w:iCs/>
          <w:sz w:val="24"/>
          <w:szCs w:val="24"/>
          <w:lang w:val="ro-RO"/>
        </w:rPr>
      </w:pPr>
      <w:r w:rsidRPr="0091400B">
        <w:rPr>
          <w:rFonts w:ascii="Arial" w:eastAsia="SimSun" w:hAnsi="Arial" w:cs="Arial"/>
          <w:b/>
          <w:iCs/>
          <w:sz w:val="24"/>
          <w:szCs w:val="24"/>
          <w:lang w:val="ro-RO"/>
        </w:rPr>
        <w:t xml:space="preserve">Tabelul </w:t>
      </w:r>
      <w:r w:rsidRPr="0091400B">
        <w:rPr>
          <w:rFonts w:ascii="Arial" w:eastAsia="SimSun" w:hAnsi="Arial" w:cs="Arial"/>
          <w:b/>
          <w:i/>
          <w:sz w:val="24"/>
          <w:szCs w:val="24"/>
          <w:lang w:val="ro-RO"/>
        </w:rPr>
        <w:t xml:space="preserve">IV.2.2. - 4 </w:t>
      </w:r>
      <w:r w:rsidRPr="0091400B">
        <w:rPr>
          <w:rFonts w:ascii="Arial" w:eastAsia="SimSun" w:hAnsi="Arial" w:cs="Arial"/>
          <w:b/>
          <w:iCs/>
          <w:sz w:val="24"/>
          <w:szCs w:val="24"/>
          <w:lang w:val="ro-RO"/>
        </w:rPr>
        <w:t xml:space="preserve"> Evoluţia suprafeţelor pe categorii folosinţă din judeţul Buzău, în perioada 2010 - 2013</w:t>
      </w:r>
    </w:p>
    <w:tbl>
      <w:tblPr>
        <w:tblW w:w="953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3034"/>
        <w:gridCol w:w="1017"/>
        <w:gridCol w:w="1017"/>
        <w:gridCol w:w="1017"/>
        <w:gridCol w:w="1017"/>
        <w:gridCol w:w="1017"/>
        <w:gridCol w:w="1417"/>
      </w:tblGrid>
      <w:tr w:rsidR="0091400B" w:rsidRPr="0091400B" w:rsidTr="00D92384">
        <w:trPr>
          <w:trHeight w:val="1275"/>
        </w:trPr>
        <w:tc>
          <w:tcPr>
            <w:tcW w:w="3034" w:type="dxa"/>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Modul de folosinta a fondului funciar</w:t>
            </w:r>
          </w:p>
        </w:tc>
        <w:tc>
          <w:tcPr>
            <w:tcW w:w="1017"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2009</w:t>
            </w:r>
          </w:p>
        </w:tc>
        <w:tc>
          <w:tcPr>
            <w:tcW w:w="1017"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2010</w:t>
            </w:r>
          </w:p>
        </w:tc>
        <w:tc>
          <w:tcPr>
            <w:tcW w:w="1017"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2011</w:t>
            </w:r>
          </w:p>
        </w:tc>
        <w:tc>
          <w:tcPr>
            <w:tcW w:w="1017"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2012</w:t>
            </w:r>
          </w:p>
        </w:tc>
        <w:tc>
          <w:tcPr>
            <w:tcW w:w="1017"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2013</w:t>
            </w:r>
          </w:p>
        </w:tc>
        <w:tc>
          <w:tcPr>
            <w:tcW w:w="1417" w:type="dxa"/>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Evoluţia terenurilor între anii 2009 şi 2013</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b/>
                <w:iCs/>
                <w:sz w:val="24"/>
                <w:szCs w:val="24"/>
                <w:lang w:val="ro-RO"/>
              </w:rPr>
            </w:pPr>
            <w:r w:rsidRPr="0091400B">
              <w:rPr>
                <w:rFonts w:ascii="Arial" w:eastAsia="SimSun" w:hAnsi="Arial" w:cs="Arial"/>
                <w:b/>
                <w:iCs/>
                <w:sz w:val="24"/>
                <w:szCs w:val="24"/>
                <w:lang w:val="ro-RO"/>
              </w:rPr>
              <w:t>Total</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610255</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610255</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610255</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610255</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610255</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0</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b/>
                <w:iCs/>
                <w:sz w:val="24"/>
                <w:szCs w:val="24"/>
                <w:lang w:val="ro-RO"/>
              </w:rPr>
            </w:pPr>
            <w:r w:rsidRPr="0091400B">
              <w:rPr>
                <w:rFonts w:ascii="Arial" w:eastAsia="SimSun" w:hAnsi="Arial" w:cs="Arial"/>
                <w:b/>
                <w:iCs/>
                <w:sz w:val="24"/>
                <w:szCs w:val="24"/>
                <w:lang w:val="ro-RO"/>
              </w:rPr>
              <w:t>Terenuri agricole total</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401904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401854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401895</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402012</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402851</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947</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Arabila</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258671</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258641</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258911</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258671</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259280</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609</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Pasuni</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89059</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89044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89050</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89050</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89525</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466</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Finete</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28923</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28913</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28924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28746</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29191</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268</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Vii si pepiniere viticole</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14538</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14536</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14684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14670</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14490</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-48</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Livezi si pepiniere pomicole</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10713</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10720</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10326</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10875</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10365</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-348</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b/>
                <w:iCs/>
                <w:sz w:val="24"/>
                <w:szCs w:val="24"/>
                <w:lang w:val="ro-RO"/>
              </w:rPr>
            </w:pPr>
            <w:r w:rsidRPr="0091400B">
              <w:rPr>
                <w:rFonts w:ascii="Arial" w:eastAsia="SimSun" w:hAnsi="Arial" w:cs="Arial"/>
                <w:b/>
                <w:iCs/>
                <w:sz w:val="24"/>
                <w:szCs w:val="24"/>
                <w:lang w:val="ro-RO"/>
              </w:rPr>
              <w:t>Terenuri neagricole total</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208351</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208401</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208360</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208243</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207404</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-947</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Paduri si alta vegetatie forestiera</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163968</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163968</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163977</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163977</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162584</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-1384</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Ocupata cu ape, balti</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11417</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11417</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11420</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11420</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11040</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-377</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Ocupata cu constructii</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15859</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15909</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16221</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16104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16355</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496</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Cai de comunicatii si cai ferate</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8888</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8888</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8888</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8888</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8832</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-56</w:t>
            </w:r>
          </w:p>
        </w:tc>
      </w:tr>
      <w:tr w:rsidR="0091400B" w:rsidRPr="0091400B" w:rsidTr="00D92384">
        <w:trPr>
          <w:trHeight w:val="255"/>
        </w:trPr>
        <w:tc>
          <w:tcPr>
            <w:tcW w:w="3034"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Terenuri degradate si neproductive</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8219</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8219</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7854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7854</w:t>
            </w:r>
          </w:p>
        </w:tc>
        <w:tc>
          <w:tcPr>
            <w:tcW w:w="1017" w:type="dxa"/>
            <w:noWrap/>
          </w:tcPr>
          <w:p w:rsidR="0091400B" w:rsidRPr="0091400B" w:rsidRDefault="0091400B" w:rsidP="0091400B">
            <w:pPr>
              <w:tabs>
                <w:tab w:val="left" w:pos="1276"/>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8593</w:t>
            </w:r>
          </w:p>
        </w:tc>
        <w:tc>
          <w:tcPr>
            <w:tcW w:w="1417" w:type="dxa"/>
            <w:noWrap/>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374</w:t>
            </w:r>
          </w:p>
        </w:tc>
      </w:tr>
    </w:tbl>
    <w:p w:rsidR="0091400B" w:rsidRPr="0091400B" w:rsidRDefault="0091400B" w:rsidP="0091400B">
      <w:pPr>
        <w:tabs>
          <w:tab w:val="left" w:pos="1276"/>
          <w:tab w:val="left" w:leader="dot" w:pos="9356"/>
        </w:tabs>
        <w:spacing w:after="120" w:line="240" w:lineRule="auto"/>
        <w:ind w:left="596"/>
        <w:jc w:val="right"/>
        <w:rPr>
          <w:rFonts w:ascii="Arial" w:eastAsia="SimSun" w:hAnsi="Arial" w:cs="Arial"/>
          <w:i/>
          <w:iCs/>
          <w:sz w:val="24"/>
          <w:szCs w:val="24"/>
          <w:lang w:val="ro-RO"/>
        </w:rPr>
      </w:pPr>
      <w:r w:rsidRPr="0091400B">
        <w:rPr>
          <w:rFonts w:ascii="Arial" w:eastAsia="SimSun" w:hAnsi="Arial" w:cs="Arial"/>
          <w:i/>
          <w:iCs/>
          <w:sz w:val="24"/>
          <w:szCs w:val="24"/>
          <w:lang w:val="ro-RO"/>
        </w:rPr>
        <w:t>Sursa: Institutul Naţional de Statistică</w:t>
      </w:r>
    </w:p>
    <w:p w:rsidR="0091400B" w:rsidRPr="0091400B" w:rsidRDefault="0091400B" w:rsidP="0091400B">
      <w:pPr>
        <w:tabs>
          <w:tab w:val="left" w:pos="1276"/>
          <w:tab w:val="left" w:pos="6660"/>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 xml:space="preserve">Pe ansamblu, pentru perioada 2009 - 2013, suprafaţa totală a terenurilor agricole a crescut cu </w:t>
      </w:r>
      <w:smartTag w:uri="urn:schemas-microsoft-com:office:smarttags" w:element="metricconverter">
        <w:smartTagPr>
          <w:attr w:name="ProductID" w:val="947 ha"/>
        </w:smartTagPr>
        <w:r w:rsidRPr="0091400B">
          <w:rPr>
            <w:rFonts w:ascii="Arial" w:eastAsia="SimSun" w:hAnsi="Arial" w:cs="Arial"/>
            <w:iCs/>
            <w:sz w:val="24"/>
            <w:szCs w:val="24"/>
            <w:lang w:val="ro-RO"/>
          </w:rPr>
          <w:t>947 ha</w:t>
        </w:r>
      </w:smartTag>
      <w:r w:rsidRPr="0091400B">
        <w:rPr>
          <w:rFonts w:ascii="Arial" w:eastAsia="SimSun" w:hAnsi="Arial" w:cs="Arial"/>
          <w:iCs/>
          <w:sz w:val="24"/>
          <w:szCs w:val="24"/>
          <w:lang w:val="ro-RO"/>
        </w:rPr>
        <w:t xml:space="preserve"> faţă de cea din </w:t>
      </w:r>
      <w:smartTag w:uri="urn:schemas-microsoft-com:office:smarttags" w:element="metricconverter">
        <w:smartTagPr>
          <w:attr w:name="ProductID" w:val="2009, hectare"/>
        </w:smartTagPr>
        <w:r w:rsidRPr="0091400B">
          <w:rPr>
            <w:rFonts w:ascii="Arial" w:eastAsia="SimSun" w:hAnsi="Arial" w:cs="Arial"/>
            <w:iCs/>
            <w:sz w:val="24"/>
            <w:szCs w:val="24"/>
            <w:lang w:val="ro-RO"/>
          </w:rPr>
          <w:t>2009, hectare</w:t>
        </w:r>
      </w:smartTag>
      <w:r w:rsidRPr="0091400B">
        <w:rPr>
          <w:rFonts w:ascii="Arial" w:eastAsia="SimSun" w:hAnsi="Arial" w:cs="Arial"/>
          <w:iCs/>
          <w:sz w:val="24"/>
          <w:szCs w:val="24"/>
          <w:lang w:val="ro-RO"/>
        </w:rPr>
        <w:t xml:space="preserve"> provenite din scăderea simultană a suprafeţelor cu terenuri neagricole.  Această creştere a fost generată cel mai probabil, conform calculelor efectuate pe datele deţinute şi prezentate mai sus, prin convertirea unor suprafeţe acoperite cu păduri şi alte tipuri de vegetaţie forestieră, precum şi a celor cu ape şi bălţi în terenuri arabile, păşuni şi fâneţe. </w:t>
      </w:r>
    </w:p>
    <w:p w:rsidR="0091400B" w:rsidRPr="0091400B" w:rsidRDefault="0091400B" w:rsidP="0091400B">
      <w:pPr>
        <w:tabs>
          <w:tab w:val="left" w:pos="1276"/>
          <w:tab w:val="left" w:pos="6660"/>
          <w:tab w:val="left" w:leader="dot" w:pos="9356"/>
        </w:tabs>
        <w:spacing w:after="120" w:line="240" w:lineRule="auto"/>
        <w:jc w:val="both"/>
        <w:rPr>
          <w:rFonts w:ascii="Arial" w:eastAsia="SimSun" w:hAnsi="Arial" w:cs="Arial"/>
          <w:iCs/>
          <w:sz w:val="24"/>
          <w:szCs w:val="24"/>
          <w:lang w:val="ro-RO"/>
        </w:rPr>
      </w:pPr>
      <w:r w:rsidRPr="0091400B">
        <w:rPr>
          <w:rFonts w:ascii="Arial" w:eastAsia="SimSun" w:hAnsi="Arial" w:cs="Arial"/>
          <w:iCs/>
          <w:sz w:val="24"/>
          <w:szCs w:val="24"/>
          <w:lang w:val="ro-RO"/>
        </w:rPr>
        <w:t xml:space="preserve">Totuşi nu deţinem date şi nici posibilitatea de decela mai precis această conversie sau date care să permită determinarea exactă a suprafeţelor şi tipurilor de folosinţă convertite, pentru a putea evalua apoi impactul schimbării utilizării terenurilor asupra habitatelor. </w:t>
      </w:r>
    </w:p>
    <w:p w:rsidR="0091400B" w:rsidRPr="0091400B" w:rsidRDefault="0091400B" w:rsidP="0091400B">
      <w:pPr>
        <w:tabs>
          <w:tab w:val="left" w:pos="1276"/>
          <w:tab w:val="left" w:pos="6660"/>
          <w:tab w:val="left" w:leader="dot" w:pos="9356"/>
        </w:tabs>
        <w:spacing w:after="120" w:line="240" w:lineRule="auto"/>
        <w:jc w:val="both"/>
        <w:rPr>
          <w:rFonts w:ascii="Arial" w:eastAsia="SimSun" w:hAnsi="Arial" w:cs="Arial"/>
          <w:iCs/>
          <w:sz w:val="24"/>
          <w:szCs w:val="24"/>
          <w:lang w:val="ro-RO"/>
        </w:rPr>
      </w:pPr>
    </w:p>
    <w:p w:rsidR="0091400B" w:rsidRPr="0091400B" w:rsidRDefault="0091400B" w:rsidP="0091400B">
      <w:pPr>
        <w:tabs>
          <w:tab w:val="left" w:pos="1276"/>
          <w:tab w:val="left" w:pos="6660"/>
          <w:tab w:val="left" w:leader="dot" w:pos="9356"/>
        </w:tabs>
        <w:spacing w:after="120" w:line="240" w:lineRule="auto"/>
        <w:jc w:val="both"/>
        <w:rPr>
          <w:rFonts w:ascii="Arial" w:eastAsia="SimSun" w:hAnsi="Arial" w:cs="Arial"/>
          <w:iCs/>
          <w:color w:val="FF0000"/>
          <w:sz w:val="24"/>
          <w:szCs w:val="24"/>
          <w:lang w:val="ro-RO"/>
        </w:rPr>
      </w:pPr>
    </w:p>
    <w:p w:rsidR="0091400B" w:rsidRPr="0091400B" w:rsidRDefault="0091400B" w:rsidP="0091400B">
      <w:pPr>
        <w:tabs>
          <w:tab w:val="left" w:pos="1276"/>
          <w:tab w:val="left" w:leader="dot" w:pos="9356"/>
        </w:tabs>
        <w:spacing w:after="120" w:line="240" w:lineRule="auto"/>
        <w:jc w:val="both"/>
        <w:rPr>
          <w:rFonts w:ascii="Arial" w:eastAsia="SimSun" w:hAnsi="Arial" w:cs="Arial"/>
          <w:b/>
          <w:iCs/>
          <w:sz w:val="24"/>
          <w:szCs w:val="24"/>
          <w:lang w:val="ro-RO"/>
        </w:rPr>
      </w:pPr>
      <w:r w:rsidRPr="0091400B">
        <w:rPr>
          <w:rFonts w:ascii="Arial" w:eastAsia="SimSun" w:hAnsi="Arial" w:cs="Arial"/>
          <w:b/>
          <w:iCs/>
          <w:sz w:val="24"/>
          <w:szCs w:val="24"/>
          <w:lang w:val="ro-RO"/>
        </w:rPr>
        <w:t xml:space="preserve">Tabelul </w:t>
      </w:r>
      <w:r w:rsidRPr="0091400B">
        <w:rPr>
          <w:rFonts w:ascii="Arial" w:eastAsia="SimSun" w:hAnsi="Arial" w:cs="Arial"/>
          <w:b/>
          <w:i/>
          <w:sz w:val="24"/>
          <w:szCs w:val="24"/>
          <w:lang w:val="ro-RO"/>
        </w:rPr>
        <w:t xml:space="preserve">IV.2.2. - 5 </w:t>
      </w:r>
      <w:r w:rsidRPr="0091400B">
        <w:rPr>
          <w:rFonts w:ascii="Arial" w:eastAsia="SimSun" w:hAnsi="Arial" w:cs="Arial"/>
          <w:b/>
          <w:iCs/>
          <w:sz w:val="24"/>
          <w:szCs w:val="24"/>
          <w:lang w:val="ro-RO"/>
        </w:rPr>
        <w:t xml:space="preserve"> Evoluţia suprafeţelor fondului forestier din judeţul Buzău, în perioada 2010 - 2013</w:t>
      </w:r>
    </w:p>
    <w:tbl>
      <w:tblPr>
        <w:tblW w:w="9497"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84"/>
        <w:gridCol w:w="2476"/>
        <w:gridCol w:w="1701"/>
        <w:gridCol w:w="1418"/>
        <w:gridCol w:w="1559"/>
        <w:gridCol w:w="1559"/>
      </w:tblGrid>
      <w:tr w:rsidR="0091400B" w:rsidRPr="0091400B" w:rsidTr="00D92384">
        <w:trPr>
          <w:trHeight w:val="742"/>
        </w:trPr>
        <w:tc>
          <w:tcPr>
            <w:tcW w:w="784" w:type="dxa"/>
            <w:vMerge w:val="restart"/>
          </w:tcPr>
          <w:p w:rsidR="0091400B" w:rsidRPr="0091400B" w:rsidRDefault="0091400B" w:rsidP="0091400B">
            <w:pPr>
              <w:tabs>
                <w:tab w:val="left" w:pos="1276"/>
                <w:tab w:val="left" w:leader="dot" w:pos="9356"/>
              </w:tabs>
              <w:spacing w:after="120" w:line="240" w:lineRule="auto"/>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Nr. crt.</w:t>
            </w:r>
          </w:p>
        </w:tc>
        <w:tc>
          <w:tcPr>
            <w:tcW w:w="2476" w:type="dxa"/>
            <w:vMerge w:val="restart"/>
            <w:vAlign w:val="center"/>
          </w:tcPr>
          <w:p w:rsidR="0091400B" w:rsidRPr="0091400B" w:rsidRDefault="0091400B" w:rsidP="0091400B">
            <w:pPr>
              <w:tabs>
                <w:tab w:val="left" w:pos="1276"/>
                <w:tab w:val="left" w:leader="dot" w:pos="9356"/>
              </w:tabs>
              <w:spacing w:after="120" w:line="240" w:lineRule="auto"/>
              <w:ind w:left="13"/>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Fond forestier</w:t>
            </w:r>
          </w:p>
        </w:tc>
        <w:tc>
          <w:tcPr>
            <w:tcW w:w="1701" w:type="dxa"/>
            <w:noWrap/>
            <w:vAlign w:val="center"/>
          </w:tcPr>
          <w:p w:rsidR="0091400B" w:rsidRPr="0091400B" w:rsidRDefault="0091400B" w:rsidP="0091400B">
            <w:pPr>
              <w:tabs>
                <w:tab w:val="left" w:pos="1276"/>
                <w:tab w:val="left" w:leader="dot" w:pos="9356"/>
              </w:tabs>
              <w:spacing w:after="120" w:line="240" w:lineRule="auto"/>
              <w:ind w:left="100"/>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2010</w:t>
            </w:r>
          </w:p>
        </w:tc>
        <w:tc>
          <w:tcPr>
            <w:tcW w:w="1418" w:type="dxa"/>
            <w:noWrap/>
            <w:vAlign w:val="center"/>
          </w:tcPr>
          <w:p w:rsidR="0091400B" w:rsidRPr="0091400B" w:rsidRDefault="0091400B" w:rsidP="0091400B">
            <w:pPr>
              <w:tabs>
                <w:tab w:val="left" w:pos="1276"/>
                <w:tab w:val="left" w:leader="dot" w:pos="9356"/>
              </w:tabs>
              <w:spacing w:after="120" w:line="240" w:lineRule="auto"/>
              <w:ind w:left="100"/>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2011</w:t>
            </w:r>
          </w:p>
        </w:tc>
        <w:tc>
          <w:tcPr>
            <w:tcW w:w="1559" w:type="dxa"/>
            <w:noWrap/>
            <w:vAlign w:val="center"/>
          </w:tcPr>
          <w:p w:rsidR="0091400B" w:rsidRPr="0091400B" w:rsidRDefault="0091400B" w:rsidP="0091400B">
            <w:pPr>
              <w:tabs>
                <w:tab w:val="left" w:pos="1276"/>
                <w:tab w:val="left" w:leader="dot" w:pos="9356"/>
              </w:tabs>
              <w:spacing w:after="120" w:line="240" w:lineRule="auto"/>
              <w:ind w:left="100"/>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2012</w:t>
            </w:r>
          </w:p>
        </w:tc>
        <w:tc>
          <w:tcPr>
            <w:tcW w:w="1559" w:type="dxa"/>
            <w:noWrap/>
            <w:vAlign w:val="center"/>
          </w:tcPr>
          <w:p w:rsidR="0091400B" w:rsidRPr="0091400B" w:rsidRDefault="0091400B" w:rsidP="0091400B">
            <w:pPr>
              <w:tabs>
                <w:tab w:val="left" w:pos="1276"/>
                <w:tab w:val="left" w:leader="dot" w:pos="9356"/>
              </w:tabs>
              <w:spacing w:after="120" w:line="240" w:lineRule="auto"/>
              <w:ind w:left="65"/>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2013</w:t>
            </w:r>
          </w:p>
        </w:tc>
      </w:tr>
      <w:tr w:rsidR="0091400B" w:rsidRPr="0091400B" w:rsidTr="00D92384">
        <w:trPr>
          <w:trHeight w:val="255"/>
        </w:trPr>
        <w:tc>
          <w:tcPr>
            <w:tcW w:w="784" w:type="dxa"/>
            <w:vMerge/>
          </w:tcPr>
          <w:p w:rsidR="0091400B" w:rsidRPr="0091400B" w:rsidRDefault="0091400B" w:rsidP="0091400B">
            <w:pPr>
              <w:tabs>
                <w:tab w:val="left" w:pos="1276"/>
                <w:tab w:val="left" w:leader="dot" w:pos="9356"/>
              </w:tabs>
              <w:spacing w:after="120" w:line="240" w:lineRule="auto"/>
              <w:ind w:left="596"/>
              <w:jc w:val="center"/>
              <w:rPr>
                <w:rFonts w:ascii="Arial" w:eastAsia="SimSun" w:hAnsi="Arial" w:cs="Arial"/>
                <w:b/>
                <w:bCs/>
                <w:iCs/>
                <w:sz w:val="24"/>
                <w:szCs w:val="24"/>
                <w:lang w:val="ro-RO"/>
              </w:rPr>
            </w:pPr>
          </w:p>
        </w:tc>
        <w:tc>
          <w:tcPr>
            <w:tcW w:w="2476" w:type="dxa"/>
            <w:vMerge/>
            <w:vAlign w:val="center"/>
          </w:tcPr>
          <w:p w:rsidR="0091400B" w:rsidRPr="0091400B" w:rsidRDefault="0091400B" w:rsidP="0091400B">
            <w:pPr>
              <w:tabs>
                <w:tab w:val="left" w:pos="1276"/>
                <w:tab w:val="left" w:leader="dot" w:pos="9356"/>
              </w:tabs>
              <w:spacing w:after="120" w:line="240" w:lineRule="auto"/>
              <w:ind w:left="596"/>
              <w:jc w:val="center"/>
              <w:rPr>
                <w:rFonts w:ascii="Arial" w:eastAsia="SimSun" w:hAnsi="Arial" w:cs="Arial"/>
                <w:b/>
                <w:bCs/>
                <w:iCs/>
                <w:sz w:val="24"/>
                <w:szCs w:val="24"/>
                <w:lang w:val="ro-RO"/>
              </w:rPr>
            </w:pPr>
          </w:p>
        </w:tc>
        <w:tc>
          <w:tcPr>
            <w:tcW w:w="1701" w:type="dxa"/>
            <w:noWrap/>
            <w:vAlign w:val="center"/>
          </w:tcPr>
          <w:p w:rsidR="0091400B" w:rsidRPr="0091400B" w:rsidRDefault="0091400B" w:rsidP="0091400B">
            <w:pPr>
              <w:tabs>
                <w:tab w:val="left" w:pos="1276"/>
                <w:tab w:val="left" w:leader="dot" w:pos="9356"/>
              </w:tabs>
              <w:spacing w:after="120" w:line="240" w:lineRule="auto"/>
              <w:ind w:left="-12"/>
              <w:jc w:val="center"/>
              <w:rPr>
                <w:rFonts w:ascii="Arial" w:eastAsia="SimSun" w:hAnsi="Arial" w:cs="Arial"/>
                <w:b/>
                <w:bCs/>
                <w:iCs/>
                <w:sz w:val="24"/>
                <w:szCs w:val="24"/>
                <w:lang w:val="ro-RO"/>
              </w:rPr>
            </w:pPr>
            <w:r w:rsidRPr="0091400B">
              <w:rPr>
                <w:rFonts w:ascii="Arial" w:eastAsia="SimSun" w:hAnsi="Arial" w:cs="Arial"/>
                <w:b/>
                <w:bCs/>
                <w:iCs/>
                <w:sz w:val="24"/>
                <w:szCs w:val="24"/>
                <w:lang w:val="ro-RO"/>
              </w:rPr>
              <w:t>Suprafaţa (ha)</w:t>
            </w:r>
          </w:p>
        </w:tc>
        <w:tc>
          <w:tcPr>
            <w:tcW w:w="1418" w:type="dxa"/>
            <w:noWrap/>
          </w:tcPr>
          <w:p w:rsidR="0091400B" w:rsidRPr="0091400B" w:rsidRDefault="0091400B" w:rsidP="0091400B">
            <w:pPr>
              <w:spacing w:after="0" w:line="240" w:lineRule="auto"/>
              <w:jc w:val="center"/>
              <w:rPr>
                <w:rFonts w:ascii="Times New Roman" w:eastAsia="SimSun" w:hAnsi="Times New Roman"/>
                <w:sz w:val="24"/>
                <w:szCs w:val="24"/>
                <w:lang w:val="en-GB"/>
              </w:rPr>
            </w:pPr>
            <w:r w:rsidRPr="0091400B">
              <w:rPr>
                <w:rFonts w:ascii="Arial" w:eastAsia="SimSun" w:hAnsi="Arial" w:cs="Arial"/>
                <w:b/>
                <w:bCs/>
                <w:iCs/>
                <w:sz w:val="24"/>
                <w:szCs w:val="24"/>
                <w:lang w:val="ro-RO"/>
              </w:rPr>
              <w:t>Suprafaţa (ha)</w:t>
            </w:r>
          </w:p>
        </w:tc>
        <w:tc>
          <w:tcPr>
            <w:tcW w:w="1559" w:type="dxa"/>
            <w:noWrap/>
          </w:tcPr>
          <w:p w:rsidR="0091400B" w:rsidRPr="0091400B" w:rsidRDefault="0091400B" w:rsidP="0091400B">
            <w:pPr>
              <w:spacing w:after="0" w:line="240" w:lineRule="auto"/>
              <w:jc w:val="center"/>
              <w:rPr>
                <w:rFonts w:ascii="Times New Roman" w:eastAsia="SimSun" w:hAnsi="Times New Roman"/>
                <w:sz w:val="24"/>
                <w:szCs w:val="24"/>
                <w:lang w:val="en-GB"/>
              </w:rPr>
            </w:pPr>
            <w:r w:rsidRPr="0091400B">
              <w:rPr>
                <w:rFonts w:ascii="Arial" w:eastAsia="SimSun" w:hAnsi="Arial" w:cs="Arial"/>
                <w:b/>
                <w:bCs/>
                <w:iCs/>
                <w:sz w:val="24"/>
                <w:szCs w:val="24"/>
                <w:lang w:val="ro-RO"/>
              </w:rPr>
              <w:t>Suprafaţa (ha)</w:t>
            </w:r>
          </w:p>
        </w:tc>
        <w:tc>
          <w:tcPr>
            <w:tcW w:w="1559" w:type="dxa"/>
            <w:noWrap/>
          </w:tcPr>
          <w:p w:rsidR="0091400B" w:rsidRPr="0091400B" w:rsidRDefault="0091400B" w:rsidP="0091400B">
            <w:pPr>
              <w:spacing w:after="0" w:line="240" w:lineRule="auto"/>
              <w:jc w:val="center"/>
              <w:rPr>
                <w:rFonts w:ascii="Times New Roman" w:eastAsia="SimSun" w:hAnsi="Times New Roman"/>
                <w:sz w:val="24"/>
                <w:szCs w:val="24"/>
                <w:lang w:val="en-GB"/>
              </w:rPr>
            </w:pPr>
            <w:r w:rsidRPr="0091400B">
              <w:rPr>
                <w:rFonts w:ascii="Arial" w:eastAsia="SimSun" w:hAnsi="Arial" w:cs="Arial"/>
                <w:b/>
                <w:bCs/>
                <w:iCs/>
                <w:sz w:val="24"/>
                <w:szCs w:val="24"/>
                <w:lang w:val="ro-RO"/>
              </w:rPr>
              <w:t>Suprafaţa (ha)</w:t>
            </w:r>
          </w:p>
        </w:tc>
      </w:tr>
      <w:tr w:rsidR="0091400B" w:rsidRPr="0091400B" w:rsidTr="00D92384">
        <w:trPr>
          <w:trHeight w:val="255"/>
        </w:trPr>
        <w:tc>
          <w:tcPr>
            <w:tcW w:w="784" w:type="dxa"/>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b/>
                <w:iCs/>
                <w:sz w:val="24"/>
                <w:szCs w:val="24"/>
                <w:lang w:val="ro-RO"/>
              </w:rPr>
            </w:pPr>
            <w:r w:rsidRPr="0091400B">
              <w:rPr>
                <w:rFonts w:ascii="Arial" w:eastAsia="SimSun" w:hAnsi="Arial" w:cs="Arial"/>
                <w:b/>
                <w:iCs/>
                <w:sz w:val="24"/>
                <w:szCs w:val="24"/>
                <w:lang w:val="ro-RO"/>
              </w:rPr>
              <w:t>1</w:t>
            </w:r>
          </w:p>
        </w:tc>
        <w:tc>
          <w:tcPr>
            <w:tcW w:w="2476" w:type="dxa"/>
            <w:noWrap/>
            <w:vAlign w:val="center"/>
          </w:tcPr>
          <w:p w:rsidR="0091400B" w:rsidRPr="0091400B" w:rsidRDefault="0091400B" w:rsidP="0091400B">
            <w:pPr>
              <w:tabs>
                <w:tab w:val="left" w:pos="1276"/>
                <w:tab w:val="left" w:leader="dot" w:pos="9356"/>
              </w:tabs>
              <w:spacing w:after="120" w:line="240" w:lineRule="auto"/>
              <w:ind w:left="13"/>
              <w:jc w:val="center"/>
              <w:rPr>
                <w:rFonts w:ascii="Arial" w:eastAsia="SimSun" w:hAnsi="Arial" w:cs="Arial"/>
                <w:b/>
                <w:iCs/>
                <w:sz w:val="24"/>
                <w:szCs w:val="24"/>
                <w:lang w:val="ro-RO"/>
              </w:rPr>
            </w:pPr>
            <w:r w:rsidRPr="0091400B">
              <w:rPr>
                <w:rFonts w:ascii="Arial" w:eastAsia="SimSun" w:hAnsi="Arial" w:cs="Arial"/>
                <w:b/>
                <w:iCs/>
                <w:sz w:val="24"/>
                <w:szCs w:val="24"/>
                <w:lang w:val="ro-RO"/>
              </w:rPr>
              <w:t>Total, din care:</w:t>
            </w:r>
          </w:p>
        </w:tc>
        <w:tc>
          <w:tcPr>
            <w:tcW w:w="1701"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158500</w:t>
            </w:r>
          </w:p>
        </w:tc>
        <w:tc>
          <w:tcPr>
            <w:tcW w:w="1418" w:type="dxa"/>
            <w:noWrap/>
            <w:vAlign w:val="center"/>
          </w:tcPr>
          <w:p w:rsidR="0091400B" w:rsidRPr="0091400B" w:rsidRDefault="0091400B" w:rsidP="0091400B">
            <w:pPr>
              <w:tabs>
                <w:tab w:val="left" w:pos="1276"/>
                <w:tab w:val="left" w:leader="dot" w:pos="9356"/>
              </w:tabs>
              <w:spacing w:after="120" w:line="240" w:lineRule="auto"/>
              <w:ind w:left="71"/>
              <w:jc w:val="center"/>
              <w:rPr>
                <w:rFonts w:ascii="Arial" w:eastAsia="SimSun" w:hAnsi="Arial" w:cs="Arial"/>
                <w:b/>
                <w:iCs/>
                <w:sz w:val="24"/>
                <w:szCs w:val="24"/>
                <w:lang w:val="ro-RO"/>
              </w:rPr>
            </w:pPr>
            <w:r w:rsidRPr="0091400B">
              <w:rPr>
                <w:rFonts w:ascii="Arial" w:eastAsia="SimSun" w:hAnsi="Arial" w:cs="Arial"/>
                <w:b/>
                <w:iCs/>
                <w:sz w:val="24"/>
                <w:szCs w:val="24"/>
                <w:lang w:val="ro-RO"/>
              </w:rPr>
              <w:t>159600</w:t>
            </w:r>
          </w:p>
        </w:tc>
        <w:tc>
          <w:tcPr>
            <w:tcW w:w="1559" w:type="dxa"/>
            <w:noWrap/>
            <w:vAlign w:val="center"/>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b/>
                <w:iCs/>
                <w:sz w:val="24"/>
                <w:szCs w:val="24"/>
                <w:lang w:val="ro-RO"/>
              </w:rPr>
            </w:pPr>
            <w:r w:rsidRPr="0091400B">
              <w:rPr>
                <w:rFonts w:ascii="Arial" w:eastAsia="SimSun" w:hAnsi="Arial" w:cs="Arial"/>
                <w:b/>
                <w:iCs/>
                <w:sz w:val="24"/>
                <w:szCs w:val="24"/>
                <w:lang w:val="ro-RO"/>
              </w:rPr>
              <w:t>160800</w:t>
            </w:r>
          </w:p>
        </w:tc>
        <w:tc>
          <w:tcPr>
            <w:tcW w:w="1559"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160400</w:t>
            </w:r>
          </w:p>
        </w:tc>
      </w:tr>
      <w:tr w:rsidR="0091400B" w:rsidRPr="0091400B" w:rsidTr="00D92384">
        <w:trPr>
          <w:trHeight w:val="768"/>
        </w:trPr>
        <w:tc>
          <w:tcPr>
            <w:tcW w:w="784" w:type="dxa"/>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b/>
                <w:iCs/>
                <w:sz w:val="24"/>
                <w:szCs w:val="24"/>
                <w:lang w:val="ro-RO"/>
              </w:rPr>
            </w:pPr>
            <w:r w:rsidRPr="0091400B">
              <w:rPr>
                <w:rFonts w:ascii="Arial" w:eastAsia="SimSun" w:hAnsi="Arial" w:cs="Arial"/>
                <w:b/>
                <w:iCs/>
                <w:sz w:val="24"/>
                <w:szCs w:val="24"/>
                <w:lang w:val="ro-RO"/>
              </w:rPr>
              <w:t>1.1</w:t>
            </w:r>
          </w:p>
        </w:tc>
        <w:tc>
          <w:tcPr>
            <w:tcW w:w="2476" w:type="dxa"/>
            <w:noWrap/>
            <w:vAlign w:val="center"/>
          </w:tcPr>
          <w:p w:rsidR="0091400B" w:rsidRPr="0091400B" w:rsidRDefault="0091400B" w:rsidP="0091400B">
            <w:pPr>
              <w:tabs>
                <w:tab w:val="left" w:pos="1276"/>
                <w:tab w:val="left" w:leader="dot" w:pos="9356"/>
              </w:tabs>
              <w:spacing w:after="120" w:line="240" w:lineRule="auto"/>
              <w:ind w:left="13"/>
              <w:jc w:val="center"/>
              <w:rPr>
                <w:rFonts w:ascii="Arial" w:eastAsia="SimSun" w:hAnsi="Arial" w:cs="Arial"/>
                <w:iCs/>
                <w:sz w:val="24"/>
                <w:szCs w:val="24"/>
                <w:lang w:val="ro-RO"/>
              </w:rPr>
            </w:pPr>
            <w:r w:rsidRPr="0091400B">
              <w:rPr>
                <w:rFonts w:ascii="Arial" w:eastAsia="SimSun" w:hAnsi="Arial" w:cs="Arial"/>
                <w:iCs/>
                <w:sz w:val="24"/>
                <w:szCs w:val="24"/>
                <w:lang w:val="ro-RO"/>
              </w:rPr>
              <w:t>Păduri, din care:</w:t>
            </w:r>
          </w:p>
        </w:tc>
        <w:tc>
          <w:tcPr>
            <w:tcW w:w="1701"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156200</w:t>
            </w:r>
          </w:p>
        </w:tc>
        <w:tc>
          <w:tcPr>
            <w:tcW w:w="1418" w:type="dxa"/>
            <w:noWrap/>
            <w:vAlign w:val="center"/>
          </w:tcPr>
          <w:p w:rsidR="0091400B" w:rsidRPr="0091400B" w:rsidRDefault="0091400B" w:rsidP="0091400B">
            <w:pPr>
              <w:tabs>
                <w:tab w:val="left" w:pos="1276"/>
                <w:tab w:val="left" w:leader="dot" w:pos="9356"/>
              </w:tabs>
              <w:spacing w:after="120" w:line="240" w:lineRule="auto"/>
              <w:ind w:left="71"/>
              <w:jc w:val="center"/>
              <w:rPr>
                <w:rFonts w:ascii="Arial" w:eastAsia="SimSun" w:hAnsi="Arial" w:cs="Arial"/>
                <w:iCs/>
                <w:sz w:val="24"/>
                <w:szCs w:val="24"/>
                <w:lang w:val="ro-RO"/>
              </w:rPr>
            </w:pPr>
            <w:r w:rsidRPr="0091400B">
              <w:rPr>
                <w:rFonts w:ascii="Arial" w:eastAsia="SimSun" w:hAnsi="Arial" w:cs="Arial"/>
                <w:iCs/>
                <w:sz w:val="24"/>
                <w:szCs w:val="24"/>
                <w:lang w:val="ro-RO"/>
              </w:rPr>
              <w:t>157100</w:t>
            </w:r>
          </w:p>
        </w:tc>
        <w:tc>
          <w:tcPr>
            <w:tcW w:w="1559" w:type="dxa"/>
            <w:noWrap/>
            <w:vAlign w:val="center"/>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iCs/>
                <w:sz w:val="24"/>
                <w:szCs w:val="24"/>
                <w:lang w:val="ro-RO"/>
              </w:rPr>
            </w:pPr>
            <w:r w:rsidRPr="0091400B">
              <w:rPr>
                <w:rFonts w:ascii="Arial" w:eastAsia="SimSun" w:hAnsi="Arial" w:cs="Arial"/>
                <w:iCs/>
                <w:sz w:val="24"/>
                <w:szCs w:val="24"/>
                <w:lang w:val="ro-RO"/>
              </w:rPr>
              <w:t>158200</w:t>
            </w:r>
          </w:p>
        </w:tc>
        <w:tc>
          <w:tcPr>
            <w:tcW w:w="1559"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157800</w:t>
            </w:r>
          </w:p>
        </w:tc>
      </w:tr>
      <w:tr w:rsidR="0091400B" w:rsidRPr="0091400B" w:rsidTr="00D92384">
        <w:trPr>
          <w:trHeight w:val="255"/>
        </w:trPr>
        <w:tc>
          <w:tcPr>
            <w:tcW w:w="784" w:type="dxa"/>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iCs/>
                <w:sz w:val="24"/>
                <w:szCs w:val="24"/>
                <w:lang w:val="ro-RO"/>
              </w:rPr>
            </w:pPr>
            <w:r w:rsidRPr="0091400B">
              <w:rPr>
                <w:rFonts w:ascii="Arial" w:eastAsia="SimSun" w:hAnsi="Arial" w:cs="Arial"/>
                <w:iCs/>
                <w:sz w:val="24"/>
                <w:szCs w:val="24"/>
                <w:lang w:val="ro-RO"/>
              </w:rPr>
              <w:t>1.1.1</w:t>
            </w:r>
          </w:p>
        </w:tc>
        <w:tc>
          <w:tcPr>
            <w:tcW w:w="2476" w:type="dxa"/>
            <w:noWrap/>
            <w:vAlign w:val="center"/>
          </w:tcPr>
          <w:p w:rsidR="0091400B" w:rsidRPr="0091400B" w:rsidRDefault="0091400B" w:rsidP="0091400B">
            <w:pPr>
              <w:tabs>
                <w:tab w:val="left" w:pos="1276"/>
                <w:tab w:val="left" w:leader="dot" w:pos="9356"/>
              </w:tabs>
              <w:spacing w:after="120" w:line="240" w:lineRule="auto"/>
              <w:ind w:left="13"/>
              <w:jc w:val="center"/>
              <w:rPr>
                <w:rFonts w:ascii="Arial" w:eastAsia="SimSun" w:hAnsi="Arial" w:cs="Arial"/>
                <w:iCs/>
                <w:sz w:val="24"/>
                <w:szCs w:val="24"/>
                <w:lang w:val="ro-RO"/>
              </w:rPr>
            </w:pPr>
            <w:r w:rsidRPr="0091400B">
              <w:rPr>
                <w:rFonts w:ascii="Arial" w:eastAsia="SimSun" w:hAnsi="Arial" w:cs="Arial"/>
                <w:iCs/>
                <w:sz w:val="24"/>
                <w:szCs w:val="24"/>
                <w:lang w:val="ro-RO"/>
              </w:rPr>
              <w:t>Răşinoase</w:t>
            </w:r>
          </w:p>
        </w:tc>
        <w:tc>
          <w:tcPr>
            <w:tcW w:w="1701"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47900</w:t>
            </w:r>
          </w:p>
        </w:tc>
        <w:tc>
          <w:tcPr>
            <w:tcW w:w="1418" w:type="dxa"/>
            <w:noWrap/>
            <w:vAlign w:val="center"/>
          </w:tcPr>
          <w:p w:rsidR="0091400B" w:rsidRPr="0091400B" w:rsidRDefault="0091400B" w:rsidP="0091400B">
            <w:pPr>
              <w:tabs>
                <w:tab w:val="left" w:pos="1276"/>
                <w:tab w:val="left" w:leader="dot" w:pos="9356"/>
              </w:tabs>
              <w:spacing w:after="120" w:line="240" w:lineRule="auto"/>
              <w:ind w:left="71"/>
              <w:jc w:val="center"/>
              <w:rPr>
                <w:rFonts w:ascii="Arial" w:eastAsia="SimSun" w:hAnsi="Arial" w:cs="Arial"/>
                <w:iCs/>
                <w:sz w:val="24"/>
                <w:szCs w:val="24"/>
                <w:lang w:val="ro-RO"/>
              </w:rPr>
            </w:pPr>
            <w:r w:rsidRPr="0091400B">
              <w:rPr>
                <w:rFonts w:ascii="Arial" w:eastAsia="SimSun" w:hAnsi="Arial" w:cs="Arial"/>
                <w:iCs/>
                <w:sz w:val="24"/>
                <w:szCs w:val="24"/>
                <w:lang w:val="ro-RO"/>
              </w:rPr>
              <w:t>53500</w:t>
            </w:r>
          </w:p>
        </w:tc>
        <w:tc>
          <w:tcPr>
            <w:tcW w:w="1559" w:type="dxa"/>
            <w:noWrap/>
            <w:vAlign w:val="center"/>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iCs/>
                <w:sz w:val="24"/>
                <w:szCs w:val="24"/>
                <w:lang w:val="ro-RO"/>
              </w:rPr>
            </w:pPr>
            <w:r w:rsidRPr="0091400B">
              <w:rPr>
                <w:rFonts w:ascii="Arial" w:eastAsia="SimSun" w:hAnsi="Arial" w:cs="Arial"/>
                <w:iCs/>
                <w:sz w:val="24"/>
                <w:szCs w:val="24"/>
                <w:lang w:val="ro-RO"/>
              </w:rPr>
              <w:t>50700</w:t>
            </w:r>
          </w:p>
        </w:tc>
        <w:tc>
          <w:tcPr>
            <w:tcW w:w="1559"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48000</w:t>
            </w:r>
          </w:p>
        </w:tc>
      </w:tr>
      <w:tr w:rsidR="0091400B" w:rsidRPr="0091400B" w:rsidTr="00D92384">
        <w:trPr>
          <w:trHeight w:val="255"/>
        </w:trPr>
        <w:tc>
          <w:tcPr>
            <w:tcW w:w="784" w:type="dxa"/>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iCs/>
                <w:sz w:val="24"/>
                <w:szCs w:val="24"/>
                <w:lang w:val="ro-RO"/>
              </w:rPr>
            </w:pPr>
            <w:r w:rsidRPr="0091400B">
              <w:rPr>
                <w:rFonts w:ascii="Arial" w:eastAsia="SimSun" w:hAnsi="Arial" w:cs="Arial"/>
                <w:iCs/>
                <w:sz w:val="24"/>
                <w:szCs w:val="24"/>
                <w:lang w:val="ro-RO"/>
              </w:rPr>
              <w:t>1.1.2</w:t>
            </w:r>
          </w:p>
        </w:tc>
        <w:tc>
          <w:tcPr>
            <w:tcW w:w="2476" w:type="dxa"/>
            <w:noWrap/>
            <w:vAlign w:val="center"/>
          </w:tcPr>
          <w:p w:rsidR="0091400B" w:rsidRPr="0091400B" w:rsidRDefault="0091400B" w:rsidP="0091400B">
            <w:pPr>
              <w:tabs>
                <w:tab w:val="left" w:pos="1276"/>
                <w:tab w:val="left" w:leader="dot" w:pos="9356"/>
              </w:tabs>
              <w:spacing w:after="120" w:line="240" w:lineRule="auto"/>
              <w:ind w:left="13"/>
              <w:jc w:val="center"/>
              <w:rPr>
                <w:rFonts w:ascii="Arial" w:eastAsia="SimSun" w:hAnsi="Arial" w:cs="Arial"/>
                <w:iCs/>
                <w:sz w:val="24"/>
                <w:szCs w:val="24"/>
                <w:lang w:val="ro-RO"/>
              </w:rPr>
            </w:pPr>
            <w:r w:rsidRPr="0091400B">
              <w:rPr>
                <w:rFonts w:ascii="Arial" w:eastAsia="SimSun" w:hAnsi="Arial" w:cs="Arial"/>
                <w:iCs/>
                <w:sz w:val="24"/>
                <w:szCs w:val="24"/>
                <w:lang w:val="ro-RO"/>
              </w:rPr>
              <w:t>Foioase</w:t>
            </w:r>
          </w:p>
        </w:tc>
        <w:tc>
          <w:tcPr>
            <w:tcW w:w="1701"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108300</w:t>
            </w:r>
          </w:p>
        </w:tc>
        <w:tc>
          <w:tcPr>
            <w:tcW w:w="1418" w:type="dxa"/>
            <w:noWrap/>
            <w:vAlign w:val="center"/>
          </w:tcPr>
          <w:p w:rsidR="0091400B" w:rsidRPr="0091400B" w:rsidRDefault="0091400B" w:rsidP="0091400B">
            <w:pPr>
              <w:tabs>
                <w:tab w:val="left" w:pos="1276"/>
                <w:tab w:val="left" w:leader="dot" w:pos="9356"/>
              </w:tabs>
              <w:spacing w:after="120" w:line="240" w:lineRule="auto"/>
              <w:ind w:left="71"/>
              <w:jc w:val="center"/>
              <w:rPr>
                <w:rFonts w:ascii="Arial" w:eastAsia="SimSun" w:hAnsi="Arial" w:cs="Arial"/>
                <w:iCs/>
                <w:sz w:val="24"/>
                <w:szCs w:val="24"/>
                <w:lang w:val="ro-RO"/>
              </w:rPr>
            </w:pPr>
            <w:r w:rsidRPr="0091400B">
              <w:rPr>
                <w:rFonts w:ascii="Arial" w:eastAsia="SimSun" w:hAnsi="Arial" w:cs="Arial"/>
                <w:iCs/>
                <w:sz w:val="24"/>
                <w:szCs w:val="24"/>
                <w:lang w:val="ro-RO"/>
              </w:rPr>
              <w:t>103600</w:t>
            </w:r>
          </w:p>
        </w:tc>
        <w:tc>
          <w:tcPr>
            <w:tcW w:w="1559" w:type="dxa"/>
            <w:noWrap/>
            <w:vAlign w:val="center"/>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iCs/>
                <w:sz w:val="24"/>
                <w:szCs w:val="24"/>
                <w:lang w:val="ro-RO"/>
              </w:rPr>
            </w:pPr>
            <w:r w:rsidRPr="0091400B">
              <w:rPr>
                <w:rFonts w:ascii="Arial" w:eastAsia="SimSun" w:hAnsi="Arial" w:cs="Arial"/>
                <w:iCs/>
                <w:sz w:val="24"/>
                <w:szCs w:val="24"/>
                <w:lang w:val="ro-RO"/>
              </w:rPr>
              <w:t>107500</w:t>
            </w:r>
          </w:p>
        </w:tc>
        <w:tc>
          <w:tcPr>
            <w:tcW w:w="1559"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iCs/>
                <w:sz w:val="24"/>
                <w:szCs w:val="24"/>
                <w:lang w:val="ro-RO"/>
              </w:rPr>
            </w:pPr>
            <w:r w:rsidRPr="0091400B">
              <w:rPr>
                <w:rFonts w:ascii="Arial" w:eastAsia="SimSun" w:hAnsi="Arial" w:cs="Arial"/>
                <w:iCs/>
                <w:sz w:val="24"/>
                <w:szCs w:val="24"/>
                <w:lang w:val="ro-RO"/>
              </w:rPr>
              <w:t>109800</w:t>
            </w:r>
          </w:p>
        </w:tc>
      </w:tr>
      <w:tr w:rsidR="0091400B" w:rsidRPr="0091400B" w:rsidTr="00D92384">
        <w:trPr>
          <w:trHeight w:val="255"/>
        </w:trPr>
        <w:tc>
          <w:tcPr>
            <w:tcW w:w="784" w:type="dxa"/>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b/>
                <w:iCs/>
                <w:sz w:val="24"/>
                <w:szCs w:val="24"/>
                <w:lang w:val="ro-RO"/>
              </w:rPr>
            </w:pPr>
            <w:r w:rsidRPr="0091400B">
              <w:rPr>
                <w:rFonts w:ascii="Arial" w:eastAsia="SimSun" w:hAnsi="Arial" w:cs="Arial"/>
                <w:b/>
                <w:iCs/>
                <w:sz w:val="24"/>
                <w:szCs w:val="24"/>
                <w:lang w:val="ro-RO"/>
              </w:rPr>
              <w:t>1.2</w:t>
            </w:r>
          </w:p>
        </w:tc>
        <w:tc>
          <w:tcPr>
            <w:tcW w:w="2476" w:type="dxa"/>
            <w:noWrap/>
            <w:vAlign w:val="center"/>
          </w:tcPr>
          <w:p w:rsidR="0091400B" w:rsidRPr="0091400B" w:rsidRDefault="0091400B" w:rsidP="0091400B">
            <w:pPr>
              <w:tabs>
                <w:tab w:val="left" w:pos="1276"/>
                <w:tab w:val="left" w:leader="dot" w:pos="9356"/>
              </w:tabs>
              <w:spacing w:after="120" w:line="240" w:lineRule="auto"/>
              <w:ind w:left="13"/>
              <w:jc w:val="center"/>
              <w:rPr>
                <w:rFonts w:ascii="Arial" w:eastAsia="SimSun" w:hAnsi="Arial" w:cs="Arial"/>
                <w:b/>
                <w:iCs/>
                <w:sz w:val="24"/>
                <w:szCs w:val="24"/>
                <w:lang w:val="ro-RO"/>
              </w:rPr>
            </w:pPr>
            <w:r w:rsidRPr="0091400B">
              <w:rPr>
                <w:rFonts w:ascii="Arial" w:eastAsia="SimSun" w:hAnsi="Arial" w:cs="Arial"/>
                <w:b/>
                <w:iCs/>
                <w:sz w:val="24"/>
                <w:szCs w:val="24"/>
                <w:lang w:val="ro-RO"/>
              </w:rPr>
              <w:t>Alte terenuri</w:t>
            </w:r>
          </w:p>
        </w:tc>
        <w:tc>
          <w:tcPr>
            <w:tcW w:w="1701"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2300</w:t>
            </w:r>
          </w:p>
        </w:tc>
        <w:tc>
          <w:tcPr>
            <w:tcW w:w="1418" w:type="dxa"/>
            <w:noWrap/>
            <w:vAlign w:val="center"/>
          </w:tcPr>
          <w:p w:rsidR="0091400B" w:rsidRPr="0091400B" w:rsidRDefault="0091400B" w:rsidP="0091400B">
            <w:pPr>
              <w:tabs>
                <w:tab w:val="left" w:pos="1276"/>
                <w:tab w:val="left" w:leader="dot" w:pos="9356"/>
              </w:tabs>
              <w:spacing w:after="120" w:line="240" w:lineRule="auto"/>
              <w:ind w:left="71"/>
              <w:jc w:val="center"/>
              <w:rPr>
                <w:rFonts w:ascii="Arial" w:eastAsia="SimSun" w:hAnsi="Arial" w:cs="Arial"/>
                <w:b/>
                <w:iCs/>
                <w:sz w:val="24"/>
                <w:szCs w:val="24"/>
                <w:lang w:val="ro-RO"/>
              </w:rPr>
            </w:pPr>
            <w:r w:rsidRPr="0091400B">
              <w:rPr>
                <w:rFonts w:ascii="Arial" w:eastAsia="SimSun" w:hAnsi="Arial" w:cs="Arial"/>
                <w:b/>
                <w:iCs/>
                <w:sz w:val="24"/>
                <w:szCs w:val="24"/>
                <w:lang w:val="ro-RO"/>
              </w:rPr>
              <w:t>2500</w:t>
            </w:r>
          </w:p>
        </w:tc>
        <w:tc>
          <w:tcPr>
            <w:tcW w:w="1559" w:type="dxa"/>
            <w:noWrap/>
            <w:vAlign w:val="center"/>
          </w:tcPr>
          <w:p w:rsidR="0091400B" w:rsidRPr="0091400B" w:rsidRDefault="0091400B" w:rsidP="0091400B">
            <w:pPr>
              <w:tabs>
                <w:tab w:val="left" w:pos="1276"/>
                <w:tab w:val="left" w:leader="dot" w:pos="9356"/>
              </w:tabs>
              <w:spacing w:after="120" w:line="240" w:lineRule="auto"/>
              <w:ind w:left="34"/>
              <w:jc w:val="center"/>
              <w:rPr>
                <w:rFonts w:ascii="Arial" w:eastAsia="SimSun" w:hAnsi="Arial" w:cs="Arial"/>
                <w:b/>
                <w:iCs/>
                <w:sz w:val="24"/>
                <w:szCs w:val="24"/>
                <w:lang w:val="ro-RO"/>
              </w:rPr>
            </w:pPr>
            <w:r w:rsidRPr="0091400B">
              <w:rPr>
                <w:rFonts w:ascii="Arial" w:eastAsia="SimSun" w:hAnsi="Arial" w:cs="Arial"/>
                <w:b/>
                <w:iCs/>
                <w:sz w:val="24"/>
                <w:szCs w:val="24"/>
                <w:lang w:val="ro-RO"/>
              </w:rPr>
              <w:t>2600</w:t>
            </w:r>
          </w:p>
        </w:tc>
        <w:tc>
          <w:tcPr>
            <w:tcW w:w="1559" w:type="dxa"/>
            <w:noWrap/>
            <w:vAlign w:val="center"/>
          </w:tcPr>
          <w:p w:rsidR="0091400B" w:rsidRPr="0091400B" w:rsidRDefault="0091400B" w:rsidP="0091400B">
            <w:pPr>
              <w:tabs>
                <w:tab w:val="left" w:pos="1276"/>
                <w:tab w:val="left" w:leader="dot" w:pos="9356"/>
              </w:tabs>
              <w:spacing w:after="120" w:line="240" w:lineRule="auto"/>
              <w:jc w:val="center"/>
              <w:rPr>
                <w:rFonts w:ascii="Arial" w:eastAsia="SimSun" w:hAnsi="Arial" w:cs="Arial"/>
                <w:b/>
                <w:iCs/>
                <w:sz w:val="24"/>
                <w:szCs w:val="24"/>
                <w:lang w:val="ro-RO"/>
              </w:rPr>
            </w:pPr>
            <w:r w:rsidRPr="0091400B">
              <w:rPr>
                <w:rFonts w:ascii="Arial" w:eastAsia="SimSun" w:hAnsi="Arial" w:cs="Arial"/>
                <w:b/>
                <w:iCs/>
                <w:sz w:val="24"/>
                <w:szCs w:val="24"/>
                <w:lang w:val="ro-RO"/>
              </w:rPr>
              <w:t>2600</w:t>
            </w:r>
          </w:p>
        </w:tc>
      </w:tr>
    </w:tbl>
    <w:p w:rsidR="0091400B" w:rsidRPr="0091400B" w:rsidRDefault="0091400B" w:rsidP="0091400B">
      <w:pPr>
        <w:tabs>
          <w:tab w:val="left" w:pos="1276"/>
          <w:tab w:val="left" w:leader="dot" w:pos="9356"/>
        </w:tabs>
        <w:spacing w:after="120" w:line="240" w:lineRule="auto"/>
        <w:ind w:left="596"/>
        <w:jc w:val="right"/>
        <w:rPr>
          <w:rFonts w:ascii="Arial" w:eastAsia="SimSun" w:hAnsi="Arial" w:cs="Arial"/>
          <w:i/>
          <w:iCs/>
          <w:sz w:val="24"/>
          <w:szCs w:val="24"/>
          <w:lang w:val="ro-RO"/>
        </w:rPr>
      </w:pPr>
      <w:r w:rsidRPr="0091400B">
        <w:rPr>
          <w:rFonts w:ascii="Arial" w:eastAsia="SimSun" w:hAnsi="Arial" w:cs="Arial"/>
          <w:i/>
          <w:iCs/>
          <w:sz w:val="24"/>
          <w:szCs w:val="24"/>
          <w:lang w:val="ro-RO"/>
        </w:rPr>
        <w:t>Sursa: Institutul Naţional de Statistică</w:t>
      </w:r>
    </w:p>
    <w:p w:rsidR="0091400B" w:rsidRPr="0091400B" w:rsidRDefault="0091400B" w:rsidP="0091400B">
      <w:pPr>
        <w:tabs>
          <w:tab w:val="left" w:pos="1276"/>
          <w:tab w:val="left" w:leader="dot" w:pos="9356"/>
        </w:tabs>
        <w:spacing w:after="120" w:line="240" w:lineRule="auto"/>
        <w:jc w:val="both"/>
        <w:rPr>
          <w:rFonts w:ascii="Arial" w:eastAsia="SimSun" w:hAnsi="Arial" w:cs="Arial"/>
          <w:sz w:val="24"/>
          <w:szCs w:val="24"/>
          <w:lang w:val="ro-RO"/>
        </w:rPr>
      </w:pPr>
      <w:r w:rsidRPr="0091400B">
        <w:rPr>
          <w:rFonts w:ascii="Arial" w:eastAsia="SimSun" w:hAnsi="Arial" w:cs="Arial"/>
          <w:sz w:val="24"/>
          <w:szCs w:val="24"/>
          <w:lang w:val="ro-RO"/>
        </w:rPr>
        <w:t xml:space="preserve">Din datele prezentate în tabelul de mai sus se observă că, deşi în perioada 2010 – </w:t>
      </w:r>
      <w:smartTag w:uri="urn:schemas-microsoft-com:office:smarttags" w:element="metricconverter">
        <w:smartTagPr>
          <w:attr w:name="ProductID" w:val="2012 a"/>
        </w:smartTagPr>
        <w:r w:rsidRPr="0091400B">
          <w:rPr>
            <w:rFonts w:ascii="Arial" w:eastAsia="SimSun" w:hAnsi="Arial" w:cs="Arial"/>
            <w:sz w:val="24"/>
            <w:szCs w:val="24"/>
            <w:lang w:val="ro-RO"/>
          </w:rPr>
          <w:t>2012 a</w:t>
        </w:r>
      </w:smartTag>
      <w:r w:rsidRPr="0091400B">
        <w:rPr>
          <w:rFonts w:ascii="Arial" w:eastAsia="SimSun" w:hAnsi="Arial" w:cs="Arial"/>
          <w:sz w:val="24"/>
          <w:szCs w:val="24"/>
          <w:lang w:val="ro-RO"/>
        </w:rPr>
        <w:t xml:space="preserve"> existat o tendiţă de creştere a suprafeţei acoperite cu păduri, în anul 2013 s-a înregistrat scăderea acesteia cu </w:t>
      </w:r>
      <w:smartTag w:uri="urn:schemas-microsoft-com:office:smarttags" w:element="metricconverter">
        <w:smartTagPr>
          <w:attr w:name="ProductID" w:val="400 ha"/>
        </w:smartTagPr>
        <w:r w:rsidRPr="0091400B">
          <w:rPr>
            <w:rFonts w:ascii="Arial" w:eastAsia="SimSun" w:hAnsi="Arial" w:cs="Arial"/>
            <w:sz w:val="24"/>
            <w:szCs w:val="24"/>
            <w:lang w:val="ro-RO"/>
          </w:rPr>
          <w:t>400 ha</w:t>
        </w:r>
      </w:smartTag>
      <w:r w:rsidRPr="0091400B">
        <w:rPr>
          <w:rFonts w:ascii="Arial" w:eastAsia="SimSun" w:hAnsi="Arial" w:cs="Arial"/>
          <w:sz w:val="24"/>
          <w:szCs w:val="24"/>
          <w:lang w:val="ro-RO"/>
        </w:rPr>
        <w:t xml:space="preserv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p>
    <w:p w:rsidR="00A93324" w:rsidRPr="00A93324" w:rsidRDefault="00A93324" w:rsidP="00A93324">
      <w:pPr>
        <w:shd w:val="clear" w:color="auto" w:fill="D9D9D9"/>
        <w:tabs>
          <w:tab w:val="left" w:leader="dot" w:pos="9356"/>
        </w:tabs>
        <w:spacing w:after="120" w:line="240" w:lineRule="auto"/>
        <w:ind w:left="293"/>
        <w:rPr>
          <w:rFonts w:ascii="Arial" w:eastAsia="SimSun" w:hAnsi="Arial" w:cs="Arial"/>
          <w:b/>
          <w:sz w:val="24"/>
          <w:szCs w:val="24"/>
          <w:lang w:val="ro-RO"/>
        </w:rPr>
      </w:pPr>
      <w:r w:rsidRPr="00A93324">
        <w:rPr>
          <w:rFonts w:ascii="Arial" w:eastAsia="SimSun" w:hAnsi="Arial" w:cs="Arial"/>
          <w:b/>
          <w:sz w:val="24"/>
          <w:szCs w:val="24"/>
          <w:lang w:val="ro-RO"/>
        </w:rPr>
        <w:t xml:space="preserve">IV.3 Factorii determinanţi ai schimbării utilizării terenurilor  </w:t>
      </w:r>
    </w:p>
    <w:p w:rsidR="00A93324" w:rsidRPr="00A93324" w:rsidRDefault="00A93324" w:rsidP="00A93324">
      <w:pPr>
        <w:tabs>
          <w:tab w:val="left" w:pos="1276"/>
          <w:tab w:val="left" w:leader="dot" w:pos="9356"/>
        </w:tabs>
        <w:spacing w:after="120" w:line="240" w:lineRule="auto"/>
        <w:ind w:left="350"/>
        <w:rPr>
          <w:rFonts w:ascii="Arial" w:eastAsia="SimSun" w:hAnsi="Arial" w:cs="Arial"/>
          <w:b/>
          <w:i/>
          <w:sz w:val="24"/>
          <w:szCs w:val="24"/>
          <w:lang w:val="ro-RO"/>
        </w:rPr>
      </w:pPr>
      <w:r w:rsidRPr="00A93324">
        <w:rPr>
          <w:rFonts w:ascii="Arial" w:eastAsia="SimSun" w:hAnsi="Arial" w:cs="Arial"/>
          <w:b/>
          <w:i/>
          <w:sz w:val="24"/>
          <w:szCs w:val="24"/>
          <w:lang w:val="ro-RO"/>
        </w:rPr>
        <w:t xml:space="preserve">IV. 3.1 Modificarea densităţii populaţiei  </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Odată cu dezvoltarea şi evoluţia societăţii umane, ecosistemele naturale au reprezentat un obstacol în calea dezvoltării agriculturii şi creşterii animalelor, astfel încât acestea au fost decimate progresiv, acţiuni ce mai continuă şi astăzi. În perioadele actuale, odată cu creşterea nevoilor de resurse în strânsă legătură cu evoluţia populaţiei, exploatarea acestora se diversifică tot mai mult şi pe spaţii din ce în ce mai largi, apărând astfel un pericol de supraexploatare a tuturor componentelor de bază ale mediului. </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Rezultatele Recensământului din 2011 au arătat nu numai faptul că populaţia judeţului Buzău a scăzut în ultimii 10 ani cu aproape 50 de mii de locuitori, ci şi că există un procent foarte mare de persoane cu vârsta de peste 60 de ani.</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Structura </w:t>
      </w:r>
      <w:r w:rsidRPr="00A93324">
        <w:rPr>
          <w:rFonts w:ascii="Arial" w:eastAsia="SimSun" w:hAnsi="Tahoma" w:cs="Arial"/>
          <w:iCs/>
          <w:sz w:val="24"/>
          <w:szCs w:val="24"/>
          <w:lang w:val="ro-RO"/>
        </w:rPr>
        <w:t>ş</w:t>
      </w:r>
      <w:r w:rsidRPr="00A93324">
        <w:rPr>
          <w:rFonts w:ascii="Arial" w:eastAsia="SimSun" w:hAnsi="Arial" w:cs="Arial"/>
          <w:iCs/>
          <w:sz w:val="24"/>
          <w:szCs w:val="24"/>
          <w:lang w:val="ro-RO"/>
        </w:rPr>
        <w:t>i evoluţia populaţiei jude</w:t>
      </w:r>
      <w:r w:rsidRPr="00A93324">
        <w:rPr>
          <w:rFonts w:ascii="Arial" w:eastAsia="SimSun" w:hAnsi="Tahoma" w:cs="Arial"/>
          <w:iCs/>
          <w:sz w:val="24"/>
          <w:szCs w:val="24"/>
          <w:lang w:val="ro-RO"/>
        </w:rPr>
        <w:t>ţ</w:t>
      </w:r>
      <w:r w:rsidRPr="00A93324">
        <w:rPr>
          <w:rFonts w:ascii="Arial" w:eastAsia="SimSun" w:hAnsi="Arial" w:cs="Arial"/>
          <w:iCs/>
          <w:sz w:val="24"/>
          <w:szCs w:val="24"/>
          <w:lang w:val="ro-RO"/>
        </w:rPr>
        <w:t xml:space="preserve">ului Buzău în perioada 2010-2014 sunt prezentate în tabelul IV.3.1. - 1, respectiv în graficul din figura   IV.3.1. – 1. </w:t>
      </w:r>
    </w:p>
    <w:p w:rsidR="00A93324" w:rsidRPr="00A93324" w:rsidRDefault="00A93324" w:rsidP="00A93324">
      <w:pPr>
        <w:tabs>
          <w:tab w:val="left" w:pos="1276"/>
          <w:tab w:val="left" w:leader="dot" w:pos="9356"/>
        </w:tabs>
        <w:spacing w:after="120" w:line="240" w:lineRule="auto"/>
        <w:ind w:left="350"/>
        <w:rPr>
          <w:rFonts w:ascii="Arial" w:eastAsia="SimSun" w:hAnsi="Arial" w:cs="Arial"/>
          <w:b/>
          <w:iCs/>
          <w:sz w:val="24"/>
          <w:szCs w:val="24"/>
          <w:lang w:val="ro-RO"/>
        </w:rPr>
      </w:pPr>
      <w:r w:rsidRPr="00A93324">
        <w:rPr>
          <w:rFonts w:ascii="Arial" w:eastAsia="SimSun" w:hAnsi="Arial" w:cs="Arial"/>
          <w:b/>
          <w:iCs/>
          <w:sz w:val="24"/>
          <w:szCs w:val="24"/>
          <w:lang w:val="ro-RO"/>
        </w:rPr>
        <w:t xml:space="preserve">Tabel IV.3.1. - 1 Populaţia judeţului Buzău în perioada 2010-2014                                                                                                                                                                 </w:t>
      </w:r>
    </w:p>
    <w:tbl>
      <w:tblPr>
        <w:tblW w:w="978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661"/>
        <w:gridCol w:w="895"/>
        <w:gridCol w:w="1006"/>
        <w:gridCol w:w="928"/>
        <w:gridCol w:w="895"/>
        <w:gridCol w:w="1006"/>
        <w:gridCol w:w="1039"/>
        <w:gridCol w:w="1002"/>
        <w:gridCol w:w="1316"/>
        <w:gridCol w:w="1039"/>
      </w:tblGrid>
      <w:tr w:rsidR="00A93324" w:rsidRPr="00A93324" w:rsidTr="00A42550">
        <w:trPr>
          <w:trHeight w:val="710"/>
        </w:trPr>
        <w:tc>
          <w:tcPr>
            <w:tcW w:w="661" w:type="dxa"/>
            <w:vMerge w:val="restart"/>
          </w:tcPr>
          <w:p w:rsidR="00A93324" w:rsidRPr="00A93324" w:rsidRDefault="00A93324" w:rsidP="00A93324">
            <w:pPr>
              <w:tabs>
                <w:tab w:val="left" w:pos="1276"/>
                <w:tab w:val="left" w:leader="dot" w:pos="9356"/>
              </w:tabs>
              <w:spacing w:after="120" w:line="240" w:lineRule="auto"/>
              <w:rPr>
                <w:rFonts w:ascii="Arial" w:eastAsia="SimSun" w:hAnsi="Arial" w:cs="Arial"/>
                <w:bCs/>
                <w:iCs/>
                <w:sz w:val="20"/>
                <w:szCs w:val="20"/>
                <w:lang w:val="ro-RO"/>
              </w:rPr>
            </w:pPr>
          </w:p>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bCs/>
                <w:iCs/>
                <w:sz w:val="20"/>
                <w:szCs w:val="20"/>
                <w:lang w:val="ro-RO"/>
              </w:rPr>
              <w:t>Anul</w:t>
            </w:r>
          </w:p>
        </w:tc>
        <w:tc>
          <w:tcPr>
            <w:tcW w:w="2829" w:type="dxa"/>
            <w:gridSpan w:val="3"/>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Cs/>
                <w:sz w:val="20"/>
                <w:szCs w:val="20"/>
                <w:lang w:val="ro-RO"/>
              </w:rPr>
            </w:pPr>
            <w:r w:rsidRPr="00A93324">
              <w:rPr>
                <w:rFonts w:ascii="Arial" w:eastAsia="SimSun" w:hAnsi="Arial" w:cs="Arial"/>
                <w:b/>
                <w:bCs/>
                <w:iCs/>
                <w:sz w:val="20"/>
                <w:szCs w:val="20"/>
                <w:lang w:val="ro-RO"/>
              </w:rPr>
              <w:t>Total</w:t>
            </w:r>
          </w:p>
          <w:p w:rsidR="00A93324" w:rsidRPr="00A93324" w:rsidRDefault="00A93324" w:rsidP="00A93324">
            <w:pPr>
              <w:tabs>
                <w:tab w:val="left" w:pos="1276"/>
                <w:tab w:val="left" w:leader="dot" w:pos="9356"/>
              </w:tabs>
              <w:spacing w:after="120" w:line="240" w:lineRule="auto"/>
              <w:jc w:val="center"/>
              <w:rPr>
                <w:rFonts w:ascii="Arial" w:eastAsia="SimSun" w:hAnsi="Arial" w:cs="Arial"/>
                <w:b/>
                <w:iCs/>
                <w:sz w:val="20"/>
                <w:szCs w:val="20"/>
                <w:lang w:val="ro-RO"/>
              </w:rPr>
            </w:pPr>
            <w:r w:rsidRPr="00A93324">
              <w:rPr>
                <w:rFonts w:ascii="Arial" w:eastAsia="SimSun" w:hAnsi="Arial" w:cs="Arial"/>
                <w:b/>
                <w:bCs/>
                <w:iCs/>
                <w:sz w:val="20"/>
                <w:szCs w:val="20"/>
                <w:lang w:val="ro-RO"/>
              </w:rPr>
              <w:t>(număr persoane)</w:t>
            </w:r>
          </w:p>
        </w:tc>
        <w:tc>
          <w:tcPr>
            <w:tcW w:w="2940" w:type="dxa"/>
            <w:gridSpan w:val="3"/>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Cs/>
                <w:sz w:val="20"/>
                <w:szCs w:val="20"/>
                <w:lang w:val="ro-RO"/>
              </w:rPr>
            </w:pPr>
            <w:r w:rsidRPr="00A93324">
              <w:rPr>
                <w:rFonts w:ascii="Arial" w:eastAsia="SimSun" w:hAnsi="Arial" w:cs="Arial"/>
                <w:b/>
                <w:bCs/>
                <w:iCs/>
                <w:sz w:val="20"/>
                <w:szCs w:val="20"/>
                <w:lang w:val="ro-RO"/>
              </w:rPr>
              <w:t>Urban</w:t>
            </w:r>
          </w:p>
          <w:p w:rsidR="00A93324" w:rsidRPr="00A93324" w:rsidRDefault="00A93324" w:rsidP="00A93324">
            <w:pPr>
              <w:tabs>
                <w:tab w:val="left" w:pos="1276"/>
                <w:tab w:val="left" w:leader="dot" w:pos="9356"/>
              </w:tabs>
              <w:spacing w:after="120" w:line="240" w:lineRule="auto"/>
              <w:jc w:val="center"/>
              <w:rPr>
                <w:rFonts w:ascii="Arial" w:eastAsia="SimSun" w:hAnsi="Arial" w:cs="Arial"/>
                <w:b/>
                <w:iCs/>
                <w:sz w:val="20"/>
                <w:szCs w:val="20"/>
                <w:lang w:val="ro-RO"/>
              </w:rPr>
            </w:pPr>
            <w:r w:rsidRPr="00A93324">
              <w:rPr>
                <w:rFonts w:ascii="Arial" w:eastAsia="SimSun" w:hAnsi="Arial" w:cs="Arial"/>
                <w:b/>
                <w:bCs/>
                <w:iCs/>
                <w:sz w:val="20"/>
                <w:szCs w:val="20"/>
                <w:lang w:val="ro-RO"/>
              </w:rPr>
              <w:t>(număr persoane)</w:t>
            </w:r>
          </w:p>
        </w:tc>
        <w:tc>
          <w:tcPr>
            <w:tcW w:w="3357" w:type="dxa"/>
            <w:gridSpan w:val="3"/>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bCs/>
                <w:iCs/>
                <w:sz w:val="20"/>
                <w:szCs w:val="20"/>
                <w:lang w:val="ro-RO"/>
              </w:rPr>
            </w:pPr>
            <w:r w:rsidRPr="00A93324">
              <w:rPr>
                <w:rFonts w:ascii="Arial" w:eastAsia="SimSun" w:hAnsi="Arial" w:cs="Arial"/>
                <w:b/>
                <w:bCs/>
                <w:iCs/>
                <w:sz w:val="20"/>
                <w:szCs w:val="20"/>
                <w:lang w:val="ro-RO"/>
              </w:rPr>
              <w:t>Rural</w:t>
            </w:r>
          </w:p>
          <w:p w:rsidR="00A93324" w:rsidRPr="00A93324" w:rsidRDefault="00A93324" w:rsidP="00A93324">
            <w:pPr>
              <w:tabs>
                <w:tab w:val="left" w:pos="1276"/>
                <w:tab w:val="left" w:leader="dot" w:pos="9356"/>
              </w:tabs>
              <w:spacing w:after="120" w:line="240" w:lineRule="auto"/>
              <w:jc w:val="center"/>
              <w:rPr>
                <w:rFonts w:ascii="Arial" w:eastAsia="SimSun" w:hAnsi="Arial" w:cs="Arial"/>
                <w:b/>
                <w:iCs/>
                <w:sz w:val="20"/>
                <w:szCs w:val="20"/>
                <w:lang w:val="ro-RO"/>
              </w:rPr>
            </w:pPr>
            <w:r w:rsidRPr="00A93324">
              <w:rPr>
                <w:rFonts w:ascii="Arial" w:eastAsia="SimSun" w:hAnsi="Arial" w:cs="Arial"/>
                <w:b/>
                <w:bCs/>
                <w:iCs/>
                <w:sz w:val="20"/>
                <w:szCs w:val="20"/>
                <w:lang w:val="ro-RO"/>
              </w:rPr>
              <w:t>(număr persoane)</w:t>
            </w:r>
          </w:p>
        </w:tc>
      </w:tr>
      <w:tr w:rsidR="00A93324" w:rsidRPr="00A93324" w:rsidTr="00A42550">
        <w:tc>
          <w:tcPr>
            <w:tcW w:w="661" w:type="dxa"/>
            <w:vMerge/>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p>
        </w:tc>
        <w:tc>
          <w:tcPr>
            <w:tcW w:w="895"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Ambele</w:t>
            </w:r>
          </w:p>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sexe</w:t>
            </w:r>
          </w:p>
        </w:tc>
        <w:tc>
          <w:tcPr>
            <w:tcW w:w="1006"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Masculin</w:t>
            </w:r>
          </w:p>
        </w:tc>
        <w:tc>
          <w:tcPr>
            <w:tcW w:w="928"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Feminin</w:t>
            </w:r>
          </w:p>
        </w:tc>
        <w:tc>
          <w:tcPr>
            <w:tcW w:w="895"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Ambele</w:t>
            </w:r>
          </w:p>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sexe</w:t>
            </w:r>
          </w:p>
        </w:tc>
        <w:tc>
          <w:tcPr>
            <w:tcW w:w="1006"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Masculin</w:t>
            </w:r>
          </w:p>
        </w:tc>
        <w:tc>
          <w:tcPr>
            <w:tcW w:w="1039"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Feminin</w:t>
            </w:r>
          </w:p>
        </w:tc>
        <w:tc>
          <w:tcPr>
            <w:tcW w:w="1002"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Ambele</w:t>
            </w:r>
          </w:p>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sexe</w:t>
            </w:r>
          </w:p>
        </w:tc>
        <w:tc>
          <w:tcPr>
            <w:tcW w:w="1316"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Masculin</w:t>
            </w:r>
          </w:p>
        </w:tc>
        <w:tc>
          <w:tcPr>
            <w:tcW w:w="1039"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Feminin</w:t>
            </w:r>
          </w:p>
        </w:tc>
      </w:tr>
      <w:tr w:rsidR="00A93324" w:rsidRPr="00A93324" w:rsidTr="00A42550">
        <w:trPr>
          <w:trHeight w:val="344"/>
        </w:trPr>
        <w:tc>
          <w:tcPr>
            <w:tcW w:w="661"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bCs/>
                <w:iCs/>
                <w:sz w:val="20"/>
                <w:szCs w:val="20"/>
                <w:lang w:val="ro-RO"/>
              </w:rPr>
            </w:pPr>
            <w:r w:rsidRPr="00A93324">
              <w:rPr>
                <w:rFonts w:ascii="Arial" w:eastAsia="SimSun" w:hAnsi="Arial" w:cs="Arial"/>
                <w:bCs/>
                <w:iCs/>
                <w:sz w:val="20"/>
                <w:szCs w:val="20"/>
                <w:lang w:val="ro-RO"/>
              </w:rPr>
              <w:t>2010</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497418</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243026</w:t>
            </w:r>
          </w:p>
        </w:tc>
        <w:tc>
          <w:tcPr>
            <w:tcW w:w="928"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254392</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211946</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101971</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109975</w:t>
            </w:r>
          </w:p>
        </w:tc>
        <w:tc>
          <w:tcPr>
            <w:tcW w:w="100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285477</w:t>
            </w:r>
          </w:p>
        </w:tc>
        <w:tc>
          <w:tcPr>
            <w:tcW w:w="131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141055</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144417</w:t>
            </w:r>
          </w:p>
        </w:tc>
      </w:tr>
      <w:tr w:rsidR="00A93324" w:rsidRPr="00A93324" w:rsidTr="00A42550">
        <w:trPr>
          <w:trHeight w:val="506"/>
        </w:trPr>
        <w:tc>
          <w:tcPr>
            <w:tcW w:w="661"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bCs/>
                <w:iCs/>
                <w:sz w:val="20"/>
                <w:szCs w:val="20"/>
                <w:lang w:val="ro-RO"/>
              </w:rPr>
            </w:pPr>
            <w:r w:rsidRPr="00A93324">
              <w:rPr>
                <w:rFonts w:ascii="Arial" w:eastAsia="SimSun" w:hAnsi="Arial" w:cs="Arial"/>
                <w:bCs/>
                <w:iCs/>
                <w:sz w:val="20"/>
                <w:szCs w:val="20"/>
                <w:lang w:val="ro-RO"/>
              </w:rPr>
              <w:t>2011</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494172</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241404</w:t>
            </w:r>
          </w:p>
        </w:tc>
        <w:tc>
          <w:tcPr>
            <w:tcW w:w="928"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252768</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210081</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100931</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109150</w:t>
            </w:r>
          </w:p>
        </w:tc>
        <w:tc>
          <w:tcPr>
            <w:tcW w:w="100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284091</w:t>
            </w:r>
          </w:p>
        </w:tc>
        <w:tc>
          <w:tcPr>
            <w:tcW w:w="131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140473</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143618</w:t>
            </w:r>
          </w:p>
        </w:tc>
      </w:tr>
      <w:tr w:rsidR="00A93324" w:rsidRPr="00A93324" w:rsidTr="00A42550">
        <w:trPr>
          <w:trHeight w:val="362"/>
        </w:trPr>
        <w:tc>
          <w:tcPr>
            <w:tcW w:w="661" w:type="dxa"/>
            <w:vAlign w:val="center"/>
          </w:tcPr>
          <w:p w:rsidR="00A93324" w:rsidRPr="00A93324" w:rsidRDefault="00A93324" w:rsidP="00A93324">
            <w:pPr>
              <w:tabs>
                <w:tab w:val="left" w:pos="1276"/>
                <w:tab w:val="left" w:leader="dot" w:pos="9356"/>
              </w:tabs>
              <w:spacing w:after="120" w:line="240" w:lineRule="auto"/>
              <w:rPr>
                <w:rFonts w:ascii="Arial" w:eastAsia="SimSun" w:hAnsi="Arial" w:cs="Arial"/>
                <w:bCs/>
                <w:iCs/>
                <w:sz w:val="20"/>
                <w:szCs w:val="20"/>
                <w:lang w:val="ro-RO"/>
              </w:rPr>
            </w:pPr>
            <w:r w:rsidRPr="00A93324">
              <w:rPr>
                <w:rFonts w:ascii="Arial" w:eastAsia="SimSun" w:hAnsi="Arial" w:cs="Arial"/>
                <w:bCs/>
                <w:iCs/>
                <w:sz w:val="20"/>
                <w:szCs w:val="20"/>
                <w:lang w:val="ro-RO"/>
              </w:rPr>
              <w:t>2012</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491376</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239940</w:t>
            </w:r>
          </w:p>
        </w:tc>
        <w:tc>
          <w:tcPr>
            <w:tcW w:w="928"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251436</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208395</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99928</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108467</w:t>
            </w:r>
          </w:p>
        </w:tc>
        <w:tc>
          <w:tcPr>
            <w:tcW w:w="100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282981</w:t>
            </w:r>
          </w:p>
        </w:tc>
        <w:tc>
          <w:tcPr>
            <w:tcW w:w="131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140012</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142969</w:t>
            </w:r>
          </w:p>
        </w:tc>
      </w:tr>
      <w:tr w:rsidR="00A93324" w:rsidRPr="00A93324" w:rsidTr="00A42550">
        <w:trPr>
          <w:trHeight w:val="344"/>
        </w:trPr>
        <w:tc>
          <w:tcPr>
            <w:tcW w:w="661" w:type="dxa"/>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2013</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488108</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238323</w:t>
            </w:r>
          </w:p>
        </w:tc>
        <w:tc>
          <w:tcPr>
            <w:tcW w:w="928"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249785</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207092</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99176</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107916</w:t>
            </w:r>
          </w:p>
        </w:tc>
        <w:tc>
          <w:tcPr>
            <w:tcW w:w="100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281016</w:t>
            </w:r>
          </w:p>
        </w:tc>
        <w:tc>
          <w:tcPr>
            <w:tcW w:w="131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139147</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141869</w:t>
            </w:r>
          </w:p>
        </w:tc>
      </w:tr>
      <w:tr w:rsidR="00A93324" w:rsidRPr="00A93324" w:rsidTr="00A42550">
        <w:trPr>
          <w:trHeight w:val="339"/>
        </w:trPr>
        <w:tc>
          <w:tcPr>
            <w:tcW w:w="661" w:type="dxa"/>
          </w:tcPr>
          <w:p w:rsidR="00A93324" w:rsidRPr="00A93324" w:rsidRDefault="00A93324" w:rsidP="00A93324">
            <w:pPr>
              <w:tabs>
                <w:tab w:val="left" w:pos="1276"/>
                <w:tab w:val="left" w:leader="dot" w:pos="9356"/>
              </w:tabs>
              <w:spacing w:after="120" w:line="240" w:lineRule="auto"/>
              <w:rPr>
                <w:rFonts w:ascii="Arial" w:eastAsia="SimSun" w:hAnsi="Arial" w:cs="Arial"/>
                <w:iCs/>
                <w:sz w:val="20"/>
                <w:szCs w:val="20"/>
                <w:lang w:val="ro-RO"/>
              </w:rPr>
            </w:pPr>
            <w:r w:rsidRPr="00A93324">
              <w:rPr>
                <w:rFonts w:ascii="Arial" w:eastAsia="SimSun" w:hAnsi="Arial" w:cs="Arial"/>
                <w:iCs/>
                <w:sz w:val="20"/>
                <w:szCs w:val="20"/>
                <w:lang w:val="ro-RO"/>
              </w:rPr>
              <w:t>2014</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484524</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236529</w:t>
            </w:r>
          </w:p>
        </w:tc>
        <w:tc>
          <w:tcPr>
            <w:tcW w:w="928"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247995</w:t>
            </w:r>
          </w:p>
        </w:tc>
        <w:tc>
          <w:tcPr>
            <w:tcW w:w="895"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205544</w:t>
            </w:r>
          </w:p>
        </w:tc>
        <w:tc>
          <w:tcPr>
            <w:tcW w:w="100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98321</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107223</w:t>
            </w:r>
          </w:p>
        </w:tc>
        <w:tc>
          <w:tcPr>
            <w:tcW w:w="100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278980</w:t>
            </w:r>
          </w:p>
        </w:tc>
        <w:tc>
          <w:tcPr>
            <w:tcW w:w="1316"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138208</w:t>
            </w:r>
          </w:p>
        </w:tc>
        <w:tc>
          <w:tcPr>
            <w:tcW w:w="103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sz w:val="20"/>
                <w:szCs w:val="20"/>
                <w:lang w:val="ro-RO"/>
              </w:rPr>
            </w:pPr>
            <w:r w:rsidRPr="00A93324">
              <w:rPr>
                <w:rFonts w:ascii="Arial" w:eastAsia="SimSun" w:hAnsi="Arial" w:cs="Arial"/>
                <w:iCs/>
                <w:sz w:val="20"/>
                <w:szCs w:val="20"/>
                <w:lang w:val="ro-RO"/>
              </w:rPr>
              <w:t>140772</w:t>
            </w:r>
          </w:p>
        </w:tc>
      </w:tr>
    </w:tbl>
    <w:p w:rsidR="00A93324" w:rsidRPr="00A93324" w:rsidRDefault="00A93324" w:rsidP="00A93324">
      <w:pPr>
        <w:tabs>
          <w:tab w:val="left" w:pos="1276"/>
          <w:tab w:val="left" w:leader="dot" w:pos="9356"/>
        </w:tabs>
        <w:spacing w:after="120" w:line="240" w:lineRule="auto"/>
        <w:ind w:left="350"/>
        <w:jc w:val="right"/>
        <w:rPr>
          <w:rFonts w:ascii="Arial" w:eastAsia="SimSun" w:hAnsi="Arial" w:cs="Arial"/>
          <w:i/>
          <w:iCs/>
          <w:sz w:val="24"/>
          <w:szCs w:val="24"/>
          <w:lang w:val="ro-RO"/>
        </w:rPr>
      </w:pPr>
      <w:r w:rsidRPr="00A93324">
        <w:rPr>
          <w:rFonts w:ascii="Arial" w:eastAsia="SimSun" w:hAnsi="Arial" w:cs="Arial"/>
          <w:i/>
          <w:iCs/>
          <w:sz w:val="24"/>
          <w:szCs w:val="24"/>
          <w:lang w:val="ro-RO"/>
        </w:rPr>
        <w:t xml:space="preserve">  Sursa: Direc</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ia Jude</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ind w:left="350"/>
        <w:jc w:val="right"/>
        <w:rPr>
          <w:rFonts w:ascii="Arial" w:eastAsia="SimSun" w:hAnsi="Arial" w:cs="Arial"/>
          <w:i/>
          <w:iCs/>
          <w:sz w:val="24"/>
          <w:szCs w:val="24"/>
          <w:lang w:val="ro-RO"/>
        </w:rPr>
      </w:pPr>
    </w:p>
    <w:p w:rsidR="00A93324" w:rsidRPr="00A93324" w:rsidRDefault="00A93324" w:rsidP="00A93324">
      <w:pPr>
        <w:tabs>
          <w:tab w:val="left" w:pos="1276"/>
          <w:tab w:val="left" w:leader="dot" w:pos="9356"/>
        </w:tabs>
        <w:spacing w:after="120" w:line="240" w:lineRule="auto"/>
        <w:ind w:left="350"/>
        <w:rPr>
          <w:rFonts w:ascii="Arial" w:eastAsia="SimSun" w:hAnsi="Arial" w:cs="Arial"/>
          <w:b/>
          <w:iCs/>
          <w:sz w:val="24"/>
          <w:szCs w:val="24"/>
          <w:lang w:val="ro-RO"/>
        </w:rPr>
      </w:pPr>
      <w:r w:rsidRPr="00A93324">
        <w:rPr>
          <w:rFonts w:ascii="Arial" w:eastAsia="SimSun" w:hAnsi="Arial" w:cs="Arial"/>
          <w:b/>
          <w:iCs/>
          <w:sz w:val="24"/>
          <w:szCs w:val="24"/>
          <w:lang w:val="ro-RO"/>
        </w:rPr>
        <w:t>Figura IV.3.1. - 1 Evoluţia popula</w:t>
      </w:r>
      <w:r w:rsidRPr="00A93324">
        <w:rPr>
          <w:rFonts w:ascii="Tahoma" w:eastAsia="SimSun" w:hAnsi="Tahoma" w:cs="Tahoma"/>
          <w:b/>
          <w:iCs/>
          <w:sz w:val="24"/>
          <w:szCs w:val="24"/>
          <w:lang w:val="ro-RO"/>
        </w:rPr>
        <w:t>ţ</w:t>
      </w:r>
      <w:r w:rsidRPr="00A93324">
        <w:rPr>
          <w:rFonts w:ascii="Arial" w:eastAsia="SimSun" w:hAnsi="Arial" w:cs="Arial"/>
          <w:b/>
          <w:iCs/>
          <w:sz w:val="24"/>
          <w:szCs w:val="24"/>
          <w:lang w:val="ro-RO"/>
        </w:rPr>
        <w:t>iei jude</w:t>
      </w:r>
      <w:r w:rsidRPr="00A93324">
        <w:rPr>
          <w:rFonts w:ascii="Tahoma" w:eastAsia="SimSun" w:hAnsi="Tahoma" w:cs="Tahoma"/>
          <w:b/>
          <w:iCs/>
          <w:sz w:val="24"/>
          <w:szCs w:val="24"/>
          <w:lang w:val="ro-RO"/>
        </w:rPr>
        <w:t>ţ</w:t>
      </w:r>
      <w:r w:rsidRPr="00A93324">
        <w:rPr>
          <w:rFonts w:ascii="Arial" w:eastAsia="SimSun" w:hAnsi="Arial" w:cs="Arial"/>
          <w:b/>
          <w:iCs/>
          <w:sz w:val="24"/>
          <w:szCs w:val="24"/>
          <w:lang w:val="ro-RO"/>
        </w:rPr>
        <w:t xml:space="preserve">ului Buzău în perioada 2010-2014                                                                                                                                                                 </w:t>
      </w:r>
    </w:p>
    <w:p w:rsidR="00A93324" w:rsidRPr="00A93324" w:rsidRDefault="00A93324" w:rsidP="00A93324">
      <w:pPr>
        <w:tabs>
          <w:tab w:val="left" w:pos="1276"/>
          <w:tab w:val="left" w:leader="dot" w:pos="9356"/>
        </w:tabs>
        <w:spacing w:after="120" w:line="240" w:lineRule="auto"/>
        <w:ind w:left="350"/>
        <w:rPr>
          <w:rFonts w:ascii="Arial" w:eastAsia="SimSun" w:hAnsi="Arial" w:cs="Arial"/>
          <w:i/>
          <w:iCs/>
          <w:sz w:val="24"/>
          <w:szCs w:val="24"/>
          <w:lang w:val="ro-RO"/>
        </w:rPr>
      </w:pPr>
      <w:r>
        <w:rPr>
          <w:rFonts w:ascii="Times New Roman" w:eastAsia="SimSun" w:hAnsi="Times New Roman"/>
          <w:noProof/>
          <w:sz w:val="24"/>
          <w:szCs w:val="24"/>
          <w:lang w:val="ro-RO" w:eastAsia="ro-RO"/>
        </w:rPr>
        <w:drawing>
          <wp:inline distT="0" distB="0" distL="0" distR="0">
            <wp:extent cx="5486400" cy="2466975"/>
            <wp:effectExtent l="0" t="0" r="0" b="0"/>
            <wp:docPr id="168" name="Object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A93324">
        <w:rPr>
          <w:rFonts w:ascii="Arial" w:eastAsia="SimSun" w:hAnsi="Arial" w:cs="Arial"/>
          <w:i/>
          <w:iCs/>
          <w:sz w:val="24"/>
          <w:szCs w:val="24"/>
          <w:lang w:val="ro-RO"/>
        </w:rPr>
        <w:t xml:space="preserve">                           </w:t>
      </w:r>
    </w:p>
    <w:p w:rsidR="00A93324" w:rsidRPr="00A93324" w:rsidRDefault="00A93324" w:rsidP="00A93324">
      <w:pPr>
        <w:tabs>
          <w:tab w:val="left" w:pos="1276"/>
          <w:tab w:val="left" w:leader="dot" w:pos="9356"/>
        </w:tabs>
        <w:spacing w:after="120" w:line="240" w:lineRule="auto"/>
        <w:ind w:left="350"/>
        <w:jc w:val="right"/>
        <w:rPr>
          <w:rFonts w:ascii="Arial" w:eastAsia="SimSun" w:hAnsi="Arial" w:cs="Arial"/>
          <w:i/>
          <w:iCs/>
          <w:sz w:val="24"/>
          <w:szCs w:val="24"/>
          <w:lang w:val="ro-RO"/>
        </w:rPr>
      </w:pPr>
      <w:r w:rsidRPr="00A93324">
        <w:rPr>
          <w:rFonts w:ascii="Arial" w:eastAsia="SimSun" w:hAnsi="Arial" w:cs="Arial"/>
          <w:b/>
          <w:i/>
          <w:iCs/>
          <w:sz w:val="24"/>
          <w:szCs w:val="24"/>
          <w:lang w:val="ro-RO"/>
        </w:rPr>
        <w:t xml:space="preserve">  </w:t>
      </w:r>
      <w:r w:rsidRPr="00A93324">
        <w:rPr>
          <w:rFonts w:ascii="Arial" w:eastAsia="SimSun" w:hAnsi="Arial" w:cs="Arial"/>
          <w:i/>
          <w:iCs/>
          <w:sz w:val="24"/>
          <w:szCs w:val="24"/>
          <w:lang w:val="ro-RO"/>
        </w:rPr>
        <w:t>Sursa: Direc</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ia Jude</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Din datele analizate se observă o continuare a tendinţei de scădere a populaţiei judeţului Buzău în ultimii 5 ani, similar tendinţelor identificate cu ocazia efectuării Recensământului din 2011. </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sidRPr="00A93324">
        <w:rPr>
          <w:rFonts w:ascii="Arial" w:eastAsia="SimSun" w:hAnsi="Arial" w:cs="Arial"/>
          <w:iCs/>
          <w:sz w:val="24"/>
          <w:szCs w:val="24"/>
          <w:lang w:val="ro-RO"/>
        </w:rPr>
        <w:t xml:space="preserve">Evoluţia densităţii populaţiei din judeţul Buzău, la nivelul celor mai importante aglomerări urbane din judeţ este prezentată în tabelul IV.3.1-2 şi în figurile IV.3.1.-2 şi IV.3.1.-3 de mai jos. </w:t>
      </w:r>
    </w:p>
    <w:p w:rsidR="00A93324" w:rsidRPr="00A93324" w:rsidRDefault="00A93324" w:rsidP="00A93324">
      <w:pPr>
        <w:tabs>
          <w:tab w:val="left" w:pos="1276"/>
          <w:tab w:val="left" w:leader="dot" w:pos="9356"/>
        </w:tabs>
        <w:spacing w:after="120" w:line="240" w:lineRule="auto"/>
        <w:rPr>
          <w:rFonts w:ascii="Arial" w:eastAsia="SimSun" w:hAnsi="Arial" w:cs="Arial"/>
          <w:b/>
          <w:sz w:val="24"/>
          <w:szCs w:val="24"/>
          <w:lang w:val="ro-RO"/>
        </w:rPr>
      </w:pPr>
      <w:r w:rsidRPr="00A93324">
        <w:rPr>
          <w:rFonts w:ascii="Arial" w:eastAsia="SimSun" w:hAnsi="Arial" w:cs="Arial"/>
          <w:b/>
          <w:iCs/>
          <w:sz w:val="24"/>
          <w:szCs w:val="24"/>
          <w:lang w:val="ro-RO"/>
        </w:rPr>
        <w:t xml:space="preserve">Tabel IV.3.1. – 2 </w:t>
      </w:r>
      <w:r w:rsidRPr="00A93324">
        <w:rPr>
          <w:rFonts w:ascii="Arial" w:eastAsia="SimSun" w:hAnsi="Arial" w:cs="Arial"/>
          <w:b/>
          <w:sz w:val="24"/>
          <w:szCs w:val="24"/>
          <w:lang w:val="ro-RO"/>
        </w:rPr>
        <w:t>Evolu</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ia densită</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ii popula</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iei în jude</w:t>
      </w:r>
      <w:r w:rsidRPr="00A93324">
        <w:rPr>
          <w:rFonts w:ascii="Tahoma" w:eastAsia="SimSun" w:hAnsi="Tahoma" w:cs="Tahoma"/>
          <w:b/>
          <w:sz w:val="24"/>
          <w:szCs w:val="24"/>
          <w:lang w:val="ro-RO"/>
        </w:rPr>
        <w:t>ţ</w:t>
      </w:r>
      <w:r w:rsidRPr="00A93324">
        <w:rPr>
          <w:rFonts w:ascii="Arial" w:eastAsia="SimSun" w:hAnsi="Arial" w:cs="Arial"/>
          <w:b/>
          <w:sz w:val="24"/>
          <w:szCs w:val="24"/>
          <w:lang w:val="ro-RO"/>
        </w:rPr>
        <w:t>ul Buzău în perioada 2010-2014</w:t>
      </w:r>
    </w:p>
    <w:tbl>
      <w:tblPr>
        <w:tblW w:w="0" w:type="auto"/>
        <w:jc w:val="center"/>
        <w:tblInd w:w="250"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tblPr>
      <w:tblGrid>
        <w:gridCol w:w="559"/>
        <w:gridCol w:w="1431"/>
        <w:gridCol w:w="1287"/>
        <w:gridCol w:w="962"/>
        <w:gridCol w:w="962"/>
        <w:gridCol w:w="951"/>
        <w:gridCol w:w="951"/>
        <w:gridCol w:w="1195"/>
        <w:gridCol w:w="1305"/>
      </w:tblGrid>
      <w:tr w:rsidR="00A93324" w:rsidRPr="00A93324" w:rsidTr="00A42550">
        <w:trPr>
          <w:trHeight w:val="325"/>
          <w:jc w:val="center"/>
        </w:trPr>
        <w:tc>
          <w:tcPr>
            <w:tcW w:w="559" w:type="dxa"/>
            <w:vMerge w:val="restart"/>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lang w:val="ro-RO"/>
              </w:rPr>
            </w:pPr>
            <w:r w:rsidRPr="00A93324">
              <w:rPr>
                <w:rFonts w:ascii="Arial" w:eastAsia="SimSun" w:hAnsi="Arial" w:cs="Arial"/>
                <w:b/>
                <w:lang w:val="ro-RO"/>
              </w:rPr>
              <w:t>Nr. crt.</w:t>
            </w:r>
          </w:p>
        </w:tc>
        <w:tc>
          <w:tcPr>
            <w:tcW w:w="1431" w:type="dxa"/>
            <w:vMerge w:val="restart"/>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lang w:val="ro-RO"/>
              </w:rPr>
            </w:pPr>
            <w:r w:rsidRPr="00A93324">
              <w:rPr>
                <w:rFonts w:ascii="Arial" w:eastAsia="SimSun" w:hAnsi="Arial" w:cs="Arial"/>
                <w:b/>
                <w:lang w:val="ro-RO"/>
              </w:rPr>
              <w:t>Oraşul</w:t>
            </w:r>
          </w:p>
        </w:tc>
        <w:tc>
          <w:tcPr>
            <w:tcW w:w="5113" w:type="dxa"/>
            <w:gridSpan w:val="5"/>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lang w:val="ro-RO"/>
              </w:rPr>
            </w:pPr>
            <w:r w:rsidRPr="00A93324">
              <w:rPr>
                <w:rFonts w:ascii="Arial" w:eastAsia="SimSun" w:hAnsi="Arial" w:cs="Arial"/>
                <w:b/>
                <w:lang w:val="ro-RO"/>
              </w:rPr>
              <w:t>Număr loc./Km²</w:t>
            </w:r>
          </w:p>
        </w:tc>
        <w:tc>
          <w:tcPr>
            <w:tcW w:w="1195" w:type="dxa"/>
            <w:vMerge w:val="restart"/>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lang w:val="ro-RO"/>
              </w:rPr>
            </w:pPr>
            <w:r w:rsidRPr="00A93324">
              <w:rPr>
                <w:rFonts w:ascii="Arial" w:eastAsia="SimSun" w:hAnsi="Arial" w:cs="Arial"/>
                <w:b/>
                <w:lang w:val="ro-RO"/>
              </w:rPr>
              <w:t>Diferenţa</w:t>
            </w:r>
          </w:p>
          <w:p w:rsidR="00A93324" w:rsidRPr="00A93324" w:rsidRDefault="00A93324" w:rsidP="00A93324">
            <w:pPr>
              <w:tabs>
                <w:tab w:val="left" w:pos="1276"/>
                <w:tab w:val="left" w:leader="dot" w:pos="9356"/>
              </w:tabs>
              <w:spacing w:after="0" w:line="240" w:lineRule="auto"/>
              <w:jc w:val="center"/>
              <w:rPr>
                <w:rFonts w:ascii="Arial" w:eastAsia="SimSun" w:hAnsi="Arial" w:cs="Arial"/>
                <w:b/>
                <w:vertAlign w:val="superscript"/>
                <w:lang w:val="ro-RO"/>
              </w:rPr>
            </w:pPr>
            <w:r w:rsidRPr="00A93324">
              <w:rPr>
                <w:rFonts w:ascii="Arial" w:eastAsia="SimSun" w:hAnsi="Arial" w:cs="Arial"/>
                <w:b/>
                <w:lang w:val="ro-RO"/>
              </w:rPr>
              <w:t>densităţii în raport cu anul 2010 loc./km</w:t>
            </w:r>
            <w:r w:rsidRPr="00A93324">
              <w:rPr>
                <w:rFonts w:ascii="Arial" w:eastAsia="SimSun" w:hAnsi="Arial" w:cs="Arial"/>
                <w:b/>
                <w:vertAlign w:val="superscript"/>
                <w:lang w:val="ro-RO"/>
              </w:rPr>
              <w:t>2</w:t>
            </w:r>
          </w:p>
        </w:tc>
        <w:tc>
          <w:tcPr>
            <w:tcW w:w="1305" w:type="dxa"/>
            <w:vMerge w:val="restart"/>
            <w:shd w:val="clear" w:color="auto" w:fill="auto"/>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lang w:val="ro-RO"/>
              </w:rPr>
            </w:pPr>
            <w:r w:rsidRPr="00A93324">
              <w:rPr>
                <w:rFonts w:ascii="Arial" w:eastAsia="SimSun" w:hAnsi="Arial" w:cs="Arial"/>
                <w:b/>
                <w:lang w:val="ro-RO"/>
              </w:rPr>
              <w:t>Diferenţa ca % din densitatea anului 2010</w:t>
            </w:r>
          </w:p>
        </w:tc>
      </w:tr>
      <w:tr w:rsidR="00A93324" w:rsidRPr="00A93324" w:rsidTr="00A42550">
        <w:trPr>
          <w:jc w:val="center"/>
        </w:trPr>
        <w:tc>
          <w:tcPr>
            <w:tcW w:w="559" w:type="dxa"/>
            <w:vMerge/>
          </w:tcPr>
          <w:p w:rsidR="00A93324" w:rsidRPr="00A93324" w:rsidRDefault="00A93324" w:rsidP="00A93324">
            <w:pPr>
              <w:tabs>
                <w:tab w:val="left" w:pos="1276"/>
                <w:tab w:val="left" w:leader="dot" w:pos="9356"/>
              </w:tabs>
              <w:spacing w:after="120" w:line="240" w:lineRule="auto"/>
              <w:rPr>
                <w:rFonts w:ascii="Arial" w:eastAsia="SimSun" w:hAnsi="Arial" w:cs="Arial"/>
                <w:b/>
                <w:sz w:val="24"/>
                <w:szCs w:val="24"/>
                <w:lang w:val="ro-RO"/>
              </w:rPr>
            </w:pPr>
          </w:p>
        </w:tc>
        <w:tc>
          <w:tcPr>
            <w:tcW w:w="1431" w:type="dxa"/>
            <w:vMerge/>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p>
        </w:tc>
        <w:tc>
          <w:tcPr>
            <w:tcW w:w="12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lang w:val="ro-RO"/>
              </w:rPr>
            </w:pPr>
            <w:r w:rsidRPr="00A93324">
              <w:rPr>
                <w:rFonts w:ascii="Arial" w:eastAsia="SimSun" w:hAnsi="Arial" w:cs="Arial"/>
                <w:b/>
                <w:lang w:val="ro-RO"/>
              </w:rPr>
              <w:t>2010</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lang w:val="ro-RO"/>
              </w:rPr>
            </w:pPr>
            <w:r w:rsidRPr="00A93324">
              <w:rPr>
                <w:rFonts w:ascii="Arial" w:eastAsia="SimSun" w:hAnsi="Arial" w:cs="Arial"/>
                <w:b/>
                <w:lang w:val="ro-RO"/>
              </w:rPr>
              <w:t>2011</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lang w:val="ro-RO"/>
              </w:rPr>
            </w:pPr>
            <w:r w:rsidRPr="00A93324">
              <w:rPr>
                <w:rFonts w:ascii="Arial" w:eastAsia="SimSun" w:hAnsi="Arial" w:cs="Arial"/>
                <w:b/>
                <w:lang w:val="ro-RO"/>
              </w:rPr>
              <w:t>2012</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lang w:val="ro-RO"/>
              </w:rPr>
            </w:pPr>
            <w:r w:rsidRPr="00A93324">
              <w:rPr>
                <w:rFonts w:ascii="Arial" w:eastAsia="SimSun" w:hAnsi="Arial" w:cs="Arial"/>
                <w:b/>
                <w:lang w:val="ro-RO"/>
              </w:rPr>
              <w:t>2013</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lang w:val="ro-RO"/>
              </w:rPr>
            </w:pPr>
            <w:r w:rsidRPr="00A93324">
              <w:rPr>
                <w:rFonts w:ascii="Arial" w:eastAsia="SimSun" w:hAnsi="Arial" w:cs="Arial"/>
                <w:b/>
                <w:lang w:val="ro-RO"/>
              </w:rPr>
              <w:t>2014</w:t>
            </w:r>
          </w:p>
        </w:tc>
        <w:tc>
          <w:tcPr>
            <w:tcW w:w="1195" w:type="dxa"/>
            <w:vMerge/>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p>
        </w:tc>
        <w:tc>
          <w:tcPr>
            <w:tcW w:w="1305" w:type="dxa"/>
            <w:vMerge/>
            <w:shd w:val="clear" w:color="auto" w:fill="auto"/>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p>
        </w:tc>
      </w:tr>
      <w:tr w:rsidR="00A93324" w:rsidRPr="00A93324" w:rsidTr="00A42550">
        <w:trPr>
          <w:jc w:val="center"/>
        </w:trPr>
        <w:tc>
          <w:tcPr>
            <w:tcW w:w="559"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w:t>
            </w:r>
          </w:p>
        </w:tc>
        <w:tc>
          <w:tcPr>
            <w:tcW w:w="143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Municipiul Buzău</w:t>
            </w:r>
          </w:p>
        </w:tc>
        <w:tc>
          <w:tcPr>
            <w:tcW w:w="12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1743,1</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1727,3</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1711,9</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1700,3</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1688,0</w:t>
            </w:r>
          </w:p>
        </w:tc>
        <w:tc>
          <w:tcPr>
            <w:tcW w:w="119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-55,1</w:t>
            </w:r>
          </w:p>
        </w:tc>
        <w:tc>
          <w:tcPr>
            <w:tcW w:w="130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-3,16</w:t>
            </w:r>
          </w:p>
        </w:tc>
      </w:tr>
      <w:tr w:rsidR="00A93324" w:rsidRPr="00A93324" w:rsidTr="00A42550">
        <w:trPr>
          <w:jc w:val="center"/>
        </w:trPr>
        <w:tc>
          <w:tcPr>
            <w:tcW w:w="559"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w:t>
            </w:r>
          </w:p>
        </w:tc>
        <w:tc>
          <w:tcPr>
            <w:tcW w:w="143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Municipiul Rîmnicu Sărat</w:t>
            </w:r>
          </w:p>
        </w:tc>
        <w:tc>
          <w:tcPr>
            <w:tcW w:w="12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801,2</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795,1</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789,5</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787,3</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788,7</w:t>
            </w:r>
          </w:p>
        </w:tc>
        <w:tc>
          <w:tcPr>
            <w:tcW w:w="119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-12,5</w:t>
            </w:r>
          </w:p>
        </w:tc>
        <w:tc>
          <w:tcPr>
            <w:tcW w:w="130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-1,56</w:t>
            </w:r>
          </w:p>
        </w:tc>
      </w:tr>
      <w:tr w:rsidR="00A93324" w:rsidRPr="00A93324" w:rsidTr="00A42550">
        <w:trPr>
          <w:jc w:val="center"/>
        </w:trPr>
        <w:tc>
          <w:tcPr>
            <w:tcW w:w="559"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w:t>
            </w:r>
          </w:p>
        </w:tc>
        <w:tc>
          <w:tcPr>
            <w:tcW w:w="143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Ora</w:t>
            </w:r>
            <w:r w:rsidRPr="00A93324">
              <w:rPr>
                <w:rFonts w:ascii="Tahoma" w:eastAsia="SimSun" w:hAnsi="Tahoma" w:cs="Tahoma"/>
                <w:sz w:val="24"/>
                <w:szCs w:val="24"/>
                <w:lang w:val="ro-RO"/>
              </w:rPr>
              <w:t>ş</w:t>
            </w:r>
            <w:r w:rsidRPr="00A93324">
              <w:rPr>
                <w:rFonts w:ascii="Arial" w:eastAsia="SimSun" w:hAnsi="Arial" w:cs="Arial"/>
                <w:sz w:val="24"/>
                <w:szCs w:val="24"/>
                <w:lang w:val="ro-RO"/>
              </w:rPr>
              <w:t xml:space="preserve"> Nehoiu</w:t>
            </w:r>
          </w:p>
        </w:tc>
        <w:tc>
          <w:tcPr>
            <w:tcW w:w="12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104,5</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103,2</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102,5</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101,8</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100,9</w:t>
            </w:r>
          </w:p>
        </w:tc>
        <w:tc>
          <w:tcPr>
            <w:tcW w:w="119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-3,6</w:t>
            </w:r>
          </w:p>
        </w:tc>
        <w:tc>
          <w:tcPr>
            <w:tcW w:w="130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-3,44</w:t>
            </w:r>
          </w:p>
        </w:tc>
      </w:tr>
      <w:tr w:rsidR="00A93324" w:rsidRPr="00A93324" w:rsidTr="00A42550">
        <w:trPr>
          <w:jc w:val="center"/>
        </w:trPr>
        <w:tc>
          <w:tcPr>
            <w:tcW w:w="559"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4</w:t>
            </w:r>
          </w:p>
        </w:tc>
        <w:tc>
          <w:tcPr>
            <w:tcW w:w="143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Ora</w:t>
            </w:r>
            <w:r w:rsidRPr="00A93324">
              <w:rPr>
                <w:rFonts w:ascii="Tahoma" w:eastAsia="SimSun" w:hAnsi="Tahoma" w:cs="Tahoma"/>
                <w:sz w:val="24"/>
                <w:szCs w:val="24"/>
                <w:lang w:val="ro-RO"/>
              </w:rPr>
              <w:t>ş</w:t>
            </w:r>
            <w:r w:rsidRPr="00A93324">
              <w:rPr>
                <w:rFonts w:ascii="Arial" w:eastAsia="SimSun" w:hAnsi="Arial" w:cs="Arial"/>
                <w:sz w:val="24"/>
                <w:szCs w:val="24"/>
                <w:lang w:val="ro-RO"/>
              </w:rPr>
              <w:t xml:space="preserve"> Pătârlagele</w:t>
            </w:r>
          </w:p>
        </w:tc>
        <w:tc>
          <w:tcPr>
            <w:tcW w:w="12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101,7</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101,0</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100,5</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99,7</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99,2</w:t>
            </w:r>
          </w:p>
        </w:tc>
        <w:tc>
          <w:tcPr>
            <w:tcW w:w="119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-2,5</w:t>
            </w:r>
          </w:p>
        </w:tc>
        <w:tc>
          <w:tcPr>
            <w:tcW w:w="130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-2,46</w:t>
            </w:r>
          </w:p>
        </w:tc>
      </w:tr>
      <w:tr w:rsidR="00A93324" w:rsidRPr="00A93324" w:rsidTr="00A42550">
        <w:trPr>
          <w:jc w:val="center"/>
        </w:trPr>
        <w:tc>
          <w:tcPr>
            <w:tcW w:w="559"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5</w:t>
            </w:r>
          </w:p>
        </w:tc>
        <w:tc>
          <w:tcPr>
            <w:tcW w:w="1431" w:type="dxa"/>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Ora</w:t>
            </w:r>
            <w:r w:rsidRPr="00A93324">
              <w:rPr>
                <w:rFonts w:ascii="Tahoma" w:eastAsia="SimSun" w:hAnsi="Tahoma" w:cs="Tahoma"/>
                <w:sz w:val="24"/>
                <w:szCs w:val="24"/>
                <w:lang w:val="ro-RO"/>
              </w:rPr>
              <w:t>ş</w:t>
            </w:r>
          </w:p>
          <w:p w:rsidR="00A93324" w:rsidRPr="00A93324" w:rsidRDefault="00A93324" w:rsidP="00A93324">
            <w:pPr>
              <w:tabs>
                <w:tab w:val="left" w:pos="1276"/>
                <w:tab w:val="left" w:leader="dot" w:pos="9356"/>
              </w:tabs>
              <w:spacing w:after="0" w:line="240" w:lineRule="auto"/>
              <w:jc w:val="center"/>
              <w:rPr>
                <w:rFonts w:ascii="Arial" w:eastAsia="SimSun" w:hAnsi="Arial" w:cs="Arial"/>
                <w:sz w:val="24"/>
                <w:szCs w:val="24"/>
                <w:lang w:val="ro-RO"/>
              </w:rPr>
            </w:pPr>
            <w:r w:rsidRPr="00A93324">
              <w:rPr>
                <w:rFonts w:ascii="Arial" w:eastAsia="SimSun" w:hAnsi="Arial" w:cs="Arial"/>
                <w:sz w:val="24"/>
                <w:szCs w:val="24"/>
                <w:lang w:val="ro-RO"/>
              </w:rPr>
              <w:t>Pogoanele</w:t>
            </w:r>
          </w:p>
        </w:tc>
        <w:tc>
          <w:tcPr>
            <w:tcW w:w="12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64,3</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63,8</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63,6</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62,9</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62,0</w:t>
            </w:r>
          </w:p>
        </w:tc>
        <w:tc>
          <w:tcPr>
            <w:tcW w:w="119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-2,3</w:t>
            </w:r>
          </w:p>
        </w:tc>
        <w:tc>
          <w:tcPr>
            <w:tcW w:w="1305" w:type="dxa"/>
            <w:shd w:val="clear" w:color="auto" w:fill="auto"/>
            <w:vAlign w:val="bottom"/>
          </w:tcPr>
          <w:p w:rsidR="00A93324" w:rsidRPr="00A93324" w:rsidRDefault="00A93324" w:rsidP="00A93324">
            <w:pPr>
              <w:spacing w:after="120" w:line="240" w:lineRule="auto"/>
              <w:jc w:val="center"/>
              <w:rPr>
                <w:rFonts w:ascii="Arial" w:eastAsia="SimSun" w:hAnsi="Arial" w:cs="Arial"/>
                <w:sz w:val="24"/>
                <w:szCs w:val="24"/>
                <w:lang w:val="ro-RO"/>
              </w:rPr>
            </w:pPr>
            <w:r w:rsidRPr="00A93324">
              <w:rPr>
                <w:rFonts w:ascii="Arial" w:eastAsia="SimSun" w:hAnsi="Arial" w:cs="Arial"/>
                <w:sz w:val="24"/>
                <w:szCs w:val="24"/>
                <w:lang w:val="ro-RO"/>
              </w:rPr>
              <w:t>-3,58</w:t>
            </w:r>
          </w:p>
        </w:tc>
      </w:tr>
      <w:tr w:rsidR="00A93324" w:rsidRPr="00A93324" w:rsidTr="00A42550">
        <w:trPr>
          <w:jc w:val="center"/>
        </w:trPr>
        <w:tc>
          <w:tcPr>
            <w:tcW w:w="1990" w:type="dxa"/>
            <w:gridSpan w:val="2"/>
            <w:vAlign w:val="center"/>
          </w:tcPr>
          <w:p w:rsidR="00A93324" w:rsidRPr="00A93324" w:rsidRDefault="00A93324" w:rsidP="00A93324">
            <w:pPr>
              <w:tabs>
                <w:tab w:val="left" w:pos="1276"/>
                <w:tab w:val="left" w:leader="dot" w:pos="9356"/>
              </w:tabs>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Jude</w:t>
            </w:r>
            <w:r w:rsidRPr="00A93324">
              <w:rPr>
                <w:rFonts w:ascii="Tahoma" w:eastAsia="SimSun" w:hAnsi="Tahoma" w:cs="Tahoma"/>
                <w:b/>
                <w:sz w:val="24"/>
                <w:szCs w:val="24"/>
                <w:lang w:val="ro-RO"/>
              </w:rPr>
              <w:t>ţ</w:t>
            </w:r>
          </w:p>
          <w:p w:rsidR="00A93324" w:rsidRPr="00A93324" w:rsidRDefault="00A93324" w:rsidP="00A93324">
            <w:pPr>
              <w:tabs>
                <w:tab w:val="left" w:pos="1276"/>
                <w:tab w:val="left" w:leader="dot" w:pos="9356"/>
              </w:tabs>
              <w:spacing w:after="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Buzău</w:t>
            </w:r>
          </w:p>
        </w:tc>
        <w:tc>
          <w:tcPr>
            <w:tcW w:w="1287"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81,5</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81,0</w:t>
            </w:r>
          </w:p>
        </w:tc>
        <w:tc>
          <w:tcPr>
            <w:tcW w:w="962"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80,5</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80,0</w:t>
            </w:r>
          </w:p>
        </w:tc>
        <w:tc>
          <w:tcPr>
            <w:tcW w:w="951"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79,4</w:t>
            </w:r>
          </w:p>
        </w:tc>
        <w:tc>
          <w:tcPr>
            <w:tcW w:w="1195" w:type="dxa"/>
            <w:shd w:val="clear" w:color="auto" w:fill="auto"/>
            <w:vAlign w:val="bottom"/>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-2,1</w:t>
            </w:r>
          </w:p>
        </w:tc>
        <w:tc>
          <w:tcPr>
            <w:tcW w:w="1305" w:type="dxa"/>
            <w:shd w:val="clear" w:color="auto" w:fill="auto"/>
            <w:vAlign w:val="bottom"/>
          </w:tcPr>
          <w:p w:rsidR="00A93324" w:rsidRPr="00A93324" w:rsidRDefault="00A93324" w:rsidP="00A93324">
            <w:pPr>
              <w:spacing w:after="120" w:line="240" w:lineRule="auto"/>
              <w:jc w:val="center"/>
              <w:rPr>
                <w:rFonts w:ascii="Arial" w:eastAsia="SimSun" w:hAnsi="Arial" w:cs="Arial"/>
                <w:b/>
                <w:sz w:val="24"/>
                <w:szCs w:val="24"/>
                <w:lang w:val="ro-RO"/>
              </w:rPr>
            </w:pPr>
            <w:r w:rsidRPr="00A93324">
              <w:rPr>
                <w:rFonts w:ascii="Arial" w:eastAsia="SimSun" w:hAnsi="Arial" w:cs="Arial"/>
                <w:b/>
                <w:sz w:val="24"/>
                <w:szCs w:val="24"/>
                <w:lang w:val="ro-RO"/>
              </w:rPr>
              <w:t>-2,58</w:t>
            </w:r>
          </w:p>
        </w:tc>
      </w:tr>
    </w:tbl>
    <w:p w:rsidR="00A93324" w:rsidRPr="00A93324" w:rsidRDefault="00A93324" w:rsidP="00A93324">
      <w:pPr>
        <w:tabs>
          <w:tab w:val="left" w:pos="1276"/>
          <w:tab w:val="left" w:leader="dot" w:pos="9356"/>
        </w:tabs>
        <w:spacing w:after="120" w:line="240" w:lineRule="auto"/>
        <w:ind w:left="350"/>
        <w:jc w:val="right"/>
        <w:rPr>
          <w:rFonts w:ascii="Arial" w:eastAsia="SimSun" w:hAnsi="Arial" w:cs="Arial"/>
          <w:i/>
          <w:iCs/>
          <w:sz w:val="24"/>
          <w:szCs w:val="24"/>
          <w:lang w:val="ro-RO"/>
        </w:rPr>
      </w:pPr>
      <w:r w:rsidRPr="00A93324">
        <w:rPr>
          <w:rFonts w:ascii="Arial" w:eastAsia="SimSun" w:hAnsi="Arial" w:cs="Arial"/>
          <w:b/>
          <w:i/>
          <w:iCs/>
          <w:sz w:val="24"/>
          <w:szCs w:val="24"/>
          <w:lang w:val="ro-RO"/>
        </w:rPr>
        <w:t xml:space="preserve">  </w:t>
      </w:r>
      <w:r w:rsidRPr="00A93324">
        <w:rPr>
          <w:rFonts w:ascii="Arial" w:eastAsia="SimSun" w:hAnsi="Arial" w:cs="Arial"/>
          <w:i/>
          <w:iCs/>
          <w:sz w:val="24"/>
          <w:szCs w:val="24"/>
          <w:lang w:val="ro-RO"/>
        </w:rPr>
        <w:t>Sursa: Direc</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ia Jude</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b/>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iCs/>
          <w:sz w:val="24"/>
          <w:szCs w:val="24"/>
          <w:lang w:val="ro-RO"/>
        </w:rPr>
      </w:pPr>
    </w:p>
    <w:p w:rsidR="00A93324" w:rsidRPr="00A93324" w:rsidRDefault="00A93324" w:rsidP="00A93324">
      <w:pPr>
        <w:tabs>
          <w:tab w:val="left" w:pos="1276"/>
          <w:tab w:val="left" w:leader="dot" w:pos="9356"/>
        </w:tabs>
        <w:spacing w:after="120" w:line="240" w:lineRule="auto"/>
        <w:jc w:val="both"/>
        <w:rPr>
          <w:rFonts w:ascii="Arial" w:eastAsia="SimSun" w:hAnsi="Arial" w:cs="Arial"/>
          <w:b/>
          <w:sz w:val="24"/>
          <w:szCs w:val="24"/>
          <w:lang w:val="ro-RO"/>
        </w:rPr>
      </w:pPr>
      <w:r w:rsidRPr="00A93324">
        <w:rPr>
          <w:rFonts w:ascii="Arial" w:eastAsia="SimSun" w:hAnsi="Arial" w:cs="Arial"/>
          <w:b/>
          <w:iCs/>
          <w:sz w:val="24"/>
          <w:szCs w:val="24"/>
          <w:lang w:val="ro-RO"/>
        </w:rPr>
        <w:lastRenderedPageBreak/>
        <w:t xml:space="preserve">Figura IV.3.1. – 2 </w:t>
      </w:r>
      <w:r w:rsidRPr="00A93324">
        <w:rPr>
          <w:rFonts w:ascii="Arial" w:eastAsia="SimSun" w:hAnsi="Arial" w:cs="Arial"/>
          <w:b/>
          <w:sz w:val="24"/>
          <w:szCs w:val="24"/>
          <w:lang w:val="ro-RO"/>
        </w:rPr>
        <w:t>Evolu</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ia densită</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ii popula</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iei în jude</w:t>
      </w:r>
      <w:r w:rsidRPr="00A93324">
        <w:rPr>
          <w:rFonts w:ascii="Tahoma" w:eastAsia="SimSun" w:hAnsi="Tahoma" w:cs="Tahoma"/>
          <w:b/>
          <w:sz w:val="24"/>
          <w:szCs w:val="24"/>
          <w:lang w:val="ro-RO"/>
        </w:rPr>
        <w:t>ţ</w:t>
      </w:r>
      <w:r w:rsidRPr="00A93324">
        <w:rPr>
          <w:rFonts w:ascii="Arial" w:eastAsia="SimSun" w:hAnsi="Arial" w:cs="Arial"/>
          <w:b/>
          <w:sz w:val="24"/>
          <w:szCs w:val="24"/>
          <w:lang w:val="ro-RO"/>
        </w:rPr>
        <w:t>ul Buzău în perioada 2010-2014</w:t>
      </w:r>
    </w:p>
    <w:p w:rsidR="00A93324" w:rsidRPr="00A93324" w:rsidRDefault="00A93324" w:rsidP="00A93324">
      <w:pPr>
        <w:tabs>
          <w:tab w:val="left" w:pos="1276"/>
          <w:tab w:val="left" w:leader="dot" w:pos="9356"/>
        </w:tabs>
        <w:spacing w:after="120" w:line="240" w:lineRule="auto"/>
        <w:jc w:val="both"/>
        <w:rPr>
          <w:rFonts w:ascii="Arial" w:eastAsia="SimSun" w:hAnsi="Arial" w:cs="Arial"/>
          <w:i/>
          <w:sz w:val="24"/>
          <w:szCs w:val="24"/>
          <w:lang w:val="ro-RO"/>
        </w:rPr>
      </w:pPr>
      <w:r>
        <w:rPr>
          <w:rFonts w:ascii="Arial" w:eastAsia="SimSun" w:hAnsi="Arial" w:cs="Arial"/>
          <w:b/>
          <w:noProof/>
          <w:sz w:val="24"/>
          <w:szCs w:val="24"/>
          <w:lang w:val="ro-RO" w:eastAsia="ro-RO"/>
        </w:rPr>
        <w:drawing>
          <wp:inline distT="0" distB="0" distL="0" distR="0">
            <wp:extent cx="6057900" cy="3000375"/>
            <wp:effectExtent l="0" t="0" r="0" b="0"/>
            <wp:docPr id="169" name="Object 1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r w:rsidRPr="00A93324">
        <w:rPr>
          <w:rFonts w:ascii="Arial" w:eastAsia="SimSun" w:hAnsi="Arial" w:cs="Arial"/>
          <w:i/>
          <w:iCs/>
          <w:sz w:val="24"/>
          <w:szCs w:val="24"/>
          <w:lang w:val="ro-RO"/>
        </w:rPr>
        <w:t>Sursa: Direc</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ia Jude</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b/>
          <w:sz w:val="24"/>
          <w:szCs w:val="24"/>
          <w:lang w:val="ro-RO"/>
        </w:rPr>
      </w:pPr>
      <w:r w:rsidRPr="00A93324">
        <w:rPr>
          <w:rFonts w:ascii="Arial" w:eastAsia="SimSun" w:hAnsi="Arial" w:cs="Arial"/>
          <w:b/>
          <w:iCs/>
          <w:sz w:val="24"/>
          <w:szCs w:val="24"/>
          <w:lang w:val="ro-RO"/>
        </w:rPr>
        <w:t xml:space="preserve">Figura IV.3.1. – 3 </w:t>
      </w:r>
      <w:r w:rsidRPr="00A93324">
        <w:rPr>
          <w:rFonts w:ascii="Arial" w:eastAsia="SimSun" w:hAnsi="Arial" w:cs="Arial"/>
          <w:b/>
          <w:sz w:val="24"/>
          <w:szCs w:val="24"/>
          <w:lang w:val="ro-RO"/>
        </w:rPr>
        <w:t>Evolu</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ia densită</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ii popula</w:t>
      </w:r>
      <w:r w:rsidRPr="00A93324">
        <w:rPr>
          <w:rFonts w:ascii="Tahoma" w:eastAsia="SimSun" w:hAnsi="Tahoma" w:cs="Tahoma"/>
          <w:b/>
          <w:sz w:val="24"/>
          <w:szCs w:val="24"/>
          <w:lang w:val="ro-RO"/>
        </w:rPr>
        <w:t>ţ</w:t>
      </w:r>
      <w:r w:rsidRPr="00A93324">
        <w:rPr>
          <w:rFonts w:ascii="Arial" w:eastAsia="SimSun" w:hAnsi="Arial" w:cs="Arial"/>
          <w:b/>
          <w:sz w:val="24"/>
          <w:szCs w:val="24"/>
          <w:lang w:val="ro-RO"/>
        </w:rPr>
        <w:t>iei în jude</w:t>
      </w:r>
      <w:r w:rsidRPr="00A93324">
        <w:rPr>
          <w:rFonts w:ascii="Tahoma" w:eastAsia="SimSun" w:hAnsi="Tahoma" w:cs="Tahoma"/>
          <w:b/>
          <w:sz w:val="24"/>
          <w:szCs w:val="24"/>
          <w:lang w:val="ro-RO"/>
        </w:rPr>
        <w:t>ţ</w:t>
      </w:r>
      <w:r w:rsidRPr="00A93324">
        <w:rPr>
          <w:rFonts w:ascii="Arial" w:eastAsia="SimSun" w:hAnsi="Arial" w:cs="Arial"/>
          <w:b/>
          <w:sz w:val="24"/>
          <w:szCs w:val="24"/>
          <w:lang w:val="ro-RO"/>
        </w:rPr>
        <w:t>ul Buzău în perioada 2010-2014</w:t>
      </w:r>
    </w:p>
    <w:p w:rsidR="00A93324" w:rsidRPr="00A93324" w:rsidRDefault="00A93324" w:rsidP="00A93324">
      <w:pPr>
        <w:tabs>
          <w:tab w:val="left" w:pos="1276"/>
          <w:tab w:val="left" w:leader="dot" w:pos="9356"/>
        </w:tabs>
        <w:spacing w:after="120" w:line="240" w:lineRule="auto"/>
        <w:jc w:val="right"/>
        <w:rPr>
          <w:rFonts w:ascii="Arial" w:eastAsia="SimSun" w:hAnsi="Arial" w:cs="Arial"/>
          <w:i/>
          <w:iCs/>
          <w:sz w:val="24"/>
          <w:szCs w:val="24"/>
          <w:lang w:val="ro-RO"/>
        </w:rPr>
      </w:pPr>
      <w:r>
        <w:rPr>
          <w:rFonts w:ascii="Arial" w:eastAsia="SimSun" w:hAnsi="Arial" w:cs="Arial"/>
          <w:b/>
          <w:noProof/>
          <w:sz w:val="24"/>
          <w:szCs w:val="24"/>
          <w:lang w:val="ro-RO" w:eastAsia="ro-RO"/>
        </w:rPr>
        <w:drawing>
          <wp:inline distT="0" distB="0" distL="0" distR="0">
            <wp:extent cx="5991225" cy="3048000"/>
            <wp:effectExtent l="0" t="0" r="0" b="0"/>
            <wp:docPr id="170" name="Object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A93324">
        <w:rPr>
          <w:rFonts w:ascii="Arial" w:eastAsia="SimSun" w:hAnsi="Arial" w:cs="Arial"/>
          <w:i/>
          <w:iCs/>
          <w:sz w:val="24"/>
          <w:szCs w:val="24"/>
          <w:lang w:val="ro-RO"/>
        </w:rPr>
        <w:t xml:space="preserve"> Sursa: Direc</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ia Jude</w:t>
      </w:r>
      <w:r w:rsidRPr="00A93324">
        <w:rPr>
          <w:rFonts w:ascii="Arial" w:eastAsia="SimSun" w:hAnsi="Tahoma" w:cs="Arial"/>
          <w:i/>
          <w:iCs/>
          <w:sz w:val="24"/>
          <w:szCs w:val="24"/>
          <w:lang w:val="ro-RO"/>
        </w:rPr>
        <w:t>ţ</w:t>
      </w:r>
      <w:r w:rsidRPr="00A93324">
        <w:rPr>
          <w:rFonts w:ascii="Arial" w:eastAsia="SimSun" w:hAnsi="Arial" w:cs="Arial"/>
          <w:i/>
          <w:iCs/>
          <w:sz w:val="24"/>
          <w:szCs w:val="24"/>
          <w:lang w:val="ro-RO"/>
        </w:rPr>
        <w:t>eană de Statistică Buzău</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Datele puse la dispoziţie de Direcţia Judeţeană de Statistică Buzău arată, de asemenea, o scădere a densităţii populaţiei, atât la nivel de judeţ, cât şi în aglomerările urbane din structura acestuia, tendinţă în acord cu scăderea populaţiei înregistrată de evidenţele statistice. </w:t>
      </w:r>
    </w:p>
    <w:p w:rsidR="00A93324" w:rsidRPr="00A93324" w:rsidRDefault="00A93324" w:rsidP="00A93324">
      <w:pPr>
        <w:tabs>
          <w:tab w:val="left" w:pos="1276"/>
          <w:tab w:val="left" w:leader="dot" w:pos="9356"/>
        </w:tabs>
        <w:spacing w:after="120" w:line="240" w:lineRule="auto"/>
        <w:ind w:left="350"/>
        <w:rPr>
          <w:rFonts w:ascii="Arial" w:eastAsia="SimSun" w:hAnsi="Arial" w:cs="Arial"/>
          <w:b/>
          <w:i/>
          <w:sz w:val="24"/>
          <w:szCs w:val="24"/>
          <w:lang w:val="ro-RO"/>
        </w:rPr>
      </w:pPr>
      <w:r w:rsidRPr="00A93324">
        <w:rPr>
          <w:rFonts w:ascii="Arial" w:eastAsia="SimSun" w:hAnsi="Arial" w:cs="Arial"/>
          <w:b/>
          <w:i/>
          <w:sz w:val="24"/>
          <w:szCs w:val="24"/>
          <w:lang w:val="ro-RO"/>
        </w:rPr>
        <w:t>IV.3.2 Expansiunea urbană</w:t>
      </w:r>
    </w:p>
    <w:p w:rsidR="00A93324" w:rsidRPr="00A93324" w:rsidRDefault="00A93324" w:rsidP="00A93324">
      <w:pPr>
        <w:tabs>
          <w:tab w:val="left" w:pos="1276"/>
          <w:tab w:val="left" w:leader="dot" w:pos="9356"/>
        </w:tabs>
        <w:spacing w:after="120" w:line="240" w:lineRule="auto"/>
        <w:jc w:val="both"/>
        <w:rPr>
          <w:rFonts w:ascii="Arial" w:eastAsia="SimSun" w:hAnsi="Arial" w:cs="Arial"/>
          <w:b/>
          <w:i/>
          <w:iCs/>
          <w:sz w:val="24"/>
          <w:szCs w:val="24"/>
          <w:lang w:val="ro-RO"/>
        </w:rPr>
      </w:pPr>
      <w:r w:rsidRPr="00A93324">
        <w:rPr>
          <w:rFonts w:ascii="Arial" w:eastAsia="SimSun" w:hAnsi="Arial" w:cs="Arial"/>
          <w:b/>
          <w:i/>
          <w:iCs/>
          <w:sz w:val="24"/>
          <w:szCs w:val="24"/>
          <w:lang w:val="ro-RO"/>
        </w:rPr>
        <w:t>Extinderea şi dezvoltarea aşezărilor umane</w:t>
      </w:r>
    </w:p>
    <w:p w:rsidR="00A93324" w:rsidRPr="00A93324" w:rsidRDefault="00A93324" w:rsidP="00A93324">
      <w:pPr>
        <w:tabs>
          <w:tab w:val="left" w:pos="1276"/>
          <w:tab w:val="left" w:leader="dot" w:pos="9356"/>
        </w:tabs>
        <w:spacing w:after="120" w:line="240" w:lineRule="auto"/>
        <w:jc w:val="both"/>
        <w:rPr>
          <w:rFonts w:ascii="Arial" w:eastAsia="SimSun" w:hAnsi="Arial" w:cs="Arial"/>
          <w:i/>
          <w:iCs/>
          <w:sz w:val="24"/>
          <w:szCs w:val="24"/>
          <w:lang w:val="ro-RO"/>
        </w:rPr>
      </w:pPr>
      <w:r w:rsidRPr="00A93324">
        <w:rPr>
          <w:rFonts w:ascii="Arial" w:eastAsia="SimSun" w:hAnsi="Arial" w:cs="Arial"/>
          <w:iCs/>
          <w:sz w:val="24"/>
          <w:szCs w:val="24"/>
          <w:lang w:val="ro-RO"/>
        </w:rPr>
        <w:t xml:space="preserve">În prezent se consideră că aproximativ 6,5% din suprafaţa ţării este destinată construcţiei de locuinţe. În judeţul Buzău pentru construcţii de locuinţe se utilizează doar 4,05% din suprafaţă. </w:t>
      </w:r>
    </w:p>
    <w:p w:rsidR="00A93324" w:rsidRPr="00A93324" w:rsidRDefault="00A93324" w:rsidP="00A93324">
      <w:pPr>
        <w:tabs>
          <w:tab w:val="left" w:pos="1276"/>
          <w:tab w:val="left" w:leader="dot" w:pos="9356"/>
        </w:tabs>
        <w:spacing w:after="120" w:line="240" w:lineRule="auto"/>
        <w:jc w:val="both"/>
        <w:rPr>
          <w:rFonts w:ascii="Arial" w:eastAsia="SimSun" w:hAnsi="Arial" w:cs="Arial"/>
          <w:i/>
          <w:iCs/>
          <w:sz w:val="24"/>
          <w:szCs w:val="24"/>
          <w:lang w:val="ro-RO"/>
        </w:rPr>
      </w:pPr>
      <w:r w:rsidRPr="00A93324">
        <w:rPr>
          <w:rFonts w:ascii="Arial" w:eastAsia="SimSun" w:hAnsi="Arial" w:cs="Arial"/>
          <w:iCs/>
          <w:sz w:val="24"/>
          <w:szCs w:val="24"/>
          <w:lang w:val="ro-RO"/>
        </w:rPr>
        <w:lastRenderedPageBreak/>
        <w:t xml:space="preserve">Fragmentarea habitatelor apare şi atunci când există aglomerări mari de locuinţe, dar şi în cazul celor izolate, datorită construcţiei suplimentare de căi de acces şi utilităţi. Construirea haotică, fără respectarea unei strategii de urbanism coerentă şi consecventă conduce la utilizarea nejudicioasă a zonelor destinate pentru construcţii şi extinderea acestora în detrimentul celor naturale. </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Principalii factori determinanţi în ocuparea terenurilor sunt grupaţi în procese ce rezultă din extinderea: </w:t>
      </w:r>
    </w:p>
    <w:p w:rsidR="00A93324" w:rsidRPr="00A93324" w:rsidRDefault="00A93324" w:rsidP="00A93324">
      <w:pPr>
        <w:tabs>
          <w:tab w:val="left" w:pos="1276"/>
          <w:tab w:val="left" w:leader="dot" w:pos="9356"/>
        </w:tabs>
        <w:spacing w:after="120" w:line="240" w:lineRule="auto"/>
        <w:ind w:left="350"/>
        <w:rPr>
          <w:rFonts w:ascii="Arial" w:eastAsia="SimSun" w:hAnsi="Arial" w:cs="Arial"/>
          <w:sz w:val="24"/>
          <w:szCs w:val="24"/>
          <w:lang w:val="ro-RO"/>
        </w:rPr>
      </w:pPr>
      <w:r w:rsidRPr="00A93324">
        <w:rPr>
          <w:rFonts w:ascii="Arial" w:eastAsia="SimSun" w:hAnsi="Arial" w:cs="Arial"/>
          <w:sz w:val="24"/>
          <w:szCs w:val="24"/>
          <w:lang w:val="ro-RO"/>
        </w:rPr>
        <w:t xml:space="preserve">- locuinţelor, serviciilor şi spaţiilor de recreere; </w:t>
      </w:r>
    </w:p>
    <w:p w:rsidR="00A93324" w:rsidRPr="00A93324" w:rsidRDefault="00A93324" w:rsidP="00A93324">
      <w:pPr>
        <w:tabs>
          <w:tab w:val="left" w:pos="1276"/>
          <w:tab w:val="left" w:leader="dot" w:pos="9356"/>
        </w:tabs>
        <w:spacing w:after="120" w:line="240" w:lineRule="auto"/>
        <w:ind w:left="350"/>
        <w:rPr>
          <w:rFonts w:ascii="Arial" w:eastAsia="SimSun" w:hAnsi="Arial" w:cs="Arial"/>
          <w:sz w:val="24"/>
          <w:szCs w:val="24"/>
          <w:lang w:val="ro-RO"/>
        </w:rPr>
      </w:pPr>
      <w:r w:rsidRPr="00A93324">
        <w:rPr>
          <w:rFonts w:ascii="Arial" w:eastAsia="SimSun" w:hAnsi="Arial" w:cs="Arial"/>
          <w:sz w:val="24"/>
          <w:szCs w:val="24"/>
          <w:lang w:val="ro-RO"/>
        </w:rPr>
        <w:t xml:space="preserve">- zonelor industriale şi comerciale; </w:t>
      </w:r>
    </w:p>
    <w:p w:rsidR="00A93324" w:rsidRPr="00A93324" w:rsidRDefault="00A93324" w:rsidP="00A93324">
      <w:pPr>
        <w:tabs>
          <w:tab w:val="left" w:pos="1276"/>
          <w:tab w:val="left" w:leader="dot" w:pos="9356"/>
        </w:tabs>
        <w:spacing w:after="120" w:line="240" w:lineRule="auto"/>
        <w:ind w:left="350"/>
        <w:rPr>
          <w:rFonts w:ascii="Arial" w:eastAsia="SimSun" w:hAnsi="Arial" w:cs="Arial"/>
          <w:sz w:val="24"/>
          <w:szCs w:val="24"/>
          <w:lang w:val="ro-RO"/>
        </w:rPr>
      </w:pPr>
      <w:r w:rsidRPr="00A93324">
        <w:rPr>
          <w:rFonts w:ascii="Arial" w:eastAsia="SimSun" w:hAnsi="Arial" w:cs="Arial"/>
          <w:sz w:val="24"/>
          <w:szCs w:val="24"/>
          <w:lang w:val="ro-RO"/>
        </w:rPr>
        <w:t xml:space="preserve">- reţelelor de transport şi infrastructurii; </w:t>
      </w:r>
    </w:p>
    <w:p w:rsidR="00A93324" w:rsidRPr="00A93324" w:rsidRDefault="00A93324" w:rsidP="00A93324">
      <w:pPr>
        <w:tabs>
          <w:tab w:val="left" w:pos="1276"/>
          <w:tab w:val="left" w:leader="dot" w:pos="9356"/>
        </w:tabs>
        <w:spacing w:after="120" w:line="240" w:lineRule="auto"/>
        <w:ind w:left="350"/>
        <w:rPr>
          <w:rFonts w:ascii="Arial" w:eastAsia="SimSun" w:hAnsi="Arial" w:cs="Arial"/>
          <w:sz w:val="24"/>
          <w:szCs w:val="24"/>
          <w:lang w:val="ro-RO"/>
        </w:rPr>
      </w:pPr>
      <w:r w:rsidRPr="00A93324">
        <w:rPr>
          <w:rFonts w:ascii="Arial" w:eastAsia="SimSun" w:hAnsi="Arial" w:cs="Arial"/>
          <w:sz w:val="24"/>
          <w:szCs w:val="24"/>
          <w:lang w:val="ro-RO"/>
        </w:rPr>
        <w:t xml:space="preserve">- minelor, carierelor şi depozitelor de deşeuri neamenajate; </w:t>
      </w:r>
    </w:p>
    <w:p w:rsidR="00A93324" w:rsidRPr="00A93324" w:rsidRDefault="00A93324" w:rsidP="00A93324">
      <w:pPr>
        <w:tabs>
          <w:tab w:val="left" w:pos="1276"/>
          <w:tab w:val="left" w:leader="dot" w:pos="9356"/>
        </w:tabs>
        <w:spacing w:after="120" w:line="240" w:lineRule="auto"/>
        <w:ind w:left="350"/>
        <w:jc w:val="both"/>
        <w:rPr>
          <w:rFonts w:ascii="Arial" w:eastAsia="SimSun" w:hAnsi="Arial" w:cs="Arial"/>
          <w:sz w:val="24"/>
          <w:szCs w:val="24"/>
          <w:lang w:val="ro-RO"/>
        </w:rPr>
      </w:pPr>
      <w:r w:rsidRPr="00A93324">
        <w:rPr>
          <w:rFonts w:ascii="Arial" w:eastAsia="SimSun" w:hAnsi="Arial" w:cs="Arial"/>
          <w:sz w:val="24"/>
          <w:szCs w:val="24"/>
          <w:lang w:val="ro-RO"/>
        </w:rPr>
        <w:t>- şantierelor de construcţii.</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Tabelul IV.3.2-1 prezintă evoluţia suprafeţelor intravilane a principalelor aglomerări urbane din judeţ. </w:t>
      </w:r>
    </w:p>
    <w:p w:rsidR="00A93324" w:rsidRPr="00A93324" w:rsidRDefault="00A93324" w:rsidP="00A93324">
      <w:pPr>
        <w:tabs>
          <w:tab w:val="left" w:pos="1276"/>
          <w:tab w:val="left" w:leader="dot" w:pos="9356"/>
        </w:tabs>
        <w:spacing w:after="120" w:line="240" w:lineRule="auto"/>
        <w:ind w:left="350"/>
        <w:jc w:val="both"/>
        <w:rPr>
          <w:rFonts w:ascii="Arial" w:eastAsia="SimSun" w:hAnsi="Arial" w:cs="Arial"/>
          <w:b/>
          <w:sz w:val="24"/>
          <w:szCs w:val="24"/>
          <w:lang w:val="ro-RO"/>
        </w:rPr>
      </w:pPr>
      <w:r w:rsidRPr="00A93324">
        <w:rPr>
          <w:rFonts w:ascii="Arial" w:eastAsia="SimSun" w:hAnsi="Arial" w:cs="Arial"/>
          <w:b/>
          <w:sz w:val="24"/>
          <w:szCs w:val="24"/>
          <w:lang w:val="ro-RO"/>
        </w:rPr>
        <w:t>Tabel IV.3.2 – 1 Suprafaţa intravilană a municipiilor şi oraşelor din judeţul Buzău</w:t>
      </w:r>
    </w:p>
    <w:tbl>
      <w:tblPr>
        <w:tblW w:w="9573"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679"/>
        <w:gridCol w:w="1239"/>
        <w:gridCol w:w="1239"/>
        <w:gridCol w:w="1088"/>
        <w:gridCol w:w="1276"/>
        <w:gridCol w:w="1134"/>
        <w:gridCol w:w="1918"/>
      </w:tblGrid>
      <w:tr w:rsidR="00A93324" w:rsidRPr="00A93324" w:rsidTr="00A42550">
        <w:trPr>
          <w:trHeight w:val="510"/>
        </w:trPr>
        <w:tc>
          <w:tcPr>
            <w:tcW w:w="1679" w:type="dxa"/>
            <w:vAlign w:val="center"/>
          </w:tcPr>
          <w:p w:rsidR="00A93324" w:rsidRPr="00A93324" w:rsidRDefault="00A93324" w:rsidP="00A93324">
            <w:pPr>
              <w:tabs>
                <w:tab w:val="left" w:pos="1276"/>
                <w:tab w:val="left" w:leader="dot" w:pos="9356"/>
              </w:tabs>
              <w:spacing w:before="120" w:after="120" w:line="240" w:lineRule="auto"/>
              <w:ind w:left="34"/>
              <w:jc w:val="center"/>
              <w:rPr>
                <w:rFonts w:ascii="Arial" w:eastAsia="SimSun" w:hAnsi="Arial" w:cs="Arial"/>
                <w:b/>
                <w:bCs/>
                <w:iCs/>
                <w:lang w:val="en-GB"/>
              </w:rPr>
            </w:pPr>
            <w:r w:rsidRPr="00A93324">
              <w:rPr>
                <w:rFonts w:ascii="Arial" w:eastAsia="SimSun" w:hAnsi="Arial" w:cs="Arial"/>
                <w:b/>
                <w:bCs/>
                <w:iCs/>
                <w:lang w:val="en-GB"/>
              </w:rPr>
              <w:t xml:space="preserve">Municipii şi oraşe </w:t>
            </w:r>
          </w:p>
        </w:tc>
        <w:tc>
          <w:tcPr>
            <w:tcW w:w="5976" w:type="dxa"/>
            <w:gridSpan w:val="5"/>
            <w:noWrap/>
            <w:vAlign w:val="center"/>
          </w:tcPr>
          <w:p w:rsidR="00A93324" w:rsidRPr="00A93324" w:rsidRDefault="00A93324" w:rsidP="00A93324">
            <w:pPr>
              <w:tabs>
                <w:tab w:val="left" w:pos="1276"/>
                <w:tab w:val="left" w:leader="dot" w:pos="9356"/>
              </w:tabs>
              <w:spacing w:after="120" w:line="240" w:lineRule="auto"/>
              <w:ind w:left="350"/>
              <w:jc w:val="center"/>
              <w:rPr>
                <w:rFonts w:ascii="Arial" w:eastAsia="SimSun" w:hAnsi="Arial" w:cs="Arial"/>
                <w:b/>
                <w:bCs/>
                <w:iCs/>
                <w:lang w:val="en-GB"/>
              </w:rPr>
            </w:pPr>
            <w:r w:rsidRPr="00A93324">
              <w:rPr>
                <w:rFonts w:ascii="Arial" w:eastAsia="SimSun" w:hAnsi="Arial" w:cs="Arial"/>
                <w:b/>
                <w:bCs/>
                <w:iCs/>
                <w:lang w:val="en-GB"/>
              </w:rPr>
              <w:t>Anul / Suprafaţa intravilană (ha)</w:t>
            </w:r>
          </w:p>
        </w:tc>
        <w:tc>
          <w:tcPr>
            <w:tcW w:w="1918" w:type="dxa"/>
            <w:vAlign w:val="center"/>
          </w:tcPr>
          <w:p w:rsidR="00A93324" w:rsidRPr="00A93324" w:rsidRDefault="00A93324" w:rsidP="00A93324">
            <w:pPr>
              <w:tabs>
                <w:tab w:val="left" w:pos="1276"/>
                <w:tab w:val="left" w:leader="dot" w:pos="9356"/>
              </w:tabs>
              <w:spacing w:after="120" w:line="240" w:lineRule="auto"/>
              <w:ind w:left="350"/>
              <w:jc w:val="center"/>
              <w:rPr>
                <w:rFonts w:ascii="Arial" w:eastAsia="SimSun" w:hAnsi="Arial" w:cs="Arial"/>
                <w:b/>
                <w:bCs/>
                <w:iCs/>
                <w:lang w:val="en-GB"/>
              </w:rPr>
            </w:pPr>
          </w:p>
        </w:tc>
      </w:tr>
      <w:tr w:rsidR="00A93324" w:rsidRPr="00A93324" w:rsidTr="00A42550">
        <w:trPr>
          <w:trHeight w:val="1874"/>
        </w:trPr>
        <w:tc>
          <w:tcPr>
            <w:tcW w:w="1679" w:type="dxa"/>
            <w:vAlign w:val="center"/>
          </w:tcPr>
          <w:p w:rsidR="00A93324" w:rsidRPr="00A93324" w:rsidRDefault="00A93324" w:rsidP="00A93324">
            <w:pPr>
              <w:tabs>
                <w:tab w:val="left" w:pos="1276"/>
                <w:tab w:val="left" w:leader="dot" w:pos="9356"/>
              </w:tabs>
              <w:spacing w:after="120" w:line="240" w:lineRule="auto"/>
              <w:ind w:left="350"/>
              <w:jc w:val="center"/>
              <w:rPr>
                <w:rFonts w:ascii="Arial" w:eastAsia="SimSun" w:hAnsi="Arial" w:cs="Arial"/>
                <w:iCs/>
                <w:lang w:val="en-GB"/>
              </w:rPr>
            </w:pPr>
          </w:p>
        </w:tc>
        <w:tc>
          <w:tcPr>
            <w:tcW w:w="1239" w:type="dxa"/>
            <w:noWrap/>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iCs/>
                <w:lang w:val="en-GB"/>
              </w:rPr>
            </w:pPr>
            <w:r w:rsidRPr="00A93324">
              <w:rPr>
                <w:rFonts w:ascii="Arial" w:eastAsia="SimSun" w:hAnsi="Arial" w:cs="Arial"/>
                <w:b/>
                <w:iCs/>
                <w:lang w:val="en-GB"/>
              </w:rPr>
              <w:t>2010</w:t>
            </w:r>
          </w:p>
        </w:tc>
        <w:tc>
          <w:tcPr>
            <w:tcW w:w="1239" w:type="dxa"/>
            <w:noWrap/>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b/>
                <w:iCs/>
                <w:lang w:val="en-GB"/>
              </w:rPr>
            </w:pPr>
            <w:r w:rsidRPr="00A93324">
              <w:rPr>
                <w:rFonts w:ascii="Arial" w:eastAsia="SimSun" w:hAnsi="Arial" w:cs="Arial"/>
                <w:b/>
                <w:iCs/>
                <w:lang w:val="en-GB"/>
              </w:rPr>
              <w:t>2011</w:t>
            </w:r>
          </w:p>
        </w:tc>
        <w:tc>
          <w:tcPr>
            <w:tcW w:w="1088" w:type="dxa"/>
            <w:noWrap/>
            <w:vAlign w:val="center"/>
          </w:tcPr>
          <w:p w:rsidR="00A93324" w:rsidRPr="00A93324" w:rsidRDefault="00A93324" w:rsidP="00A93324">
            <w:pPr>
              <w:tabs>
                <w:tab w:val="left" w:pos="1276"/>
                <w:tab w:val="left" w:leader="dot" w:pos="9356"/>
              </w:tabs>
              <w:spacing w:after="120" w:line="240" w:lineRule="auto"/>
              <w:ind w:left="350"/>
              <w:jc w:val="center"/>
              <w:rPr>
                <w:rFonts w:ascii="Arial" w:eastAsia="SimSun" w:hAnsi="Arial" w:cs="Arial"/>
                <w:b/>
                <w:iCs/>
                <w:lang w:val="en-GB"/>
              </w:rPr>
            </w:pPr>
            <w:r w:rsidRPr="00A93324">
              <w:rPr>
                <w:rFonts w:ascii="Arial" w:eastAsia="SimSun" w:hAnsi="Arial" w:cs="Arial"/>
                <w:b/>
                <w:iCs/>
                <w:lang w:val="en-GB"/>
              </w:rPr>
              <w:t>2012</w:t>
            </w:r>
          </w:p>
        </w:tc>
        <w:tc>
          <w:tcPr>
            <w:tcW w:w="1276" w:type="dxa"/>
            <w:shd w:val="clear" w:color="auto" w:fill="auto"/>
            <w:noWrap/>
            <w:vAlign w:val="center"/>
          </w:tcPr>
          <w:p w:rsidR="00A93324" w:rsidRPr="00A93324" w:rsidRDefault="00A93324" w:rsidP="00A93324">
            <w:pPr>
              <w:tabs>
                <w:tab w:val="left" w:pos="1276"/>
                <w:tab w:val="left" w:leader="dot" w:pos="9356"/>
              </w:tabs>
              <w:spacing w:after="120" w:line="240" w:lineRule="auto"/>
              <w:ind w:left="350"/>
              <w:jc w:val="center"/>
              <w:rPr>
                <w:rFonts w:ascii="Arial" w:eastAsia="SimSun" w:hAnsi="Arial" w:cs="Arial"/>
                <w:b/>
                <w:iCs/>
                <w:lang w:val="en-GB"/>
              </w:rPr>
            </w:pPr>
            <w:r w:rsidRPr="00A93324">
              <w:rPr>
                <w:rFonts w:ascii="Arial" w:eastAsia="SimSun" w:hAnsi="Arial" w:cs="Arial"/>
                <w:b/>
                <w:iCs/>
                <w:lang w:val="en-GB"/>
              </w:rPr>
              <w:t>2013</w:t>
            </w:r>
          </w:p>
        </w:tc>
        <w:tc>
          <w:tcPr>
            <w:tcW w:w="1134" w:type="dxa"/>
            <w:shd w:val="clear" w:color="auto" w:fill="auto"/>
            <w:vAlign w:val="center"/>
          </w:tcPr>
          <w:p w:rsidR="00A93324" w:rsidRPr="00A93324" w:rsidRDefault="00A93324" w:rsidP="00A93324">
            <w:pPr>
              <w:spacing w:after="120" w:line="240" w:lineRule="auto"/>
              <w:jc w:val="center"/>
              <w:rPr>
                <w:rFonts w:ascii="Arial" w:eastAsia="SimSun" w:hAnsi="Arial" w:cs="Arial"/>
                <w:b/>
                <w:lang w:val="en-GB"/>
              </w:rPr>
            </w:pPr>
            <w:r w:rsidRPr="00A93324">
              <w:rPr>
                <w:rFonts w:ascii="Arial" w:eastAsia="SimSun" w:hAnsi="Arial" w:cs="Arial"/>
                <w:b/>
                <w:lang w:val="en-GB"/>
              </w:rPr>
              <w:t>2014</w:t>
            </w:r>
          </w:p>
        </w:tc>
        <w:tc>
          <w:tcPr>
            <w:tcW w:w="1918" w:type="dxa"/>
            <w:shd w:val="clear" w:color="auto" w:fill="auto"/>
            <w:vAlign w:val="center"/>
          </w:tcPr>
          <w:p w:rsidR="00A93324" w:rsidRPr="00A93324" w:rsidRDefault="00A93324" w:rsidP="00A93324">
            <w:pPr>
              <w:spacing w:after="120" w:line="240" w:lineRule="auto"/>
              <w:jc w:val="center"/>
              <w:rPr>
                <w:rFonts w:ascii="Arial" w:eastAsia="SimSun" w:hAnsi="Arial" w:cs="Arial"/>
                <w:b/>
                <w:iCs/>
                <w:lang w:val="en-GB"/>
              </w:rPr>
            </w:pPr>
            <w:r w:rsidRPr="00A93324">
              <w:rPr>
                <w:rFonts w:ascii="Arial" w:eastAsia="SimSun" w:hAnsi="Arial" w:cs="Arial"/>
                <w:b/>
                <w:iCs/>
                <w:lang w:val="en-GB"/>
              </w:rPr>
              <w:t>Expansiunea suprafaţei i</w:t>
            </w:r>
            <w:r w:rsidRPr="00A93324">
              <w:rPr>
                <w:rFonts w:ascii="Arial" w:eastAsia="SimSun" w:hAnsi="Arial" w:cs="Arial"/>
                <w:b/>
                <w:iCs/>
                <w:lang w:val="en-GB"/>
              </w:rPr>
              <w:t>n</w:t>
            </w:r>
            <w:r w:rsidRPr="00A93324">
              <w:rPr>
                <w:rFonts w:ascii="Arial" w:eastAsia="SimSun" w:hAnsi="Arial" w:cs="Arial"/>
                <w:b/>
                <w:iCs/>
                <w:lang w:val="en-GB"/>
              </w:rPr>
              <w:t>travilane ca diferenţă între cea din anul 2014 şi cea din  2010</w:t>
            </w:r>
          </w:p>
        </w:tc>
      </w:tr>
      <w:tr w:rsidR="00A93324" w:rsidRPr="00A93324" w:rsidTr="00A42550">
        <w:trPr>
          <w:trHeight w:val="351"/>
        </w:trPr>
        <w:tc>
          <w:tcPr>
            <w:tcW w:w="167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lang w:val="en-GB"/>
              </w:rPr>
            </w:pPr>
            <w:r w:rsidRPr="00A93324">
              <w:rPr>
                <w:rFonts w:ascii="Arial" w:eastAsia="SimSun" w:hAnsi="Arial" w:cs="Arial"/>
                <w:iCs/>
                <w:lang w:val="en-GB"/>
              </w:rPr>
              <w:t>Judeţul Buzău</w:t>
            </w:r>
          </w:p>
        </w:tc>
        <w:tc>
          <w:tcPr>
            <w:tcW w:w="1239" w:type="dxa"/>
            <w:noWrap/>
            <w:vAlign w:val="center"/>
          </w:tcPr>
          <w:p w:rsidR="00A93324" w:rsidRPr="00A93324" w:rsidRDefault="00A93324" w:rsidP="00A93324">
            <w:pPr>
              <w:spacing w:after="0" w:line="240" w:lineRule="auto"/>
              <w:jc w:val="center"/>
              <w:rPr>
                <w:rFonts w:ascii="Arial" w:eastAsia="SimSun" w:hAnsi="Arial" w:cs="Arial"/>
                <w:lang w:val="en-GB"/>
              </w:rPr>
            </w:pPr>
            <w:r w:rsidRPr="00A93324">
              <w:rPr>
                <w:rFonts w:ascii="Arial" w:eastAsia="SimSun" w:hAnsi="Arial" w:cs="Arial"/>
                <w:iCs/>
                <w:lang w:val="en-GB"/>
              </w:rPr>
              <w:t>7235,6</w:t>
            </w:r>
          </w:p>
        </w:tc>
        <w:tc>
          <w:tcPr>
            <w:tcW w:w="1239" w:type="dxa"/>
            <w:noWrap/>
            <w:vAlign w:val="center"/>
          </w:tcPr>
          <w:p w:rsidR="00A93324" w:rsidRPr="00A93324" w:rsidRDefault="00A93324" w:rsidP="00A93324">
            <w:pPr>
              <w:spacing w:after="0" w:line="240" w:lineRule="auto"/>
              <w:jc w:val="center"/>
              <w:rPr>
                <w:rFonts w:ascii="Arial" w:eastAsia="SimSun" w:hAnsi="Arial" w:cs="Arial"/>
                <w:lang w:val="en-GB"/>
              </w:rPr>
            </w:pPr>
            <w:r w:rsidRPr="00A93324">
              <w:rPr>
                <w:rFonts w:ascii="Arial" w:eastAsia="SimSun" w:hAnsi="Arial" w:cs="Arial"/>
                <w:iCs/>
                <w:lang w:val="en-GB"/>
              </w:rPr>
              <w:t>7235,6</w:t>
            </w:r>
          </w:p>
        </w:tc>
        <w:tc>
          <w:tcPr>
            <w:tcW w:w="1088" w:type="dxa"/>
            <w:noWrap/>
            <w:vAlign w:val="center"/>
          </w:tcPr>
          <w:p w:rsidR="00A93324" w:rsidRPr="00A93324" w:rsidRDefault="00A93324" w:rsidP="00A93324">
            <w:pPr>
              <w:spacing w:after="0" w:line="240" w:lineRule="auto"/>
              <w:jc w:val="center"/>
              <w:rPr>
                <w:rFonts w:ascii="Arial" w:eastAsia="SimSun" w:hAnsi="Arial" w:cs="Arial"/>
                <w:lang w:val="en-GB"/>
              </w:rPr>
            </w:pPr>
            <w:r w:rsidRPr="00A93324">
              <w:rPr>
                <w:rFonts w:ascii="Arial" w:eastAsia="SimSun" w:hAnsi="Arial" w:cs="Arial"/>
                <w:iCs/>
                <w:lang w:val="en-GB"/>
              </w:rPr>
              <w:t>7319,6</w:t>
            </w:r>
          </w:p>
        </w:tc>
        <w:tc>
          <w:tcPr>
            <w:tcW w:w="1276" w:type="dxa"/>
            <w:shd w:val="clear" w:color="auto" w:fill="auto"/>
            <w:noWrap/>
            <w:vAlign w:val="center"/>
          </w:tcPr>
          <w:p w:rsidR="00A93324" w:rsidRPr="00A93324" w:rsidRDefault="00A93324" w:rsidP="00A93324">
            <w:pPr>
              <w:spacing w:after="0" w:line="240" w:lineRule="auto"/>
              <w:jc w:val="center"/>
              <w:rPr>
                <w:rFonts w:ascii="Arial" w:eastAsia="SimSun" w:hAnsi="Arial" w:cs="Arial"/>
                <w:lang w:val="en-GB"/>
              </w:rPr>
            </w:pPr>
            <w:r w:rsidRPr="00A93324">
              <w:rPr>
                <w:rFonts w:ascii="Arial" w:eastAsia="SimSun" w:hAnsi="Arial" w:cs="Arial"/>
                <w:iCs/>
                <w:lang w:val="en-GB"/>
              </w:rPr>
              <w:t>7319,6</w:t>
            </w:r>
          </w:p>
        </w:tc>
        <w:tc>
          <w:tcPr>
            <w:tcW w:w="1134" w:type="dxa"/>
            <w:shd w:val="clear" w:color="auto" w:fill="auto"/>
            <w:vAlign w:val="center"/>
          </w:tcPr>
          <w:p w:rsidR="00A93324" w:rsidRPr="00A93324" w:rsidRDefault="00A93324" w:rsidP="00A93324">
            <w:pPr>
              <w:spacing w:after="0" w:line="240" w:lineRule="auto"/>
              <w:jc w:val="center"/>
              <w:rPr>
                <w:rFonts w:ascii="Arial" w:eastAsia="SimSun" w:hAnsi="Arial" w:cs="Arial"/>
                <w:lang w:val="en-GB"/>
              </w:rPr>
            </w:pPr>
            <w:r w:rsidRPr="00A93324">
              <w:rPr>
                <w:rFonts w:ascii="Arial" w:eastAsia="SimSun" w:hAnsi="Arial" w:cs="Arial"/>
                <w:lang w:val="en-GB"/>
              </w:rPr>
              <w:t>7319,6</w:t>
            </w:r>
          </w:p>
        </w:tc>
        <w:tc>
          <w:tcPr>
            <w:tcW w:w="1918" w:type="dxa"/>
            <w:shd w:val="clear" w:color="auto" w:fill="auto"/>
            <w:vAlign w:val="center"/>
          </w:tcPr>
          <w:p w:rsidR="00A93324" w:rsidRPr="00A93324" w:rsidRDefault="00A93324" w:rsidP="00A93324">
            <w:pPr>
              <w:spacing w:after="120" w:line="240" w:lineRule="auto"/>
              <w:jc w:val="center"/>
              <w:rPr>
                <w:rFonts w:ascii="Arial" w:eastAsia="SimSun" w:hAnsi="Arial" w:cs="Arial"/>
                <w:lang w:val="en-GB"/>
              </w:rPr>
            </w:pPr>
            <w:r w:rsidRPr="00A93324">
              <w:rPr>
                <w:rFonts w:ascii="Arial" w:eastAsia="SimSun" w:hAnsi="Arial" w:cs="Arial"/>
                <w:lang w:val="en-GB"/>
              </w:rPr>
              <w:t>84</w:t>
            </w:r>
          </w:p>
        </w:tc>
      </w:tr>
      <w:tr w:rsidR="00A93324" w:rsidRPr="00A93324" w:rsidTr="00A42550">
        <w:trPr>
          <w:trHeight w:val="255"/>
        </w:trPr>
        <w:tc>
          <w:tcPr>
            <w:tcW w:w="167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lang w:val="en-GB"/>
              </w:rPr>
            </w:pPr>
            <w:r w:rsidRPr="00A93324">
              <w:rPr>
                <w:rFonts w:ascii="Arial" w:eastAsia="SimSun" w:hAnsi="Arial" w:cs="Arial"/>
                <w:iCs/>
                <w:lang w:val="en-GB"/>
              </w:rPr>
              <w:t xml:space="preserve">Municipiul Buzău </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vertAlign w:val="superscript"/>
              </w:rPr>
            </w:pPr>
            <w:r w:rsidRPr="00A93324">
              <w:rPr>
                <w:rFonts w:ascii="Arial" w:eastAsia="SimSun" w:hAnsi="Arial" w:cs="Arial"/>
                <w:iCs/>
                <w:lang w:val="en-GB"/>
              </w:rPr>
              <w:t>4636*</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4636*</w:t>
            </w:r>
          </w:p>
        </w:tc>
        <w:tc>
          <w:tcPr>
            <w:tcW w:w="1088"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4720*</w:t>
            </w:r>
          </w:p>
        </w:tc>
        <w:tc>
          <w:tcPr>
            <w:tcW w:w="1276" w:type="dxa"/>
            <w:shd w:val="clear" w:color="auto" w:fill="auto"/>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4720*</w:t>
            </w:r>
          </w:p>
        </w:tc>
        <w:tc>
          <w:tcPr>
            <w:tcW w:w="1134" w:type="dxa"/>
            <w:shd w:val="clear" w:color="auto" w:fill="auto"/>
            <w:vAlign w:val="center"/>
          </w:tcPr>
          <w:p w:rsidR="00A93324" w:rsidRPr="00A93324" w:rsidRDefault="00A93324" w:rsidP="00A93324">
            <w:pPr>
              <w:spacing w:after="120" w:line="240" w:lineRule="auto"/>
              <w:ind w:left="66"/>
              <w:jc w:val="center"/>
              <w:rPr>
                <w:rFonts w:ascii="Arial" w:eastAsia="SimSun" w:hAnsi="Arial" w:cs="Arial"/>
                <w:iCs/>
                <w:lang w:val="en-GB"/>
              </w:rPr>
            </w:pPr>
            <w:r w:rsidRPr="00A93324">
              <w:rPr>
                <w:rFonts w:ascii="Arial" w:eastAsia="SimSun" w:hAnsi="Arial" w:cs="Arial"/>
                <w:iCs/>
                <w:lang w:val="en-GB"/>
              </w:rPr>
              <w:t>4720*</w:t>
            </w:r>
          </w:p>
        </w:tc>
        <w:tc>
          <w:tcPr>
            <w:tcW w:w="1918" w:type="dxa"/>
            <w:shd w:val="clear" w:color="auto" w:fill="auto"/>
            <w:vAlign w:val="center"/>
          </w:tcPr>
          <w:p w:rsidR="00A93324" w:rsidRPr="00A93324" w:rsidRDefault="00A93324" w:rsidP="00A93324">
            <w:pPr>
              <w:spacing w:after="120" w:line="240" w:lineRule="auto"/>
              <w:jc w:val="center"/>
              <w:rPr>
                <w:rFonts w:ascii="Arial" w:eastAsia="SimSun" w:hAnsi="Arial" w:cs="Arial"/>
                <w:lang w:val="en-GB"/>
              </w:rPr>
            </w:pPr>
            <w:r w:rsidRPr="00A93324">
              <w:rPr>
                <w:rFonts w:ascii="Arial" w:eastAsia="SimSun" w:hAnsi="Arial" w:cs="Arial"/>
                <w:lang w:val="en-GB"/>
              </w:rPr>
              <w:t>84</w:t>
            </w:r>
          </w:p>
        </w:tc>
      </w:tr>
      <w:tr w:rsidR="00A93324" w:rsidRPr="00A93324" w:rsidTr="00A42550">
        <w:trPr>
          <w:trHeight w:val="510"/>
        </w:trPr>
        <w:tc>
          <w:tcPr>
            <w:tcW w:w="167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lang w:val="en-GB"/>
              </w:rPr>
            </w:pPr>
            <w:r w:rsidRPr="00A93324">
              <w:rPr>
                <w:rFonts w:ascii="Arial" w:eastAsia="SimSun" w:hAnsi="Arial" w:cs="Arial"/>
                <w:iCs/>
                <w:lang w:val="en-GB"/>
              </w:rPr>
              <w:t>Municipiul Râmnicu Sărat</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912,58</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912,58</w:t>
            </w:r>
          </w:p>
        </w:tc>
        <w:tc>
          <w:tcPr>
            <w:tcW w:w="1088"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912,58</w:t>
            </w:r>
          </w:p>
        </w:tc>
        <w:tc>
          <w:tcPr>
            <w:tcW w:w="1276" w:type="dxa"/>
            <w:shd w:val="clear" w:color="auto" w:fill="auto"/>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912,58</w:t>
            </w:r>
          </w:p>
        </w:tc>
        <w:tc>
          <w:tcPr>
            <w:tcW w:w="1134" w:type="dxa"/>
            <w:shd w:val="clear" w:color="auto" w:fill="auto"/>
            <w:vAlign w:val="center"/>
          </w:tcPr>
          <w:p w:rsidR="00A93324" w:rsidRPr="00A93324" w:rsidRDefault="00A93324" w:rsidP="00A93324">
            <w:pPr>
              <w:spacing w:after="120" w:line="240" w:lineRule="auto"/>
              <w:ind w:left="66"/>
              <w:jc w:val="center"/>
              <w:rPr>
                <w:rFonts w:ascii="Arial" w:eastAsia="SimSun" w:hAnsi="Arial" w:cs="Arial"/>
                <w:iCs/>
                <w:lang w:val="en-GB"/>
              </w:rPr>
            </w:pPr>
            <w:r w:rsidRPr="00A93324">
              <w:rPr>
                <w:rFonts w:ascii="Arial" w:eastAsia="SimSun" w:hAnsi="Arial" w:cs="Arial"/>
                <w:iCs/>
                <w:lang w:val="en-GB"/>
              </w:rPr>
              <w:t>912,58</w:t>
            </w:r>
          </w:p>
        </w:tc>
        <w:tc>
          <w:tcPr>
            <w:tcW w:w="1918" w:type="dxa"/>
            <w:shd w:val="clear" w:color="auto" w:fill="auto"/>
            <w:vAlign w:val="center"/>
          </w:tcPr>
          <w:p w:rsidR="00A93324" w:rsidRPr="00A93324" w:rsidRDefault="00A93324" w:rsidP="00A93324">
            <w:pPr>
              <w:spacing w:after="120" w:line="240" w:lineRule="auto"/>
              <w:jc w:val="center"/>
              <w:rPr>
                <w:rFonts w:ascii="Arial" w:eastAsia="SimSun" w:hAnsi="Arial" w:cs="Arial"/>
                <w:lang w:val="en-GB"/>
              </w:rPr>
            </w:pPr>
            <w:r w:rsidRPr="00A93324">
              <w:rPr>
                <w:rFonts w:ascii="Arial" w:eastAsia="SimSun" w:hAnsi="Arial" w:cs="Arial"/>
                <w:lang w:val="en-GB"/>
              </w:rPr>
              <w:t>0</w:t>
            </w:r>
          </w:p>
        </w:tc>
      </w:tr>
      <w:tr w:rsidR="00A93324" w:rsidRPr="00A93324" w:rsidTr="00A42550">
        <w:trPr>
          <w:trHeight w:val="510"/>
        </w:trPr>
        <w:tc>
          <w:tcPr>
            <w:tcW w:w="167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lang w:val="en-GB"/>
              </w:rPr>
            </w:pPr>
            <w:r w:rsidRPr="00A93324">
              <w:rPr>
                <w:rFonts w:ascii="Arial" w:eastAsia="SimSun" w:hAnsi="Arial" w:cs="Arial"/>
                <w:iCs/>
                <w:lang w:val="en-GB"/>
              </w:rPr>
              <w:t>Oraş Nehoiu</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450</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450</w:t>
            </w:r>
          </w:p>
        </w:tc>
        <w:tc>
          <w:tcPr>
            <w:tcW w:w="1088"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450</w:t>
            </w:r>
          </w:p>
        </w:tc>
        <w:tc>
          <w:tcPr>
            <w:tcW w:w="1276" w:type="dxa"/>
            <w:shd w:val="clear" w:color="auto" w:fill="auto"/>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450</w:t>
            </w:r>
          </w:p>
        </w:tc>
        <w:tc>
          <w:tcPr>
            <w:tcW w:w="1134" w:type="dxa"/>
            <w:shd w:val="clear" w:color="auto" w:fill="auto"/>
            <w:vAlign w:val="center"/>
          </w:tcPr>
          <w:p w:rsidR="00A93324" w:rsidRPr="00A93324" w:rsidRDefault="00A93324" w:rsidP="00A93324">
            <w:pPr>
              <w:spacing w:after="120" w:line="240" w:lineRule="auto"/>
              <w:ind w:left="66"/>
              <w:jc w:val="center"/>
              <w:rPr>
                <w:rFonts w:ascii="Arial" w:eastAsia="SimSun" w:hAnsi="Arial" w:cs="Arial"/>
                <w:iCs/>
                <w:lang w:val="en-GB"/>
              </w:rPr>
            </w:pPr>
            <w:r w:rsidRPr="00A93324">
              <w:rPr>
                <w:rFonts w:ascii="Arial" w:eastAsia="SimSun" w:hAnsi="Arial" w:cs="Arial"/>
                <w:iCs/>
                <w:lang w:val="en-GB"/>
              </w:rPr>
              <w:t>450</w:t>
            </w:r>
          </w:p>
        </w:tc>
        <w:tc>
          <w:tcPr>
            <w:tcW w:w="1918" w:type="dxa"/>
            <w:shd w:val="clear" w:color="auto" w:fill="auto"/>
            <w:vAlign w:val="center"/>
          </w:tcPr>
          <w:p w:rsidR="00A93324" w:rsidRPr="00A93324" w:rsidRDefault="00A93324" w:rsidP="00A93324">
            <w:pPr>
              <w:spacing w:after="120" w:line="240" w:lineRule="auto"/>
              <w:jc w:val="center"/>
              <w:rPr>
                <w:rFonts w:ascii="Arial" w:eastAsia="SimSun" w:hAnsi="Arial" w:cs="Arial"/>
                <w:lang w:val="en-GB"/>
              </w:rPr>
            </w:pPr>
            <w:r w:rsidRPr="00A93324">
              <w:rPr>
                <w:rFonts w:ascii="Arial" w:eastAsia="SimSun" w:hAnsi="Arial" w:cs="Arial"/>
                <w:lang w:val="en-GB"/>
              </w:rPr>
              <w:t>0</w:t>
            </w:r>
          </w:p>
        </w:tc>
      </w:tr>
      <w:tr w:rsidR="00A93324" w:rsidRPr="00A93324" w:rsidTr="00A42550">
        <w:trPr>
          <w:trHeight w:val="255"/>
        </w:trPr>
        <w:tc>
          <w:tcPr>
            <w:tcW w:w="167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lang w:val="en-GB"/>
              </w:rPr>
            </w:pPr>
            <w:r w:rsidRPr="00A93324">
              <w:rPr>
                <w:rFonts w:ascii="Arial" w:eastAsia="SimSun" w:hAnsi="Arial" w:cs="Arial"/>
                <w:iCs/>
                <w:lang w:val="en-GB"/>
              </w:rPr>
              <w:t>Oraş Pătâ</w:t>
            </w:r>
            <w:r w:rsidRPr="00A93324">
              <w:rPr>
                <w:rFonts w:ascii="Arial" w:eastAsia="SimSun" w:hAnsi="Arial" w:cs="Arial"/>
                <w:iCs/>
                <w:lang w:val="en-GB"/>
              </w:rPr>
              <w:t>r</w:t>
            </w:r>
            <w:r w:rsidRPr="00A93324">
              <w:rPr>
                <w:rFonts w:ascii="Arial" w:eastAsia="SimSun" w:hAnsi="Arial" w:cs="Arial"/>
                <w:iCs/>
                <w:lang w:val="en-GB"/>
              </w:rPr>
              <w:t>lagele</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215</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215</w:t>
            </w:r>
          </w:p>
        </w:tc>
        <w:tc>
          <w:tcPr>
            <w:tcW w:w="1088"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215</w:t>
            </w:r>
          </w:p>
        </w:tc>
        <w:tc>
          <w:tcPr>
            <w:tcW w:w="1276" w:type="dxa"/>
            <w:shd w:val="clear" w:color="auto" w:fill="auto"/>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215</w:t>
            </w:r>
          </w:p>
        </w:tc>
        <w:tc>
          <w:tcPr>
            <w:tcW w:w="1134" w:type="dxa"/>
            <w:shd w:val="clear" w:color="auto" w:fill="auto"/>
            <w:vAlign w:val="center"/>
          </w:tcPr>
          <w:p w:rsidR="00A93324" w:rsidRPr="00A93324" w:rsidRDefault="00A93324" w:rsidP="00A93324">
            <w:pPr>
              <w:spacing w:after="120" w:line="240" w:lineRule="auto"/>
              <w:ind w:left="66"/>
              <w:jc w:val="center"/>
              <w:rPr>
                <w:rFonts w:ascii="Arial" w:eastAsia="SimSun" w:hAnsi="Arial" w:cs="Arial"/>
                <w:iCs/>
                <w:lang w:val="en-GB"/>
              </w:rPr>
            </w:pPr>
            <w:r w:rsidRPr="00A93324">
              <w:rPr>
                <w:rFonts w:ascii="Arial" w:eastAsia="SimSun" w:hAnsi="Arial" w:cs="Arial"/>
                <w:iCs/>
                <w:lang w:val="en-GB"/>
              </w:rPr>
              <w:t>215</w:t>
            </w:r>
          </w:p>
        </w:tc>
        <w:tc>
          <w:tcPr>
            <w:tcW w:w="1918" w:type="dxa"/>
            <w:shd w:val="clear" w:color="auto" w:fill="auto"/>
            <w:vAlign w:val="center"/>
          </w:tcPr>
          <w:p w:rsidR="00A93324" w:rsidRPr="00A93324" w:rsidRDefault="00A93324" w:rsidP="00A93324">
            <w:pPr>
              <w:spacing w:after="120" w:line="240" w:lineRule="auto"/>
              <w:jc w:val="center"/>
              <w:rPr>
                <w:rFonts w:ascii="Arial" w:eastAsia="SimSun" w:hAnsi="Arial" w:cs="Arial"/>
                <w:lang w:val="en-GB"/>
              </w:rPr>
            </w:pPr>
            <w:r w:rsidRPr="00A93324">
              <w:rPr>
                <w:rFonts w:ascii="Arial" w:eastAsia="SimSun" w:hAnsi="Arial" w:cs="Arial"/>
                <w:lang w:val="en-GB"/>
              </w:rPr>
              <w:t>0</w:t>
            </w:r>
          </w:p>
        </w:tc>
      </w:tr>
      <w:tr w:rsidR="00A93324" w:rsidRPr="00A93324" w:rsidTr="00A42550">
        <w:trPr>
          <w:trHeight w:val="491"/>
        </w:trPr>
        <w:tc>
          <w:tcPr>
            <w:tcW w:w="1679" w:type="dxa"/>
            <w:vAlign w:val="center"/>
          </w:tcPr>
          <w:p w:rsidR="00A93324" w:rsidRPr="00A93324" w:rsidRDefault="00A93324" w:rsidP="00A93324">
            <w:pPr>
              <w:tabs>
                <w:tab w:val="left" w:pos="1276"/>
                <w:tab w:val="left" w:leader="dot" w:pos="9356"/>
              </w:tabs>
              <w:spacing w:after="120" w:line="240" w:lineRule="auto"/>
              <w:jc w:val="center"/>
              <w:rPr>
                <w:rFonts w:ascii="Arial" w:eastAsia="SimSun" w:hAnsi="Arial" w:cs="Arial"/>
                <w:iCs/>
                <w:lang w:val="en-GB"/>
              </w:rPr>
            </w:pPr>
            <w:r w:rsidRPr="00A93324">
              <w:rPr>
                <w:rFonts w:ascii="Arial" w:eastAsia="SimSun" w:hAnsi="Arial" w:cs="Arial"/>
                <w:iCs/>
                <w:lang w:val="en-GB"/>
              </w:rPr>
              <w:t>Oraş Pogoa</w:t>
            </w:r>
            <w:r w:rsidRPr="00A93324">
              <w:rPr>
                <w:rFonts w:ascii="Arial" w:eastAsia="SimSun" w:hAnsi="Arial" w:cs="Arial"/>
                <w:iCs/>
                <w:lang w:val="en-GB"/>
              </w:rPr>
              <w:t>n</w:t>
            </w:r>
            <w:r w:rsidRPr="00A93324">
              <w:rPr>
                <w:rFonts w:ascii="Arial" w:eastAsia="SimSun" w:hAnsi="Arial" w:cs="Arial"/>
                <w:iCs/>
                <w:lang w:val="en-GB"/>
              </w:rPr>
              <w:t>ele</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1022</w:t>
            </w:r>
          </w:p>
        </w:tc>
        <w:tc>
          <w:tcPr>
            <w:tcW w:w="1239"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1022</w:t>
            </w:r>
          </w:p>
        </w:tc>
        <w:tc>
          <w:tcPr>
            <w:tcW w:w="1088" w:type="dxa"/>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1022</w:t>
            </w:r>
          </w:p>
        </w:tc>
        <w:tc>
          <w:tcPr>
            <w:tcW w:w="1276" w:type="dxa"/>
            <w:shd w:val="clear" w:color="auto" w:fill="auto"/>
            <w:noWrap/>
            <w:vAlign w:val="center"/>
          </w:tcPr>
          <w:p w:rsidR="00A93324" w:rsidRPr="00A93324" w:rsidRDefault="00A93324" w:rsidP="00A93324">
            <w:pPr>
              <w:tabs>
                <w:tab w:val="left" w:pos="1276"/>
                <w:tab w:val="left" w:leader="dot" w:pos="9356"/>
              </w:tabs>
              <w:spacing w:after="120" w:line="240" w:lineRule="auto"/>
              <w:ind w:left="66"/>
              <w:jc w:val="center"/>
              <w:rPr>
                <w:rFonts w:ascii="Arial" w:eastAsia="SimSun" w:hAnsi="Arial" w:cs="Arial"/>
                <w:iCs/>
                <w:lang w:val="en-GB"/>
              </w:rPr>
            </w:pPr>
            <w:r w:rsidRPr="00A93324">
              <w:rPr>
                <w:rFonts w:ascii="Arial" w:eastAsia="SimSun" w:hAnsi="Arial" w:cs="Arial"/>
                <w:iCs/>
                <w:lang w:val="en-GB"/>
              </w:rPr>
              <w:t>1022</w:t>
            </w:r>
          </w:p>
        </w:tc>
        <w:tc>
          <w:tcPr>
            <w:tcW w:w="1134" w:type="dxa"/>
            <w:shd w:val="clear" w:color="auto" w:fill="auto"/>
            <w:vAlign w:val="center"/>
          </w:tcPr>
          <w:p w:rsidR="00A93324" w:rsidRPr="00A93324" w:rsidRDefault="00A93324" w:rsidP="00A93324">
            <w:pPr>
              <w:spacing w:after="120" w:line="240" w:lineRule="auto"/>
              <w:ind w:left="66"/>
              <w:jc w:val="center"/>
              <w:rPr>
                <w:rFonts w:ascii="Arial" w:eastAsia="SimSun" w:hAnsi="Arial" w:cs="Arial"/>
                <w:iCs/>
                <w:lang w:val="en-GB"/>
              </w:rPr>
            </w:pPr>
            <w:r w:rsidRPr="00A93324">
              <w:rPr>
                <w:rFonts w:ascii="Arial" w:eastAsia="SimSun" w:hAnsi="Arial" w:cs="Arial"/>
                <w:iCs/>
                <w:lang w:val="en-GB"/>
              </w:rPr>
              <w:t>1022</w:t>
            </w:r>
          </w:p>
        </w:tc>
        <w:tc>
          <w:tcPr>
            <w:tcW w:w="1918" w:type="dxa"/>
            <w:shd w:val="clear" w:color="auto" w:fill="auto"/>
            <w:vAlign w:val="center"/>
          </w:tcPr>
          <w:p w:rsidR="00A93324" w:rsidRPr="00A93324" w:rsidRDefault="00A93324" w:rsidP="00A93324">
            <w:pPr>
              <w:spacing w:after="120" w:line="240" w:lineRule="auto"/>
              <w:jc w:val="center"/>
              <w:rPr>
                <w:rFonts w:ascii="Arial" w:eastAsia="SimSun" w:hAnsi="Arial" w:cs="Arial"/>
                <w:lang w:val="en-GB"/>
              </w:rPr>
            </w:pPr>
            <w:r w:rsidRPr="00A93324">
              <w:rPr>
                <w:rFonts w:ascii="Arial" w:eastAsia="SimSun" w:hAnsi="Arial" w:cs="Arial"/>
                <w:lang w:val="en-GB"/>
              </w:rPr>
              <w:t>0</w:t>
            </w:r>
          </w:p>
        </w:tc>
      </w:tr>
    </w:tbl>
    <w:p w:rsidR="00A93324" w:rsidRPr="00A93324" w:rsidRDefault="00A93324" w:rsidP="00A93324">
      <w:pPr>
        <w:tabs>
          <w:tab w:val="left" w:pos="1276"/>
          <w:tab w:val="left" w:leader="dot" w:pos="9356"/>
        </w:tabs>
        <w:spacing w:after="120" w:line="240" w:lineRule="auto"/>
        <w:ind w:left="596"/>
        <w:jc w:val="center"/>
        <w:rPr>
          <w:rFonts w:ascii="Arial" w:eastAsia="SimSun" w:hAnsi="Arial" w:cs="Arial"/>
          <w:i/>
          <w:iCs/>
          <w:sz w:val="24"/>
          <w:szCs w:val="24"/>
          <w:lang w:val="ro-RO"/>
        </w:rPr>
      </w:pPr>
      <w:r w:rsidRPr="00A93324">
        <w:rPr>
          <w:rFonts w:ascii="Arial" w:eastAsia="SimSun" w:hAnsi="Arial" w:cs="Arial"/>
          <w:i/>
          <w:iCs/>
          <w:sz w:val="24"/>
          <w:szCs w:val="24"/>
          <w:lang w:val="ro-RO"/>
        </w:rPr>
        <w:tab/>
        <w:t xml:space="preserve">                     Sursa: Primăria Râmnicu Sărat, Nehoiu, Pătârlagele, Pogoanele</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i/>
          <w:iCs/>
          <w:sz w:val="24"/>
          <w:szCs w:val="24"/>
          <w:lang w:val="ro-RO"/>
        </w:rPr>
        <w:t xml:space="preserve">                                                                         *Institutul Naţional de Statistică</w:t>
      </w:r>
    </w:p>
    <w:p w:rsidR="00A93324" w:rsidRPr="00A93324" w:rsidRDefault="00A93324" w:rsidP="00A93324">
      <w:pPr>
        <w:tabs>
          <w:tab w:val="left" w:pos="1276"/>
          <w:tab w:val="left" w:leader="dot" w:pos="9356"/>
        </w:tabs>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Aşa cum se poate observă în tabelul IV.3.2.-1 şi figura IV.3.2-1, creşterea netă a suprafeţelor din judeţul Buzău, convertite în terenuri intravilane orăşeneşti între anii 2010 – </w:t>
      </w:r>
      <w:smartTag w:uri="urn:schemas-microsoft-com:office:smarttags" w:element="metricconverter">
        <w:smartTagPr>
          <w:attr w:name="ProductID" w:val="2013 a"/>
        </w:smartTagPr>
        <w:r w:rsidRPr="00A93324">
          <w:rPr>
            <w:rFonts w:ascii="Arial" w:eastAsia="SimSun" w:hAnsi="Arial" w:cs="Arial"/>
            <w:sz w:val="24"/>
            <w:szCs w:val="24"/>
            <w:lang w:val="ro-RO"/>
          </w:rPr>
          <w:t>2013 a</w:t>
        </w:r>
      </w:smartTag>
      <w:r w:rsidRPr="00A93324">
        <w:rPr>
          <w:rFonts w:ascii="Arial" w:eastAsia="SimSun" w:hAnsi="Arial" w:cs="Arial"/>
          <w:sz w:val="24"/>
          <w:szCs w:val="24"/>
          <w:lang w:val="ro-RO"/>
        </w:rPr>
        <w:t xml:space="preserve"> fost de numai </w:t>
      </w:r>
      <w:smartTag w:uri="urn:schemas-microsoft-com:office:smarttags" w:element="metricconverter">
        <w:smartTagPr>
          <w:attr w:name="ProductID" w:val="84 ha"/>
        </w:smartTagPr>
        <w:r w:rsidRPr="00A93324">
          <w:rPr>
            <w:rFonts w:ascii="Arial" w:eastAsia="SimSun" w:hAnsi="Arial" w:cs="Arial"/>
            <w:sz w:val="24"/>
            <w:szCs w:val="24"/>
            <w:lang w:val="ro-RO"/>
          </w:rPr>
          <w:t>84 ha</w:t>
        </w:r>
      </w:smartTag>
      <w:r w:rsidRPr="00A93324">
        <w:rPr>
          <w:rFonts w:ascii="Arial" w:eastAsia="SimSun" w:hAnsi="Arial" w:cs="Arial"/>
          <w:b/>
          <w:sz w:val="24"/>
          <w:szCs w:val="24"/>
          <w:lang w:val="ro-RO"/>
        </w:rPr>
        <w:t xml:space="preserve">, </w:t>
      </w:r>
      <w:r w:rsidRPr="00A93324">
        <w:rPr>
          <w:rFonts w:ascii="Arial" w:eastAsia="SimSun" w:hAnsi="Arial" w:cs="Arial"/>
          <w:sz w:val="24"/>
          <w:szCs w:val="24"/>
          <w:lang w:val="ro-RO"/>
        </w:rPr>
        <w:t xml:space="preserve">asociată creşterii suprafeţei intravilane a municipiului Buzău. Aceasta este o creştere mică în raport cu creşterea cu </w:t>
      </w:r>
      <w:smartTag w:uri="urn:schemas-microsoft-com:office:smarttags" w:element="metricconverter">
        <w:smartTagPr>
          <w:attr w:name="ProductID" w:val="1691 ha"/>
        </w:smartTagPr>
        <w:r w:rsidRPr="00A93324">
          <w:rPr>
            <w:rFonts w:ascii="Arial" w:eastAsia="SimSun" w:hAnsi="Arial" w:cs="Arial"/>
            <w:sz w:val="24"/>
            <w:szCs w:val="24"/>
            <w:lang w:val="ro-RO"/>
          </w:rPr>
          <w:t>1691 ha</w:t>
        </w:r>
      </w:smartTag>
      <w:r w:rsidRPr="00A93324">
        <w:rPr>
          <w:rFonts w:ascii="Arial" w:eastAsia="SimSun" w:hAnsi="Arial" w:cs="Arial"/>
          <w:sz w:val="24"/>
          <w:szCs w:val="24"/>
          <w:lang w:val="ro-RO"/>
        </w:rPr>
        <w:t xml:space="preserve"> a suprafeţei intravilane a municipiului din perioada 2008 – 2009; conform datelor extrase din baza de date a Institutului Naţional de Statistică, suprafaţa intravilană a crescut de la </w:t>
      </w:r>
      <w:smartTag w:uri="urn:schemas-microsoft-com:office:smarttags" w:element="metricconverter">
        <w:smartTagPr>
          <w:attr w:name="ProductID" w:val="2866 ha"/>
        </w:smartTagPr>
        <w:r w:rsidRPr="00A93324">
          <w:rPr>
            <w:rFonts w:ascii="Arial" w:eastAsia="SimSun" w:hAnsi="Arial" w:cs="Arial"/>
            <w:sz w:val="24"/>
            <w:szCs w:val="24"/>
            <w:lang w:val="ro-RO"/>
          </w:rPr>
          <w:t>2866 ha</w:t>
        </w:r>
      </w:smartTag>
      <w:r w:rsidRPr="00A93324">
        <w:rPr>
          <w:rFonts w:ascii="Arial" w:eastAsia="SimSun" w:hAnsi="Arial" w:cs="Arial"/>
          <w:sz w:val="24"/>
          <w:szCs w:val="24"/>
          <w:lang w:val="ro-RO"/>
        </w:rPr>
        <w:t xml:space="preserve">, în 2008, la </w:t>
      </w:r>
      <w:smartTag w:uri="urn:schemas-microsoft-com:office:smarttags" w:element="metricconverter">
        <w:smartTagPr>
          <w:attr w:name="ProductID" w:val="4557 ha"/>
        </w:smartTagPr>
        <w:r w:rsidRPr="00A93324">
          <w:rPr>
            <w:rFonts w:ascii="Arial" w:eastAsia="SimSun" w:hAnsi="Arial" w:cs="Arial"/>
            <w:sz w:val="24"/>
            <w:szCs w:val="24"/>
            <w:lang w:val="ro-RO"/>
          </w:rPr>
          <w:t>4557 ha</w:t>
        </w:r>
      </w:smartTag>
      <w:r w:rsidRPr="00A93324">
        <w:rPr>
          <w:rFonts w:ascii="Arial" w:eastAsia="SimSun" w:hAnsi="Arial" w:cs="Arial"/>
          <w:sz w:val="24"/>
          <w:szCs w:val="24"/>
          <w:lang w:val="ro-RO"/>
        </w:rPr>
        <w:t>, în 2009.</w:t>
      </w:r>
    </w:p>
    <w:p w:rsidR="00A93324" w:rsidRPr="00A93324" w:rsidRDefault="00A93324" w:rsidP="00A93324">
      <w:pPr>
        <w:tabs>
          <w:tab w:val="left" w:pos="1276"/>
          <w:tab w:val="left" w:leader="dot" w:pos="9356"/>
        </w:tabs>
        <w:spacing w:after="120" w:line="240" w:lineRule="auto"/>
        <w:jc w:val="both"/>
        <w:rPr>
          <w:rFonts w:ascii="Arial" w:eastAsia="SimSun" w:hAnsi="Arial" w:cs="Arial"/>
          <w:b/>
          <w:sz w:val="24"/>
          <w:szCs w:val="24"/>
          <w:lang w:val="ro-RO"/>
        </w:rPr>
      </w:pPr>
      <w:r w:rsidRPr="00A93324">
        <w:rPr>
          <w:rFonts w:ascii="Arial" w:eastAsia="SimSun" w:hAnsi="Arial" w:cs="Arial"/>
          <w:b/>
          <w:sz w:val="24"/>
          <w:szCs w:val="24"/>
          <w:lang w:val="ro-RO"/>
        </w:rPr>
        <w:t>Figura IV.3.2 – 1 Expansiunea suprafeţelor intravilane a municipiilor şi oraşelor din judeţul Buzău între anii 2010 – 2014, exprimate ca diferenţa între suprafaţa din 2014 şi cea din 2010</w:t>
      </w:r>
    </w:p>
    <w:p w:rsidR="00A93324" w:rsidRPr="00A93324" w:rsidRDefault="00A93324" w:rsidP="00A93324">
      <w:pPr>
        <w:tabs>
          <w:tab w:val="left" w:pos="1276"/>
          <w:tab w:val="left" w:leader="dot" w:pos="9356"/>
        </w:tabs>
        <w:spacing w:after="120" w:line="240" w:lineRule="auto"/>
        <w:jc w:val="both"/>
        <w:rPr>
          <w:rFonts w:ascii="Arial" w:eastAsia="SimSun" w:hAnsi="Arial" w:cs="Arial"/>
          <w:iCs/>
          <w:sz w:val="24"/>
          <w:szCs w:val="24"/>
          <w:lang w:val="ro-RO"/>
        </w:rPr>
      </w:pPr>
      <w:r>
        <w:rPr>
          <w:rFonts w:ascii="Arial" w:eastAsia="SimSun" w:hAnsi="Arial" w:cs="Arial"/>
          <w:b/>
          <w:noProof/>
          <w:sz w:val="24"/>
          <w:szCs w:val="24"/>
          <w:lang w:val="ro-RO" w:eastAsia="ro-RO"/>
        </w:rPr>
        <w:lastRenderedPageBreak/>
        <w:drawing>
          <wp:inline distT="0" distB="0" distL="0" distR="0">
            <wp:extent cx="6076950" cy="1952625"/>
            <wp:effectExtent l="0" t="0" r="0" b="0"/>
            <wp:docPr id="171" name="Object 1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A93324" w:rsidRPr="00A93324" w:rsidRDefault="00A93324" w:rsidP="00A93324">
      <w:pPr>
        <w:tabs>
          <w:tab w:val="left" w:pos="1276"/>
          <w:tab w:val="left" w:leader="dot" w:pos="9356"/>
        </w:tabs>
        <w:spacing w:after="120" w:line="240" w:lineRule="auto"/>
        <w:ind w:left="596"/>
        <w:jc w:val="right"/>
        <w:rPr>
          <w:rFonts w:ascii="Arial" w:eastAsia="SimSun" w:hAnsi="Arial" w:cs="Arial"/>
          <w:i/>
          <w:iCs/>
          <w:sz w:val="24"/>
          <w:szCs w:val="24"/>
          <w:lang w:val="ro-RO"/>
        </w:rPr>
      </w:pPr>
      <w:r w:rsidRPr="00A93324">
        <w:rPr>
          <w:rFonts w:ascii="Arial" w:eastAsia="SimSun" w:hAnsi="Arial" w:cs="Arial"/>
          <w:i/>
          <w:iCs/>
          <w:sz w:val="24"/>
          <w:szCs w:val="24"/>
          <w:lang w:val="ro-RO"/>
        </w:rPr>
        <w:t>Sursa: Institutul Naţional de Statistică</w:t>
      </w:r>
    </w:p>
    <w:p w:rsidR="00A93324" w:rsidRPr="00A93324" w:rsidRDefault="00A93324" w:rsidP="00A93324">
      <w:pPr>
        <w:tabs>
          <w:tab w:val="left" w:pos="1276"/>
          <w:tab w:val="left" w:leader="dot" w:pos="9356"/>
        </w:tabs>
        <w:spacing w:after="120" w:line="240" w:lineRule="auto"/>
        <w:ind w:left="596"/>
        <w:jc w:val="right"/>
        <w:rPr>
          <w:rFonts w:ascii="Arial" w:eastAsia="SimSun" w:hAnsi="Arial" w:cs="Arial"/>
          <w:i/>
          <w:iCs/>
          <w:sz w:val="24"/>
          <w:szCs w:val="24"/>
          <w:lang w:val="ro-RO"/>
        </w:rPr>
      </w:pPr>
    </w:p>
    <w:p w:rsidR="00A93324" w:rsidRPr="00A93324" w:rsidRDefault="00A93324" w:rsidP="00A93324">
      <w:pPr>
        <w:shd w:val="clear" w:color="auto" w:fill="D9D9D9"/>
        <w:tabs>
          <w:tab w:val="left" w:leader="dot" w:pos="9356"/>
        </w:tabs>
        <w:spacing w:after="120" w:line="240" w:lineRule="auto"/>
        <w:ind w:left="293"/>
        <w:rPr>
          <w:rFonts w:ascii="Arial" w:eastAsia="SimSun" w:hAnsi="Arial" w:cs="Arial"/>
          <w:b/>
          <w:sz w:val="24"/>
          <w:szCs w:val="24"/>
          <w:lang w:val="ro-RO"/>
        </w:rPr>
      </w:pPr>
      <w:r w:rsidRPr="00A93324">
        <w:rPr>
          <w:rFonts w:ascii="Arial" w:eastAsia="SimSun" w:hAnsi="Arial" w:cs="Arial"/>
          <w:b/>
          <w:sz w:val="24"/>
          <w:szCs w:val="24"/>
          <w:lang w:val="ro-RO"/>
        </w:rPr>
        <w:t xml:space="preserve"> IV.4 Prognoze şi acţiuni întreprinse privind utilizarea terenurilor</w:t>
      </w:r>
    </w:p>
    <w:p w:rsidR="00A93324" w:rsidRPr="00A93324" w:rsidRDefault="00A93324" w:rsidP="00A93324">
      <w:pPr>
        <w:spacing w:after="120" w:line="240" w:lineRule="auto"/>
        <w:rPr>
          <w:rFonts w:ascii="Arial" w:eastAsia="SimSun" w:hAnsi="Arial" w:cs="Arial"/>
          <w:b/>
          <w:sz w:val="24"/>
          <w:szCs w:val="24"/>
          <w:lang w:val="ro-RO"/>
        </w:rPr>
      </w:pP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en-GB"/>
        </w:rPr>
        <w:t>Prin planurile urbanistice generale sunt stabilite obiectivele, acţiunile şi măsurile de dezvo</w:t>
      </w:r>
      <w:r w:rsidRPr="00A93324">
        <w:rPr>
          <w:rFonts w:ascii="Arial" w:eastAsia="SimSun" w:hAnsi="Arial" w:cs="Arial"/>
          <w:sz w:val="24"/>
          <w:szCs w:val="24"/>
          <w:lang w:val="en-GB"/>
        </w:rPr>
        <w:t>l</w:t>
      </w:r>
      <w:r w:rsidRPr="00A93324">
        <w:rPr>
          <w:rFonts w:ascii="Arial" w:eastAsia="SimSun" w:hAnsi="Arial" w:cs="Arial"/>
          <w:sz w:val="24"/>
          <w:szCs w:val="24"/>
          <w:lang w:val="en-GB"/>
        </w:rPr>
        <w:t>tare a localităţilor, pe baza analizelor situaţiei existente</w:t>
      </w:r>
      <w:r w:rsidRPr="00A93324">
        <w:rPr>
          <w:rFonts w:ascii="Arial" w:eastAsia="SimSun" w:hAnsi="Arial" w:cs="Arial"/>
          <w:sz w:val="24"/>
          <w:szCs w:val="24"/>
          <w:lang w:val="ro-RO"/>
        </w:rPr>
        <w:t xml:space="preserve"> şi ţinând cont de tendinţele generale de dezvoltare. La nivelul judeţului, este în curs de elaborare Planul de amenajare teritorială judeţean (PATJ), care </w:t>
      </w:r>
      <w:r w:rsidRPr="00A93324">
        <w:rPr>
          <w:rFonts w:ascii="Arial" w:eastAsia="SimSun" w:hAnsi="Arial" w:cs="Arial"/>
          <w:sz w:val="24"/>
          <w:szCs w:val="24"/>
          <w:lang w:val="en-GB"/>
        </w:rPr>
        <w:t>conţine programul de mãsuri necesare pentru armoniz</w:t>
      </w:r>
      <w:r w:rsidRPr="00A93324">
        <w:rPr>
          <w:rFonts w:ascii="Arial" w:eastAsia="SimSun" w:hAnsi="Arial" w:cs="Arial"/>
          <w:sz w:val="24"/>
          <w:szCs w:val="24"/>
          <w:lang w:val="en-GB"/>
        </w:rPr>
        <w:t>a</w:t>
      </w:r>
      <w:r w:rsidRPr="00A93324">
        <w:rPr>
          <w:rFonts w:ascii="Arial" w:eastAsia="SimSun" w:hAnsi="Arial" w:cs="Arial"/>
          <w:sz w:val="24"/>
          <w:szCs w:val="24"/>
          <w:lang w:val="en-GB"/>
        </w:rPr>
        <w:t xml:space="preserve">rea dezvoltãrii durabile a teritoriului şi înlãturarea sau ameliorarea disfuncţionalităţilor şi disparitãţilor care se manifestã în acea zonã. PATJ stabileşte orientările generale privind amenajarea teritoriului în judeţul respectiv. </w:t>
      </w:r>
    </w:p>
    <w:p w:rsidR="00A93324" w:rsidRPr="00A93324" w:rsidRDefault="00A93324" w:rsidP="00A93324">
      <w:pPr>
        <w:spacing w:after="120" w:line="240" w:lineRule="auto"/>
        <w:jc w:val="both"/>
        <w:rPr>
          <w:rFonts w:ascii="Arial" w:eastAsia="SimSun" w:hAnsi="Arial" w:cs="Arial"/>
          <w:sz w:val="24"/>
          <w:szCs w:val="24"/>
          <w:lang w:val="ro-RO"/>
        </w:rPr>
      </w:pPr>
      <w:r w:rsidRPr="00A93324">
        <w:rPr>
          <w:rFonts w:ascii="Arial" w:eastAsia="SimSun" w:hAnsi="Arial" w:cs="Arial"/>
          <w:sz w:val="24"/>
          <w:szCs w:val="24"/>
          <w:lang w:val="ro-RO"/>
        </w:rPr>
        <w:t xml:space="preserve">Din analiza planurilor urbanistice generale elaborate în ultimii ani de autorităţile administraţiei publice locale, precum şi din planurile urbanistice zonale avizate, se pot remarca următoarele tendinţe: </w:t>
      </w:r>
    </w:p>
    <w:p w:rsidR="00A93324" w:rsidRPr="00A93324" w:rsidRDefault="00A93324" w:rsidP="00A93324">
      <w:pPr>
        <w:numPr>
          <w:ilvl w:val="0"/>
          <w:numId w:val="7"/>
        </w:numPr>
        <w:spacing w:after="120" w:line="240" w:lineRule="auto"/>
        <w:jc w:val="both"/>
        <w:rPr>
          <w:rFonts w:ascii="Arial" w:eastAsia="SimSun" w:hAnsi="Arial" w:cs="Arial"/>
          <w:sz w:val="24"/>
          <w:szCs w:val="24"/>
        </w:rPr>
      </w:pPr>
      <w:r w:rsidRPr="00A93324">
        <w:rPr>
          <w:rFonts w:ascii="Arial" w:eastAsia="SimSun" w:hAnsi="Arial" w:cs="Arial"/>
          <w:sz w:val="24"/>
          <w:szCs w:val="24"/>
          <w:lang w:val="ro-RO"/>
        </w:rPr>
        <w:t xml:space="preserve">creşterea suprafeţelor intravilane ale localităţilor, în special prin schimbarea destinaţiei din terenuri agricole în terenuri cu funcţiunea curţi/construcţii; </w:t>
      </w:r>
    </w:p>
    <w:p w:rsidR="00A93324" w:rsidRPr="00A93324" w:rsidRDefault="00A93324" w:rsidP="00A93324">
      <w:pPr>
        <w:numPr>
          <w:ilvl w:val="0"/>
          <w:numId w:val="7"/>
        </w:numPr>
        <w:spacing w:after="120" w:line="240" w:lineRule="auto"/>
        <w:jc w:val="both"/>
        <w:rPr>
          <w:rFonts w:ascii="Arial" w:eastAsia="SimSun" w:hAnsi="Arial" w:cs="Arial"/>
          <w:sz w:val="24"/>
          <w:szCs w:val="24"/>
        </w:rPr>
      </w:pPr>
      <w:r w:rsidRPr="00A93324">
        <w:rPr>
          <w:rFonts w:ascii="Arial" w:eastAsia="SimSun" w:hAnsi="Arial" w:cs="Arial"/>
          <w:sz w:val="24"/>
          <w:szCs w:val="24"/>
          <w:lang w:val="ro-RO"/>
        </w:rPr>
        <w:t xml:space="preserve">extinderea terenurilor destinate echipării edilitare şi gospodăriei comunale;  </w:t>
      </w:r>
    </w:p>
    <w:p w:rsidR="00A93324" w:rsidRPr="00A93324" w:rsidRDefault="00A93324" w:rsidP="00A93324">
      <w:pPr>
        <w:numPr>
          <w:ilvl w:val="0"/>
          <w:numId w:val="7"/>
        </w:numPr>
        <w:spacing w:after="120" w:line="240" w:lineRule="auto"/>
        <w:jc w:val="both"/>
        <w:rPr>
          <w:rFonts w:ascii="Arial" w:eastAsia="SimSun" w:hAnsi="Arial" w:cs="Arial"/>
          <w:sz w:val="24"/>
          <w:szCs w:val="24"/>
        </w:rPr>
      </w:pPr>
      <w:r w:rsidRPr="00A93324">
        <w:rPr>
          <w:rFonts w:ascii="Arial" w:eastAsia="SimSun" w:hAnsi="Arial" w:cs="Arial"/>
          <w:sz w:val="24"/>
          <w:szCs w:val="24"/>
        </w:rPr>
        <w:t xml:space="preserve">extinderea, reabilitarea şi modernizarea căilor de comunicaţii şi transport; </w:t>
      </w:r>
    </w:p>
    <w:p w:rsidR="00A93324" w:rsidRPr="00A93324" w:rsidRDefault="00A93324" w:rsidP="00A93324">
      <w:pPr>
        <w:numPr>
          <w:ilvl w:val="0"/>
          <w:numId w:val="7"/>
        </w:numPr>
        <w:spacing w:after="120" w:line="240" w:lineRule="auto"/>
        <w:jc w:val="both"/>
        <w:rPr>
          <w:rFonts w:ascii="Arial" w:eastAsia="SimSun" w:hAnsi="Arial" w:cs="Arial"/>
          <w:sz w:val="24"/>
          <w:szCs w:val="24"/>
        </w:rPr>
      </w:pPr>
      <w:r w:rsidRPr="00A93324">
        <w:rPr>
          <w:rFonts w:ascii="Arial" w:eastAsia="SimSun" w:hAnsi="Arial" w:cs="Arial"/>
          <w:sz w:val="24"/>
          <w:szCs w:val="24"/>
        </w:rPr>
        <w:t>extinderea, amenajarea şi reabilitarea suprafeţelor spaţiilor plantate, de agreement şi sport;</w:t>
      </w:r>
    </w:p>
    <w:p w:rsidR="00A93324" w:rsidRPr="00A93324" w:rsidRDefault="00A93324" w:rsidP="00A93324">
      <w:pPr>
        <w:numPr>
          <w:ilvl w:val="0"/>
          <w:numId w:val="7"/>
        </w:numPr>
        <w:spacing w:after="120" w:line="240" w:lineRule="auto"/>
        <w:jc w:val="both"/>
        <w:rPr>
          <w:rFonts w:ascii="Arial" w:eastAsia="SimSun" w:hAnsi="Arial" w:cs="Arial"/>
          <w:sz w:val="24"/>
          <w:szCs w:val="24"/>
        </w:rPr>
      </w:pPr>
      <w:r w:rsidRPr="00A93324">
        <w:rPr>
          <w:rFonts w:ascii="Arial" w:eastAsia="SimSun" w:hAnsi="Arial" w:cs="Arial"/>
          <w:sz w:val="24"/>
          <w:szCs w:val="24"/>
          <w:lang w:val="fr-FR"/>
        </w:rPr>
        <w:t>identificarea zonelor cu riscuri naturale, stabilirea de restricţii şi reglementări pentru aceste zone;</w:t>
      </w:r>
    </w:p>
    <w:p w:rsidR="00A93324" w:rsidRPr="00A93324" w:rsidRDefault="00A93324" w:rsidP="00A93324">
      <w:pPr>
        <w:numPr>
          <w:ilvl w:val="0"/>
          <w:numId w:val="7"/>
        </w:numPr>
        <w:spacing w:after="120" w:line="240" w:lineRule="auto"/>
        <w:jc w:val="both"/>
        <w:rPr>
          <w:rFonts w:ascii="Arial" w:eastAsia="SimSun" w:hAnsi="Arial" w:cs="Arial"/>
          <w:sz w:val="24"/>
          <w:szCs w:val="24"/>
          <w:lang w:val="fr-FR"/>
        </w:rPr>
      </w:pPr>
      <w:r w:rsidRPr="00A93324">
        <w:rPr>
          <w:rFonts w:ascii="Arial" w:eastAsia="SimSun" w:hAnsi="Arial" w:cs="Arial"/>
          <w:sz w:val="24"/>
          <w:szCs w:val="24"/>
          <w:lang w:val="fr-FR"/>
        </w:rPr>
        <w:t>includerea în regulamentele planurilor urbanistice a condiţiilor pentru protejarea rezervaţiilor naturale, precum şi pentru menţinerea şi/sau îmbunătăţirea stării de conservare a habitatelor naturale şi a speciilor de interes comunitar din siturile ”N</w:t>
      </w:r>
      <w:r w:rsidRPr="00A93324">
        <w:rPr>
          <w:rFonts w:ascii="Arial" w:eastAsia="SimSun" w:hAnsi="Arial" w:cs="Arial"/>
          <w:sz w:val="24"/>
          <w:szCs w:val="24"/>
          <w:lang w:val="fr-FR"/>
        </w:rPr>
        <w:t>a</w:t>
      </w:r>
      <w:r w:rsidRPr="00A93324">
        <w:rPr>
          <w:rFonts w:ascii="Arial" w:eastAsia="SimSun" w:hAnsi="Arial" w:cs="Arial"/>
          <w:sz w:val="24"/>
          <w:szCs w:val="24"/>
          <w:lang w:val="fr-FR"/>
        </w:rPr>
        <w:t xml:space="preserve">tura </w:t>
      </w:r>
      <w:smartTag w:uri="urn:schemas-microsoft-com:office:smarttags" w:element="metricconverter">
        <w:smartTagPr>
          <w:attr w:name="ProductID" w:val="2000”"/>
        </w:smartTagPr>
        <w:r w:rsidRPr="00A93324">
          <w:rPr>
            <w:rFonts w:ascii="Arial" w:eastAsia="SimSun" w:hAnsi="Arial" w:cs="Arial"/>
            <w:sz w:val="24"/>
            <w:szCs w:val="24"/>
            <w:lang w:val="fr-FR"/>
          </w:rPr>
          <w:t>2000”</w:t>
        </w:r>
      </w:smartTag>
      <w:r w:rsidRPr="00A93324">
        <w:rPr>
          <w:rFonts w:ascii="Arial" w:eastAsia="SimSun" w:hAnsi="Arial" w:cs="Arial"/>
          <w:sz w:val="24"/>
          <w:szCs w:val="24"/>
          <w:lang w:val="fr-FR"/>
        </w:rPr>
        <w:t>.</w:t>
      </w:r>
    </w:p>
    <w:p w:rsidR="00A93324" w:rsidRPr="00A93324" w:rsidRDefault="00A93324" w:rsidP="00A93324">
      <w:pPr>
        <w:spacing w:after="120" w:line="240" w:lineRule="auto"/>
        <w:ind w:left="360"/>
        <w:jc w:val="both"/>
        <w:rPr>
          <w:rFonts w:ascii="Arial" w:eastAsia="SimSun" w:hAnsi="Arial" w:cs="Arial"/>
          <w:sz w:val="24"/>
          <w:szCs w:val="24"/>
        </w:rPr>
      </w:pPr>
    </w:p>
    <w:p w:rsidR="002F5025" w:rsidRDefault="002F5025" w:rsidP="00232324">
      <w:pPr>
        <w:spacing w:before="120" w:line="60" w:lineRule="atLeast"/>
        <w:jc w:val="center"/>
        <w:outlineLvl w:val="0"/>
        <w:rPr>
          <w:rFonts w:ascii="Times New Roman" w:hAnsi="Times New Roman"/>
          <w:b/>
          <w:sz w:val="28"/>
          <w:szCs w:val="28"/>
          <w:lang w:val="ro-RO"/>
        </w:rPr>
        <w:sectPr w:rsidR="002F5025" w:rsidSect="00A42550">
          <w:pgSz w:w="11907" w:h="16839" w:code="9"/>
          <w:pgMar w:top="851" w:right="851" w:bottom="851" w:left="1418" w:header="0" w:footer="0" w:gutter="0"/>
          <w:cols w:space="720"/>
          <w:docGrid w:linePitch="360"/>
        </w:sect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lastRenderedPageBreak/>
        <w:t>V. PROTECŢIA NATURII ŞI BIODIVERSITATEA</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Biodiversitatea descrie întreaga gamă a variabilităţii organismelor vii în cadrul unui complex ecologic. Preocuparea pentru biodiversitate este parte integrantă a dezvoltării durabile, a competitivităţii, creşterii economice şi ocupării forţei de muncă. Multe dintre serviciile pe care biodiversitatea şi ecosistemele le furnizează sunt în prezent ameninţate. Lista presiunilor asupra biodiversităţii este lungă şi include distrugerea şi fragmentarea habitatelor, poluarea aerului, a apei şi a solului, pescuitul excesiv şi exploatarea excesivă a resurselor, a pădurilor şi a solului, introducerea unor specii neindigene şi eliberarea unor cantităţi tot mai mari de gaze cu efect de seră, care produc schimbări climatice.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Diversitatea globală a unei anumite regiuni depinde de capacitatea sa de a susţine viaţa şi de varietăţile de habitate pe care le include.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Biodiversitatea este compusă din diversitatea ecosistemelor, a speciilor şi cea genetică, dar şi cea etnoculturală. Biodiversitatea planetei este puternic influenţată de activităţile umane, inclusiv agricultura, silvicultura şi pescuitul, precum şi de către urbanizare.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În România, ecosistemele naturale şi seminaturale reprezintă aproximativ 47% din suprafaţa ţării, 45% reprezintă ecosistemele agricole, restul de 8% din suprafaţă reprezintă construcţiile şi infrastructura.</w:t>
      </w:r>
    </w:p>
    <w:p w:rsidR="002F5025" w:rsidRPr="002F5025" w:rsidRDefault="002F5025" w:rsidP="002F5025">
      <w:pPr>
        <w:spacing w:after="120" w:line="240" w:lineRule="auto"/>
        <w:jc w:val="both"/>
        <w:rPr>
          <w:rFonts w:ascii="Arial" w:eastAsiaTheme="minorHAnsi" w:hAnsi="Arial" w:cs="Arial"/>
          <w:b/>
          <w:lang w:val="ro-RO"/>
        </w:rPr>
      </w:pPr>
      <w:r w:rsidRPr="002F5025">
        <w:rPr>
          <w:rFonts w:ascii="Arial" w:eastAsiaTheme="minorHAnsi" w:hAnsi="Arial" w:cs="Arial"/>
          <w:sz w:val="24"/>
          <w:szCs w:val="24"/>
          <w:lang w:val="ro-RO"/>
        </w:rPr>
        <w:t>Conservarea diversităţii calitative a naturii vii corespunde celor mai înalte interese ale omenirii, determinând posibilitatea lărgirii gamei de “utilităţi” obţinute de la natură şi automat lărgirea gamei de produse naturale în agricultură, medicină, industrie.</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V.1. Ameninţări pentru biodiversitate şi presiuni exercitate asupra biodiversităţii</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Diversitatea biologică este într-o continuă ameninţare din cauza intensificării activităţilor economice ce exercită presiuni puternice asupra mediului.</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V.1.1. Specii invazive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Convenţia privind Diversitatea Biologică defineşte o specie alogenă ca fiind "o specie, subspecie sau un taxon inferior, introdus în afara răspândirii sale naturale din trecut sau prezent, incluzând orice parte, gameţi, seminţe, ouă sau mijloace de răspândire a acestor specii, care pot supravieţui şi se pot reproduce ulterior", în timp ce o specie alogenă invazivă este "o specie alogenă a cărei introducere şi/sau răspândire ameninţă diversitatea biologică".</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Conform OUG nr. 57/2007 cu modificările şi completările ulterioare speciile invazive sunt speciile indigene sau alohtone, care şi-au extins arealul de distribuţie sau au fost introduse accidental ori intenţionat într-o arie, s-au reprodus într-o asemenea măsură şi atât de agresiv încât influenţează negativ/domină/înlocuiesc unele dintre speciile indigene, determinând modificarea structurii cantitative şi/sau calitative a biocenozei naturale, caracteristică unui anumit tip de biotop.</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Aceste specii sunt răspândite la scara geografică largă şi pot fi întâlnite în toate tipurile de ecosisteme. Cele mai multe astfel de specii care afectează ecosistemele terestre aparţin unor grupuri de organisme vii cum sunt plantele, mamiferele şi insectele. Ameninţarea pe care aceste specii o reprezintă pentru biodiversitate la nivel global este considerată ca ocupând locul secund, după pericolul reprezentat de pierderea sau degradarea habitatului. Datorită faptului că factorii biotopului sau caracteristicile locale ale structurii biocenozei în care erau integrate nu mai acţionează similar în noile conditii de viaţă, speciile introduse pot deveni invazive ca urmare a unei creşteri numerice rapide şi necontrolate în noul mediu. Acest fapt se repercutează negativ asupra unor specii de plante şi animale autohtone care nu au timp să-şi dezvolte măsuri de apărare adecvate.</w:t>
      </w:r>
    </w:p>
    <w:p w:rsidR="002F5025" w:rsidRPr="002F5025" w:rsidRDefault="002F5025" w:rsidP="002F5025">
      <w:pPr>
        <w:spacing w:after="120" w:line="240" w:lineRule="auto"/>
        <w:jc w:val="both"/>
        <w:rPr>
          <w:rFonts w:ascii="Arial" w:eastAsia="Times New Roman" w:hAnsi="Arial" w:cs="Arial"/>
          <w:sz w:val="24"/>
          <w:szCs w:val="24"/>
          <w:lang w:val="fr-FR" w:eastAsia="ro-RO"/>
        </w:rPr>
      </w:pPr>
      <w:r w:rsidRPr="002F5025">
        <w:rPr>
          <w:rFonts w:ascii="Arial" w:eastAsia="Times New Roman" w:hAnsi="Arial" w:cs="Arial"/>
          <w:sz w:val="24"/>
          <w:szCs w:val="24"/>
          <w:lang w:val="fr-FR" w:eastAsia="ro-RO"/>
        </w:rPr>
        <w:t xml:space="preserve">Dintre speciile de plante invazive prezente pe raza judeţului Buzău cele mai cunoscute   sunt: </w:t>
      </w:r>
      <w:r w:rsidRPr="002F5025">
        <w:rPr>
          <w:rFonts w:ascii="Arial" w:eastAsia="Times New Roman" w:hAnsi="Arial" w:cs="Arial"/>
          <w:i/>
          <w:sz w:val="24"/>
          <w:szCs w:val="24"/>
          <w:lang w:val="fr-FR" w:eastAsia="ro-RO"/>
        </w:rPr>
        <w:t>Ambrosia artemisiifolia</w:t>
      </w:r>
      <w:r w:rsidRPr="002F5025">
        <w:rPr>
          <w:rFonts w:ascii="Arial" w:eastAsia="Times New Roman" w:hAnsi="Arial" w:cs="Arial"/>
          <w:sz w:val="24"/>
          <w:szCs w:val="24"/>
          <w:lang w:val="fr-FR" w:eastAsia="ro-RO"/>
        </w:rPr>
        <w:t xml:space="preserve"> (ambrozia), </w:t>
      </w:r>
      <w:r w:rsidRPr="002F5025">
        <w:rPr>
          <w:rFonts w:ascii="Arial" w:eastAsia="Times New Roman" w:hAnsi="Arial" w:cs="Arial"/>
          <w:i/>
          <w:sz w:val="24"/>
          <w:szCs w:val="24"/>
          <w:lang w:val="fr-FR" w:eastAsia="ro-RO"/>
        </w:rPr>
        <w:t>Acer negundo</w:t>
      </w:r>
      <w:r w:rsidRPr="002F5025">
        <w:rPr>
          <w:rFonts w:ascii="Arial" w:eastAsia="Times New Roman" w:hAnsi="Arial" w:cs="Arial"/>
          <w:sz w:val="24"/>
          <w:szCs w:val="24"/>
          <w:lang w:val="fr-FR" w:eastAsia="ro-RO"/>
        </w:rPr>
        <w:t>( arţarul american)</w:t>
      </w:r>
      <w:r w:rsidRPr="002F5025">
        <w:rPr>
          <w:rFonts w:ascii="Arial" w:eastAsia="Times New Roman" w:hAnsi="Arial" w:cs="Arial"/>
          <w:i/>
          <w:sz w:val="24"/>
          <w:szCs w:val="24"/>
          <w:lang w:val="fr-FR" w:eastAsia="ro-RO"/>
        </w:rPr>
        <w:t>, Ailanthus alti</w:t>
      </w:r>
      <w:r w:rsidRPr="002F5025">
        <w:rPr>
          <w:rFonts w:ascii="Arial" w:eastAsia="Times New Roman" w:hAnsi="Arial" w:cs="Arial"/>
          <w:i/>
          <w:sz w:val="24"/>
          <w:szCs w:val="24"/>
          <w:lang w:val="fr-FR" w:eastAsia="ro-RO"/>
        </w:rPr>
        <w:t>s</w:t>
      </w:r>
      <w:r w:rsidRPr="002F5025">
        <w:rPr>
          <w:rFonts w:ascii="Arial" w:eastAsia="Times New Roman" w:hAnsi="Arial" w:cs="Arial"/>
          <w:i/>
          <w:sz w:val="24"/>
          <w:szCs w:val="24"/>
          <w:lang w:val="fr-FR" w:eastAsia="ro-RO"/>
        </w:rPr>
        <w:t>sima</w:t>
      </w:r>
      <w:r w:rsidRPr="002F5025">
        <w:rPr>
          <w:rFonts w:ascii="Arial" w:eastAsia="Times New Roman" w:hAnsi="Arial" w:cs="Arial"/>
          <w:sz w:val="24"/>
          <w:szCs w:val="24"/>
          <w:lang w:val="fr-FR" w:eastAsia="ro-RO"/>
        </w:rPr>
        <w:t xml:space="preserve">( cenuşar), </w:t>
      </w:r>
      <w:r w:rsidRPr="002F5025">
        <w:rPr>
          <w:rFonts w:ascii="Arial" w:eastAsia="Times New Roman" w:hAnsi="Arial" w:cs="Arial"/>
          <w:i/>
          <w:sz w:val="24"/>
          <w:szCs w:val="24"/>
          <w:lang w:val="fr-FR" w:eastAsia="ro-RO"/>
        </w:rPr>
        <w:t>Xanthium spinosum</w:t>
      </w:r>
      <w:r w:rsidRPr="002F5025">
        <w:rPr>
          <w:rFonts w:ascii="Arial" w:eastAsia="Times New Roman" w:hAnsi="Arial" w:cs="Arial"/>
          <w:sz w:val="24"/>
          <w:szCs w:val="24"/>
          <w:lang w:val="fr-FR" w:eastAsia="ro-RO"/>
        </w:rPr>
        <w:t xml:space="preserve">(holera), </w:t>
      </w:r>
      <w:r w:rsidRPr="002F5025">
        <w:rPr>
          <w:rFonts w:ascii="Arial" w:eastAsia="Times New Roman" w:hAnsi="Arial" w:cs="Arial"/>
          <w:i/>
          <w:sz w:val="24"/>
          <w:szCs w:val="24"/>
          <w:lang w:val="fr-FR" w:eastAsia="ro-RO"/>
        </w:rPr>
        <w:t>Robinia pseudacacia</w:t>
      </w:r>
      <w:r w:rsidRPr="002F5025">
        <w:rPr>
          <w:rFonts w:ascii="Arial" w:eastAsia="Times New Roman" w:hAnsi="Arial" w:cs="Arial"/>
          <w:sz w:val="24"/>
          <w:szCs w:val="24"/>
          <w:lang w:val="fr-FR" w:eastAsia="ro-RO"/>
        </w:rPr>
        <w:t xml:space="preserve"> (salcâm).</w:t>
      </w:r>
    </w:p>
    <w:p w:rsidR="002F5025" w:rsidRPr="002F5025" w:rsidRDefault="002F5025" w:rsidP="002F5025">
      <w:pPr>
        <w:spacing w:after="120" w:line="240" w:lineRule="auto"/>
        <w:jc w:val="both"/>
        <w:rPr>
          <w:rFonts w:ascii="Arial" w:eastAsia="Times New Roman" w:hAnsi="Arial" w:cs="Arial"/>
          <w:sz w:val="24"/>
          <w:szCs w:val="24"/>
          <w:lang w:eastAsia="ro-RO"/>
        </w:rPr>
      </w:pPr>
      <w:r w:rsidRPr="002F5025">
        <w:rPr>
          <w:rFonts w:ascii="Arial" w:eastAsia="Times New Roman" w:hAnsi="Arial" w:cs="Arial"/>
          <w:sz w:val="24"/>
          <w:szCs w:val="24"/>
          <w:lang w:eastAsia="ro-RO"/>
        </w:rPr>
        <w:lastRenderedPageBreak/>
        <w:t>În prezent la nivel naţional nu există o bază de date care să conţină speciile invazive. B</w:t>
      </w:r>
      <w:r w:rsidRPr="002F5025">
        <w:rPr>
          <w:rFonts w:ascii="Arial" w:eastAsia="Times New Roman" w:hAnsi="Arial" w:cs="Arial"/>
          <w:sz w:val="24"/>
          <w:szCs w:val="24"/>
          <w:lang w:eastAsia="ro-RO"/>
        </w:rPr>
        <w:t>a</w:t>
      </w:r>
      <w:r w:rsidRPr="002F5025">
        <w:rPr>
          <w:rFonts w:ascii="Arial" w:eastAsia="Times New Roman" w:hAnsi="Arial" w:cs="Arial"/>
          <w:sz w:val="24"/>
          <w:szCs w:val="24"/>
          <w:lang w:eastAsia="ro-RO"/>
        </w:rPr>
        <w:t>za de date europeană DAISIE (</w:t>
      </w:r>
      <w:hyperlink r:id="rId124" w:tgtFrame="_blank" w:history="1">
        <w:r w:rsidRPr="002F5025">
          <w:rPr>
            <w:rFonts w:ascii="Arial" w:eastAsia="Times New Roman" w:hAnsi="Arial" w:cs="Arial"/>
            <w:sz w:val="24"/>
            <w:szCs w:val="24"/>
            <w:lang w:eastAsia="ro-RO"/>
          </w:rPr>
          <w:t>http://www.europe-aliens.org/</w:t>
        </w:r>
      </w:hyperlink>
      <w:r w:rsidRPr="002F5025">
        <w:rPr>
          <w:rFonts w:ascii="Arial" w:eastAsia="Times New Roman" w:hAnsi="Arial" w:cs="Arial"/>
          <w:sz w:val="24"/>
          <w:szCs w:val="24"/>
          <w:lang w:eastAsia="ro-RO"/>
        </w:rPr>
        <w:t>) este completată în mod b</w:t>
      </w:r>
      <w:r w:rsidRPr="002F5025">
        <w:rPr>
          <w:rFonts w:ascii="Arial" w:eastAsia="Times New Roman" w:hAnsi="Arial" w:cs="Arial"/>
          <w:sz w:val="24"/>
          <w:szCs w:val="24"/>
          <w:lang w:eastAsia="ro-RO"/>
        </w:rPr>
        <w:t>e</w:t>
      </w:r>
      <w:r w:rsidRPr="002F5025">
        <w:rPr>
          <w:rFonts w:ascii="Arial" w:eastAsia="Times New Roman" w:hAnsi="Arial" w:cs="Arial"/>
          <w:sz w:val="24"/>
          <w:szCs w:val="24"/>
          <w:lang w:eastAsia="ro-RO"/>
        </w:rPr>
        <w:t>nevol de către specialiştii din domeniu.</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V.1.2. Poluarea şi încărcarea cu nutrienţi</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Toate formele de poluare ameninţă biodiversitatea, dar mai ales încărcarea cu nutrienţi (azot şi fosfor), care reprezintă o cauză majoră şi în continuă creştere a pierderii de biodiversitate şi a degradării ecosistemelor. De exemplu, depunerile de azot atmosferic reprezintă o ameninţare importantă pentru biodiversitatea din Europa. Emisiile de azot în atmosferă au crescut substanţial în ultimii 100 de ani, mai ales sub formă de amoniu din agricultură şi de oxizi de azot din industrie. Ca urmare a depunerilor din atmosferă, aceste forme de azot sunt depozitate pe întreg teritoriul Europei, afectând habitatele sensibile. În plus, compuşii cu azot pot produce şi eutrofizarea ecosistemelor. Studiile efectuate au arătat că depunerile de azot generează scăderea bogăţiei de specii. Eutrofizarea apelor (lacuri, ape marine) constă în dezvoltarea excesivă a algelor plantonice, ceea ce conduce la creşterea acumulării de materie organică. Această acumulare poate fi asociată cu modificări în compoziţia speciilor, alterând astfel funcţionarea lanţurilor trofice.</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V.1.3. Schimbările climatice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Biodiversitatea este afectată de schimbările climatice, cu consecinţe negative pentru umanitate. În acelaşi timp, biodiversitatea, prin serviciile de ecosistem pe care le susţine, are o contribuţie importantă atât la atenuarea, cât şi la adaptarea la schimbările climatice. Cu alte cuvinte, conservarea şi gestiunea adecvată a biodiversităţii este o chestiune critică în privinţa schimbărilor climatice.</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V.1.4. Modificarea habitatelor </w:t>
      </w:r>
    </w:p>
    <w:p w:rsidR="002F5025" w:rsidRPr="002F5025" w:rsidRDefault="002F5025" w:rsidP="002F5025">
      <w:pPr>
        <w:spacing w:after="120" w:line="240" w:lineRule="auto"/>
        <w:jc w:val="both"/>
        <w:rPr>
          <w:rFonts w:ascii="Arial" w:eastAsiaTheme="minorHAnsi" w:hAnsi="Arial" w:cs="Arial"/>
          <w:lang w:val="ro-RO"/>
        </w:rPr>
      </w:pPr>
      <w:r w:rsidRPr="002F5025">
        <w:rPr>
          <w:rFonts w:ascii="Arial" w:eastAsiaTheme="minorHAnsi" w:hAnsi="Arial" w:cs="Arial"/>
          <w:lang w:val="ro-RO"/>
        </w:rPr>
        <w:t>Modificarea şi distrugerea habitatelor sunt considerate cele mai importante cauze ale erodării biodiversităţii.</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 V.1.4.1. Fragmentarea ecosistemelor</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Extinderea în spaţiu a sistemului socio-economic uman, creşterea complexităţii subsistemelor componente precum şi sporirea conexiunilor dintre acestea duc la </w:t>
      </w:r>
      <w:r w:rsidRPr="002F5025">
        <w:rPr>
          <w:rFonts w:ascii="Arial" w:eastAsiaTheme="minorHAnsi" w:hAnsi="Arial" w:cs="Arial"/>
          <w:b/>
          <w:bCs/>
          <w:color w:val="000000"/>
          <w:sz w:val="24"/>
          <w:szCs w:val="24"/>
          <w:lang w:val="ro-RO"/>
        </w:rPr>
        <w:t>distrugerea, degradarea şi fragmentarea sistemelor ecologice naturale şi seminaturale</w:t>
      </w:r>
      <w:r w:rsidRPr="002F5025">
        <w:rPr>
          <w:rFonts w:ascii="Arial" w:eastAsiaTheme="minorHAnsi" w:hAnsi="Arial" w:cs="Arial"/>
          <w:color w:val="000000"/>
          <w:sz w:val="24"/>
          <w:szCs w:val="24"/>
          <w:lang w:val="ro-RO"/>
        </w:rPr>
        <w:t xml:space="preserve">. Alterarea sistemelor ecologice naturale terestre şi a apelor curgătoare este considerată una din cele mai grave ameninţări asupra biodiversităţii la nivel global. Cea mai vizibilă şi cu un impact major este </w:t>
      </w:r>
      <w:r w:rsidRPr="002F5025">
        <w:rPr>
          <w:rFonts w:ascii="Arial" w:eastAsiaTheme="minorHAnsi" w:hAnsi="Arial" w:cs="Arial"/>
          <w:b/>
          <w:bCs/>
          <w:color w:val="000000"/>
          <w:sz w:val="24"/>
          <w:szCs w:val="24"/>
          <w:lang w:val="ro-RO"/>
        </w:rPr>
        <w:t xml:space="preserve">distrugerea directă </w:t>
      </w:r>
      <w:r w:rsidRPr="002F5025">
        <w:rPr>
          <w:rFonts w:ascii="Arial" w:eastAsiaTheme="minorHAnsi" w:hAnsi="Arial" w:cs="Arial"/>
          <w:color w:val="000000"/>
          <w:sz w:val="24"/>
          <w:szCs w:val="24"/>
          <w:lang w:val="ro-RO"/>
        </w:rPr>
        <w:t xml:space="preserve">a sistemelor ecologice (ex. tăierea unei păduri, drenarea unui zone umede, construirea unui baraj, transformarea zonelor de stepă/preerie/savană în agroecosisteme). Deseori impactul distrugerii directe este mult amplificat de </w:t>
      </w:r>
      <w:r w:rsidRPr="002F5025">
        <w:rPr>
          <w:rFonts w:ascii="Arial" w:eastAsiaTheme="minorHAnsi" w:hAnsi="Arial" w:cs="Arial"/>
          <w:b/>
          <w:bCs/>
          <w:color w:val="000000"/>
          <w:sz w:val="24"/>
          <w:szCs w:val="24"/>
          <w:lang w:val="ro-RO"/>
        </w:rPr>
        <w:t xml:space="preserve">fragmentarea </w:t>
      </w:r>
      <w:r w:rsidRPr="002F5025">
        <w:rPr>
          <w:rFonts w:ascii="Arial" w:eastAsiaTheme="minorHAnsi" w:hAnsi="Arial" w:cs="Arial"/>
          <w:color w:val="000000"/>
          <w:sz w:val="24"/>
          <w:szCs w:val="24"/>
          <w:lang w:val="ro-RO"/>
        </w:rPr>
        <w:t xml:space="preserve">sistemelor ecologice rămase. 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Fragmentarea habitatelor implică alterarea acestora prin separarea spaţială a unităţilor de habitat faţă de forma iniţială, caracterizată de continuitate. Acest fenomen apare în mod natural în timp sau ca urmare a unor evenimente catastrofale; însă cea mai mare şi dramatică transformare a peisajului este produsă de activităţile umane, rezultând fragmentarea habitatelor, reducerea biodiversităţii şi întreruperea continuităţii producţiei de resurse naturale. Fragmentarea antropică a habitatelor are loc mai ales prin conversia terenurilor agricole, urbanizare, poluare, despăduriri şi introducerea de specii alogene.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Fragmentarea ecosistemelor este cauza cea mai importantă a distrugerii biodiversităţii, prin reducerea bogăţiei de specii şi a diversităţii taxonomice, respectiv prin reducerea funcţiilor ecosistemelor. Fragmentarea poate produce izolarea unor specii până la </w:t>
      </w:r>
      <w:r w:rsidRPr="002F5025">
        <w:rPr>
          <w:rFonts w:ascii="Arial" w:eastAsiaTheme="minorHAnsi" w:hAnsi="Arial" w:cs="Arial"/>
          <w:color w:val="000000"/>
          <w:sz w:val="24"/>
          <w:szCs w:val="24"/>
          <w:lang w:val="ro-RO"/>
        </w:rPr>
        <w:lastRenderedPageBreak/>
        <w:t xml:space="preserve">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Modul de utilizare al terenurilor s-a schimbat subtanţial în ultimul secol. Schimbările au afectat suprafeţele arealelor naturale şi semi-naturale, crescând în acest mod gradul de fragmentare al arealelor naturale şi semi-naturale.</w:t>
      </w:r>
      <w:r w:rsidRPr="002F5025">
        <w:rPr>
          <w:rFonts w:ascii="Arial" w:eastAsiaTheme="minorHAnsi" w:hAnsi="Arial" w:cs="Arial"/>
          <w:color w:val="000000"/>
          <w:sz w:val="20"/>
          <w:szCs w:val="20"/>
          <w:lang w:val="ro-RO"/>
        </w:rPr>
        <w:t xml:space="preserve"> </w:t>
      </w:r>
      <w:r w:rsidRPr="002F5025">
        <w:rPr>
          <w:rFonts w:ascii="Arial" w:eastAsiaTheme="minorHAnsi" w:hAnsi="Arial" w:cs="Arial"/>
          <w:color w:val="000000"/>
          <w:sz w:val="24"/>
          <w:szCs w:val="24"/>
          <w:lang w:val="ro-RO"/>
        </w:rPr>
        <w:t xml:space="preserve">Pe lângă fenomenul de distrugere integrală a habitatelor, apare şi cel de degradare prin drumuri, terenuri agricole, mediu urban ori construcţii.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Fragmentarea habitatelor este procesul prin care o suprafaţă mare şi continuă a unui habitat este divizată în două sau mai multe fragmente.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O cauză principală a fragmentării arealelor naturale şi seminaturale este reprezentată de </w:t>
      </w:r>
      <w:r w:rsidRPr="002F5025">
        <w:rPr>
          <w:rFonts w:ascii="Arial" w:eastAsiaTheme="minorHAnsi" w:hAnsi="Arial" w:cs="Arial"/>
          <w:b/>
          <w:bCs/>
          <w:sz w:val="24"/>
          <w:szCs w:val="24"/>
          <w:lang w:val="ro-RO"/>
        </w:rPr>
        <w:t xml:space="preserve">conversia terenurilor </w:t>
      </w:r>
      <w:r w:rsidRPr="002F5025">
        <w:rPr>
          <w:rFonts w:ascii="Arial" w:eastAsiaTheme="minorHAnsi" w:hAnsi="Arial" w:cs="Arial"/>
          <w:sz w:val="24"/>
          <w:szCs w:val="24"/>
          <w:lang w:val="ro-RO"/>
        </w:rPr>
        <w:t xml:space="preserve">în scopul dezvoltării infrastructurii urbane, industriale, agricole, turistice sau de transport. Aceasta reprezintă cauza principală a pierderii de biodiversitate, ducând la degradarea, distrugerea şi </w:t>
      </w:r>
      <w:r w:rsidRPr="002F5025">
        <w:rPr>
          <w:rFonts w:ascii="Arial" w:eastAsiaTheme="minorHAnsi" w:hAnsi="Arial" w:cs="Arial"/>
          <w:b/>
          <w:bCs/>
          <w:sz w:val="24"/>
          <w:szCs w:val="24"/>
          <w:lang w:val="ro-RO"/>
        </w:rPr>
        <w:t xml:space="preserve">fragmentarea </w:t>
      </w:r>
      <w:r w:rsidRPr="002F5025">
        <w:rPr>
          <w:rFonts w:ascii="Arial" w:eastAsiaTheme="minorHAnsi" w:hAnsi="Arial" w:cs="Arial"/>
          <w:sz w:val="24"/>
          <w:szCs w:val="24"/>
          <w:lang w:val="ro-RO"/>
        </w:rPr>
        <w:t>habitatelor şi implicit la declinul populaţiilor naturale.</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V.1.4.2. Reducerea habitatelor naturale şi semi-naturale</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Conversia terenurilor în scopul dezvoltării urbane, industriale, agricole, turistice sau pentru transport, reprezintă cauza principală a pierderii de biodiversitate, ducând la reducerea habitatelor naturale şi semi-naturale.</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 dar şi a efectului cumulat.</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V.1.5. Exploatarea excesivă a resurselor naturale</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Exploatarea excesivă a unor resurse naturale, precum şi fragmentarea unor habitate naturale, duc la periclitarea vieţii sălbatice.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Utilizarea nesustenabilă a resurselor naturale şi supra-exploatarea lor, care apare când consumul depăşeşte puterea de reproducere a plantelor şi animalelor, este una din ameninţările majore pentru biodiversitate.</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Gestiunea forestieră nesustenabilă are un efect negativ asupra biodiversităţii pădurilor.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Agricultura intensivă, aşa cum se practică în prezent în Europa, este concentrată pe monocultură, cu minimizarea speciilor asociate. Aceste sisteme oferă producţii mari pentru un singur produs, dar depind de utilizarea fertilizatorilor şi a pesticidelor.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Presiunile asupra resursei de apă au crescut în ultimii ani din cauza dezvoltării agriculturii, sectorului energetic, industriei, alimentării cu apă şi a turismului, necesarul de apă depăşind de multe ori cantităţile existente. Creşterea volumelor de apă stocate artificial reduce apa alocată sistemelor naturale şi creşte fragmentarea din cauza barajelor. Extracţia excesivă de apă şi perioadele prelungite de secetă au redus debitele râurilor, au redus nivelul lacurilor şi al apelor freatice şi au secat zonele umede. </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V.1.5.1. Exploatarea forestieră</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Raportul dintre creşterea şi tăierea arborilor arată sustenabilitatea producţiei de masă lemnoasă în timp, cât şi disponibilitatea actuală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lastRenderedPageBreak/>
        <w:t xml:space="preserve">Comparaţia între evoluţia fondului forestier şi tăierea masei lemnoase la nivelul judeţului Buzău este prezentată în figura V.1.5.1.-1.                  </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lang w:val="ro-RO"/>
        </w:rPr>
        <w:t>Figura V.1.5.1.-1.</w:t>
      </w:r>
      <w:r w:rsidRPr="002F5025">
        <w:rPr>
          <w:rFonts w:ascii="Arial" w:eastAsiaTheme="minorHAnsi" w:hAnsi="Arial" w:cs="Arial"/>
          <w:b/>
          <w:noProof/>
          <w:sz w:val="24"/>
          <w:szCs w:val="24"/>
          <w:lang w:val="ro-RO" w:eastAsia="ro-RO"/>
        </w:rPr>
        <w:drawing>
          <wp:inline distT="0" distB="0" distL="0" distR="0">
            <wp:extent cx="5471135" cy="1908699"/>
            <wp:effectExtent l="19050" t="0" r="15265" b="0"/>
            <wp:docPr id="3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F5025" w:rsidRPr="002F5025" w:rsidRDefault="002F5025" w:rsidP="002F5025">
      <w:pPr>
        <w:spacing w:after="120" w:line="240" w:lineRule="auto"/>
        <w:rPr>
          <w:rFonts w:ascii="Arial" w:eastAsiaTheme="minorHAnsi" w:hAnsi="Arial" w:cs="Arial"/>
          <w:b/>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V.2. Protecţia naturii şi biodiversitatea: prognoze şi acţiuni întreprinse</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Prin </w:t>
      </w:r>
      <w:r w:rsidRPr="002F5025">
        <w:rPr>
          <w:rFonts w:ascii="Arial" w:eastAsiaTheme="minorHAnsi" w:hAnsi="Arial" w:cs="Arial"/>
          <w:b/>
          <w:bCs/>
          <w:color w:val="000000"/>
          <w:sz w:val="24"/>
          <w:szCs w:val="24"/>
          <w:lang w:val="ro-RO"/>
        </w:rPr>
        <w:t>Strategia Naţională şi Planul de Acţiune pentru Conservarea Biodiversităţii</w:t>
      </w:r>
      <w:r w:rsidRPr="002F5025">
        <w:rPr>
          <w:rFonts w:ascii="Arial" w:eastAsiaTheme="minorHAnsi" w:hAnsi="Arial" w:cs="Arial"/>
          <w:color w:val="000000"/>
          <w:sz w:val="24"/>
          <w:szCs w:val="24"/>
          <w:lang w:val="ro-RO"/>
        </w:rPr>
        <w:t xml:space="preserve">, România îşi propune, pe termen mediu (2010-2020), următoarele direcţii generale de acţiune: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1: Stoparea declinului diversităţii biologice reprezentată de resursele genetice, specii, ecosisteme şi peisaj şi refacerea sistemelor degradate până în 2020.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2: Integrarea politicilor privind conservarea biodiversităţii în toate politicile sectoriale până în 2020.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3: Promovarea cunoaştinţelor, practicilor şi metodelor inovatoare tradiţionale şi a tehnologiilor curate ca măsuri de sprijin pentru conservarea biodiversităţii ca suport al dezvoltării durabile până în 2020.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4: Îmbunătăţirea comunicării şi educării în domeniul biodiversităţii până în 2020.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Pentru îndeplinirea dezideratelor privind conservarea biodiversităţii şi utilizarea durabilă a componentelor sale, au fost stabilite următoarele </w:t>
      </w:r>
      <w:r w:rsidRPr="002F5025">
        <w:rPr>
          <w:rFonts w:ascii="Arial" w:eastAsiaTheme="minorHAnsi" w:hAnsi="Arial" w:cs="Arial"/>
          <w:b/>
          <w:bCs/>
          <w:color w:val="000000"/>
          <w:sz w:val="24"/>
          <w:szCs w:val="24"/>
          <w:lang w:val="ro-RO"/>
        </w:rPr>
        <w:t>10 obiective strategice</w:t>
      </w:r>
      <w:r w:rsidRPr="002F5025">
        <w:rPr>
          <w:rFonts w:ascii="Arial" w:eastAsiaTheme="minorHAnsi" w:hAnsi="Arial" w:cs="Arial"/>
          <w:color w:val="000000"/>
          <w:sz w:val="24"/>
          <w:szCs w:val="24"/>
          <w:lang w:val="ro-RO"/>
        </w:rPr>
        <w:t xml:space="preserv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A. Dezvoltarea cadrului legal şi instituţional general şi asigurarea resurselor financiare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B. Asigurarea coerenţei şi a managementului eficient al reţelei naţionale de arii naturale protejate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C. Asigurarea unei stări favorabile de conservare pentru speciile sălbatice protejate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D. Utilizarea durabilă a componentelor diversităţii biologice </w:t>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sz w:val="24"/>
          <w:szCs w:val="24"/>
          <w:lang w:val="ro-RO"/>
        </w:rPr>
        <w:t>E. Conservarea ex-situ</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F. Controlul speciilor invazive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G. Accesul la resursele genetice şi împărţirea echitabilă a beneficiilor ce decurg din utilizarea acestora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H. Susţinerea şi promovarea cunoştinţelor, practicilor şi inovaţiilor tradiţionale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I. Dezvoltarea cercetării ştiinţifice şi promovarea transferului de tehnologie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J. Comunicarea, educarea şi conştientizarea publicului</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V.2.1. Reţe</w:t>
      </w:r>
      <w:r>
        <w:rPr>
          <w:rFonts w:ascii="Arial" w:eastAsiaTheme="minorHAnsi" w:hAnsi="Arial" w:cs="Arial"/>
          <w:b/>
          <w:sz w:val="24"/>
          <w:szCs w:val="24"/>
          <w:lang w:val="ro-RO"/>
        </w:rPr>
        <w:t>a</w:t>
      </w:r>
      <w:r w:rsidRPr="002F5025">
        <w:rPr>
          <w:rFonts w:ascii="Arial" w:eastAsiaTheme="minorHAnsi" w:hAnsi="Arial" w:cs="Arial"/>
          <w:b/>
          <w:sz w:val="24"/>
          <w:szCs w:val="24"/>
          <w:lang w:val="ro-RO"/>
        </w:rPr>
        <w:t>ua de arii protejate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La nivelul UE, politica privind conservarea naturii este, în esenţă, determinată de Directiva Păsări şi Directiva Habitate. Împreună, ele instituie un cadru legislativ pentru protecţia şi conservarea faunei sălbatice şi a habitatelor Uniunii Europene. România s-a angajat să </w:t>
      </w:r>
      <w:r w:rsidRPr="002F5025">
        <w:rPr>
          <w:rFonts w:ascii="Arial" w:eastAsiaTheme="minorHAnsi" w:hAnsi="Arial" w:cs="Arial"/>
          <w:sz w:val="24"/>
          <w:szCs w:val="24"/>
          <w:lang w:val="ro-RO"/>
        </w:rPr>
        <w:lastRenderedPageBreak/>
        <w:t>implementeze legislaţia referitoare la conservarea biodiversităţii prin realizarea reţelei Natura 2000, o reţea de zone protejate care să cuprindă un eşantion reprezentativ de specii sălbatice şi habitate naturale de interes comunitar, în vederea garantării menţinerii acestora pe termen lung, ca sisteme suport pentru dezvoltarea sistemului socio-economic.</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În România au fost desemnate, în scopul asigurării măsurilor speciale de protecţie şi conservare in situ a bunurilor patrimoniului natural, următoarele categorii de arii naturale protejate: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 de interes naţional: rezervaţii ştiinţifice, parcuri naţionale, monumente ale naturii, rezervaţii naturale, parcuri naturale;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 de interes judeţean sau local: stabilite numai pe domeniul public/privat al unităţilor administrativ-teritoriale, după caz;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 de interes internaţional: situri naturale ale patrimoniului natural universal, geoparcuri, zone umede de importanţă internaţională, rezervaţii ale biosferei;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  de interes comunitar sau situri "Natura 2000": </w:t>
      </w:r>
    </w:p>
    <w:p w:rsidR="002F5025" w:rsidRPr="002F5025" w:rsidRDefault="002F5025" w:rsidP="000A5EAD">
      <w:pPr>
        <w:numPr>
          <w:ilvl w:val="0"/>
          <w:numId w:val="23"/>
        </w:num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SAC-uri (Special Areas for Conservation – Arii Speciale de Conservare) desemnate pentru: habitate naturale şi specii de floră şi faună sălbatică; </w:t>
      </w:r>
    </w:p>
    <w:p w:rsidR="002F5025" w:rsidRPr="002F5025" w:rsidRDefault="002F5025" w:rsidP="000A5EAD">
      <w:pPr>
        <w:numPr>
          <w:ilvl w:val="0"/>
          <w:numId w:val="23"/>
        </w:num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 SPA-uri (Special Protection Areas – Arii de Protecţie Specială Avifaunistică) desemnate pentru specii de păsări; </w:t>
      </w:r>
    </w:p>
    <w:p w:rsidR="002F5025" w:rsidRPr="002F5025" w:rsidRDefault="002F5025" w:rsidP="000A5EAD">
      <w:pPr>
        <w:numPr>
          <w:ilvl w:val="0"/>
          <w:numId w:val="23"/>
        </w:num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 SCI -uri (Sites of Community Importance - Situri de importanţă comunitară) reprezintă un sit care, în cadrul regiunii sau regiunilor biogeografice cărora le aparţine, contribuie în mod semnificativ la menţinerea sau readucerea unui habitat din anexa 2 sau a unei specii din anexa 3 din OUG nr. 57/2007 privind regimul ariilor naturale protejate, conservarea habitatelor naturale, a florei şi faunei sălbatice, cu modificările şi completările ulterioare, la un stadiu corespunzător de conservare şi, în acelaşi timp, la coerenţa sistemului Natura 2000, precum şi/sau la menţinerea diversităţii biologice a regiunii sau regiunilor biogeografice respective.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Acţiunea de desemnare a ariilor naturale protejate a început in Romania din anul 1926 prin desemnarea rezervaţiei naturale Bucegi (EUNIS biodiversity database), cu o suprafata de 1716,9 ha. Numărul acestora a crescut până la 425 în anul 1990, iar in prezent sunt desemnate peste 1500 de arii naturale protejate, distribuite în cele 5 regiuni biogeografice existente pe teritoriul României.</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La nivelul judeţului Buzău întâlnim trei categorii de arii naturale protejate: </w:t>
      </w:r>
    </w:p>
    <w:p w:rsidR="002F5025" w:rsidRPr="002F5025" w:rsidRDefault="002F5025" w:rsidP="000A5EAD">
      <w:pPr>
        <w:keepLines/>
        <w:numPr>
          <w:ilvl w:val="0"/>
          <w:numId w:val="24"/>
        </w:numPr>
        <w:tabs>
          <w:tab w:val="left" w:pos="284"/>
        </w:tabs>
        <w:spacing w:after="120" w:line="240" w:lineRule="auto"/>
        <w:ind w:left="0" w:firstLine="0"/>
        <w:jc w:val="both"/>
        <w:rPr>
          <w:rFonts w:ascii="Arial" w:eastAsiaTheme="minorEastAsia" w:hAnsi="Arial" w:cs="Arial"/>
          <w:iCs/>
          <w:sz w:val="24"/>
          <w:szCs w:val="24"/>
          <w:lang w:bidi="en-US"/>
        </w:rPr>
      </w:pPr>
      <w:r w:rsidRPr="002F5025">
        <w:rPr>
          <w:rFonts w:ascii="Arial" w:eastAsiaTheme="minorEastAsia" w:hAnsi="Arial" w:cs="Arial"/>
          <w:iCs/>
          <w:sz w:val="24"/>
          <w:szCs w:val="24"/>
          <w:lang w:bidi="en-US"/>
        </w:rPr>
        <w:t xml:space="preserve">de interes </w:t>
      </w:r>
      <w:r w:rsidRPr="002F5025">
        <w:rPr>
          <w:rFonts w:ascii="Arial" w:eastAsia="SimSun" w:hAnsi="Arial" w:cs="Arial"/>
          <w:iCs/>
          <w:noProof/>
          <w:kern w:val="24"/>
          <w:sz w:val="24"/>
          <w:szCs w:val="24"/>
          <w:lang w:val="ro-RO" w:eastAsia="zh-CN"/>
        </w:rPr>
        <w:t>judeţean, desemnate  în 1995 prin Hotărârea</w:t>
      </w:r>
      <w:r w:rsidRPr="002F5025">
        <w:rPr>
          <w:rFonts w:ascii="Arial" w:eastAsiaTheme="minorEastAsia" w:hAnsi="Arial" w:cs="Arial"/>
          <w:iCs/>
          <w:sz w:val="24"/>
          <w:szCs w:val="24"/>
          <w:lang w:bidi="en-US"/>
        </w:rPr>
        <w:t xml:space="preserve"> Consiliului Judeţean Buzău nr.13;</w:t>
      </w:r>
    </w:p>
    <w:p w:rsidR="002F5025" w:rsidRPr="002F5025" w:rsidRDefault="002F5025" w:rsidP="000A5EAD">
      <w:pPr>
        <w:keepLines/>
        <w:numPr>
          <w:ilvl w:val="0"/>
          <w:numId w:val="24"/>
        </w:numPr>
        <w:tabs>
          <w:tab w:val="left" w:pos="284"/>
        </w:tabs>
        <w:spacing w:after="120" w:line="240" w:lineRule="auto"/>
        <w:ind w:left="0" w:firstLine="0"/>
        <w:jc w:val="both"/>
        <w:rPr>
          <w:rFonts w:ascii="Arial" w:eastAsiaTheme="minorEastAsia" w:hAnsi="Arial" w:cs="Arial"/>
          <w:iCs/>
          <w:sz w:val="24"/>
          <w:szCs w:val="24"/>
          <w:lang w:bidi="en-US"/>
        </w:rPr>
      </w:pPr>
      <w:r w:rsidRPr="002F5025">
        <w:rPr>
          <w:rFonts w:ascii="Arial" w:eastAsiaTheme="minorEastAsia" w:hAnsi="Arial" w:cs="Arial"/>
          <w:iCs/>
          <w:sz w:val="24"/>
          <w:szCs w:val="24"/>
          <w:lang w:bidi="en-US"/>
        </w:rPr>
        <w:t>de interes naţional,</w:t>
      </w:r>
      <w:r w:rsidRPr="002F5025">
        <w:rPr>
          <w:rFonts w:ascii="Arial" w:eastAsiaTheme="minorEastAsia" w:hAnsi="Arial" w:cs="Arial"/>
          <w:iCs/>
          <w:sz w:val="24"/>
          <w:szCs w:val="24"/>
          <w:lang w:val="ro-RO" w:bidi="en-US"/>
        </w:rPr>
        <w:t xml:space="preserve"> desemnate prin Legea nr. 5/2000; </w:t>
      </w:r>
    </w:p>
    <w:p w:rsidR="002F5025" w:rsidRPr="002F5025" w:rsidRDefault="002F5025" w:rsidP="000A5EAD">
      <w:pPr>
        <w:keepLines/>
        <w:numPr>
          <w:ilvl w:val="0"/>
          <w:numId w:val="24"/>
        </w:numPr>
        <w:tabs>
          <w:tab w:val="left" w:pos="284"/>
        </w:tabs>
        <w:spacing w:after="120" w:line="240" w:lineRule="auto"/>
        <w:ind w:left="0" w:firstLine="0"/>
        <w:jc w:val="both"/>
        <w:rPr>
          <w:rFonts w:ascii="Arial" w:eastAsiaTheme="minorEastAsia" w:hAnsi="Arial" w:cs="Arial"/>
          <w:iCs/>
          <w:sz w:val="24"/>
          <w:szCs w:val="24"/>
          <w:lang w:bidi="en-US"/>
        </w:rPr>
      </w:pPr>
      <w:r w:rsidRPr="002F5025">
        <w:rPr>
          <w:rFonts w:ascii="Arial" w:eastAsiaTheme="minorEastAsia" w:hAnsi="Arial" w:cs="Arial"/>
          <w:iCs/>
          <w:sz w:val="24"/>
          <w:szCs w:val="24"/>
          <w:lang w:val="ro-RO" w:bidi="en-US"/>
        </w:rPr>
        <w:t>de interes comunitar :</w:t>
      </w:r>
      <w:r w:rsidRPr="002F5025">
        <w:rPr>
          <w:rFonts w:ascii="Arial" w:eastAsia="SimSun" w:hAnsi="Arial" w:cs="Arial"/>
          <w:iCs/>
          <w:noProof/>
          <w:kern w:val="24"/>
          <w:sz w:val="24"/>
          <w:szCs w:val="24"/>
          <w:lang w:val="ro-RO" w:eastAsia="zh-CN"/>
        </w:rPr>
        <w:t xml:space="preserve"> </w:t>
      </w:r>
    </w:p>
    <w:p w:rsidR="002F5025" w:rsidRPr="002F5025" w:rsidRDefault="002F5025" w:rsidP="000A5EAD">
      <w:pPr>
        <w:keepLines/>
        <w:numPr>
          <w:ilvl w:val="0"/>
          <w:numId w:val="25"/>
        </w:numPr>
        <w:tabs>
          <w:tab w:val="left" w:pos="851"/>
        </w:tabs>
        <w:spacing w:after="120" w:line="240" w:lineRule="auto"/>
        <w:ind w:left="709" w:firstLine="0"/>
        <w:jc w:val="both"/>
        <w:rPr>
          <w:rFonts w:ascii="Arial" w:eastAsia="Times New Roman" w:hAnsi="Arial" w:cs="Arial"/>
          <w:b/>
          <w:iCs/>
          <w:sz w:val="24"/>
          <w:szCs w:val="24"/>
          <w:lang w:bidi="en-US"/>
        </w:rPr>
      </w:pPr>
      <w:r w:rsidRPr="002F5025">
        <w:rPr>
          <w:rFonts w:ascii="Arial" w:eastAsia="SimSun" w:hAnsi="Arial" w:cs="Arial"/>
          <w:iCs/>
          <w:noProof/>
          <w:kern w:val="24"/>
          <w:sz w:val="24"/>
          <w:szCs w:val="24"/>
          <w:lang w:val="ro-RO" w:eastAsia="zh-CN"/>
        </w:rPr>
        <w:t xml:space="preserve">situri de importanţă comunitară desemnate prin </w:t>
      </w:r>
      <w:r w:rsidRPr="002F5025">
        <w:rPr>
          <w:rFonts w:ascii="Arial" w:eastAsiaTheme="minorEastAsia" w:hAnsi="Arial" w:cs="Arial"/>
          <w:iCs/>
          <w:sz w:val="24"/>
          <w:szCs w:val="24"/>
          <w:lang w:bidi="en-US"/>
        </w:rPr>
        <w:t xml:space="preserve">Ordinul ministrului mediului şi dezvoltării durabile nr. 1964/2007 privind instituirea regimului de arie naturală protejată a siturilor de importanţă comunitară, ca parte integrantă a reţelei ecologice europene Natura 2000 în România, modificat prin Ordinul ministrului mediului şi pădurilor nr. 2387/2011;  </w:t>
      </w:r>
    </w:p>
    <w:p w:rsidR="002F5025" w:rsidRPr="002F5025" w:rsidRDefault="002F5025" w:rsidP="000A5EAD">
      <w:pPr>
        <w:keepLines/>
        <w:numPr>
          <w:ilvl w:val="0"/>
          <w:numId w:val="25"/>
        </w:numPr>
        <w:tabs>
          <w:tab w:val="left" w:pos="851"/>
        </w:tabs>
        <w:spacing w:after="120" w:line="240" w:lineRule="auto"/>
        <w:ind w:left="709" w:firstLine="0"/>
        <w:jc w:val="both"/>
        <w:rPr>
          <w:rFonts w:ascii="Arial" w:eastAsia="Times New Roman" w:hAnsi="Arial" w:cs="Arial"/>
          <w:b/>
          <w:iCs/>
          <w:sz w:val="24"/>
          <w:szCs w:val="24"/>
          <w:lang w:bidi="en-US"/>
        </w:rPr>
      </w:pPr>
      <w:r w:rsidRPr="002F5025">
        <w:rPr>
          <w:rFonts w:ascii="Arial" w:eastAsia="SimSun" w:hAnsi="Arial" w:cs="Arial"/>
          <w:iCs/>
          <w:noProof/>
          <w:kern w:val="24"/>
          <w:sz w:val="24"/>
          <w:szCs w:val="24"/>
          <w:lang w:val="ro-RO" w:eastAsia="zh-CN"/>
        </w:rPr>
        <w:t xml:space="preserve">situri de protecţie specială avifaunistică desemnate prin </w:t>
      </w:r>
      <w:r w:rsidRPr="002F5025">
        <w:rPr>
          <w:rFonts w:ascii="Arial" w:eastAsia="Times New Roman" w:hAnsi="Arial" w:cs="Arial"/>
          <w:iCs/>
          <w:sz w:val="24"/>
          <w:szCs w:val="24"/>
          <w:lang w:bidi="en-US"/>
        </w:rPr>
        <w:t>Hotărârea de Guvern nr. 1284/2007 privind desemnarea siturilor de protecţie avifaunistică, modificată şi completată prin Hotărârea de Guvern nr. 971/2011;</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Suprafaţa ariilor naturale protejate declarate în judeţul Buzău este prezentată în tabelul</w:t>
      </w:r>
      <w:r w:rsidRPr="002F5025">
        <w:rPr>
          <w:rFonts w:ascii="Arial" w:eastAsiaTheme="minorHAnsi" w:hAnsi="Arial" w:cs="Arial"/>
          <w:b/>
          <w:sz w:val="24"/>
          <w:szCs w:val="24"/>
          <w:lang w:val="ro-RO"/>
        </w:rPr>
        <w:t xml:space="preserve"> </w:t>
      </w:r>
      <w:r w:rsidRPr="002F5025">
        <w:rPr>
          <w:rFonts w:ascii="Arial" w:eastAsiaTheme="minorHAnsi" w:hAnsi="Arial" w:cs="Arial"/>
          <w:sz w:val="24"/>
          <w:szCs w:val="24"/>
          <w:lang w:val="ro-RO"/>
        </w:rPr>
        <w:t xml:space="preserve"> </w:t>
      </w:r>
      <w:r w:rsidRPr="002F5025">
        <w:rPr>
          <w:rFonts w:ascii="Arial" w:eastAsiaTheme="minorHAnsi" w:hAnsi="Arial" w:cs="Arial"/>
          <w:lang w:val="ro-RO"/>
        </w:rPr>
        <w:t>V.2.1-1. respectiv figura V.2.1.-1.</w:t>
      </w:r>
    </w:p>
    <w:p w:rsidR="00450CDB"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
          <w:sz w:val="24"/>
          <w:szCs w:val="24"/>
          <w:lang w:val="ro-RO"/>
        </w:rPr>
        <w:lastRenderedPageBreak/>
        <w:t>Tabel</w:t>
      </w:r>
      <w:r w:rsidRPr="002F5025">
        <w:rPr>
          <w:rFonts w:ascii="Arial" w:eastAsiaTheme="minorHAnsi" w:hAnsi="Arial" w:cs="Arial"/>
          <w:sz w:val="24"/>
          <w:szCs w:val="24"/>
          <w:lang w:val="ro-RO"/>
        </w:rPr>
        <w:t xml:space="preserve"> </w:t>
      </w:r>
      <w:r w:rsidRPr="002F5025">
        <w:rPr>
          <w:rFonts w:ascii="Arial" w:eastAsiaTheme="minorHAnsi" w:hAnsi="Arial" w:cs="Arial"/>
          <w:b/>
          <w:lang w:val="ro-RO"/>
        </w:rPr>
        <w:t>V.2.1-1.</w:t>
      </w:r>
    </w:p>
    <w:tbl>
      <w:tblPr>
        <w:tblStyle w:val="MediumGrid1-Accent2"/>
        <w:tblW w:w="0" w:type="auto"/>
        <w:tblInd w:w="1631" w:type="dxa"/>
        <w:tblLook w:val="04A0"/>
      </w:tblPr>
      <w:tblGrid>
        <w:gridCol w:w="1101"/>
        <w:gridCol w:w="5031"/>
      </w:tblGrid>
      <w:tr w:rsidR="002F5025" w:rsidRPr="002F5025" w:rsidTr="00D92384">
        <w:trPr>
          <w:cnfStyle w:val="100000000000"/>
        </w:trPr>
        <w:tc>
          <w:tcPr>
            <w:cnfStyle w:val="001000000000"/>
            <w:tcW w:w="1101"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An</w:t>
            </w:r>
          </w:p>
        </w:tc>
        <w:tc>
          <w:tcPr>
            <w:tcW w:w="5031" w:type="dxa"/>
          </w:tcPr>
          <w:p w:rsidR="002F5025" w:rsidRPr="002F5025" w:rsidRDefault="002F5025" w:rsidP="002F5025">
            <w:pPr>
              <w:spacing w:after="120" w:line="240" w:lineRule="auto"/>
              <w:cnfStyle w:val="100000000000"/>
              <w:rPr>
                <w:rFonts w:ascii="Arial" w:hAnsi="Arial" w:cs="Arial"/>
                <w:sz w:val="24"/>
                <w:szCs w:val="24"/>
                <w:lang w:val="ro-RO"/>
              </w:rPr>
            </w:pPr>
            <w:r w:rsidRPr="002F5025">
              <w:rPr>
                <w:rFonts w:ascii="Arial" w:hAnsi="Arial" w:cs="Arial"/>
                <w:sz w:val="24"/>
                <w:szCs w:val="24"/>
                <w:lang w:val="ro-RO"/>
              </w:rPr>
              <w:t>Suprafaţa arii naturale protejate  (km</w:t>
            </w:r>
            <w:r w:rsidRPr="002F5025">
              <w:rPr>
                <w:rFonts w:ascii="Arial" w:hAnsi="Arial" w:cs="Arial"/>
                <w:sz w:val="24"/>
                <w:szCs w:val="24"/>
                <w:vertAlign w:val="superscript"/>
                <w:lang w:val="ro-RO"/>
              </w:rPr>
              <w:t>2</w:t>
            </w:r>
            <w:r w:rsidRPr="002F5025">
              <w:rPr>
                <w:rFonts w:ascii="Arial" w:hAnsi="Arial" w:cs="Arial"/>
                <w:sz w:val="24"/>
                <w:szCs w:val="24"/>
                <w:lang w:val="ro-RO"/>
              </w:rPr>
              <w:t>)</w:t>
            </w:r>
          </w:p>
        </w:tc>
      </w:tr>
      <w:tr w:rsidR="002F5025" w:rsidRPr="002F5025" w:rsidTr="00D92384">
        <w:trPr>
          <w:cnfStyle w:val="000000100000"/>
        </w:trPr>
        <w:tc>
          <w:tcPr>
            <w:cnfStyle w:val="001000000000"/>
            <w:tcW w:w="1101"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1995</w:t>
            </w:r>
          </w:p>
        </w:tc>
        <w:tc>
          <w:tcPr>
            <w:tcW w:w="5031" w:type="dxa"/>
          </w:tcPr>
          <w:p w:rsidR="002F5025" w:rsidRPr="002F5025" w:rsidRDefault="002F5025" w:rsidP="002F5025">
            <w:pPr>
              <w:spacing w:after="120" w:line="240" w:lineRule="auto"/>
              <w:jc w:val="center"/>
              <w:cnfStyle w:val="000000100000"/>
              <w:rPr>
                <w:rFonts w:ascii="Arial" w:hAnsi="Arial" w:cs="Arial"/>
                <w:sz w:val="24"/>
                <w:szCs w:val="24"/>
                <w:lang w:val="ro-RO"/>
              </w:rPr>
            </w:pPr>
            <w:r w:rsidRPr="002F5025">
              <w:rPr>
                <w:rFonts w:ascii="Arial" w:hAnsi="Arial" w:cs="Arial"/>
                <w:sz w:val="24"/>
                <w:szCs w:val="24"/>
                <w:lang w:val="ro-RO"/>
              </w:rPr>
              <w:t>11,42</w:t>
            </w:r>
          </w:p>
        </w:tc>
      </w:tr>
      <w:tr w:rsidR="002F5025" w:rsidRPr="002F5025" w:rsidTr="00D92384">
        <w:tc>
          <w:tcPr>
            <w:cnfStyle w:val="001000000000"/>
            <w:tcW w:w="1101"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2000</w:t>
            </w:r>
          </w:p>
        </w:tc>
        <w:tc>
          <w:tcPr>
            <w:tcW w:w="5031" w:type="dxa"/>
          </w:tcPr>
          <w:p w:rsidR="002F5025" w:rsidRPr="002F5025" w:rsidRDefault="002F5025" w:rsidP="002F5025">
            <w:pPr>
              <w:spacing w:after="120" w:line="240" w:lineRule="auto"/>
              <w:jc w:val="center"/>
              <w:cnfStyle w:val="000000000000"/>
              <w:rPr>
                <w:rFonts w:ascii="Arial" w:hAnsi="Arial" w:cs="Arial"/>
                <w:sz w:val="24"/>
                <w:szCs w:val="24"/>
                <w:lang w:val="ro-RO"/>
              </w:rPr>
            </w:pPr>
            <w:r w:rsidRPr="002F5025">
              <w:rPr>
                <w:rFonts w:ascii="Arial" w:hAnsi="Arial" w:cs="Arial"/>
                <w:sz w:val="24"/>
                <w:szCs w:val="24"/>
                <w:lang w:val="ro-RO"/>
              </w:rPr>
              <w:t>35,62</w:t>
            </w:r>
          </w:p>
        </w:tc>
      </w:tr>
      <w:tr w:rsidR="002F5025" w:rsidRPr="002F5025" w:rsidTr="00D92384">
        <w:trPr>
          <w:cnfStyle w:val="000000100000"/>
        </w:trPr>
        <w:tc>
          <w:tcPr>
            <w:cnfStyle w:val="001000000000"/>
            <w:tcW w:w="1101"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2008</w:t>
            </w:r>
          </w:p>
        </w:tc>
        <w:tc>
          <w:tcPr>
            <w:tcW w:w="5031" w:type="dxa"/>
          </w:tcPr>
          <w:p w:rsidR="002F5025" w:rsidRPr="002F5025" w:rsidRDefault="002F5025" w:rsidP="002F5025">
            <w:pPr>
              <w:spacing w:after="120" w:line="240" w:lineRule="auto"/>
              <w:jc w:val="center"/>
              <w:cnfStyle w:val="000000100000"/>
              <w:rPr>
                <w:rFonts w:ascii="Arial" w:hAnsi="Arial" w:cs="Arial"/>
                <w:sz w:val="24"/>
                <w:szCs w:val="24"/>
                <w:lang w:val="ro-RO"/>
              </w:rPr>
            </w:pPr>
            <w:r w:rsidRPr="002F5025">
              <w:rPr>
                <w:rFonts w:ascii="Arial" w:hAnsi="Arial" w:cs="Arial"/>
                <w:sz w:val="24"/>
                <w:szCs w:val="24"/>
                <w:lang w:val="ro-RO"/>
              </w:rPr>
              <w:t>404,737</w:t>
            </w:r>
          </w:p>
        </w:tc>
      </w:tr>
      <w:tr w:rsidR="002F5025" w:rsidRPr="002F5025" w:rsidTr="00D92384">
        <w:tc>
          <w:tcPr>
            <w:cnfStyle w:val="001000000000"/>
            <w:tcW w:w="1101"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2011</w:t>
            </w:r>
          </w:p>
        </w:tc>
        <w:tc>
          <w:tcPr>
            <w:tcW w:w="5031" w:type="dxa"/>
          </w:tcPr>
          <w:p w:rsidR="002F5025" w:rsidRPr="002F5025" w:rsidRDefault="002F5025" w:rsidP="002F5025">
            <w:pPr>
              <w:spacing w:after="120" w:line="240" w:lineRule="auto"/>
              <w:jc w:val="center"/>
              <w:cnfStyle w:val="000000000000"/>
              <w:rPr>
                <w:rFonts w:ascii="Arial" w:hAnsi="Arial" w:cs="Arial"/>
                <w:sz w:val="24"/>
                <w:szCs w:val="24"/>
                <w:lang w:val="ro-RO"/>
              </w:rPr>
            </w:pPr>
            <w:r w:rsidRPr="002F5025">
              <w:rPr>
                <w:rFonts w:ascii="Arial" w:hAnsi="Arial" w:cs="Arial"/>
                <w:sz w:val="24"/>
                <w:szCs w:val="24"/>
                <w:lang w:val="ro-RO"/>
              </w:rPr>
              <w:t>548,762</w:t>
            </w:r>
          </w:p>
        </w:tc>
      </w:tr>
    </w:tbl>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b/>
          <w:sz w:val="24"/>
          <w:szCs w:val="24"/>
          <w:lang w:val="ro-RO"/>
        </w:rPr>
        <w:t>Figura</w:t>
      </w:r>
      <w:r w:rsidRPr="002F5025">
        <w:rPr>
          <w:rFonts w:ascii="Arial" w:eastAsiaTheme="minorHAnsi" w:hAnsi="Arial" w:cs="Arial"/>
          <w:sz w:val="24"/>
          <w:szCs w:val="24"/>
          <w:lang w:val="ro-RO"/>
        </w:rPr>
        <w:t xml:space="preserve"> </w:t>
      </w:r>
      <w:r w:rsidRPr="002F5025">
        <w:rPr>
          <w:rFonts w:ascii="Arial" w:eastAsiaTheme="minorHAnsi" w:hAnsi="Arial" w:cs="Arial"/>
          <w:b/>
          <w:sz w:val="24"/>
          <w:szCs w:val="24"/>
          <w:lang w:val="ro-RO"/>
        </w:rPr>
        <w:t>V.2.1-1.Suprafaţă totală arii naturale protejate judeţul Buzău</w:t>
      </w:r>
    </w:p>
    <w:p w:rsidR="002F5025" w:rsidRPr="002F5025" w:rsidRDefault="002F5025" w:rsidP="002F5025">
      <w:pPr>
        <w:spacing w:after="120" w:line="240" w:lineRule="auto"/>
        <w:rPr>
          <w:rFonts w:asciiTheme="minorHAnsi" w:eastAsiaTheme="minorHAnsi" w:hAnsiTheme="minorHAnsi" w:cstheme="minorBidi"/>
          <w:lang w:val="ro-RO"/>
        </w:rPr>
      </w:pPr>
      <w:r w:rsidRPr="002F5025">
        <w:rPr>
          <w:rFonts w:asciiTheme="minorHAnsi" w:eastAsiaTheme="minorHAnsi" w:hAnsiTheme="minorHAnsi" w:cstheme="minorBidi"/>
          <w:noProof/>
          <w:lang w:val="ro-RO" w:eastAsia="ro-RO"/>
        </w:rPr>
        <w:drawing>
          <wp:inline distT="0" distB="0" distL="0" distR="0">
            <wp:extent cx="5481270" cy="2494625"/>
            <wp:effectExtent l="19050" t="0" r="24180" b="925"/>
            <wp:docPr id="3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b/>
          <w:sz w:val="24"/>
          <w:szCs w:val="24"/>
          <w:lang w:val="ro-RO"/>
        </w:rPr>
        <w:t>Arii protejate de interes comunitar desemnate conform directivelor habitate şi păsări</w:t>
      </w:r>
    </w:p>
    <w:p w:rsidR="002F5025" w:rsidRPr="002F5025" w:rsidRDefault="002F5025" w:rsidP="002F5025">
      <w:pPr>
        <w:spacing w:after="120" w:line="240" w:lineRule="auto"/>
        <w:jc w:val="both"/>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 xml:space="preserve">Natura 2000 este o reţea de zone protejate, alcătuită din arii speciale de conservare instituite în conformitate cu Directiva Habitate şi din arii de protecţie specială instituite în temeiul Directivei Păsări. Statele membre îşi selectează siturile Natura 2000 instituite în temeiul Directivei privind habitatele, în parteneriat cu Comisia Europeană. După ce au fost selectate, zonele respective sunt recunoscute oficial de Comisie ca „situri de importanţă comunitară”, cum a fost şi cazul celei mai recente extinderi. Acest proces confirmă statutul oficial al siturilor şi consolidează obligaţiile de a le proteja. Ulterior, statele membre au la dispoziţie şase ani pentru a implementa măsurile necesare de gestionare a siturilor în vigoare şi pentru a le desemna ca arii speciale de conservare.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În 2008, România deţinea 273 Situri de Importanţă Comunitară şi 108 Situri de Protecţie Specială Avifaunistică, cu o suprafaţă totală a siturilor Natura 2000, de 17,84% din suprafaţa ţării.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Ca urmare a declanşării în anul 2008 a procedurii de infringement pentru desemnarea insuficientă de arii de protecţie specială avifaunistică, începând din 2011 suprafaţa acoperită de siturile Natura 2000 a crescut astfel: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 de la 12,5% din suprafaţa ţării SPA-uri, în 2007 la 15,5%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de la 13,8% din suprafaţa ţării SCI-uri, în 2007 la 17,4%. </w:t>
      </w:r>
    </w:p>
    <w:p w:rsidR="002F5025" w:rsidRPr="002F5025" w:rsidRDefault="002F5025" w:rsidP="002F5025">
      <w:pPr>
        <w:spacing w:after="120" w:line="240" w:lineRule="auto"/>
        <w:jc w:val="both"/>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În Hotărârea de Guvern nr. 971/2011 sunt consemnate un număr de 148 de Situri de Protecţie Specială Avifaunistică, iar în Ordinul ministrului mediului şi pădurilor nr. 2387/2011 un număr de 383 Situri de Importanţă Comunitară.</w:t>
      </w:r>
    </w:p>
    <w:p w:rsidR="002F5025" w:rsidRPr="002F5025" w:rsidRDefault="002F5025" w:rsidP="002F5025">
      <w:pPr>
        <w:spacing w:after="120" w:line="240" w:lineRule="auto"/>
        <w:jc w:val="both"/>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La nivelul judeţului Buzău sunt desemnate 12 situri de importanţă comunitară (SCI) şi 6 arii de protecţie specială avifaunistică( SPA).</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lastRenderedPageBreak/>
        <w:t>O extindere a Reţelei Natura 2000 s-a realizat în judeţul Buzău în anul 2011 prin apariţia de noi situri (ROSPA0112 Câmpia Gherghiţei, ROSPA0141 Subcarpaţii Vrancei, ROSPA0145 Valea Călmăţuiului, ROSCI0280 Buzăul Superior) dar şi extinderea celor desemnate în 2007 (ROSCI0103 Lunca Buzăului, ROSCI0272 Vulcanii Noroioşi de la Pâclele Mari şi Pâclele Mici). Listele siturilor de importanţă comunitară şi a siturilor de protecţie avifaunistică sunt exemplificare în tabelul V.2.1-2. respectiv tabelul  V.2.1-3.</w:t>
      </w:r>
    </w:p>
    <w:p w:rsidR="00450CDB" w:rsidRDefault="00450CDB" w:rsidP="002F5025">
      <w:pPr>
        <w:spacing w:after="120" w:line="240" w:lineRule="auto"/>
        <w:rPr>
          <w:rFonts w:ascii="Arial" w:eastAsia="SimSun" w:hAnsi="Arial" w:cs="Arial"/>
          <w:b/>
          <w:noProof/>
          <w:kern w:val="24"/>
          <w:sz w:val="24"/>
          <w:szCs w:val="24"/>
          <w:lang w:val="ro-RO" w:eastAsia="zh-CN"/>
        </w:rPr>
      </w:pPr>
    </w:p>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b/>
          <w:noProof/>
          <w:kern w:val="24"/>
          <w:sz w:val="24"/>
          <w:szCs w:val="24"/>
          <w:lang w:val="ro-RO" w:eastAsia="zh-CN"/>
        </w:rPr>
        <w:t>T</w:t>
      </w:r>
      <w:r w:rsidRPr="002F5025">
        <w:rPr>
          <w:rFonts w:ascii="Arial" w:eastAsiaTheme="minorHAnsi" w:hAnsi="Arial" w:cs="Arial"/>
          <w:b/>
          <w:sz w:val="24"/>
          <w:szCs w:val="24"/>
          <w:lang w:val="ro-RO"/>
        </w:rPr>
        <w:t>abel</w:t>
      </w:r>
      <w:r w:rsidRPr="002F5025">
        <w:rPr>
          <w:rFonts w:ascii="Arial" w:eastAsiaTheme="minorHAnsi" w:hAnsi="Arial" w:cs="Arial"/>
          <w:sz w:val="24"/>
          <w:szCs w:val="24"/>
          <w:lang w:val="ro-RO"/>
        </w:rPr>
        <w:t xml:space="preserve"> </w:t>
      </w:r>
      <w:r w:rsidRPr="002F5025">
        <w:rPr>
          <w:rFonts w:ascii="Arial" w:eastAsiaTheme="minorHAnsi" w:hAnsi="Arial" w:cs="Arial"/>
          <w:b/>
          <w:lang w:val="ro-RO"/>
        </w:rPr>
        <w:t>V.2.1-2.</w:t>
      </w:r>
      <w:r w:rsidRPr="002F5025">
        <w:rPr>
          <w:rFonts w:ascii="Arial" w:eastAsia="SimSun" w:hAnsi="Arial" w:cs="Arial"/>
          <w:noProof/>
          <w:kern w:val="24"/>
          <w:sz w:val="24"/>
          <w:szCs w:val="24"/>
          <w:lang w:val="ro-RO" w:eastAsia="zh-CN"/>
        </w:rPr>
        <w:t xml:space="preserve"> </w:t>
      </w:r>
      <w:r w:rsidRPr="002F5025">
        <w:rPr>
          <w:rFonts w:ascii="Arial" w:eastAsia="SimSun" w:hAnsi="Arial" w:cs="Arial"/>
          <w:b/>
          <w:noProof/>
          <w:kern w:val="24"/>
          <w:sz w:val="24"/>
          <w:szCs w:val="24"/>
          <w:lang w:val="ro-RO" w:eastAsia="zh-CN"/>
        </w:rPr>
        <w:t>Situri de importanţă comunitară</w:t>
      </w:r>
    </w:p>
    <w:tbl>
      <w:tblPr>
        <w:tblStyle w:val="MediumGrid1-Accent2"/>
        <w:tblW w:w="4785" w:type="pct"/>
        <w:tblLook w:val="04A0"/>
      </w:tblPr>
      <w:tblGrid>
        <w:gridCol w:w="1151"/>
        <w:gridCol w:w="1754"/>
        <w:gridCol w:w="3553"/>
        <w:gridCol w:w="2972"/>
      </w:tblGrid>
      <w:tr w:rsidR="002F5025" w:rsidRPr="002F5025" w:rsidTr="00D92384">
        <w:trPr>
          <w:cnfStyle w:val="100000000000"/>
          <w:trHeight w:val="397"/>
        </w:trPr>
        <w:tc>
          <w:tcPr>
            <w:cnfStyle w:val="001000000000"/>
            <w:tcW w:w="610" w:type="pct"/>
          </w:tcPr>
          <w:p w:rsidR="002F5025" w:rsidRPr="002F5025" w:rsidRDefault="002F5025" w:rsidP="002F5025">
            <w:pPr>
              <w:spacing w:after="120" w:line="240" w:lineRule="auto"/>
              <w:jc w:val="center"/>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Nr. crt.</w:t>
            </w:r>
          </w:p>
        </w:tc>
        <w:tc>
          <w:tcPr>
            <w:tcW w:w="930" w:type="pct"/>
          </w:tcPr>
          <w:p w:rsidR="002F5025" w:rsidRPr="002F5025" w:rsidRDefault="002F5025" w:rsidP="002F5025">
            <w:pPr>
              <w:spacing w:after="120" w:line="240" w:lineRule="auto"/>
              <w:jc w:val="center"/>
              <w:cnfStyle w:val="1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Codul sitului</w:t>
            </w:r>
          </w:p>
        </w:tc>
        <w:tc>
          <w:tcPr>
            <w:tcW w:w="1884" w:type="pct"/>
          </w:tcPr>
          <w:p w:rsidR="002F5025" w:rsidRPr="002F5025" w:rsidRDefault="002F5025" w:rsidP="002F5025">
            <w:pPr>
              <w:spacing w:after="120" w:line="240" w:lineRule="auto"/>
              <w:jc w:val="center"/>
              <w:cnfStyle w:val="1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Numele sitului</w:t>
            </w:r>
          </w:p>
        </w:tc>
        <w:tc>
          <w:tcPr>
            <w:tcW w:w="1576" w:type="pct"/>
          </w:tcPr>
          <w:p w:rsidR="002F5025" w:rsidRPr="002F5025" w:rsidRDefault="002F5025" w:rsidP="002F5025">
            <w:pPr>
              <w:spacing w:after="120" w:line="240" w:lineRule="auto"/>
              <w:jc w:val="center"/>
              <w:cnfStyle w:val="100000000000"/>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ro-RO"/>
              </w:rPr>
              <w:t xml:space="preserve">Suprafaţa </w:t>
            </w:r>
            <w:r w:rsidRPr="002F5025">
              <w:rPr>
                <w:rFonts w:ascii="Arial" w:eastAsia="SimSun" w:hAnsi="Arial" w:cs="Arial"/>
                <w:noProof/>
                <w:kern w:val="24"/>
                <w:sz w:val="24"/>
                <w:szCs w:val="24"/>
                <w:lang w:val="ro-RO" w:eastAsia="zh-CN"/>
              </w:rPr>
              <w:t>la nivelul judeţului</w:t>
            </w:r>
          </w:p>
          <w:p w:rsidR="002F5025" w:rsidRPr="002F5025" w:rsidRDefault="002F5025" w:rsidP="002F5025">
            <w:pPr>
              <w:spacing w:after="120" w:line="240" w:lineRule="auto"/>
              <w:jc w:val="center"/>
              <w:cnfStyle w:val="100000000000"/>
              <w:rPr>
                <w:rFonts w:ascii="Arial" w:eastAsia="SimSun" w:hAnsi="Arial" w:cs="Arial"/>
                <w:i/>
                <w:noProof/>
                <w:color w:val="000000"/>
                <w:kern w:val="24"/>
                <w:sz w:val="24"/>
                <w:szCs w:val="24"/>
                <w:lang w:val="ro-RO" w:eastAsia="ro-RO"/>
              </w:rPr>
            </w:pPr>
            <w:r w:rsidRPr="002F5025">
              <w:rPr>
                <w:rFonts w:ascii="Arial" w:eastAsia="SimSun" w:hAnsi="Arial" w:cs="Arial"/>
                <w:noProof/>
                <w:kern w:val="24"/>
                <w:sz w:val="24"/>
                <w:szCs w:val="24"/>
                <w:lang w:val="ro-RO" w:eastAsia="ro-RO"/>
              </w:rPr>
              <w:t>(km</w:t>
            </w:r>
            <w:r w:rsidRPr="002F5025">
              <w:rPr>
                <w:rFonts w:ascii="Arial" w:eastAsia="SimSun" w:hAnsi="Arial" w:cs="Arial"/>
                <w:noProof/>
                <w:kern w:val="24"/>
                <w:sz w:val="24"/>
                <w:szCs w:val="24"/>
                <w:vertAlign w:val="superscript"/>
                <w:lang w:val="ro-RO" w:eastAsia="ro-RO"/>
              </w:rPr>
              <w:t>2</w:t>
            </w:r>
            <w:r w:rsidRPr="002F5025">
              <w:rPr>
                <w:rFonts w:ascii="Arial" w:eastAsia="SimSun" w:hAnsi="Arial" w:cs="Arial"/>
                <w:noProof/>
                <w:kern w:val="24"/>
                <w:sz w:val="24"/>
                <w:szCs w:val="24"/>
                <w:lang w:val="ro-RO" w:eastAsia="ro-RO"/>
              </w:rPr>
              <w:t>)</w:t>
            </w:r>
          </w:p>
        </w:tc>
      </w:tr>
      <w:tr w:rsidR="002F5025" w:rsidRPr="002F5025" w:rsidTr="00D92384">
        <w:trPr>
          <w:cnfStyle w:val="000000100000"/>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1</w:t>
            </w:r>
          </w:p>
        </w:tc>
        <w:tc>
          <w:tcPr>
            <w:tcW w:w="93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ROSCI0005</w:t>
            </w:r>
          </w:p>
        </w:tc>
        <w:tc>
          <w:tcPr>
            <w:tcW w:w="1884"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Balta Albă – Amara – Jirlău – Lacul Sãrat Câineni</w:t>
            </w:r>
          </w:p>
        </w:tc>
        <w:tc>
          <w:tcPr>
            <w:tcW w:w="1576"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34,445</w:t>
            </w:r>
          </w:p>
        </w:tc>
      </w:tr>
      <w:tr w:rsidR="002F5025" w:rsidRPr="002F5025" w:rsidTr="00D92384">
        <w:trPr>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2</w:t>
            </w:r>
          </w:p>
        </w:tc>
        <w:tc>
          <w:tcPr>
            <w:tcW w:w="930"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ROSCI0009</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Bisoca</w:t>
            </w:r>
          </w:p>
        </w:tc>
        <w:tc>
          <w:tcPr>
            <w:tcW w:w="1576"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11,63</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r>
      <w:tr w:rsidR="002F5025" w:rsidRPr="002F5025" w:rsidTr="00D92384">
        <w:trPr>
          <w:cnfStyle w:val="000000100000"/>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3</w:t>
            </w:r>
          </w:p>
        </w:tc>
        <w:tc>
          <w:tcPr>
            <w:tcW w:w="93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ROSCI0057</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Dealul Istriţa</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5,77</w:t>
            </w:r>
          </w:p>
        </w:tc>
      </w:tr>
      <w:tr w:rsidR="002F5025" w:rsidRPr="002F5025" w:rsidTr="00D92384">
        <w:trPr>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4</w:t>
            </w:r>
          </w:p>
        </w:tc>
        <w:tc>
          <w:tcPr>
            <w:tcW w:w="930"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ROSCI0103</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Lunca Buzăului</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60,425</w:t>
            </w:r>
          </w:p>
        </w:tc>
      </w:tr>
      <w:tr w:rsidR="002F5025" w:rsidRPr="002F5025" w:rsidTr="00D92384">
        <w:trPr>
          <w:cnfStyle w:val="000000100000"/>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5</w:t>
            </w:r>
          </w:p>
        </w:tc>
        <w:tc>
          <w:tcPr>
            <w:tcW w:w="93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sz w:val="24"/>
                <w:szCs w:val="24"/>
                <w:lang w:val="ro-RO" w:eastAsia="zh-CN"/>
              </w:rPr>
              <w:t>ROSCI0127</w:t>
            </w:r>
          </w:p>
        </w:tc>
        <w:tc>
          <w:tcPr>
            <w:tcW w:w="1884"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Muntioru Ursoaia</w:t>
            </w:r>
          </w:p>
        </w:tc>
        <w:tc>
          <w:tcPr>
            <w:tcW w:w="1576"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1,595</w:t>
            </w:r>
          </w:p>
        </w:tc>
      </w:tr>
      <w:tr w:rsidR="002F5025" w:rsidRPr="002F5025" w:rsidTr="00D92384">
        <w:trPr>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6</w:t>
            </w:r>
          </w:p>
        </w:tc>
        <w:tc>
          <w:tcPr>
            <w:tcW w:w="930"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ROSCI0190</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Penteleu</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112,68</w:t>
            </w:r>
          </w:p>
        </w:tc>
      </w:tr>
      <w:tr w:rsidR="002F5025" w:rsidRPr="002F5025" w:rsidTr="00D92384">
        <w:trPr>
          <w:cnfStyle w:val="000000100000"/>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7</w:t>
            </w:r>
          </w:p>
        </w:tc>
        <w:tc>
          <w:tcPr>
            <w:tcW w:w="93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ROSCI0199</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Platoul Meledic</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1,51</w:t>
            </w:r>
          </w:p>
        </w:tc>
      </w:tr>
      <w:tr w:rsidR="002F5025" w:rsidRPr="002F5025" w:rsidTr="00D92384">
        <w:trPr>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8</w:t>
            </w:r>
          </w:p>
        </w:tc>
        <w:tc>
          <w:tcPr>
            <w:tcW w:w="930"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ROSCI0229</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Siriu</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62,30</w:t>
            </w:r>
          </w:p>
        </w:tc>
      </w:tr>
      <w:tr w:rsidR="002F5025" w:rsidRPr="002F5025" w:rsidTr="00D92384">
        <w:trPr>
          <w:cnfStyle w:val="000000100000"/>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9</w:t>
            </w:r>
          </w:p>
        </w:tc>
        <w:tc>
          <w:tcPr>
            <w:tcW w:w="93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ROSCI0259</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Valea Călmăţuiului</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94,15</w:t>
            </w:r>
          </w:p>
        </w:tc>
      </w:tr>
      <w:tr w:rsidR="002F5025" w:rsidRPr="002F5025" w:rsidTr="00D92384">
        <w:trPr>
          <w:trHeight w:val="397"/>
        </w:trPr>
        <w:tc>
          <w:tcPr>
            <w:cnfStyle w:val="001000000000"/>
            <w:tcW w:w="610" w:type="pct"/>
          </w:tcPr>
          <w:p w:rsidR="002F5025" w:rsidRPr="002F5025" w:rsidRDefault="002F5025" w:rsidP="002F5025">
            <w:pPr>
              <w:spacing w:after="120" w:line="240" w:lineRule="auto"/>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10</w:t>
            </w:r>
          </w:p>
        </w:tc>
        <w:tc>
          <w:tcPr>
            <w:tcW w:w="930"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ROSCI0272</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Vulcanii Noroiosi de la Pâclele Mari şi Pâclele Mici</w:t>
            </w:r>
          </w:p>
          <w:p w:rsidR="002F5025" w:rsidRPr="002F5025" w:rsidRDefault="002F5025" w:rsidP="002F5025">
            <w:pPr>
              <w:spacing w:after="120" w:line="240" w:lineRule="auto"/>
              <w:cnfStyle w:val="0000000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9,29</w:t>
            </w:r>
          </w:p>
        </w:tc>
      </w:tr>
      <w:tr w:rsidR="002F5025" w:rsidRPr="002F5025" w:rsidTr="00D92384">
        <w:trPr>
          <w:cnfStyle w:val="000000100000"/>
          <w:trHeight w:val="397"/>
        </w:trPr>
        <w:tc>
          <w:tcPr>
            <w:cnfStyle w:val="001000000000"/>
            <w:tcW w:w="610" w:type="pct"/>
          </w:tcPr>
          <w:p w:rsidR="002F5025" w:rsidRPr="002F5025" w:rsidRDefault="002F5025" w:rsidP="002F5025">
            <w:pPr>
              <w:spacing w:after="120" w:line="240" w:lineRule="auto"/>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11</w:t>
            </w:r>
          </w:p>
          <w:p w:rsidR="002F5025" w:rsidRPr="002F5025" w:rsidRDefault="002F5025" w:rsidP="002F5025">
            <w:pPr>
              <w:spacing w:after="120" w:line="240" w:lineRule="auto"/>
              <w:rPr>
                <w:rFonts w:ascii="Arial" w:eastAsia="SimSun" w:hAnsi="Arial" w:cs="Arial"/>
                <w:noProof/>
                <w:kern w:val="24"/>
                <w:sz w:val="24"/>
                <w:szCs w:val="24"/>
                <w:lang w:val="ro-RO" w:eastAsia="ro-RO"/>
              </w:rPr>
            </w:pPr>
          </w:p>
        </w:tc>
        <w:tc>
          <w:tcPr>
            <w:tcW w:w="93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ROSCI0280</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884"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Buzăul Superior</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576"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0,177</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r>
      <w:tr w:rsidR="002F5025" w:rsidRPr="002F5025" w:rsidTr="00D92384">
        <w:trPr>
          <w:trHeight w:val="397"/>
        </w:trPr>
        <w:tc>
          <w:tcPr>
            <w:cnfStyle w:val="001000000000"/>
            <w:tcW w:w="610"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12</w:t>
            </w:r>
          </w:p>
        </w:tc>
        <w:tc>
          <w:tcPr>
            <w:tcW w:w="930"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ROSCI0208</w:t>
            </w:r>
          </w:p>
        </w:tc>
        <w:tc>
          <w:tcPr>
            <w:tcW w:w="1884"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Putna Vrancea</w:t>
            </w:r>
          </w:p>
        </w:tc>
        <w:tc>
          <w:tcPr>
            <w:tcW w:w="1576" w:type="pct"/>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0,058</w:t>
            </w:r>
          </w:p>
        </w:tc>
      </w:tr>
      <w:tr w:rsidR="002F5025" w:rsidRPr="002F5025" w:rsidTr="00D92384">
        <w:trPr>
          <w:cnfStyle w:val="000000100000"/>
          <w:trHeight w:val="397"/>
        </w:trPr>
        <w:tc>
          <w:tcPr>
            <w:cnfStyle w:val="001000000000"/>
            <w:tcW w:w="3424" w:type="pct"/>
            <w:gridSpan w:val="3"/>
          </w:tcPr>
          <w:p w:rsidR="002F5025" w:rsidRPr="002F5025" w:rsidRDefault="002F5025" w:rsidP="002F5025">
            <w:pPr>
              <w:spacing w:after="120" w:line="240" w:lineRule="auto"/>
              <w:jc w:val="center"/>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Total suprafaţă SCI</w:t>
            </w:r>
          </w:p>
        </w:tc>
        <w:tc>
          <w:tcPr>
            <w:tcW w:w="1576" w:type="pct"/>
          </w:tcPr>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r w:rsidRPr="002F5025">
              <w:rPr>
                <w:rFonts w:ascii="Arial" w:eastAsia="SimSun" w:hAnsi="Arial" w:cs="Arial"/>
                <w:b/>
                <w:noProof/>
                <w:kern w:val="24"/>
                <w:sz w:val="24"/>
                <w:szCs w:val="24"/>
                <w:lang w:val="ro-RO" w:eastAsia="zh-CN"/>
              </w:rPr>
              <w:t>394,03</w:t>
            </w:r>
          </w:p>
        </w:tc>
      </w:tr>
    </w:tbl>
    <w:p w:rsidR="002F5025" w:rsidRPr="002F5025" w:rsidRDefault="002F5025" w:rsidP="002F5025">
      <w:pPr>
        <w:spacing w:after="120" w:line="240" w:lineRule="auto"/>
        <w:rPr>
          <w:rFonts w:ascii="Arial" w:eastAsia="SimSun" w:hAnsi="Arial" w:cs="Arial"/>
          <w:noProof/>
          <w:kern w:val="24"/>
          <w:sz w:val="24"/>
          <w:szCs w:val="24"/>
          <w:lang w:val="ro-RO" w:eastAsia="zh-CN"/>
        </w:rPr>
      </w:pPr>
    </w:p>
    <w:p w:rsidR="002F5025" w:rsidRDefault="002F5025" w:rsidP="002F5025">
      <w:pPr>
        <w:spacing w:after="120" w:line="240" w:lineRule="auto"/>
        <w:rPr>
          <w:rFonts w:ascii="Arial" w:eastAsia="SimSun" w:hAnsi="Arial" w:cs="Arial"/>
          <w:noProof/>
          <w:kern w:val="24"/>
          <w:sz w:val="24"/>
          <w:szCs w:val="24"/>
          <w:lang w:val="ro-RO" w:eastAsia="zh-CN"/>
        </w:rPr>
      </w:pPr>
    </w:p>
    <w:p w:rsidR="00450CDB" w:rsidRDefault="00450CDB" w:rsidP="002F5025">
      <w:pPr>
        <w:spacing w:after="120" w:line="240" w:lineRule="auto"/>
        <w:rPr>
          <w:rFonts w:ascii="Arial" w:eastAsia="SimSun" w:hAnsi="Arial" w:cs="Arial"/>
          <w:noProof/>
          <w:kern w:val="24"/>
          <w:sz w:val="24"/>
          <w:szCs w:val="24"/>
          <w:lang w:val="ro-RO" w:eastAsia="zh-CN"/>
        </w:rPr>
      </w:pPr>
    </w:p>
    <w:p w:rsidR="00450CDB" w:rsidRDefault="00450CDB" w:rsidP="002F5025">
      <w:pPr>
        <w:spacing w:after="120" w:line="240" w:lineRule="auto"/>
        <w:rPr>
          <w:rFonts w:ascii="Arial" w:eastAsia="SimSun" w:hAnsi="Arial" w:cs="Arial"/>
          <w:noProof/>
          <w:kern w:val="24"/>
          <w:sz w:val="24"/>
          <w:szCs w:val="24"/>
          <w:lang w:val="ro-RO" w:eastAsia="zh-CN"/>
        </w:rPr>
      </w:pPr>
    </w:p>
    <w:p w:rsidR="00450CDB" w:rsidRPr="002F5025" w:rsidRDefault="00450CDB" w:rsidP="002F5025">
      <w:pPr>
        <w:spacing w:after="120" w:line="240" w:lineRule="auto"/>
        <w:rPr>
          <w:rFonts w:ascii="Arial" w:eastAsia="SimSun" w:hAnsi="Arial" w:cs="Arial"/>
          <w:noProof/>
          <w:kern w:val="24"/>
          <w:sz w:val="24"/>
          <w:szCs w:val="24"/>
          <w:lang w:val="ro-RO" w:eastAsia="zh-CN"/>
        </w:rPr>
      </w:pPr>
    </w:p>
    <w:p w:rsidR="002F5025" w:rsidRPr="002F5025" w:rsidRDefault="002F5025" w:rsidP="002F5025">
      <w:pPr>
        <w:spacing w:after="120" w:line="240" w:lineRule="auto"/>
        <w:rPr>
          <w:rFonts w:ascii="Arial" w:eastAsia="SimSun" w:hAnsi="Arial" w:cs="Arial"/>
          <w:b/>
          <w:noProof/>
          <w:kern w:val="24"/>
          <w:sz w:val="24"/>
          <w:szCs w:val="24"/>
          <w:lang w:val="ro-RO" w:eastAsia="zh-CN"/>
        </w:rPr>
      </w:pPr>
      <w:r w:rsidRPr="002F5025">
        <w:rPr>
          <w:rFonts w:ascii="Arial" w:eastAsia="SimSun" w:hAnsi="Arial" w:cs="Arial"/>
          <w:b/>
          <w:noProof/>
          <w:kern w:val="24"/>
          <w:sz w:val="24"/>
          <w:szCs w:val="24"/>
          <w:lang w:val="ro-RO" w:eastAsia="zh-CN"/>
        </w:rPr>
        <w:lastRenderedPageBreak/>
        <w:t xml:space="preserve">Tabel </w:t>
      </w:r>
      <w:r w:rsidRPr="002F5025">
        <w:rPr>
          <w:rFonts w:ascii="Arial" w:eastAsiaTheme="minorHAnsi" w:hAnsi="Arial" w:cs="Arial"/>
          <w:b/>
          <w:lang w:val="ro-RO"/>
        </w:rPr>
        <w:t>V.2.1-3.</w:t>
      </w:r>
      <w:r w:rsidRPr="002F5025">
        <w:rPr>
          <w:rFonts w:ascii="Arial" w:eastAsia="SimSun" w:hAnsi="Arial" w:cs="Arial"/>
          <w:noProof/>
          <w:kern w:val="24"/>
          <w:sz w:val="24"/>
          <w:szCs w:val="24"/>
          <w:lang w:val="ro-RO" w:eastAsia="zh-CN"/>
        </w:rPr>
        <w:t xml:space="preserve"> </w:t>
      </w:r>
      <w:r w:rsidRPr="002F5025">
        <w:rPr>
          <w:rFonts w:ascii="Arial" w:eastAsia="SimSun" w:hAnsi="Arial" w:cs="Arial"/>
          <w:b/>
          <w:noProof/>
          <w:kern w:val="24"/>
          <w:sz w:val="24"/>
          <w:szCs w:val="24"/>
          <w:lang w:val="ro-RO" w:eastAsia="zh-CN"/>
        </w:rPr>
        <w:t>Arii de protecţie specială avifaunistică</w:t>
      </w:r>
    </w:p>
    <w:tbl>
      <w:tblPr>
        <w:tblStyle w:val="LightGrid-Accent2"/>
        <w:tblW w:w="4538" w:type="pct"/>
        <w:tblInd w:w="250" w:type="dxa"/>
        <w:tblLook w:val="04A0"/>
      </w:tblPr>
      <w:tblGrid>
        <w:gridCol w:w="639"/>
        <w:gridCol w:w="2128"/>
        <w:gridCol w:w="3291"/>
        <w:gridCol w:w="2885"/>
      </w:tblGrid>
      <w:tr w:rsidR="002F5025" w:rsidRPr="002F5025" w:rsidTr="00D92384">
        <w:trPr>
          <w:cnfStyle w:val="100000000000"/>
          <w:trHeight w:val="514"/>
        </w:trPr>
        <w:tc>
          <w:tcPr>
            <w:cnfStyle w:val="001000000000"/>
            <w:tcW w:w="357" w:type="pct"/>
          </w:tcPr>
          <w:p w:rsidR="002F5025" w:rsidRPr="002F5025" w:rsidRDefault="002F5025" w:rsidP="002F5025">
            <w:pPr>
              <w:spacing w:after="120" w:line="240" w:lineRule="auto"/>
              <w:jc w:val="center"/>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Nr. crt.</w:t>
            </w:r>
          </w:p>
        </w:tc>
        <w:tc>
          <w:tcPr>
            <w:tcW w:w="1190" w:type="pct"/>
          </w:tcPr>
          <w:p w:rsidR="002F5025" w:rsidRPr="002F5025" w:rsidRDefault="002F5025" w:rsidP="002F5025">
            <w:pPr>
              <w:spacing w:after="120" w:line="240" w:lineRule="auto"/>
              <w:jc w:val="center"/>
              <w:cnfStyle w:val="1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Codul sitului</w:t>
            </w:r>
          </w:p>
        </w:tc>
        <w:tc>
          <w:tcPr>
            <w:tcW w:w="1840" w:type="pct"/>
          </w:tcPr>
          <w:p w:rsidR="002F5025" w:rsidRPr="002F5025" w:rsidRDefault="002F5025" w:rsidP="002F5025">
            <w:pPr>
              <w:spacing w:after="120" w:line="240" w:lineRule="auto"/>
              <w:jc w:val="center"/>
              <w:cnfStyle w:val="1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Numele sitului</w:t>
            </w:r>
          </w:p>
        </w:tc>
        <w:tc>
          <w:tcPr>
            <w:tcW w:w="1614" w:type="pct"/>
          </w:tcPr>
          <w:p w:rsidR="002F5025" w:rsidRPr="002F5025" w:rsidRDefault="002F5025" w:rsidP="002F5025">
            <w:pPr>
              <w:spacing w:after="120" w:line="240" w:lineRule="auto"/>
              <w:jc w:val="center"/>
              <w:cnfStyle w:val="100000000000"/>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ro-RO"/>
              </w:rPr>
              <w:t xml:space="preserve">Suprafata </w:t>
            </w:r>
            <w:r w:rsidRPr="002F5025">
              <w:rPr>
                <w:rFonts w:ascii="Arial" w:eastAsia="SimSun" w:hAnsi="Arial" w:cs="Arial"/>
                <w:noProof/>
                <w:kern w:val="24"/>
                <w:sz w:val="24"/>
                <w:szCs w:val="24"/>
                <w:lang w:val="ro-RO" w:eastAsia="zh-CN"/>
              </w:rPr>
              <w:t>la nivelul judetului</w:t>
            </w:r>
          </w:p>
          <w:p w:rsidR="002F5025" w:rsidRPr="002F5025" w:rsidRDefault="002F5025" w:rsidP="002F5025">
            <w:pPr>
              <w:spacing w:after="120" w:line="240" w:lineRule="auto"/>
              <w:jc w:val="center"/>
              <w:cnfStyle w:val="1000000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(km</w:t>
            </w:r>
            <w:r w:rsidRPr="002F5025">
              <w:rPr>
                <w:rFonts w:ascii="Arial" w:eastAsia="SimSun" w:hAnsi="Arial" w:cs="Arial"/>
                <w:noProof/>
                <w:kern w:val="24"/>
                <w:sz w:val="24"/>
                <w:szCs w:val="24"/>
                <w:vertAlign w:val="superscript"/>
                <w:lang w:val="ro-RO" w:eastAsia="ro-RO"/>
              </w:rPr>
              <w:t>2</w:t>
            </w:r>
            <w:r w:rsidRPr="002F5025">
              <w:rPr>
                <w:rFonts w:ascii="Arial" w:eastAsia="SimSun" w:hAnsi="Arial" w:cs="Arial"/>
                <w:noProof/>
                <w:kern w:val="24"/>
                <w:sz w:val="24"/>
                <w:szCs w:val="24"/>
                <w:lang w:val="ro-RO" w:eastAsia="ro-RO"/>
              </w:rPr>
              <w:t xml:space="preserve">)               </w:t>
            </w:r>
          </w:p>
        </w:tc>
      </w:tr>
      <w:tr w:rsidR="002F5025" w:rsidRPr="002F5025" w:rsidTr="00D92384">
        <w:trPr>
          <w:cnfStyle w:val="000000100000"/>
          <w:trHeight w:val="421"/>
        </w:trPr>
        <w:tc>
          <w:tcPr>
            <w:cnfStyle w:val="001000000000"/>
            <w:tcW w:w="357"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1</w:t>
            </w:r>
          </w:p>
        </w:tc>
        <w:tc>
          <w:tcPr>
            <w:tcW w:w="119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ROSPA0004</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84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Balta Albã – Amara – Jirlău</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ro-RO"/>
              </w:rPr>
            </w:pPr>
          </w:p>
        </w:tc>
        <w:tc>
          <w:tcPr>
            <w:tcW w:w="1614" w:type="pct"/>
          </w:tcPr>
          <w:p w:rsidR="002F5025" w:rsidRPr="002F5025" w:rsidRDefault="002F5025" w:rsidP="002F5025">
            <w:pPr>
              <w:spacing w:after="120" w:line="240" w:lineRule="auto"/>
              <w:jc w:val="right"/>
              <w:cnfStyle w:val="000000100000"/>
              <w:rPr>
                <w:rFonts w:ascii="Arial" w:eastAsia="SimSun" w:hAnsi="Arial" w:cs="Arial"/>
                <w:i/>
                <w:noProof/>
                <w:kern w:val="24"/>
                <w:sz w:val="24"/>
                <w:szCs w:val="24"/>
                <w:lang w:val="ro-RO" w:eastAsia="ro-RO"/>
              </w:rPr>
            </w:pPr>
            <w:r w:rsidRPr="002F5025">
              <w:rPr>
                <w:rFonts w:ascii="Arial" w:eastAsia="SimSun" w:hAnsi="Arial" w:cs="Arial"/>
                <w:noProof/>
                <w:kern w:val="24"/>
                <w:sz w:val="24"/>
                <w:szCs w:val="24"/>
                <w:lang w:val="ro-RO" w:eastAsia="ro-RO"/>
              </w:rPr>
              <w:t>8,15</w:t>
            </w:r>
          </w:p>
        </w:tc>
      </w:tr>
      <w:tr w:rsidR="002F5025" w:rsidRPr="002F5025" w:rsidTr="00D92384">
        <w:trPr>
          <w:cnfStyle w:val="000000010000"/>
          <w:trHeight w:val="421"/>
        </w:trPr>
        <w:tc>
          <w:tcPr>
            <w:cnfStyle w:val="001000000000"/>
            <w:tcW w:w="357"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2</w:t>
            </w:r>
          </w:p>
        </w:tc>
        <w:tc>
          <w:tcPr>
            <w:tcW w:w="1190" w:type="pct"/>
          </w:tcPr>
          <w:p w:rsidR="002F5025" w:rsidRPr="002F5025" w:rsidRDefault="002F5025" w:rsidP="002F5025">
            <w:pPr>
              <w:spacing w:after="120" w:line="240" w:lineRule="auto"/>
              <w:cnfStyle w:val="00000001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ROSPA0112</w:t>
            </w:r>
          </w:p>
          <w:p w:rsidR="002F5025" w:rsidRPr="002F5025" w:rsidRDefault="002F5025" w:rsidP="002F5025">
            <w:pPr>
              <w:spacing w:after="120" w:line="240" w:lineRule="auto"/>
              <w:cnfStyle w:val="000000010000"/>
              <w:rPr>
                <w:rFonts w:ascii="Arial" w:eastAsia="SimSun" w:hAnsi="Arial" w:cs="Arial"/>
                <w:noProof/>
                <w:kern w:val="24"/>
                <w:sz w:val="24"/>
                <w:szCs w:val="24"/>
                <w:lang w:val="ro-RO" w:eastAsia="zh-CN"/>
              </w:rPr>
            </w:pPr>
          </w:p>
        </w:tc>
        <w:tc>
          <w:tcPr>
            <w:tcW w:w="1840" w:type="pct"/>
          </w:tcPr>
          <w:p w:rsidR="002F5025" w:rsidRPr="002F5025" w:rsidRDefault="002F5025" w:rsidP="002F5025">
            <w:pPr>
              <w:spacing w:after="120" w:line="240" w:lineRule="auto"/>
              <w:cnfStyle w:val="00000001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Câmpia Gherghitei</w:t>
            </w:r>
          </w:p>
          <w:p w:rsidR="002F5025" w:rsidRPr="002F5025" w:rsidRDefault="002F5025" w:rsidP="002F5025">
            <w:pPr>
              <w:spacing w:after="120" w:line="240" w:lineRule="auto"/>
              <w:cnfStyle w:val="000000010000"/>
              <w:rPr>
                <w:rFonts w:ascii="Arial" w:eastAsia="SimSun" w:hAnsi="Arial" w:cs="Arial"/>
                <w:noProof/>
                <w:kern w:val="24"/>
                <w:sz w:val="24"/>
                <w:szCs w:val="24"/>
                <w:lang w:val="ro-RO" w:eastAsia="zh-CN"/>
              </w:rPr>
            </w:pPr>
          </w:p>
        </w:tc>
        <w:tc>
          <w:tcPr>
            <w:tcW w:w="1614" w:type="pct"/>
          </w:tcPr>
          <w:p w:rsidR="002F5025" w:rsidRPr="002F5025" w:rsidRDefault="002F5025" w:rsidP="002F5025">
            <w:pPr>
              <w:spacing w:after="120" w:line="240" w:lineRule="auto"/>
              <w:jc w:val="right"/>
              <w:cnfStyle w:val="000000010000"/>
              <w:rPr>
                <w:rFonts w:ascii="Arial" w:eastAsia="SimSun" w:hAnsi="Arial" w:cs="Arial"/>
                <w:bCs/>
                <w:i/>
                <w:noProof/>
                <w:color w:val="000000"/>
                <w:kern w:val="24"/>
                <w:sz w:val="24"/>
                <w:szCs w:val="24"/>
                <w:lang w:val="ro-RO" w:eastAsia="ro-RO"/>
              </w:rPr>
            </w:pPr>
            <w:r w:rsidRPr="002F5025">
              <w:rPr>
                <w:rFonts w:ascii="Arial" w:eastAsia="SimSun" w:hAnsi="Arial" w:cs="Arial"/>
                <w:noProof/>
                <w:kern w:val="24"/>
                <w:sz w:val="24"/>
                <w:szCs w:val="24"/>
                <w:lang w:val="ro-RO" w:eastAsia="zh-CN"/>
              </w:rPr>
              <w:t>15,20</w:t>
            </w:r>
          </w:p>
        </w:tc>
      </w:tr>
      <w:tr w:rsidR="002F5025" w:rsidRPr="002F5025" w:rsidTr="00D92384">
        <w:trPr>
          <w:cnfStyle w:val="000000100000"/>
          <w:trHeight w:val="421"/>
        </w:trPr>
        <w:tc>
          <w:tcPr>
            <w:cnfStyle w:val="001000000000"/>
            <w:tcW w:w="357"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3</w:t>
            </w:r>
          </w:p>
        </w:tc>
        <w:tc>
          <w:tcPr>
            <w:tcW w:w="119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ROSPA0141</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zh-CN"/>
              </w:rPr>
            </w:pPr>
          </w:p>
        </w:tc>
        <w:tc>
          <w:tcPr>
            <w:tcW w:w="184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Subcarpaţii Vrancei</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zh-CN"/>
              </w:rPr>
            </w:pPr>
          </w:p>
        </w:tc>
        <w:tc>
          <w:tcPr>
            <w:tcW w:w="1614" w:type="pct"/>
          </w:tcPr>
          <w:p w:rsidR="002F5025" w:rsidRPr="002F5025" w:rsidRDefault="002F5025" w:rsidP="002F5025">
            <w:pPr>
              <w:spacing w:after="120" w:line="240" w:lineRule="auto"/>
              <w:jc w:val="right"/>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124,055</w:t>
            </w:r>
          </w:p>
        </w:tc>
      </w:tr>
      <w:tr w:rsidR="002F5025" w:rsidRPr="002F5025" w:rsidTr="00D92384">
        <w:trPr>
          <w:cnfStyle w:val="000000010000"/>
          <w:trHeight w:val="421"/>
        </w:trPr>
        <w:tc>
          <w:tcPr>
            <w:cnfStyle w:val="001000000000"/>
            <w:tcW w:w="357"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4</w:t>
            </w:r>
          </w:p>
        </w:tc>
        <w:tc>
          <w:tcPr>
            <w:tcW w:w="1190" w:type="pct"/>
          </w:tcPr>
          <w:p w:rsidR="002F5025" w:rsidRPr="002F5025" w:rsidRDefault="002F5025" w:rsidP="002F5025">
            <w:pPr>
              <w:spacing w:after="120" w:line="240" w:lineRule="auto"/>
              <w:cnfStyle w:val="00000001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ROSPA0145</w:t>
            </w:r>
          </w:p>
          <w:p w:rsidR="002F5025" w:rsidRPr="002F5025" w:rsidRDefault="002F5025" w:rsidP="002F5025">
            <w:pPr>
              <w:spacing w:after="120" w:line="240" w:lineRule="auto"/>
              <w:cnfStyle w:val="000000010000"/>
              <w:rPr>
                <w:rFonts w:ascii="Arial" w:eastAsia="SimSun" w:hAnsi="Arial" w:cs="Arial"/>
                <w:noProof/>
                <w:kern w:val="24"/>
                <w:sz w:val="24"/>
                <w:szCs w:val="24"/>
                <w:lang w:val="ro-RO" w:eastAsia="zh-CN"/>
              </w:rPr>
            </w:pPr>
          </w:p>
        </w:tc>
        <w:tc>
          <w:tcPr>
            <w:tcW w:w="1840" w:type="pct"/>
          </w:tcPr>
          <w:p w:rsidR="002F5025" w:rsidRPr="002F5025" w:rsidRDefault="002F5025" w:rsidP="002F5025">
            <w:pPr>
              <w:spacing w:after="120" w:line="240" w:lineRule="auto"/>
              <w:cnfStyle w:val="00000001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Valea Călmăţuiului</w:t>
            </w:r>
          </w:p>
          <w:p w:rsidR="002F5025" w:rsidRPr="002F5025" w:rsidRDefault="002F5025" w:rsidP="002F5025">
            <w:pPr>
              <w:spacing w:after="120" w:line="240" w:lineRule="auto"/>
              <w:cnfStyle w:val="000000010000"/>
              <w:rPr>
                <w:rFonts w:ascii="Arial" w:eastAsia="SimSun" w:hAnsi="Arial" w:cs="Arial"/>
                <w:noProof/>
                <w:kern w:val="24"/>
                <w:sz w:val="24"/>
                <w:szCs w:val="24"/>
                <w:lang w:val="ro-RO" w:eastAsia="zh-CN"/>
              </w:rPr>
            </w:pPr>
          </w:p>
        </w:tc>
        <w:tc>
          <w:tcPr>
            <w:tcW w:w="1614" w:type="pct"/>
          </w:tcPr>
          <w:p w:rsidR="002F5025" w:rsidRPr="002F5025" w:rsidRDefault="002F5025" w:rsidP="002F5025">
            <w:pPr>
              <w:spacing w:after="120" w:line="240" w:lineRule="auto"/>
              <w:jc w:val="right"/>
              <w:cnfStyle w:val="00000001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99,135</w:t>
            </w:r>
          </w:p>
        </w:tc>
      </w:tr>
      <w:tr w:rsidR="002F5025" w:rsidRPr="002F5025" w:rsidTr="00D92384">
        <w:trPr>
          <w:cnfStyle w:val="000000100000"/>
          <w:trHeight w:val="421"/>
        </w:trPr>
        <w:tc>
          <w:tcPr>
            <w:cnfStyle w:val="001000000000"/>
            <w:tcW w:w="357"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5</w:t>
            </w:r>
          </w:p>
        </w:tc>
        <w:tc>
          <w:tcPr>
            <w:tcW w:w="119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ROSPA0006</w:t>
            </w:r>
          </w:p>
        </w:tc>
        <w:tc>
          <w:tcPr>
            <w:tcW w:w="1840" w:type="pct"/>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Balta Tătaru</w:t>
            </w:r>
          </w:p>
        </w:tc>
        <w:tc>
          <w:tcPr>
            <w:tcW w:w="1614" w:type="pct"/>
          </w:tcPr>
          <w:p w:rsidR="002F5025" w:rsidRPr="002F5025" w:rsidRDefault="002F5025" w:rsidP="002F5025">
            <w:pPr>
              <w:spacing w:after="120" w:line="240" w:lineRule="auto"/>
              <w:jc w:val="right"/>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0,115</w:t>
            </w:r>
          </w:p>
        </w:tc>
      </w:tr>
      <w:tr w:rsidR="002F5025" w:rsidRPr="002F5025" w:rsidTr="00D92384">
        <w:trPr>
          <w:cnfStyle w:val="000000010000"/>
          <w:trHeight w:val="421"/>
        </w:trPr>
        <w:tc>
          <w:tcPr>
            <w:cnfStyle w:val="001000000000"/>
            <w:tcW w:w="357" w:type="pct"/>
          </w:tcPr>
          <w:p w:rsidR="002F5025" w:rsidRPr="002F5025" w:rsidRDefault="002F5025" w:rsidP="002F5025">
            <w:pPr>
              <w:spacing w:after="120" w:line="240" w:lineRule="auto"/>
              <w:rPr>
                <w:rFonts w:ascii="Arial" w:eastAsia="SimSun" w:hAnsi="Arial" w:cs="Arial"/>
                <w:noProof/>
                <w:kern w:val="24"/>
                <w:sz w:val="24"/>
                <w:szCs w:val="24"/>
                <w:lang w:val="ro-RO" w:eastAsia="ro-RO"/>
              </w:rPr>
            </w:pPr>
            <w:r w:rsidRPr="002F5025">
              <w:rPr>
                <w:rFonts w:ascii="Arial" w:eastAsia="SimSun" w:hAnsi="Arial" w:cs="Arial"/>
                <w:noProof/>
                <w:kern w:val="24"/>
                <w:sz w:val="24"/>
                <w:szCs w:val="24"/>
                <w:lang w:val="ro-RO" w:eastAsia="ro-RO"/>
              </w:rPr>
              <w:t>6</w:t>
            </w:r>
          </w:p>
        </w:tc>
        <w:tc>
          <w:tcPr>
            <w:tcW w:w="1190" w:type="pct"/>
          </w:tcPr>
          <w:p w:rsidR="002F5025" w:rsidRPr="002F5025" w:rsidRDefault="002F5025" w:rsidP="002F5025">
            <w:pPr>
              <w:spacing w:after="120" w:line="240" w:lineRule="auto"/>
              <w:cnfStyle w:val="00000001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ROSPA0088</w:t>
            </w:r>
          </w:p>
        </w:tc>
        <w:tc>
          <w:tcPr>
            <w:tcW w:w="1840" w:type="pct"/>
          </w:tcPr>
          <w:p w:rsidR="002F5025" w:rsidRPr="002F5025" w:rsidRDefault="002F5025" w:rsidP="002F5025">
            <w:pPr>
              <w:spacing w:after="120" w:line="240" w:lineRule="auto"/>
              <w:cnfStyle w:val="00000001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Munţii Vrancei</w:t>
            </w:r>
          </w:p>
        </w:tc>
        <w:tc>
          <w:tcPr>
            <w:tcW w:w="1614" w:type="pct"/>
          </w:tcPr>
          <w:p w:rsidR="002F5025" w:rsidRPr="002F5025" w:rsidRDefault="002F5025" w:rsidP="002F5025">
            <w:pPr>
              <w:spacing w:after="120" w:line="240" w:lineRule="auto"/>
              <w:jc w:val="right"/>
              <w:cnfStyle w:val="000000010000"/>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0,08</w:t>
            </w:r>
          </w:p>
        </w:tc>
      </w:tr>
      <w:tr w:rsidR="002F5025" w:rsidRPr="002F5025" w:rsidTr="00D92384">
        <w:trPr>
          <w:cnfStyle w:val="000000100000"/>
          <w:trHeight w:val="421"/>
        </w:trPr>
        <w:tc>
          <w:tcPr>
            <w:cnfStyle w:val="001000000000"/>
            <w:tcW w:w="3386" w:type="pct"/>
            <w:gridSpan w:val="3"/>
          </w:tcPr>
          <w:p w:rsidR="002F5025" w:rsidRPr="002F5025" w:rsidRDefault="002F5025" w:rsidP="002F5025">
            <w:pPr>
              <w:spacing w:after="120" w:line="240" w:lineRule="auto"/>
              <w:jc w:val="center"/>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Total suprafaţă SPA</w:t>
            </w:r>
          </w:p>
        </w:tc>
        <w:tc>
          <w:tcPr>
            <w:tcW w:w="1614" w:type="pct"/>
          </w:tcPr>
          <w:p w:rsidR="002F5025" w:rsidRPr="002F5025" w:rsidRDefault="002F5025" w:rsidP="002F5025">
            <w:pPr>
              <w:spacing w:after="120" w:line="240" w:lineRule="auto"/>
              <w:jc w:val="right"/>
              <w:cnfStyle w:val="000000100000"/>
              <w:rPr>
                <w:rFonts w:ascii="Arial" w:eastAsia="SimSun" w:hAnsi="Arial" w:cs="Arial"/>
                <w:b/>
                <w:i/>
                <w:noProof/>
                <w:kern w:val="24"/>
                <w:sz w:val="24"/>
                <w:szCs w:val="24"/>
                <w:lang w:val="ro-RO" w:eastAsia="zh-CN"/>
              </w:rPr>
            </w:pPr>
            <w:r w:rsidRPr="002F5025">
              <w:rPr>
                <w:rFonts w:ascii="Arial" w:eastAsia="SimSun" w:hAnsi="Arial" w:cs="Arial"/>
                <w:b/>
                <w:noProof/>
                <w:kern w:val="24"/>
                <w:sz w:val="24"/>
                <w:szCs w:val="24"/>
                <w:lang w:val="ro-RO" w:eastAsia="zh-CN"/>
              </w:rPr>
              <w:t>246,735</w:t>
            </w:r>
          </w:p>
        </w:tc>
      </w:tr>
    </w:tbl>
    <w:p w:rsidR="002F5025" w:rsidRPr="002F5025" w:rsidRDefault="002F5025" w:rsidP="002F5025">
      <w:pPr>
        <w:spacing w:after="120" w:line="240" w:lineRule="auto"/>
        <w:rPr>
          <w:rFonts w:ascii="Arial" w:eastAsia="SimSun" w:hAnsi="Arial" w:cs="Arial"/>
          <w:noProof/>
          <w:kern w:val="24"/>
          <w:sz w:val="24"/>
          <w:szCs w:val="24"/>
          <w:lang w:val="ro-RO" w:eastAsia="zh-CN"/>
        </w:rPr>
      </w:pPr>
    </w:p>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Suprafeţele au fost recalculate după harta judeţului Buzău, pusă la dispoziţie de O.C.P.I.</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 xml:space="preserve">Suprafaţa judeţului Buzău acoperită de arii naturale protejate de interes naţional şi comunitar este de 548,762 </w:t>
      </w:r>
      <w:r w:rsidRPr="002F5025">
        <w:rPr>
          <w:rFonts w:ascii="Arial" w:eastAsia="SimSun" w:hAnsi="Arial" w:cs="Arial"/>
          <w:noProof/>
          <w:kern w:val="24"/>
          <w:sz w:val="24"/>
          <w:szCs w:val="24"/>
          <w:lang w:val="ro-RO" w:eastAsia="ro-RO"/>
        </w:rPr>
        <w:t>km</w:t>
      </w:r>
      <w:r w:rsidRPr="002F5025">
        <w:rPr>
          <w:rFonts w:ascii="Arial" w:eastAsia="SimSun" w:hAnsi="Arial" w:cs="Arial"/>
          <w:noProof/>
          <w:kern w:val="24"/>
          <w:sz w:val="24"/>
          <w:szCs w:val="24"/>
          <w:vertAlign w:val="superscript"/>
          <w:lang w:val="ro-RO" w:eastAsia="ro-RO"/>
        </w:rPr>
        <w:t>2</w:t>
      </w:r>
      <w:r w:rsidRPr="002F5025">
        <w:rPr>
          <w:rFonts w:ascii="Arial" w:eastAsiaTheme="minorHAnsi" w:hAnsi="Arial" w:cs="Arial"/>
          <w:sz w:val="24"/>
          <w:szCs w:val="24"/>
          <w:lang w:val="ro-RO"/>
        </w:rPr>
        <w:t>, ceea ce reprezintă cca 8,9% din întreaga suprafaţă a judeţului.</w:t>
      </w:r>
    </w:p>
    <w:p w:rsidR="002F5025" w:rsidRPr="002F5025" w:rsidRDefault="002F5025" w:rsidP="002F5025">
      <w:pPr>
        <w:spacing w:after="120" w:line="240" w:lineRule="auto"/>
        <w:jc w:val="both"/>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În conformitate cu specificaţiile tehnice INSPIRE pentru ariile naturale protejate, inclusiv a siturilor Natura 2000 vor fi realizate seturi de date spaţiale şi se vor corecta actualele limite în funcţie de limitele naturale ale ariilor.</w:t>
      </w:r>
    </w:p>
    <w:p w:rsidR="002F5025" w:rsidRPr="002F5025" w:rsidRDefault="002F5025" w:rsidP="002F5025">
      <w:pPr>
        <w:spacing w:after="120" w:line="240" w:lineRule="auto"/>
        <w:jc w:val="both"/>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În urma analizării suprafeţelor în care se suprapun mai multe regimuri de protecţie, s-au obţinut următoarele valori:</w:t>
      </w: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a) intersecţie SCI cu SPA: 100,22</w:t>
      </w:r>
      <w:r w:rsidRPr="002F5025">
        <w:rPr>
          <w:rFonts w:ascii="Arial" w:eastAsia="SimSun" w:hAnsi="Arial" w:cs="Arial"/>
          <w:noProof/>
          <w:kern w:val="24"/>
          <w:sz w:val="24"/>
          <w:szCs w:val="24"/>
          <w:lang w:val="ro-RO" w:eastAsia="ro-RO"/>
        </w:rPr>
        <w:t xml:space="preserve"> km</w:t>
      </w:r>
      <w:r w:rsidRPr="002F5025">
        <w:rPr>
          <w:rFonts w:ascii="Arial" w:eastAsia="SimSun" w:hAnsi="Arial" w:cs="Arial"/>
          <w:noProof/>
          <w:kern w:val="24"/>
          <w:sz w:val="24"/>
          <w:szCs w:val="24"/>
          <w:vertAlign w:val="superscript"/>
          <w:lang w:val="ro-RO" w:eastAsia="ro-RO"/>
        </w:rPr>
        <w:t>2</w:t>
      </w:r>
      <w:r w:rsidRPr="002F5025">
        <w:rPr>
          <w:rFonts w:ascii="Arial" w:eastAsia="SimSun" w:hAnsi="Arial" w:cs="Arial"/>
          <w:noProof/>
          <w:kern w:val="24"/>
          <w:sz w:val="24"/>
          <w:szCs w:val="24"/>
          <w:lang w:val="ro-RO" w:eastAsia="zh-CN"/>
        </w:rPr>
        <w:t xml:space="preserve">, conform tabelului tabel </w:t>
      </w:r>
      <w:r w:rsidRPr="002F5025">
        <w:rPr>
          <w:rFonts w:ascii="Arial" w:eastAsiaTheme="minorHAnsi" w:hAnsi="Arial" w:cs="Arial"/>
          <w:lang w:val="ro-RO"/>
        </w:rPr>
        <w:t>V.2.1-4.</w:t>
      </w:r>
    </w:p>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b) intersecţie situri cu rezervaţii naturale: 20,53</w:t>
      </w:r>
      <w:r w:rsidRPr="002F5025">
        <w:rPr>
          <w:rFonts w:ascii="Arial" w:eastAsia="SimSun" w:hAnsi="Arial" w:cs="Arial"/>
          <w:noProof/>
          <w:kern w:val="24"/>
          <w:sz w:val="24"/>
          <w:szCs w:val="24"/>
          <w:lang w:val="ro-RO" w:eastAsia="ro-RO"/>
        </w:rPr>
        <w:t xml:space="preserve"> km</w:t>
      </w:r>
      <w:r w:rsidRPr="002F5025">
        <w:rPr>
          <w:rFonts w:ascii="Arial" w:eastAsia="SimSun" w:hAnsi="Arial" w:cs="Arial"/>
          <w:noProof/>
          <w:kern w:val="24"/>
          <w:sz w:val="24"/>
          <w:szCs w:val="24"/>
          <w:vertAlign w:val="superscript"/>
          <w:lang w:val="ro-RO" w:eastAsia="ro-RO"/>
        </w:rPr>
        <w:t>2</w:t>
      </w:r>
      <w:r w:rsidRPr="002F5025">
        <w:rPr>
          <w:rFonts w:ascii="Arial" w:eastAsia="SimSun" w:hAnsi="Arial" w:cs="Arial"/>
          <w:noProof/>
          <w:kern w:val="24"/>
          <w:sz w:val="24"/>
          <w:szCs w:val="24"/>
          <w:lang w:val="ro-RO" w:eastAsia="zh-CN"/>
        </w:rPr>
        <w:t xml:space="preserve">, conform tabelului  </w:t>
      </w:r>
      <w:r w:rsidRPr="002F5025">
        <w:rPr>
          <w:rFonts w:ascii="Arial" w:eastAsiaTheme="minorHAnsi" w:hAnsi="Arial" w:cs="Arial"/>
          <w:lang w:val="ro-RO"/>
        </w:rPr>
        <w:t>V.2.1-5.</w:t>
      </w:r>
    </w:p>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b/>
          <w:noProof/>
          <w:kern w:val="24"/>
          <w:sz w:val="24"/>
          <w:szCs w:val="24"/>
          <w:lang w:val="ro-RO" w:eastAsia="zh-CN"/>
        </w:rPr>
        <w:t xml:space="preserve">Tabel </w:t>
      </w:r>
      <w:r w:rsidRPr="002F5025">
        <w:rPr>
          <w:rFonts w:ascii="Arial" w:eastAsiaTheme="minorHAnsi" w:hAnsi="Arial" w:cs="Arial"/>
          <w:b/>
          <w:lang w:val="ro-RO"/>
        </w:rPr>
        <w:t>V.2.1-4.</w:t>
      </w:r>
      <w:r w:rsidRPr="002F5025">
        <w:rPr>
          <w:rFonts w:ascii="Arial" w:eastAsia="SimSun" w:hAnsi="Arial" w:cs="Arial"/>
          <w:noProof/>
          <w:kern w:val="24"/>
          <w:sz w:val="24"/>
          <w:szCs w:val="24"/>
          <w:lang w:val="ro-RO" w:eastAsia="zh-CN"/>
        </w:rPr>
        <w:t xml:space="preserve"> </w:t>
      </w:r>
      <w:r w:rsidRPr="002F5025">
        <w:rPr>
          <w:rFonts w:ascii="Arial" w:eastAsia="SimSun" w:hAnsi="Arial" w:cs="Arial"/>
          <w:b/>
          <w:noProof/>
          <w:kern w:val="24"/>
          <w:sz w:val="24"/>
          <w:szCs w:val="24"/>
          <w:lang w:val="ro-RO" w:eastAsia="zh-CN"/>
        </w:rPr>
        <w:t>Suprapuneri de situri Natura 2000</w:t>
      </w:r>
      <w:r w:rsidRPr="002F5025">
        <w:rPr>
          <w:rFonts w:ascii="Arial" w:eastAsia="SimSun" w:hAnsi="Arial" w:cs="Arial"/>
          <w:noProof/>
          <w:kern w:val="24"/>
          <w:sz w:val="24"/>
          <w:szCs w:val="24"/>
          <w:lang w:val="ro-RO" w:eastAsia="zh-CN"/>
        </w:rPr>
        <w:t xml:space="preserve"> </w:t>
      </w:r>
    </w:p>
    <w:tbl>
      <w:tblPr>
        <w:tblStyle w:val="MediumGrid1-Accent2"/>
        <w:tblW w:w="9498" w:type="dxa"/>
        <w:tblInd w:w="108" w:type="dxa"/>
        <w:tblLook w:val="01E0"/>
      </w:tblPr>
      <w:tblGrid>
        <w:gridCol w:w="840"/>
        <w:gridCol w:w="1817"/>
        <w:gridCol w:w="3703"/>
        <w:gridCol w:w="3138"/>
      </w:tblGrid>
      <w:tr w:rsidR="002F5025" w:rsidRPr="002F5025" w:rsidTr="00D92384">
        <w:trPr>
          <w:cnfStyle w:val="100000000000"/>
          <w:trHeight w:val="340"/>
        </w:trPr>
        <w:tc>
          <w:tcPr>
            <w:cnfStyle w:val="001000000000"/>
            <w:tcW w:w="840"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Nr crt</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Codul siturilor</w:t>
            </w:r>
          </w:p>
        </w:tc>
        <w:tc>
          <w:tcPr>
            <w:tcW w:w="3703" w:type="dxa"/>
          </w:tcPr>
          <w:p w:rsidR="002F5025" w:rsidRPr="002F5025" w:rsidRDefault="002F5025" w:rsidP="002F5025">
            <w:pPr>
              <w:spacing w:after="120" w:line="240" w:lineRule="auto"/>
              <w:cnfStyle w:val="1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Denumire situri</w:t>
            </w:r>
          </w:p>
        </w:tc>
        <w:tc>
          <w:tcPr>
            <w:cnfStyle w:val="000100000000"/>
            <w:tcW w:w="3138"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Suprafaţa suprapusă (</w:t>
            </w:r>
            <w:r w:rsidRPr="002F5025">
              <w:rPr>
                <w:rFonts w:ascii="Arial" w:eastAsia="SimSun" w:hAnsi="Arial" w:cs="Arial"/>
                <w:noProof/>
                <w:kern w:val="24"/>
                <w:sz w:val="24"/>
                <w:szCs w:val="24"/>
                <w:lang w:val="ro-RO" w:eastAsia="ro-RO"/>
              </w:rPr>
              <w:t>km</w:t>
            </w:r>
            <w:r w:rsidRPr="002F5025">
              <w:rPr>
                <w:rFonts w:ascii="Arial" w:eastAsia="SimSun" w:hAnsi="Arial" w:cs="Arial"/>
                <w:noProof/>
                <w:kern w:val="24"/>
                <w:sz w:val="24"/>
                <w:szCs w:val="24"/>
                <w:vertAlign w:val="superscript"/>
                <w:lang w:val="ro-RO" w:eastAsia="ro-RO"/>
              </w:rPr>
              <w:t>2</w:t>
            </w:r>
            <w:r w:rsidRPr="002F5025">
              <w:rPr>
                <w:rFonts w:ascii="Arial" w:eastAsia="SimSun" w:hAnsi="Arial" w:cs="Arial"/>
                <w:noProof/>
                <w:kern w:val="24"/>
                <w:sz w:val="24"/>
                <w:szCs w:val="24"/>
                <w:lang w:val="ro-RO" w:eastAsia="zh-CN"/>
              </w:rPr>
              <w:t>)</w:t>
            </w:r>
          </w:p>
        </w:tc>
      </w:tr>
      <w:tr w:rsidR="002F5025" w:rsidRPr="002F5025" w:rsidTr="00D92384">
        <w:trPr>
          <w:cnfStyle w:val="000000100000"/>
          <w:trHeight w:val="340"/>
        </w:trPr>
        <w:tc>
          <w:tcPr>
            <w:cnfStyle w:val="001000000000"/>
            <w:tcW w:w="840" w:type="dxa"/>
          </w:tcPr>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1</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 0259  ROSPA 0145</w:t>
            </w:r>
          </w:p>
          <w:p w:rsidR="002F5025" w:rsidRPr="002F5025" w:rsidRDefault="002F5025" w:rsidP="002F5025">
            <w:pPr>
              <w:spacing w:after="120" w:line="240" w:lineRule="auto"/>
              <w:rPr>
                <w:rFonts w:ascii="Arial" w:eastAsia="SimSun" w:hAnsi="Arial" w:cs="Arial"/>
                <w:noProof/>
                <w:kern w:val="24"/>
                <w:sz w:val="24"/>
                <w:szCs w:val="24"/>
                <w:lang w:val="ro-RO" w:eastAsia="zh-CN"/>
              </w:rPr>
            </w:pPr>
          </w:p>
        </w:tc>
        <w:tc>
          <w:tcPr>
            <w:tcW w:w="3703" w:type="dxa"/>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Valea Călmăţuiului</w:t>
            </w:r>
          </w:p>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Valea Călmăţuiului</w:t>
            </w:r>
          </w:p>
        </w:tc>
        <w:tc>
          <w:tcPr>
            <w:cnfStyle w:val="000100000000"/>
            <w:tcW w:w="3138" w:type="dxa"/>
          </w:tcPr>
          <w:p w:rsidR="002F5025" w:rsidRPr="002F5025" w:rsidRDefault="002F5025"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91,72</w:t>
            </w:r>
          </w:p>
        </w:tc>
      </w:tr>
      <w:tr w:rsidR="002F5025" w:rsidRPr="002F5025" w:rsidTr="00D92384">
        <w:trPr>
          <w:trHeight w:val="340"/>
        </w:trPr>
        <w:tc>
          <w:tcPr>
            <w:cnfStyle w:val="001000000000"/>
            <w:tcW w:w="840" w:type="dxa"/>
          </w:tcPr>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2</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 0004  ROSCI0005</w:t>
            </w:r>
          </w:p>
          <w:p w:rsidR="002F5025" w:rsidRPr="002F5025" w:rsidRDefault="002F5025" w:rsidP="002F5025">
            <w:pPr>
              <w:spacing w:after="120" w:line="240" w:lineRule="auto"/>
              <w:rPr>
                <w:rFonts w:ascii="Arial" w:eastAsia="SimSun" w:hAnsi="Arial" w:cs="Arial"/>
                <w:noProof/>
                <w:kern w:val="24"/>
                <w:sz w:val="24"/>
                <w:szCs w:val="24"/>
                <w:lang w:val="ro-RO" w:eastAsia="zh-CN"/>
              </w:rPr>
            </w:pPr>
          </w:p>
        </w:tc>
        <w:tc>
          <w:tcPr>
            <w:tcW w:w="3703" w:type="dxa"/>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Balta Albă Amara Jirlău</w:t>
            </w:r>
          </w:p>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Balta Albă Amara Jirlău Lacul Sărat Câineni</w:t>
            </w:r>
          </w:p>
        </w:tc>
        <w:tc>
          <w:tcPr>
            <w:cnfStyle w:val="000100000000"/>
            <w:tcW w:w="3138" w:type="dxa"/>
          </w:tcPr>
          <w:p w:rsidR="002F5025" w:rsidRPr="002F5025" w:rsidRDefault="002F5025"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8,45</w:t>
            </w:r>
          </w:p>
        </w:tc>
      </w:tr>
      <w:tr w:rsidR="002F5025" w:rsidRPr="002F5025" w:rsidTr="00D92384">
        <w:trPr>
          <w:cnfStyle w:val="000000100000"/>
          <w:trHeight w:val="340"/>
        </w:trPr>
        <w:tc>
          <w:tcPr>
            <w:cnfStyle w:val="001000000000"/>
            <w:tcW w:w="840"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 xml:space="preserve">3 </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ROSPA 0088</w:t>
            </w: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ROSCI0208</w:t>
            </w:r>
          </w:p>
        </w:tc>
        <w:tc>
          <w:tcPr>
            <w:tcW w:w="3703" w:type="dxa"/>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Munţii Vrancei</w:t>
            </w:r>
          </w:p>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Putna Vrancea</w:t>
            </w:r>
          </w:p>
        </w:tc>
        <w:tc>
          <w:tcPr>
            <w:cnfStyle w:val="000100000000"/>
            <w:tcW w:w="3138" w:type="dxa"/>
          </w:tcPr>
          <w:p w:rsidR="002F5025" w:rsidRPr="002F5025" w:rsidRDefault="002F5025" w:rsidP="002F5025">
            <w:pPr>
              <w:spacing w:after="120" w:line="240" w:lineRule="auto"/>
              <w:jc w:val="right"/>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0,05</w:t>
            </w:r>
          </w:p>
        </w:tc>
      </w:tr>
      <w:tr w:rsidR="002F5025" w:rsidRPr="002F5025" w:rsidTr="00D92384">
        <w:trPr>
          <w:cnfStyle w:val="010000000000"/>
          <w:trHeight w:val="340"/>
        </w:trPr>
        <w:tc>
          <w:tcPr>
            <w:cnfStyle w:val="001000000000"/>
            <w:tcW w:w="6360" w:type="dxa"/>
            <w:gridSpan w:val="3"/>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Total</w:t>
            </w:r>
          </w:p>
        </w:tc>
        <w:tc>
          <w:tcPr>
            <w:cnfStyle w:val="000100000000"/>
            <w:tcW w:w="3138" w:type="dxa"/>
          </w:tcPr>
          <w:p w:rsidR="002F5025" w:rsidRPr="002F5025" w:rsidRDefault="002F5025"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100,22</w:t>
            </w:r>
          </w:p>
        </w:tc>
      </w:tr>
    </w:tbl>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 xml:space="preserve">                                                                                                                                        </w:t>
      </w:r>
    </w:p>
    <w:p w:rsidR="002F5025" w:rsidRPr="002F5025" w:rsidRDefault="002F5025" w:rsidP="002F5025">
      <w:pPr>
        <w:spacing w:after="120" w:line="240" w:lineRule="auto"/>
        <w:jc w:val="both"/>
        <w:rPr>
          <w:rFonts w:ascii="Arial" w:eastAsia="SimSun" w:hAnsi="Arial" w:cs="Arial"/>
          <w:b/>
          <w:i/>
          <w:noProof/>
          <w:kern w:val="24"/>
          <w:sz w:val="24"/>
          <w:szCs w:val="24"/>
          <w:lang w:val="ro-RO" w:eastAsia="zh-CN"/>
        </w:rPr>
      </w:pPr>
      <w:r w:rsidRPr="002F5025">
        <w:rPr>
          <w:rFonts w:ascii="Arial" w:eastAsia="SimSun" w:hAnsi="Arial" w:cs="Arial"/>
          <w:b/>
          <w:noProof/>
          <w:kern w:val="24"/>
          <w:sz w:val="24"/>
          <w:szCs w:val="24"/>
          <w:lang w:val="ro-RO" w:eastAsia="zh-CN"/>
        </w:rPr>
        <w:lastRenderedPageBreak/>
        <w:t xml:space="preserve">Tabel </w:t>
      </w:r>
      <w:r w:rsidRPr="002F5025">
        <w:rPr>
          <w:rFonts w:ascii="Arial" w:eastAsiaTheme="minorHAnsi" w:hAnsi="Arial" w:cs="Arial"/>
          <w:b/>
          <w:lang w:val="ro-RO"/>
        </w:rPr>
        <w:t>V.2.1-5.</w:t>
      </w:r>
      <w:r w:rsidRPr="002F5025">
        <w:rPr>
          <w:rFonts w:ascii="Arial" w:eastAsia="SimSun" w:hAnsi="Arial" w:cs="Arial"/>
          <w:noProof/>
          <w:kern w:val="24"/>
          <w:sz w:val="24"/>
          <w:szCs w:val="24"/>
          <w:lang w:val="ro-RO" w:eastAsia="zh-CN"/>
        </w:rPr>
        <w:t xml:space="preserve"> </w:t>
      </w:r>
      <w:r w:rsidRPr="002F5025">
        <w:rPr>
          <w:rFonts w:ascii="Arial" w:eastAsia="SimSun" w:hAnsi="Arial" w:cs="Arial"/>
          <w:b/>
          <w:noProof/>
          <w:kern w:val="24"/>
          <w:sz w:val="24"/>
          <w:szCs w:val="24"/>
          <w:lang w:val="ro-RO" w:eastAsia="zh-CN"/>
        </w:rPr>
        <w:t xml:space="preserve">Suprapuneri de situri comunitare cu arii naturale protejate de interes naţional        </w:t>
      </w:r>
    </w:p>
    <w:tbl>
      <w:tblPr>
        <w:tblStyle w:val="MediumGrid1-Accent2"/>
        <w:tblW w:w="9498" w:type="dxa"/>
        <w:tblInd w:w="108" w:type="dxa"/>
        <w:tblLook w:val="01E0"/>
      </w:tblPr>
      <w:tblGrid>
        <w:gridCol w:w="840"/>
        <w:gridCol w:w="1817"/>
        <w:gridCol w:w="3703"/>
        <w:gridCol w:w="3138"/>
      </w:tblGrid>
      <w:tr w:rsidR="002F5025" w:rsidRPr="002F5025" w:rsidTr="00D92384">
        <w:trPr>
          <w:cnfStyle w:val="100000000000"/>
        </w:trPr>
        <w:tc>
          <w:tcPr>
            <w:cnfStyle w:val="001000000000"/>
            <w:tcW w:w="840"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Nr. crt.</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Codul  ariilor</w:t>
            </w:r>
          </w:p>
        </w:tc>
        <w:tc>
          <w:tcPr>
            <w:tcW w:w="3703" w:type="dxa"/>
          </w:tcPr>
          <w:p w:rsidR="002F5025" w:rsidRPr="002F5025" w:rsidRDefault="002F5025" w:rsidP="002F5025">
            <w:pPr>
              <w:spacing w:after="120" w:line="240" w:lineRule="auto"/>
              <w:cnfStyle w:val="1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Denumire arii</w:t>
            </w:r>
          </w:p>
        </w:tc>
        <w:tc>
          <w:tcPr>
            <w:cnfStyle w:val="000100000000"/>
            <w:tcW w:w="3138"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Suprafaţa suprapusă(</w:t>
            </w:r>
            <w:r w:rsidRPr="002F5025">
              <w:rPr>
                <w:rFonts w:ascii="Arial" w:eastAsia="SimSun" w:hAnsi="Arial" w:cs="Arial"/>
                <w:noProof/>
                <w:kern w:val="24"/>
                <w:sz w:val="24"/>
                <w:szCs w:val="24"/>
                <w:lang w:val="ro-RO" w:eastAsia="ro-RO"/>
              </w:rPr>
              <w:t>km</w:t>
            </w:r>
            <w:r w:rsidRPr="002F5025">
              <w:rPr>
                <w:rFonts w:ascii="Arial" w:eastAsia="SimSun" w:hAnsi="Arial" w:cs="Arial"/>
                <w:noProof/>
                <w:kern w:val="24"/>
                <w:sz w:val="24"/>
                <w:szCs w:val="24"/>
                <w:vertAlign w:val="superscript"/>
                <w:lang w:val="ro-RO" w:eastAsia="ro-RO"/>
              </w:rPr>
              <w:t>2</w:t>
            </w:r>
            <w:r w:rsidRPr="002F5025">
              <w:rPr>
                <w:rFonts w:ascii="Arial" w:eastAsia="SimSun" w:hAnsi="Arial" w:cs="Arial"/>
                <w:noProof/>
                <w:kern w:val="24"/>
                <w:sz w:val="24"/>
                <w:szCs w:val="24"/>
                <w:lang w:val="ro-RO" w:eastAsia="zh-CN"/>
              </w:rPr>
              <w:t>)</w:t>
            </w:r>
          </w:p>
        </w:tc>
      </w:tr>
      <w:tr w:rsidR="002F5025" w:rsidRPr="002F5025" w:rsidTr="00D92384">
        <w:trPr>
          <w:cnfStyle w:val="000000100000"/>
        </w:trPr>
        <w:tc>
          <w:tcPr>
            <w:cnfStyle w:val="001000000000"/>
            <w:tcW w:w="840" w:type="dxa"/>
          </w:tcPr>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1</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ROSCI0199</w:t>
            </w: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 xml:space="preserve"> RN cod 2.267</w:t>
            </w:r>
          </w:p>
          <w:p w:rsidR="002F5025" w:rsidRPr="002F5025" w:rsidRDefault="002F5025" w:rsidP="002F5025">
            <w:pPr>
              <w:spacing w:after="120" w:line="240" w:lineRule="auto"/>
              <w:rPr>
                <w:rFonts w:ascii="Arial" w:eastAsia="SimSun" w:hAnsi="Arial" w:cs="Arial"/>
                <w:noProof/>
                <w:kern w:val="24"/>
                <w:sz w:val="24"/>
                <w:szCs w:val="24"/>
                <w:lang w:val="ro-RO" w:eastAsia="zh-CN"/>
              </w:rPr>
            </w:pPr>
          </w:p>
        </w:tc>
        <w:tc>
          <w:tcPr>
            <w:tcW w:w="3703" w:type="dxa"/>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Platoul Meledic</w:t>
            </w:r>
          </w:p>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Platoul Meledic</w:t>
            </w:r>
          </w:p>
        </w:tc>
        <w:tc>
          <w:tcPr>
            <w:cnfStyle w:val="000100000000"/>
            <w:tcW w:w="3138" w:type="dxa"/>
          </w:tcPr>
          <w:p w:rsidR="002F5025" w:rsidRPr="002F5025" w:rsidRDefault="002F5025"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1,285</w:t>
            </w:r>
          </w:p>
        </w:tc>
      </w:tr>
      <w:tr w:rsidR="002F5025" w:rsidRPr="002F5025" w:rsidTr="00D92384">
        <w:tc>
          <w:tcPr>
            <w:cnfStyle w:val="001000000000"/>
            <w:tcW w:w="840" w:type="dxa"/>
          </w:tcPr>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2</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ROSCI0272</w:t>
            </w:r>
          </w:p>
          <w:p w:rsidR="002F5025" w:rsidRPr="002F5025" w:rsidRDefault="002F5025" w:rsidP="002F5025">
            <w:pPr>
              <w:spacing w:after="120" w:line="240" w:lineRule="auto"/>
              <w:rPr>
                <w:rFonts w:ascii="Arial" w:eastAsia="SimSun" w:hAnsi="Arial" w:cs="Arial"/>
                <w:noProof/>
                <w:kern w:val="24"/>
                <w:sz w:val="24"/>
                <w:szCs w:val="24"/>
                <w:lang w:val="ro-RO" w:eastAsia="zh-CN"/>
              </w:rPr>
            </w:pP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2.261</w:t>
            </w: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2.262</w:t>
            </w:r>
          </w:p>
          <w:p w:rsidR="002F5025" w:rsidRPr="002F5025" w:rsidRDefault="002F5025" w:rsidP="002F5025">
            <w:pPr>
              <w:spacing w:after="120" w:line="240" w:lineRule="auto"/>
              <w:rPr>
                <w:rFonts w:ascii="Arial" w:eastAsia="SimSun" w:hAnsi="Arial" w:cs="Arial"/>
                <w:noProof/>
                <w:kern w:val="24"/>
                <w:sz w:val="24"/>
                <w:szCs w:val="24"/>
                <w:lang w:val="ro-RO" w:eastAsia="zh-CN"/>
              </w:rPr>
            </w:pPr>
          </w:p>
        </w:tc>
        <w:tc>
          <w:tcPr>
            <w:tcW w:w="3703" w:type="dxa"/>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Vulcanii Noroioşi de la Pâclele Mari şi Pâcele Mici</w:t>
            </w:r>
          </w:p>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Vulcanii Noroioşi de la Pâclele Mari</w:t>
            </w:r>
          </w:p>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Vulcanii Noroioşi de la Pâclele Mici</w:t>
            </w:r>
          </w:p>
        </w:tc>
        <w:tc>
          <w:tcPr>
            <w:cnfStyle w:val="000100000000"/>
            <w:tcW w:w="3138" w:type="dxa"/>
          </w:tcPr>
          <w:p w:rsidR="002F5025" w:rsidRPr="002F5025" w:rsidRDefault="002F5025" w:rsidP="002F5025">
            <w:pPr>
              <w:spacing w:after="120" w:line="240" w:lineRule="auto"/>
              <w:jc w:val="right"/>
              <w:rPr>
                <w:rFonts w:ascii="Arial" w:eastAsia="SimSun" w:hAnsi="Arial" w:cs="Arial"/>
                <w:noProof/>
                <w:kern w:val="24"/>
                <w:sz w:val="24"/>
                <w:szCs w:val="24"/>
                <w:lang w:val="ro-RO" w:eastAsia="zh-CN"/>
              </w:rPr>
            </w:pPr>
          </w:p>
          <w:p w:rsidR="002F5025" w:rsidRPr="002F5025" w:rsidRDefault="002F5025" w:rsidP="002F5025">
            <w:pPr>
              <w:spacing w:after="120" w:line="240" w:lineRule="auto"/>
              <w:jc w:val="right"/>
              <w:rPr>
                <w:rFonts w:ascii="Arial" w:eastAsia="SimSun" w:hAnsi="Arial" w:cs="Arial"/>
                <w:noProof/>
                <w:kern w:val="24"/>
                <w:sz w:val="24"/>
                <w:szCs w:val="24"/>
                <w:lang w:val="ro-RO" w:eastAsia="zh-CN"/>
              </w:rPr>
            </w:pPr>
          </w:p>
          <w:p w:rsidR="002F5025" w:rsidRPr="002F5025" w:rsidRDefault="002F5025"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0,32</w:t>
            </w:r>
          </w:p>
        </w:tc>
      </w:tr>
      <w:tr w:rsidR="002F5025" w:rsidRPr="002F5025" w:rsidTr="00D92384">
        <w:trPr>
          <w:cnfStyle w:val="000000100000"/>
        </w:trPr>
        <w:tc>
          <w:tcPr>
            <w:cnfStyle w:val="001000000000"/>
            <w:tcW w:w="840" w:type="dxa"/>
          </w:tcPr>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3</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ROSCI0009</w:t>
            </w: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 xml:space="preserve">2.268 </w:t>
            </w:r>
          </w:p>
          <w:p w:rsidR="002F5025" w:rsidRPr="002F5025" w:rsidRDefault="002F5025" w:rsidP="002F5025">
            <w:pPr>
              <w:spacing w:after="120" w:line="240" w:lineRule="auto"/>
              <w:rPr>
                <w:rFonts w:ascii="Arial" w:eastAsia="SimSun" w:hAnsi="Arial" w:cs="Arial"/>
                <w:noProof/>
                <w:kern w:val="24"/>
                <w:sz w:val="24"/>
                <w:szCs w:val="24"/>
                <w:lang w:val="ro-RO" w:eastAsia="zh-CN"/>
              </w:rPr>
            </w:pPr>
          </w:p>
        </w:tc>
        <w:tc>
          <w:tcPr>
            <w:tcW w:w="3703" w:type="dxa"/>
          </w:tcPr>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Bisoca</w:t>
            </w:r>
          </w:p>
          <w:p w:rsidR="002F5025" w:rsidRPr="002F5025" w:rsidRDefault="002F5025" w:rsidP="002F5025">
            <w:pPr>
              <w:spacing w:after="12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Padurea  Lacurile- Bisoca</w:t>
            </w:r>
          </w:p>
          <w:p w:rsidR="002F5025" w:rsidRPr="002F5025" w:rsidRDefault="002F5025" w:rsidP="002F5025">
            <w:pPr>
              <w:spacing w:after="120" w:line="240" w:lineRule="auto"/>
              <w:cnfStyle w:val="000000100000"/>
              <w:rPr>
                <w:rFonts w:ascii="Arial" w:eastAsia="SimSun" w:hAnsi="Arial" w:cs="Arial"/>
                <w:noProof/>
                <w:kern w:val="24"/>
                <w:sz w:val="24"/>
                <w:szCs w:val="24"/>
                <w:lang w:val="ro-RO" w:eastAsia="zh-CN"/>
              </w:rPr>
            </w:pPr>
          </w:p>
        </w:tc>
        <w:tc>
          <w:tcPr>
            <w:cnfStyle w:val="000100000000"/>
            <w:tcW w:w="3138" w:type="dxa"/>
          </w:tcPr>
          <w:p w:rsidR="002F5025" w:rsidRPr="002F5025" w:rsidRDefault="002F5025"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0,10</w:t>
            </w:r>
          </w:p>
        </w:tc>
      </w:tr>
      <w:tr w:rsidR="002F5025" w:rsidRPr="002F5025" w:rsidTr="00D92384">
        <w:tc>
          <w:tcPr>
            <w:cnfStyle w:val="001000000000"/>
            <w:tcW w:w="840" w:type="dxa"/>
          </w:tcPr>
          <w:p w:rsidR="002F5025" w:rsidRPr="002F5025" w:rsidRDefault="002F5025" w:rsidP="002F5025">
            <w:pPr>
              <w:spacing w:after="12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4</w:t>
            </w:r>
          </w:p>
        </w:tc>
        <w:tc>
          <w:tcPr>
            <w:cnfStyle w:val="000010000000"/>
            <w:tcW w:w="1817" w:type="dxa"/>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ROSCI 0005</w:t>
            </w:r>
          </w:p>
          <w:p w:rsidR="002F5025" w:rsidRPr="002F5025" w:rsidRDefault="002F5025" w:rsidP="002F5025">
            <w:pPr>
              <w:spacing w:after="120" w:line="240" w:lineRule="auto"/>
              <w:rPr>
                <w:rFonts w:ascii="Arial" w:eastAsia="SimSun" w:hAnsi="Arial" w:cs="Arial"/>
                <w:noProof/>
                <w:kern w:val="24"/>
                <w:sz w:val="24"/>
                <w:szCs w:val="24"/>
                <w:lang w:val="ro-RO" w:eastAsia="zh-CN"/>
              </w:rPr>
            </w:pP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2.272</w:t>
            </w:r>
          </w:p>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2.271</w:t>
            </w:r>
          </w:p>
        </w:tc>
        <w:tc>
          <w:tcPr>
            <w:tcW w:w="3703" w:type="dxa"/>
          </w:tcPr>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Balta Albă Amara Jirlău Lacul Sărat Câineni</w:t>
            </w:r>
          </w:p>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Balta Amara</w:t>
            </w:r>
          </w:p>
          <w:p w:rsidR="002F5025" w:rsidRPr="002F5025" w:rsidRDefault="002F5025" w:rsidP="002F5025">
            <w:pPr>
              <w:spacing w:after="12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Balta Alba</w:t>
            </w:r>
          </w:p>
        </w:tc>
        <w:tc>
          <w:tcPr>
            <w:cnfStyle w:val="000100000000"/>
            <w:tcW w:w="3138" w:type="dxa"/>
          </w:tcPr>
          <w:p w:rsidR="002F5025" w:rsidRPr="002F5025" w:rsidRDefault="002F5025"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18,825</w:t>
            </w:r>
          </w:p>
        </w:tc>
      </w:tr>
      <w:tr w:rsidR="002F5025" w:rsidRPr="002F5025" w:rsidTr="00D92384">
        <w:trPr>
          <w:cnfStyle w:val="010000000000"/>
        </w:trPr>
        <w:tc>
          <w:tcPr>
            <w:cnfStyle w:val="001000000000"/>
            <w:tcW w:w="6360" w:type="dxa"/>
            <w:gridSpan w:val="3"/>
          </w:tcPr>
          <w:p w:rsidR="002F5025" w:rsidRPr="002F5025" w:rsidRDefault="002F5025" w:rsidP="002F5025">
            <w:pPr>
              <w:spacing w:after="12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Total</w:t>
            </w:r>
          </w:p>
        </w:tc>
        <w:tc>
          <w:tcPr>
            <w:cnfStyle w:val="000100000000"/>
            <w:tcW w:w="3138" w:type="dxa"/>
          </w:tcPr>
          <w:p w:rsidR="002F5025" w:rsidRPr="002F5025" w:rsidRDefault="00810D5B" w:rsidP="002F5025">
            <w:pPr>
              <w:spacing w:after="120" w:line="240" w:lineRule="auto"/>
              <w:jc w:val="right"/>
              <w:rPr>
                <w:rFonts w:ascii="Arial" w:eastAsia="SimSun" w:hAnsi="Arial" w:cs="Arial"/>
                <w:i/>
                <w:noProof/>
                <w:kern w:val="24"/>
                <w:sz w:val="24"/>
                <w:szCs w:val="24"/>
                <w:lang w:val="ro-RO" w:eastAsia="zh-CN"/>
              </w:rPr>
            </w:pPr>
            <w:r w:rsidRPr="002F5025">
              <w:rPr>
                <w:rFonts w:ascii="Arial" w:eastAsia="SimSun" w:hAnsi="Arial" w:cs="Arial"/>
                <w:i/>
                <w:noProof/>
                <w:kern w:val="24"/>
                <w:sz w:val="24"/>
                <w:szCs w:val="24"/>
                <w:lang w:val="ro-RO" w:eastAsia="zh-CN"/>
              </w:rPr>
              <w:fldChar w:fldCharType="begin"/>
            </w:r>
            <w:r w:rsidR="002F5025" w:rsidRPr="002F5025">
              <w:rPr>
                <w:rFonts w:ascii="Arial" w:eastAsia="SimSun" w:hAnsi="Arial" w:cs="Arial"/>
                <w:noProof/>
                <w:kern w:val="24"/>
                <w:sz w:val="24"/>
                <w:szCs w:val="24"/>
                <w:lang w:val="ro-RO" w:eastAsia="zh-CN"/>
              </w:rPr>
              <w:instrText xml:space="preserve"> =SUM(ABOVE) </w:instrText>
            </w:r>
            <w:r w:rsidRPr="002F5025">
              <w:rPr>
                <w:rFonts w:ascii="Arial" w:eastAsia="SimSun" w:hAnsi="Arial" w:cs="Arial"/>
                <w:i/>
                <w:noProof/>
                <w:kern w:val="24"/>
                <w:sz w:val="24"/>
                <w:szCs w:val="24"/>
                <w:lang w:val="ro-RO" w:eastAsia="zh-CN"/>
              </w:rPr>
              <w:fldChar w:fldCharType="separate"/>
            </w:r>
            <w:r w:rsidR="002F5025" w:rsidRPr="002F5025">
              <w:rPr>
                <w:rFonts w:ascii="Arial" w:eastAsia="SimSun" w:hAnsi="Arial" w:cs="Arial"/>
                <w:noProof/>
                <w:kern w:val="24"/>
                <w:sz w:val="24"/>
                <w:szCs w:val="24"/>
                <w:lang w:val="ro-RO" w:eastAsia="zh-CN"/>
              </w:rPr>
              <w:t>20,53</w:t>
            </w:r>
            <w:r w:rsidRPr="002F5025">
              <w:rPr>
                <w:rFonts w:ascii="Arial" w:eastAsia="SimSun" w:hAnsi="Arial" w:cs="Arial"/>
                <w:i/>
                <w:noProof/>
                <w:kern w:val="24"/>
                <w:sz w:val="24"/>
                <w:szCs w:val="24"/>
                <w:lang w:val="ro-RO" w:eastAsia="zh-CN"/>
              </w:rPr>
              <w:fldChar w:fldCharType="end"/>
            </w:r>
          </w:p>
        </w:tc>
      </w:tr>
    </w:tbl>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Arii protejate desemnate la nivel naţional</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Tipurile de arii de interes naţional din România</w:t>
      </w:r>
      <w:r w:rsidRPr="002F5025">
        <w:rPr>
          <w:rFonts w:ascii="Arial" w:eastAsiaTheme="minorHAnsi" w:hAnsi="Arial" w:cs="Arial"/>
          <w:i/>
          <w:color w:val="000000"/>
          <w:sz w:val="24"/>
          <w:szCs w:val="24"/>
          <w:lang w:val="ro-RO"/>
        </w:rPr>
        <w:t>:</w:t>
      </w:r>
      <w:r w:rsidRPr="002F5025">
        <w:rPr>
          <w:rFonts w:ascii="Arial" w:eastAsiaTheme="minorHAnsi" w:hAnsi="Arial" w:cs="Arial"/>
          <w:color w:val="000000"/>
          <w:sz w:val="24"/>
          <w:szCs w:val="24"/>
          <w:lang w:val="ro-RO"/>
        </w:rPr>
        <w:t xml:space="preserve">  rezervaţiile ştiinţifice (64), parcurile nationale(13), monumentele naturii(206), rezervaţii naturale(699), parcuri naturale(16).</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 xml:space="preserve">În judeţul Buzău există doar rezervaţii naturale şi monumente ale naturii, lista acestora este prezentată  în tabelul </w:t>
      </w:r>
      <w:r w:rsidRPr="002F5025">
        <w:rPr>
          <w:rFonts w:ascii="Arial" w:eastAsiaTheme="minorHAnsi" w:hAnsi="Arial" w:cs="Arial"/>
          <w:lang w:val="ro-RO"/>
        </w:rPr>
        <w:t>V.2.1-6.</w:t>
      </w:r>
      <w:r w:rsidRPr="002F5025">
        <w:rPr>
          <w:rFonts w:ascii="Arial" w:eastAsiaTheme="minorHAnsi" w:hAnsi="Arial" w:cs="Arial"/>
          <w:sz w:val="24"/>
          <w:szCs w:val="24"/>
          <w:lang w:val="ro-RO"/>
        </w:rPr>
        <w:t>.</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R</w:t>
      </w:r>
      <w:r w:rsidRPr="002F5025">
        <w:rPr>
          <w:rFonts w:ascii="Arial" w:eastAsiaTheme="minorHAnsi" w:hAnsi="Arial" w:cs="Arial"/>
          <w:bCs/>
          <w:sz w:val="24"/>
          <w:szCs w:val="24"/>
          <w:lang w:val="ro-RO"/>
        </w:rPr>
        <w:t>ezervaţiile naturale</w:t>
      </w:r>
      <w:r w:rsidRPr="002F5025">
        <w:rPr>
          <w:rFonts w:ascii="Arial" w:eastAsiaTheme="minorHAnsi" w:hAnsi="Arial" w:cs="Arial"/>
          <w:sz w:val="24"/>
          <w:szCs w:val="24"/>
          <w:lang w:val="ro-RO"/>
        </w:rPr>
        <w:t xml:space="preserve"> sunt acele arii naturale protejate al căror scop este protecţia şi conservarea unor habitate şi specii naturale importante sub aspect floristic, faunistic, forestier, hidrologic, geologic, speologic, paleontologic, pedologic. Mărimea lor este determinată de arealul necesar asigurării integrităţii elementelor protejate.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Managementul rezervaţiilor naturale se face diferenţiat, în funcţie de caracteristicile acestora, prin măsuri active de gospodărire pentru a asigura menţinerea habitatelor şi/sau în vederea protejării anumitor specii, grupuri de specii sau comunităţi biotice. Pe lângă activităţile ştiinţifice, după caz, pot fi admise activităţi turistice, educaţionale, organizate. Sunt admise unele activităţi de valorificare durabilă a unor resurse naturale. Sunt interzise folosinţe ale terenurilor sau exploatarea resurselor care dăunează obiectivelor atribuite.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Aceste rezervaţii corespund categoriei IV IUCN, şi anume arie de gestionare a habitatelor/speciilor; arie protejată administrată în special pentru conservare prin intervenţii de gospodărire.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Monumente ale naturii sunt acele arii naturale protejate al căror scop este protecţia şi conservarea unor elemente naturale cu valoare şi semnificaţie ecologică, ştiinţifică, peisagistică deosebite, reprezentate de specii de plante sau animale sălbatice rare, endemice sau ameninţate cu dispariţia, arbori seculari, asociaţii floristice şi faunistice, </w:t>
      </w:r>
      <w:r w:rsidRPr="002F5025">
        <w:rPr>
          <w:rFonts w:ascii="Arial" w:eastAsiaTheme="minorHAnsi" w:hAnsi="Arial" w:cs="Arial"/>
          <w:sz w:val="24"/>
          <w:szCs w:val="24"/>
          <w:lang w:val="ro-RO"/>
        </w:rPr>
        <w:lastRenderedPageBreak/>
        <w:t xml:space="preserve">fenomene geologice – peşteri, martori de eroziune, chei, cursuri de apă, cascade şi alte manifestări şi formaţiuni geologice, depozite fosilifere, precum şi alte elemente naturale cu valoare de patrimoniu natural prin unicitatea sau raritatea lor.  </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Ariile naturale protejate de interes naţipnal, desemnate prin Legea nr. 5/2000 sunt prezentate în tabelul V.2.1-6</w:t>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SimSun" w:hAnsi="Arial" w:cs="Arial"/>
          <w:b/>
          <w:noProof/>
          <w:kern w:val="24"/>
          <w:sz w:val="24"/>
          <w:szCs w:val="24"/>
          <w:lang w:val="ro-RO" w:eastAsia="zh-CN"/>
        </w:rPr>
        <w:t xml:space="preserve">Tabel </w:t>
      </w:r>
      <w:r w:rsidRPr="002F5025">
        <w:rPr>
          <w:rFonts w:ascii="Arial" w:eastAsiaTheme="minorHAnsi" w:hAnsi="Arial" w:cs="Arial"/>
          <w:b/>
          <w:lang w:val="ro-RO"/>
        </w:rPr>
        <w:t>V.2.1-6.</w:t>
      </w:r>
      <w:r w:rsidRPr="002F5025">
        <w:rPr>
          <w:rFonts w:ascii="Arial" w:eastAsiaTheme="minorHAnsi" w:hAnsi="Arial" w:cs="Arial"/>
          <w:sz w:val="24"/>
          <w:szCs w:val="24"/>
          <w:lang w:val="ro-RO"/>
        </w:rPr>
        <w:t xml:space="preserve"> </w:t>
      </w:r>
      <w:r w:rsidRPr="002F5025">
        <w:rPr>
          <w:rFonts w:ascii="Arial" w:eastAsiaTheme="minorHAnsi" w:hAnsi="Arial" w:cs="Arial"/>
          <w:b/>
          <w:sz w:val="24"/>
          <w:szCs w:val="24"/>
          <w:lang w:val="ro-RO"/>
        </w:rPr>
        <w:t xml:space="preserve">Lista ariilor naturale protejate de interes naţional din judeţul Buzău </w:t>
      </w:r>
    </w:p>
    <w:tbl>
      <w:tblPr>
        <w:tblStyle w:val="MediumGrid1-Accent2"/>
        <w:tblW w:w="4877" w:type="pct"/>
        <w:tblInd w:w="108" w:type="dxa"/>
        <w:tblLook w:val="04A0"/>
      </w:tblPr>
      <w:tblGrid>
        <w:gridCol w:w="669"/>
        <w:gridCol w:w="2901"/>
        <w:gridCol w:w="1307"/>
        <w:gridCol w:w="1676"/>
        <w:gridCol w:w="3059"/>
      </w:tblGrid>
      <w:tr w:rsidR="002F5025" w:rsidRPr="002F5025" w:rsidTr="00D92384">
        <w:trPr>
          <w:cnfStyle w:val="100000000000"/>
          <w:trHeight w:hRule="exact" w:val="1021"/>
        </w:trPr>
        <w:tc>
          <w:tcPr>
            <w:cnfStyle w:val="001000000000"/>
            <w:tcW w:w="348" w:type="pct"/>
          </w:tcPr>
          <w:p w:rsidR="002F5025" w:rsidRPr="002F5025" w:rsidRDefault="002F5025" w:rsidP="002F5025">
            <w:pPr>
              <w:spacing w:after="0" w:line="240" w:lineRule="auto"/>
              <w:rPr>
                <w:rFonts w:ascii="Arial" w:hAnsi="Arial" w:cs="Arial"/>
                <w:i/>
                <w:sz w:val="24"/>
                <w:szCs w:val="24"/>
                <w:lang w:val="ro-RO"/>
              </w:rPr>
            </w:pPr>
            <w:r w:rsidRPr="002F5025">
              <w:rPr>
                <w:rFonts w:ascii="Arial" w:hAnsi="Arial" w:cs="Arial"/>
                <w:sz w:val="24"/>
                <w:szCs w:val="24"/>
                <w:lang w:val="ro-RO"/>
              </w:rPr>
              <w:t>Nr. crt.</w:t>
            </w:r>
          </w:p>
        </w:tc>
        <w:tc>
          <w:tcPr>
            <w:tcW w:w="1509" w:type="pct"/>
          </w:tcPr>
          <w:p w:rsidR="002F5025" w:rsidRPr="002F5025" w:rsidRDefault="002F5025" w:rsidP="002F5025">
            <w:pPr>
              <w:spacing w:after="0" w:line="240" w:lineRule="auto"/>
              <w:cnfStyle w:val="100000000000"/>
              <w:rPr>
                <w:rFonts w:ascii="Arial" w:hAnsi="Arial" w:cs="Arial"/>
                <w:i/>
                <w:sz w:val="24"/>
                <w:szCs w:val="24"/>
                <w:lang w:val="ro-RO"/>
              </w:rPr>
            </w:pPr>
            <w:r w:rsidRPr="002F5025">
              <w:rPr>
                <w:rFonts w:ascii="Arial" w:hAnsi="Arial" w:cs="Arial"/>
                <w:sz w:val="24"/>
                <w:szCs w:val="24"/>
                <w:lang w:val="ro-RO"/>
              </w:rPr>
              <w:t>Denumire arie</w:t>
            </w:r>
          </w:p>
        </w:tc>
        <w:tc>
          <w:tcPr>
            <w:tcW w:w="680" w:type="pct"/>
          </w:tcPr>
          <w:p w:rsidR="002F5025" w:rsidRPr="002F5025" w:rsidRDefault="002F5025" w:rsidP="002F5025">
            <w:pPr>
              <w:spacing w:after="0" w:line="240" w:lineRule="auto"/>
              <w:cnfStyle w:val="100000000000"/>
              <w:rPr>
                <w:rFonts w:ascii="Arial" w:hAnsi="Arial" w:cs="Arial"/>
                <w:i/>
                <w:sz w:val="24"/>
                <w:szCs w:val="24"/>
                <w:lang w:val="ro-RO"/>
              </w:rPr>
            </w:pPr>
            <w:r w:rsidRPr="002F5025">
              <w:rPr>
                <w:rFonts w:ascii="Arial" w:hAnsi="Arial" w:cs="Arial"/>
                <w:sz w:val="24"/>
                <w:szCs w:val="24"/>
                <w:lang w:val="ro-RO"/>
              </w:rPr>
              <w:t>Actul de declarare</w:t>
            </w:r>
          </w:p>
        </w:tc>
        <w:tc>
          <w:tcPr>
            <w:tcW w:w="872" w:type="pct"/>
          </w:tcPr>
          <w:p w:rsidR="002F5025" w:rsidRPr="002F5025" w:rsidRDefault="002F5025" w:rsidP="002F5025">
            <w:pPr>
              <w:spacing w:after="0" w:line="240" w:lineRule="auto"/>
              <w:cnfStyle w:val="100000000000"/>
              <w:rPr>
                <w:rFonts w:ascii="Arial" w:hAnsi="Arial" w:cs="Arial"/>
                <w:i/>
                <w:sz w:val="24"/>
                <w:szCs w:val="24"/>
                <w:lang w:val="ro-RO"/>
              </w:rPr>
            </w:pPr>
            <w:r w:rsidRPr="002F5025">
              <w:rPr>
                <w:rFonts w:ascii="Arial" w:hAnsi="Arial" w:cs="Arial"/>
                <w:sz w:val="24"/>
                <w:szCs w:val="24"/>
                <w:lang w:val="ro-RO"/>
              </w:rPr>
              <w:t>Categoria ariei protejate</w:t>
            </w:r>
          </w:p>
        </w:tc>
        <w:tc>
          <w:tcPr>
            <w:tcW w:w="1591" w:type="pct"/>
          </w:tcPr>
          <w:p w:rsidR="002F5025" w:rsidRPr="002F5025" w:rsidRDefault="002F5025" w:rsidP="002F5025">
            <w:pPr>
              <w:spacing w:after="0" w:line="240" w:lineRule="auto"/>
              <w:cnfStyle w:val="100000000000"/>
              <w:rPr>
                <w:rFonts w:ascii="Arial" w:hAnsi="Arial" w:cs="Arial"/>
                <w:sz w:val="24"/>
                <w:szCs w:val="24"/>
                <w:lang w:val="ro-RO"/>
              </w:rPr>
            </w:pPr>
          </w:p>
          <w:p w:rsidR="002F5025" w:rsidRPr="002F5025" w:rsidRDefault="002F5025" w:rsidP="002F5025">
            <w:pPr>
              <w:spacing w:after="0" w:line="240" w:lineRule="auto"/>
              <w:cnfStyle w:val="100000000000"/>
              <w:rPr>
                <w:rFonts w:ascii="Arial" w:hAnsi="Arial" w:cs="Arial"/>
                <w:i/>
                <w:sz w:val="24"/>
                <w:szCs w:val="24"/>
                <w:lang w:val="ro-RO"/>
              </w:rPr>
            </w:pPr>
            <w:r w:rsidRPr="002F5025">
              <w:rPr>
                <w:rFonts w:ascii="Arial" w:hAnsi="Arial" w:cs="Arial"/>
                <w:sz w:val="24"/>
                <w:szCs w:val="24"/>
                <w:lang w:val="ro-RO"/>
              </w:rPr>
              <w:t>Suprafaţa (Km</w:t>
            </w:r>
            <w:r w:rsidRPr="002F5025">
              <w:rPr>
                <w:rFonts w:ascii="Arial" w:hAnsi="Arial" w:cs="Arial"/>
                <w:sz w:val="24"/>
                <w:szCs w:val="24"/>
                <w:vertAlign w:val="superscript"/>
                <w:lang w:val="ro-RO"/>
              </w:rPr>
              <w:t>2</w:t>
            </w:r>
            <w:r w:rsidRPr="002F5025">
              <w:rPr>
                <w:rFonts w:ascii="Arial" w:hAnsi="Arial" w:cs="Arial"/>
                <w:sz w:val="24"/>
                <w:szCs w:val="24"/>
                <w:lang w:val="ro-RO"/>
              </w:rPr>
              <w:t>)</w:t>
            </w:r>
          </w:p>
          <w:p w:rsidR="002F5025" w:rsidRPr="002F5025" w:rsidRDefault="002F5025" w:rsidP="002F5025">
            <w:pPr>
              <w:spacing w:after="0" w:line="240" w:lineRule="auto"/>
              <w:cnfStyle w:val="100000000000"/>
              <w:rPr>
                <w:rFonts w:ascii="Arial" w:hAnsi="Arial" w:cs="Arial"/>
                <w:sz w:val="24"/>
                <w:szCs w:val="24"/>
                <w:lang w:val="ro-RO"/>
              </w:rPr>
            </w:pPr>
          </w:p>
          <w:p w:rsidR="002F5025" w:rsidRPr="002F5025" w:rsidRDefault="002F5025" w:rsidP="002F5025">
            <w:pPr>
              <w:spacing w:after="0" w:line="240" w:lineRule="auto"/>
              <w:cnfStyle w:val="100000000000"/>
              <w:rPr>
                <w:rFonts w:ascii="Arial" w:hAnsi="Arial" w:cs="Arial"/>
                <w:sz w:val="24"/>
                <w:szCs w:val="24"/>
                <w:lang w:val="ro-RO"/>
              </w:rPr>
            </w:pPr>
          </w:p>
        </w:tc>
      </w:tr>
      <w:tr w:rsidR="002F5025" w:rsidRPr="002F5025" w:rsidTr="00D92384">
        <w:trPr>
          <w:cnfStyle w:val="000000100000"/>
          <w:trHeight w:hRule="exact" w:val="1184"/>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1</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Vulcanii Noroioşi Pâclele Mari</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declarata=15,2</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2004=18,8</w:t>
            </w:r>
          </w:p>
        </w:tc>
      </w:tr>
      <w:tr w:rsidR="002F5025" w:rsidRPr="002F5025" w:rsidTr="00D92384">
        <w:trPr>
          <w:trHeight w:hRule="exact" w:val="1142"/>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w:t>
            </w:r>
          </w:p>
        </w:tc>
        <w:tc>
          <w:tcPr>
            <w:tcW w:w="1509"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Vulcanii Noroioşi Pâclele Mici</w:t>
            </w:r>
          </w:p>
        </w:tc>
        <w:tc>
          <w:tcPr>
            <w:tcW w:w="680"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declarată=10,2</w:t>
            </w:r>
          </w:p>
          <w:p w:rsidR="002F5025" w:rsidRPr="002F5025" w:rsidRDefault="002F5025" w:rsidP="002F5025">
            <w:pPr>
              <w:spacing w:after="0" w:line="240" w:lineRule="auto"/>
              <w:cnfStyle w:val="000000000000"/>
              <w:rPr>
                <w:rFonts w:ascii="Arial" w:hAnsi="Arial" w:cs="Arial"/>
                <w:b/>
                <w:i/>
                <w:sz w:val="24"/>
                <w:szCs w:val="24"/>
                <w:lang w:val="ro-RO"/>
              </w:rPr>
            </w:pPr>
            <w:r w:rsidRPr="002F5025">
              <w:rPr>
                <w:rFonts w:ascii="Arial" w:hAnsi="Arial" w:cs="Arial"/>
                <w:sz w:val="24"/>
                <w:szCs w:val="24"/>
                <w:lang w:val="ro-RO"/>
              </w:rPr>
              <w:t>Suprafaţa vectorizată în 2004=13,2</w:t>
            </w:r>
          </w:p>
        </w:tc>
      </w:tr>
      <w:tr w:rsidR="002F5025" w:rsidRPr="002F5025" w:rsidTr="00D92384">
        <w:trPr>
          <w:cnfStyle w:val="000000100000"/>
          <w:trHeight w:hRule="exact" w:val="1228"/>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3</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Sarea lui Buzău</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Monument al naturii</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declarata=0,008</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2004=0,0177</w:t>
            </w:r>
          </w:p>
        </w:tc>
      </w:tr>
      <w:tr w:rsidR="002F5025" w:rsidRPr="002F5025" w:rsidTr="00D92384">
        <w:trPr>
          <w:trHeight w:hRule="exact" w:val="1132"/>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4</w:t>
            </w:r>
          </w:p>
        </w:tc>
        <w:tc>
          <w:tcPr>
            <w:tcW w:w="1509"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Blocurile de calcar de la Bădila</w:t>
            </w:r>
          </w:p>
        </w:tc>
        <w:tc>
          <w:tcPr>
            <w:tcW w:w="680"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declarata=0,01</w:t>
            </w:r>
          </w:p>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vectorizată în 2004=0,03</w:t>
            </w:r>
          </w:p>
        </w:tc>
      </w:tr>
      <w:tr w:rsidR="002F5025" w:rsidRPr="002F5025" w:rsidTr="00D92384">
        <w:trPr>
          <w:cnfStyle w:val="000000100000"/>
          <w:trHeight w:hRule="exact" w:val="1246"/>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5</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Pădurea Crivineni</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declarata=0,141</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2004=0,15</w:t>
            </w:r>
          </w:p>
        </w:tc>
      </w:tr>
      <w:tr w:rsidR="002F5025" w:rsidRPr="002F5025" w:rsidTr="00D92384">
        <w:trPr>
          <w:trHeight w:hRule="exact" w:val="1166"/>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6</w:t>
            </w:r>
          </w:p>
        </w:tc>
        <w:tc>
          <w:tcPr>
            <w:tcW w:w="1509"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Pădurea Brădeanu</w:t>
            </w:r>
          </w:p>
        </w:tc>
        <w:tc>
          <w:tcPr>
            <w:tcW w:w="680"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declarata=0,058</w:t>
            </w:r>
          </w:p>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vectorizată în 2004=0,058</w:t>
            </w:r>
          </w:p>
        </w:tc>
      </w:tr>
      <w:tr w:rsidR="002F5025" w:rsidRPr="002F5025" w:rsidTr="00D92384">
        <w:trPr>
          <w:cnfStyle w:val="000000100000"/>
          <w:trHeight w:hRule="exact" w:val="1113"/>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7</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Platoul Meledic</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declarata=0,675</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2004=1,567</w:t>
            </w:r>
          </w:p>
        </w:tc>
      </w:tr>
      <w:tr w:rsidR="002F5025" w:rsidRPr="002F5025" w:rsidTr="00D92384">
        <w:trPr>
          <w:trHeight w:hRule="exact" w:val="1129"/>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8</w:t>
            </w:r>
          </w:p>
        </w:tc>
        <w:tc>
          <w:tcPr>
            <w:tcW w:w="1509"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Pădurea „Lacurile Bisoca”</w:t>
            </w:r>
          </w:p>
        </w:tc>
        <w:tc>
          <w:tcPr>
            <w:tcW w:w="680"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declarata=0,10</w:t>
            </w:r>
          </w:p>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vectorizată în 2004=0,10</w:t>
            </w:r>
          </w:p>
        </w:tc>
      </w:tr>
      <w:tr w:rsidR="002F5025" w:rsidRPr="002F5025" w:rsidTr="00D92384">
        <w:trPr>
          <w:cnfStyle w:val="000000100000"/>
          <w:trHeight w:hRule="exact" w:val="1131"/>
        </w:trPr>
        <w:tc>
          <w:tcPr>
            <w:cnfStyle w:val="001000000000"/>
            <w:tcW w:w="348" w:type="pct"/>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9</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Dealul cu Lilieci Cernăteşti</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declarata=0,03</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2004=0,106</w:t>
            </w:r>
          </w:p>
        </w:tc>
      </w:tr>
      <w:tr w:rsidR="002F5025" w:rsidRPr="002F5025" w:rsidTr="00D92384">
        <w:trPr>
          <w:trHeight w:hRule="exact" w:val="1133"/>
        </w:trPr>
        <w:tc>
          <w:tcPr>
            <w:cnfStyle w:val="001000000000"/>
            <w:tcW w:w="348" w:type="pct"/>
          </w:tcPr>
          <w:p w:rsidR="002F5025" w:rsidRPr="002F5025" w:rsidRDefault="002F5025" w:rsidP="002F5025">
            <w:pPr>
              <w:spacing w:after="0" w:line="240" w:lineRule="auto"/>
              <w:rPr>
                <w:rFonts w:ascii="Arial" w:hAnsi="Arial" w:cs="Arial"/>
                <w:i/>
                <w:sz w:val="24"/>
                <w:szCs w:val="24"/>
                <w:lang w:val="ro-RO"/>
              </w:rPr>
            </w:pPr>
            <w:r w:rsidRPr="002F5025">
              <w:rPr>
                <w:rFonts w:ascii="Arial" w:hAnsi="Arial" w:cs="Arial"/>
                <w:sz w:val="24"/>
                <w:szCs w:val="24"/>
                <w:lang w:val="ro-RO"/>
              </w:rPr>
              <w:t>10</w:t>
            </w:r>
          </w:p>
        </w:tc>
        <w:tc>
          <w:tcPr>
            <w:tcW w:w="1509"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Pădurea cu tisă</w:t>
            </w:r>
          </w:p>
        </w:tc>
        <w:tc>
          <w:tcPr>
            <w:tcW w:w="680"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declarata=1,50</w:t>
            </w:r>
          </w:p>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vectorizată în 2004=1,968</w:t>
            </w:r>
          </w:p>
        </w:tc>
      </w:tr>
      <w:tr w:rsidR="002F5025" w:rsidRPr="002F5025" w:rsidTr="00D92384">
        <w:trPr>
          <w:cnfStyle w:val="000000100000"/>
          <w:trHeight w:hRule="exact" w:val="1021"/>
        </w:trPr>
        <w:tc>
          <w:tcPr>
            <w:cnfStyle w:val="001000000000"/>
            <w:tcW w:w="348" w:type="pct"/>
          </w:tcPr>
          <w:p w:rsidR="002F5025" w:rsidRPr="002F5025" w:rsidRDefault="002F5025" w:rsidP="002F5025">
            <w:pPr>
              <w:spacing w:after="0" w:line="240" w:lineRule="auto"/>
              <w:rPr>
                <w:rFonts w:ascii="Arial" w:hAnsi="Arial" w:cs="Arial"/>
                <w:i/>
                <w:sz w:val="24"/>
                <w:szCs w:val="24"/>
                <w:lang w:val="ro-RO"/>
              </w:rPr>
            </w:pPr>
            <w:r w:rsidRPr="002F5025">
              <w:rPr>
                <w:rFonts w:ascii="Arial" w:hAnsi="Arial" w:cs="Arial"/>
                <w:sz w:val="24"/>
                <w:szCs w:val="24"/>
                <w:lang w:val="ro-RO"/>
              </w:rPr>
              <w:lastRenderedPageBreak/>
              <w:t>11</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Balta Albă</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declarata=6</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2004=11,67</w:t>
            </w:r>
          </w:p>
        </w:tc>
      </w:tr>
      <w:tr w:rsidR="002F5025" w:rsidRPr="002F5025" w:rsidTr="00D92384">
        <w:trPr>
          <w:trHeight w:hRule="exact" w:val="1136"/>
        </w:trPr>
        <w:tc>
          <w:tcPr>
            <w:cnfStyle w:val="001000000000"/>
            <w:tcW w:w="348" w:type="pct"/>
          </w:tcPr>
          <w:p w:rsidR="002F5025" w:rsidRPr="002F5025" w:rsidRDefault="002F5025" w:rsidP="002F5025">
            <w:pPr>
              <w:spacing w:after="0" w:line="240" w:lineRule="auto"/>
              <w:rPr>
                <w:rFonts w:ascii="Arial" w:hAnsi="Arial" w:cs="Arial"/>
                <w:i/>
                <w:sz w:val="24"/>
                <w:szCs w:val="24"/>
                <w:lang w:val="ro-RO"/>
              </w:rPr>
            </w:pPr>
            <w:r w:rsidRPr="002F5025">
              <w:rPr>
                <w:rFonts w:ascii="Arial" w:hAnsi="Arial" w:cs="Arial"/>
                <w:sz w:val="24"/>
                <w:szCs w:val="24"/>
                <w:lang w:val="ro-RO"/>
              </w:rPr>
              <w:t>12</w:t>
            </w:r>
          </w:p>
        </w:tc>
        <w:tc>
          <w:tcPr>
            <w:tcW w:w="1509"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Balta Amară</w:t>
            </w:r>
          </w:p>
        </w:tc>
        <w:tc>
          <w:tcPr>
            <w:tcW w:w="680"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declarata=9,00</w:t>
            </w:r>
          </w:p>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vectorizată în 2004=8,138</w:t>
            </w:r>
          </w:p>
        </w:tc>
      </w:tr>
      <w:tr w:rsidR="002F5025" w:rsidRPr="002F5025" w:rsidTr="00D92384">
        <w:trPr>
          <w:cnfStyle w:val="000000100000"/>
          <w:trHeight w:hRule="exact" w:val="1123"/>
        </w:trPr>
        <w:tc>
          <w:tcPr>
            <w:cnfStyle w:val="001000000000"/>
            <w:tcW w:w="348" w:type="pct"/>
          </w:tcPr>
          <w:p w:rsidR="002F5025" w:rsidRPr="002F5025" w:rsidRDefault="002F5025" w:rsidP="002F5025">
            <w:pPr>
              <w:spacing w:after="0" w:line="240" w:lineRule="auto"/>
              <w:rPr>
                <w:rFonts w:ascii="Arial" w:hAnsi="Arial" w:cs="Arial"/>
                <w:i/>
                <w:sz w:val="24"/>
                <w:szCs w:val="24"/>
                <w:lang w:val="ro-RO"/>
              </w:rPr>
            </w:pPr>
            <w:r w:rsidRPr="002F5025">
              <w:rPr>
                <w:rFonts w:ascii="Arial" w:hAnsi="Arial" w:cs="Arial"/>
                <w:sz w:val="24"/>
                <w:szCs w:val="24"/>
                <w:lang w:val="ro-RO"/>
              </w:rPr>
              <w:t>13</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Focul Viu – Lopătari</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Monument al naturii</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declarata=0,003</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2004=0,0025</w:t>
            </w:r>
          </w:p>
        </w:tc>
      </w:tr>
      <w:tr w:rsidR="002F5025" w:rsidRPr="002F5025" w:rsidTr="00D92384">
        <w:trPr>
          <w:trHeight w:hRule="exact" w:val="1139"/>
        </w:trPr>
        <w:tc>
          <w:tcPr>
            <w:cnfStyle w:val="001000000000"/>
            <w:tcW w:w="348" w:type="pct"/>
          </w:tcPr>
          <w:p w:rsidR="002F5025" w:rsidRPr="002F5025" w:rsidRDefault="002F5025" w:rsidP="002F5025">
            <w:pPr>
              <w:spacing w:after="0" w:line="240" w:lineRule="auto"/>
              <w:rPr>
                <w:rFonts w:ascii="Arial" w:hAnsi="Arial" w:cs="Arial"/>
                <w:i/>
                <w:sz w:val="24"/>
                <w:szCs w:val="24"/>
                <w:lang w:val="ro-RO"/>
              </w:rPr>
            </w:pPr>
            <w:r w:rsidRPr="002F5025">
              <w:rPr>
                <w:rFonts w:ascii="Arial" w:hAnsi="Arial" w:cs="Arial"/>
                <w:sz w:val="24"/>
                <w:szCs w:val="24"/>
                <w:lang w:val="ro-RO"/>
              </w:rPr>
              <w:t>14</w:t>
            </w:r>
          </w:p>
        </w:tc>
        <w:tc>
          <w:tcPr>
            <w:tcW w:w="1509"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Piatra Albă „La Grunj”</w:t>
            </w:r>
          </w:p>
        </w:tc>
        <w:tc>
          <w:tcPr>
            <w:tcW w:w="680"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Monument al naturii</w:t>
            </w:r>
          </w:p>
        </w:tc>
        <w:tc>
          <w:tcPr>
            <w:tcW w:w="1591" w:type="pct"/>
          </w:tcPr>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declarata=0,00025</w:t>
            </w:r>
          </w:p>
          <w:p w:rsidR="002F5025" w:rsidRPr="002F5025" w:rsidRDefault="002F5025" w:rsidP="002F5025">
            <w:pPr>
              <w:spacing w:after="0" w:line="240" w:lineRule="auto"/>
              <w:cnfStyle w:val="000000000000"/>
              <w:rPr>
                <w:rFonts w:ascii="Arial" w:hAnsi="Arial" w:cs="Arial"/>
                <w:i/>
                <w:sz w:val="24"/>
                <w:szCs w:val="24"/>
                <w:lang w:val="ro-RO"/>
              </w:rPr>
            </w:pPr>
            <w:r w:rsidRPr="002F5025">
              <w:rPr>
                <w:rFonts w:ascii="Arial" w:hAnsi="Arial" w:cs="Arial"/>
                <w:sz w:val="24"/>
                <w:szCs w:val="24"/>
                <w:lang w:val="ro-RO"/>
              </w:rPr>
              <w:t>Suprafaţa vectorizată în 2004=0,00025</w:t>
            </w:r>
          </w:p>
        </w:tc>
      </w:tr>
      <w:tr w:rsidR="002F5025" w:rsidRPr="002F5025" w:rsidTr="00D92384">
        <w:trPr>
          <w:cnfStyle w:val="000000100000"/>
          <w:trHeight w:hRule="exact" w:val="1283"/>
        </w:trPr>
        <w:tc>
          <w:tcPr>
            <w:cnfStyle w:val="001000000000"/>
            <w:tcW w:w="348" w:type="pct"/>
          </w:tcPr>
          <w:p w:rsidR="002F5025" w:rsidRPr="002F5025" w:rsidRDefault="002F5025" w:rsidP="002F5025">
            <w:pPr>
              <w:spacing w:after="0" w:line="240" w:lineRule="auto"/>
              <w:rPr>
                <w:rFonts w:ascii="Arial" w:hAnsi="Arial" w:cs="Arial"/>
                <w:i/>
                <w:sz w:val="24"/>
                <w:szCs w:val="24"/>
                <w:lang w:val="ro-RO"/>
              </w:rPr>
            </w:pPr>
            <w:r w:rsidRPr="002F5025">
              <w:rPr>
                <w:rFonts w:ascii="Arial" w:hAnsi="Arial" w:cs="Arial"/>
                <w:sz w:val="24"/>
                <w:szCs w:val="24"/>
                <w:lang w:val="ro-RO"/>
              </w:rPr>
              <w:t>15</w:t>
            </w:r>
          </w:p>
        </w:tc>
        <w:tc>
          <w:tcPr>
            <w:tcW w:w="1509"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Chihlimbarul de Buzău</w:t>
            </w:r>
          </w:p>
        </w:tc>
        <w:tc>
          <w:tcPr>
            <w:tcW w:w="680"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Legea 5/2000</w:t>
            </w:r>
          </w:p>
        </w:tc>
        <w:tc>
          <w:tcPr>
            <w:tcW w:w="872"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Rezervaţie naturală</w:t>
            </w:r>
          </w:p>
        </w:tc>
        <w:tc>
          <w:tcPr>
            <w:tcW w:w="1591" w:type="pct"/>
          </w:tcPr>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declarata=0,0252</w:t>
            </w:r>
          </w:p>
          <w:p w:rsidR="002F5025" w:rsidRPr="002F5025" w:rsidRDefault="002F5025" w:rsidP="002F5025">
            <w:pPr>
              <w:spacing w:after="0" w:line="240" w:lineRule="auto"/>
              <w:cnfStyle w:val="000000100000"/>
              <w:rPr>
                <w:rFonts w:ascii="Arial" w:hAnsi="Arial" w:cs="Arial"/>
                <w:i/>
                <w:sz w:val="24"/>
                <w:szCs w:val="24"/>
                <w:lang w:val="ro-RO"/>
              </w:rPr>
            </w:pPr>
            <w:r w:rsidRPr="002F5025">
              <w:rPr>
                <w:rFonts w:ascii="Arial" w:hAnsi="Arial" w:cs="Arial"/>
                <w:sz w:val="24"/>
                <w:szCs w:val="24"/>
                <w:lang w:val="ro-RO"/>
              </w:rPr>
              <w:t>Suprafaţa vectorizată în 2004=0,0223</w:t>
            </w:r>
          </w:p>
        </w:tc>
      </w:tr>
      <w:tr w:rsidR="002F5025" w:rsidRPr="002F5025" w:rsidTr="00D92384">
        <w:trPr>
          <w:trHeight w:hRule="exact" w:val="415"/>
        </w:trPr>
        <w:tc>
          <w:tcPr>
            <w:cnfStyle w:val="001000000000"/>
            <w:tcW w:w="3409" w:type="pct"/>
            <w:gridSpan w:val="4"/>
          </w:tcPr>
          <w:p w:rsidR="002F5025" w:rsidRPr="002F5025" w:rsidRDefault="002F5025" w:rsidP="002F5025">
            <w:pPr>
              <w:spacing w:after="0" w:line="240" w:lineRule="auto"/>
              <w:jc w:val="center"/>
              <w:rPr>
                <w:rFonts w:ascii="Arial" w:hAnsi="Arial" w:cs="Arial"/>
                <w:sz w:val="24"/>
                <w:szCs w:val="24"/>
                <w:lang w:val="ro-RO"/>
              </w:rPr>
            </w:pPr>
            <w:r w:rsidRPr="002F5025">
              <w:rPr>
                <w:rFonts w:ascii="Arial" w:hAnsi="Arial" w:cs="Arial"/>
                <w:sz w:val="24"/>
                <w:szCs w:val="24"/>
                <w:lang w:val="ro-RO"/>
              </w:rPr>
              <w:t>Total</w:t>
            </w:r>
          </w:p>
        </w:tc>
        <w:tc>
          <w:tcPr>
            <w:tcW w:w="1591" w:type="pct"/>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b/>
                <w:sz w:val="24"/>
                <w:szCs w:val="24"/>
                <w:lang w:val="ro-RO"/>
              </w:rPr>
              <w:t xml:space="preserve"> 24,198</w:t>
            </w:r>
          </w:p>
        </w:tc>
      </w:tr>
    </w:tbl>
    <w:p w:rsidR="002F5025" w:rsidRPr="002F5025" w:rsidRDefault="002F5025" w:rsidP="002F5025">
      <w:pPr>
        <w:spacing w:before="120"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În afara acestora, în anul 1995, în baza unei Hotărâri a Consiliului Judeţean Buzău au fost desemnate arii naturale protejate de interes judeţean, care sunt prezentate în tabelul</w:t>
      </w:r>
      <w:r w:rsidRPr="002F5025">
        <w:rPr>
          <w:rFonts w:ascii="Arial" w:eastAsiaTheme="minorHAnsi" w:hAnsi="Arial" w:cs="Arial"/>
          <w:b/>
          <w:sz w:val="24"/>
          <w:szCs w:val="24"/>
          <w:lang w:val="ro-RO"/>
        </w:rPr>
        <w:t xml:space="preserve"> </w:t>
      </w:r>
      <w:r w:rsidRPr="002F5025">
        <w:rPr>
          <w:rFonts w:ascii="Arial" w:eastAsiaTheme="minorHAnsi" w:hAnsi="Arial" w:cs="Arial"/>
          <w:sz w:val="24"/>
          <w:szCs w:val="24"/>
          <w:lang w:val="ro-RO"/>
        </w:rPr>
        <w:t>V.2.1-7.</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Tabel V.2.1-7. Arii naturale protejate de interes judeţean</w:t>
      </w:r>
    </w:p>
    <w:tbl>
      <w:tblPr>
        <w:tblStyle w:val="MediumGrid1-Accent2"/>
        <w:tblW w:w="9498" w:type="dxa"/>
        <w:tblInd w:w="108" w:type="dxa"/>
        <w:tblLook w:val="00BF"/>
      </w:tblPr>
      <w:tblGrid>
        <w:gridCol w:w="743"/>
        <w:gridCol w:w="2943"/>
        <w:gridCol w:w="2976"/>
        <w:gridCol w:w="1386"/>
        <w:gridCol w:w="1450"/>
      </w:tblGrid>
      <w:tr w:rsidR="002F5025" w:rsidRPr="002F5025" w:rsidTr="00D92384">
        <w:trPr>
          <w:cnfStyle w:val="100000000000"/>
          <w:trHeight w:val="558"/>
        </w:trPr>
        <w:tc>
          <w:tcPr>
            <w:cnfStyle w:val="001000000000"/>
            <w:tcW w:w="7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Nr. crt.</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Denumirea zonei</w:t>
            </w:r>
          </w:p>
        </w:tc>
        <w:tc>
          <w:tcPr>
            <w:tcW w:w="2976" w:type="dxa"/>
          </w:tcPr>
          <w:p w:rsidR="002F5025" w:rsidRPr="002F5025" w:rsidRDefault="002F5025" w:rsidP="002F5025">
            <w:pPr>
              <w:spacing w:after="0" w:line="240" w:lineRule="auto"/>
              <w:cnfStyle w:val="1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Localizare</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Suprafaţa</w:t>
            </w:r>
          </w:p>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(km</w:t>
            </w:r>
            <w:r w:rsidRPr="002F5025">
              <w:rPr>
                <w:rFonts w:ascii="Arial" w:eastAsia="SimSun" w:hAnsi="Arial" w:cs="Arial"/>
                <w:noProof/>
                <w:kern w:val="24"/>
                <w:sz w:val="24"/>
                <w:szCs w:val="24"/>
                <w:vertAlign w:val="superscript"/>
                <w:lang w:val="ro-RO" w:eastAsia="zh-CN"/>
              </w:rPr>
              <w:t>2</w:t>
            </w:r>
            <w:r w:rsidRPr="002F5025">
              <w:rPr>
                <w:rFonts w:ascii="Arial" w:eastAsia="SimSun" w:hAnsi="Arial" w:cs="Arial"/>
                <w:noProof/>
                <w:kern w:val="24"/>
                <w:sz w:val="24"/>
                <w:szCs w:val="24"/>
                <w:lang w:val="ro-RO" w:eastAsia="zh-CN"/>
              </w:rPr>
              <w:t>)</w:t>
            </w:r>
          </w:p>
        </w:tc>
        <w:tc>
          <w:tcPr>
            <w:tcW w:w="1450" w:type="dxa"/>
          </w:tcPr>
          <w:p w:rsidR="002F5025" w:rsidRPr="002F5025" w:rsidRDefault="002F5025" w:rsidP="002F5025">
            <w:pPr>
              <w:spacing w:after="0" w:line="240" w:lineRule="auto"/>
              <w:cnfStyle w:val="1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Anul declarării</w:t>
            </w:r>
          </w:p>
        </w:tc>
      </w:tr>
      <w:tr w:rsidR="002F5025" w:rsidRPr="002F5025" w:rsidTr="00D92384">
        <w:trPr>
          <w:cnfStyle w:val="000000100000"/>
          <w:trHeight w:val="310"/>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1</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Culmile Siriului</w:t>
            </w:r>
          </w:p>
        </w:tc>
        <w:tc>
          <w:tcPr>
            <w:tcW w:w="2976"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com. Siriu</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0,85</w:t>
            </w:r>
          </w:p>
        </w:tc>
        <w:tc>
          <w:tcPr>
            <w:tcW w:w="1450"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trHeight w:val="273"/>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2</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Pădurea Frasinu</w:t>
            </w:r>
          </w:p>
        </w:tc>
        <w:tc>
          <w:tcPr>
            <w:tcW w:w="2976"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com. Ţinteşti</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1,58</w:t>
            </w:r>
          </w:p>
        </w:tc>
        <w:tc>
          <w:tcPr>
            <w:tcW w:w="1450"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cnfStyle w:val="000000100000"/>
          <w:trHeight w:val="377"/>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3</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Pădurea Spătaru</w:t>
            </w:r>
          </w:p>
        </w:tc>
        <w:tc>
          <w:tcPr>
            <w:tcW w:w="2976"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com. Costeşti</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1,65</w:t>
            </w:r>
          </w:p>
        </w:tc>
        <w:tc>
          <w:tcPr>
            <w:tcW w:w="1450"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trHeight w:val="283"/>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4</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Pădurea Găvanu</w:t>
            </w:r>
          </w:p>
        </w:tc>
        <w:tc>
          <w:tcPr>
            <w:tcW w:w="2976"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com. Mânzăleşti</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2,16</w:t>
            </w:r>
          </w:p>
        </w:tc>
        <w:tc>
          <w:tcPr>
            <w:tcW w:w="1450"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cnfStyle w:val="000000100000"/>
          <w:trHeight w:val="387"/>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5</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Pădurea Milea Viforâta</w:t>
            </w:r>
          </w:p>
        </w:tc>
        <w:tc>
          <w:tcPr>
            <w:tcW w:w="2976"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com. Gura Teghii</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1,65</w:t>
            </w:r>
          </w:p>
        </w:tc>
        <w:tc>
          <w:tcPr>
            <w:tcW w:w="1450"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trHeight w:val="562"/>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6</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Pădurea Crângul Buzăului</w:t>
            </w:r>
          </w:p>
        </w:tc>
        <w:tc>
          <w:tcPr>
            <w:tcW w:w="2976"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mun. Buzău</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1,62</w:t>
            </w:r>
          </w:p>
        </w:tc>
        <w:tc>
          <w:tcPr>
            <w:tcW w:w="1450"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cnfStyle w:val="000000100000"/>
          <w:trHeight w:val="414"/>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7</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Pădurea Harţagu</w:t>
            </w:r>
          </w:p>
        </w:tc>
        <w:tc>
          <w:tcPr>
            <w:tcW w:w="2976"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com. Siriu</w:t>
            </w:r>
          </w:p>
        </w:tc>
        <w:tc>
          <w:tcPr>
            <w:cnfStyle w:val="000010000000"/>
            <w:tcW w:w="1386"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1,91</w:t>
            </w:r>
          </w:p>
        </w:tc>
        <w:tc>
          <w:tcPr>
            <w:tcW w:w="1450"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trHeight w:val="520"/>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8</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Stejarul din Buzău</w:t>
            </w:r>
          </w:p>
        </w:tc>
        <w:tc>
          <w:tcPr>
            <w:tcW w:w="2976"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Str. Crizantemelor nr. 1, mun. Buzău</w:t>
            </w:r>
          </w:p>
        </w:tc>
        <w:tc>
          <w:tcPr>
            <w:cnfStyle w:val="000010000000"/>
            <w:tcW w:w="1386"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w:t>
            </w:r>
          </w:p>
        </w:tc>
        <w:tc>
          <w:tcPr>
            <w:tcW w:w="1450" w:type="dxa"/>
          </w:tcPr>
          <w:p w:rsidR="002F5025" w:rsidRPr="002F5025" w:rsidRDefault="002F5025" w:rsidP="002F5025">
            <w:pPr>
              <w:spacing w:after="0" w:line="240" w:lineRule="auto"/>
              <w:cnfStyle w:val="0000000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cnfStyle w:val="000000100000"/>
          <w:trHeight w:val="670"/>
        </w:trPr>
        <w:tc>
          <w:tcPr>
            <w:cnfStyle w:val="001000000000"/>
            <w:tcW w:w="743"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9</w:t>
            </w:r>
          </w:p>
        </w:tc>
        <w:tc>
          <w:tcPr>
            <w:cnfStyle w:val="000010000000"/>
            <w:tcW w:w="2943" w:type="dxa"/>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Platanii din Râmnicul Sărat</w:t>
            </w:r>
          </w:p>
        </w:tc>
        <w:tc>
          <w:tcPr>
            <w:tcW w:w="2976"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Parcul central al oraşului Râmnicu Sărat</w:t>
            </w:r>
          </w:p>
        </w:tc>
        <w:tc>
          <w:tcPr>
            <w:cnfStyle w:val="000010000000"/>
            <w:tcW w:w="1386" w:type="dxa"/>
          </w:tcPr>
          <w:p w:rsidR="002F5025" w:rsidRPr="002F5025" w:rsidRDefault="002F5025" w:rsidP="002F5025">
            <w:pPr>
              <w:spacing w:after="0" w:line="240" w:lineRule="auto"/>
              <w:rPr>
                <w:rFonts w:ascii="Arial" w:eastAsia="SimSun" w:hAnsi="Arial" w:cs="Arial"/>
                <w:noProof/>
                <w:kern w:val="24"/>
                <w:sz w:val="24"/>
                <w:szCs w:val="24"/>
                <w:lang w:val="ro-RO" w:eastAsia="zh-CN"/>
              </w:rPr>
            </w:pPr>
            <w:r w:rsidRPr="002F5025">
              <w:rPr>
                <w:rFonts w:ascii="Arial" w:eastAsia="SimSun" w:hAnsi="Arial" w:cs="Arial"/>
                <w:noProof/>
                <w:kern w:val="24"/>
                <w:sz w:val="24"/>
                <w:szCs w:val="24"/>
                <w:lang w:val="ro-RO" w:eastAsia="zh-CN"/>
              </w:rPr>
              <w:t>-</w:t>
            </w:r>
          </w:p>
        </w:tc>
        <w:tc>
          <w:tcPr>
            <w:tcW w:w="1450" w:type="dxa"/>
          </w:tcPr>
          <w:p w:rsidR="002F5025" w:rsidRPr="002F5025" w:rsidRDefault="002F5025" w:rsidP="002F5025">
            <w:pPr>
              <w:spacing w:after="0" w:line="240" w:lineRule="auto"/>
              <w:cnfStyle w:val="000000100000"/>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1995</w:t>
            </w:r>
          </w:p>
        </w:tc>
      </w:tr>
      <w:tr w:rsidR="002F5025" w:rsidRPr="002F5025" w:rsidTr="00D92384">
        <w:trPr>
          <w:trHeight w:val="397"/>
        </w:trPr>
        <w:tc>
          <w:tcPr>
            <w:cnfStyle w:val="001000000000"/>
            <w:tcW w:w="6662" w:type="dxa"/>
            <w:gridSpan w:val="3"/>
          </w:tcPr>
          <w:p w:rsidR="002F5025" w:rsidRPr="002F5025" w:rsidRDefault="002F5025" w:rsidP="002F5025">
            <w:pPr>
              <w:spacing w:after="0" w:line="240" w:lineRule="auto"/>
              <w:rPr>
                <w:rFonts w:ascii="Arial" w:eastAsia="SimSun" w:hAnsi="Arial" w:cs="Arial"/>
                <w:i/>
                <w:noProof/>
                <w:kern w:val="24"/>
                <w:sz w:val="24"/>
                <w:szCs w:val="24"/>
                <w:lang w:val="ro-RO" w:eastAsia="zh-CN"/>
              </w:rPr>
            </w:pPr>
            <w:r w:rsidRPr="002F5025">
              <w:rPr>
                <w:rFonts w:ascii="Arial" w:eastAsia="SimSun" w:hAnsi="Arial" w:cs="Arial"/>
                <w:noProof/>
                <w:kern w:val="24"/>
                <w:sz w:val="24"/>
                <w:szCs w:val="24"/>
                <w:lang w:val="ro-RO" w:eastAsia="zh-CN"/>
              </w:rPr>
              <w:t>Total</w:t>
            </w:r>
          </w:p>
        </w:tc>
        <w:tc>
          <w:tcPr>
            <w:cnfStyle w:val="000010000000"/>
            <w:tcW w:w="1386" w:type="dxa"/>
          </w:tcPr>
          <w:p w:rsidR="002F5025" w:rsidRPr="002F5025" w:rsidRDefault="002F5025" w:rsidP="002F5025">
            <w:pPr>
              <w:spacing w:after="0" w:line="240" w:lineRule="auto"/>
              <w:rPr>
                <w:rFonts w:ascii="Arial" w:eastAsia="SimSun" w:hAnsi="Arial" w:cs="Arial"/>
                <w:b/>
                <w:i/>
                <w:noProof/>
                <w:kern w:val="24"/>
                <w:sz w:val="24"/>
                <w:szCs w:val="24"/>
                <w:lang w:val="ro-RO" w:eastAsia="zh-CN"/>
              </w:rPr>
            </w:pPr>
            <w:r w:rsidRPr="002F5025">
              <w:rPr>
                <w:rFonts w:ascii="Arial" w:eastAsia="SimSun" w:hAnsi="Arial" w:cs="Arial"/>
                <w:b/>
                <w:noProof/>
                <w:kern w:val="24"/>
                <w:sz w:val="24"/>
                <w:szCs w:val="24"/>
                <w:lang w:val="ro-RO" w:eastAsia="zh-CN"/>
              </w:rPr>
              <w:t>11,42</w:t>
            </w:r>
          </w:p>
        </w:tc>
        <w:tc>
          <w:tcPr>
            <w:tcW w:w="1450" w:type="dxa"/>
          </w:tcPr>
          <w:p w:rsidR="002F5025" w:rsidRPr="002F5025" w:rsidRDefault="002F5025" w:rsidP="002F5025">
            <w:pPr>
              <w:spacing w:after="0" w:line="240" w:lineRule="auto"/>
              <w:cnfStyle w:val="000000000000"/>
              <w:rPr>
                <w:rFonts w:ascii="Arial" w:eastAsia="SimSun" w:hAnsi="Arial" w:cs="Arial"/>
                <w:noProof/>
                <w:kern w:val="24"/>
                <w:sz w:val="24"/>
                <w:szCs w:val="24"/>
                <w:lang w:val="ro-RO" w:eastAsia="zh-CN"/>
              </w:rPr>
            </w:pPr>
          </w:p>
        </w:tc>
      </w:tr>
    </w:tbl>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sz w:val="24"/>
          <w:szCs w:val="24"/>
          <w:lang w:val="ro-RO"/>
        </w:rPr>
        <w:t>În concluzie, suprafaţa totală a ariilor naturale protejate se estimează a se ridica la cca 548,29 km</w:t>
      </w:r>
      <w:r w:rsidRPr="002F5025">
        <w:rPr>
          <w:rFonts w:ascii="Arial" w:eastAsiaTheme="minorHAnsi" w:hAnsi="Arial" w:cs="Arial"/>
          <w:sz w:val="24"/>
          <w:szCs w:val="24"/>
          <w:vertAlign w:val="superscript"/>
          <w:lang w:val="ro-RO"/>
        </w:rPr>
        <w:t>2</w:t>
      </w:r>
      <w:r w:rsidRPr="002F5025">
        <w:rPr>
          <w:rFonts w:ascii="Arial" w:eastAsiaTheme="minorHAnsi" w:hAnsi="Arial" w:cs="Arial"/>
          <w:sz w:val="24"/>
          <w:szCs w:val="24"/>
          <w:lang w:val="ro-RO"/>
        </w:rPr>
        <w:t>, reprezentând 8,98% din suprafaţa judeţului Buzău.</w:t>
      </w:r>
    </w:p>
    <w:p w:rsidR="002F5025" w:rsidRPr="002F5025" w:rsidRDefault="002F5025" w:rsidP="002F5025">
      <w:pPr>
        <w:spacing w:after="120" w:line="240" w:lineRule="auto"/>
        <w:rPr>
          <w:rFonts w:ascii="Arial" w:eastAsiaTheme="minorHAnsi" w:hAnsi="Arial" w:cs="Arial"/>
          <w:sz w:val="24"/>
          <w:szCs w:val="24"/>
          <w:lang w:val="ro-RO"/>
        </w:rPr>
      </w:pPr>
    </w:p>
    <w:p w:rsidR="002F5025" w:rsidRDefault="002F5025" w:rsidP="00232324">
      <w:pPr>
        <w:spacing w:before="120" w:line="60" w:lineRule="atLeast"/>
        <w:jc w:val="center"/>
        <w:outlineLvl w:val="0"/>
        <w:rPr>
          <w:rFonts w:ascii="Times New Roman" w:hAnsi="Times New Roman"/>
          <w:b/>
          <w:sz w:val="28"/>
          <w:szCs w:val="28"/>
          <w:lang w:val="ro-RO"/>
        </w:rPr>
        <w:sectPr w:rsidR="002F5025" w:rsidSect="00A42550">
          <w:pgSz w:w="11907" w:h="16839" w:code="9"/>
          <w:pgMar w:top="851" w:right="851" w:bottom="851" w:left="1418" w:header="0" w:footer="0" w:gutter="0"/>
          <w:cols w:space="720"/>
          <w:docGrid w:linePitch="360"/>
        </w:sectPr>
      </w:pP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b/>
          <w:bCs/>
          <w:sz w:val="24"/>
          <w:szCs w:val="24"/>
          <w:lang w:val="ro-RO"/>
        </w:rPr>
        <w:lastRenderedPageBreak/>
        <w:t>VI. PĂDURILE</w:t>
      </w: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b/>
          <w:bCs/>
          <w:i/>
          <w:iCs/>
          <w:sz w:val="24"/>
          <w:szCs w:val="24"/>
          <w:lang w:val="ro-RO"/>
        </w:rPr>
        <w:t>VI.1. Fondul forestier naţional: stare şi consecinţe</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Totalitatea pădurilor, a terenurilor destinate împăduririi, a celor care servesc nevoilor de cultură, producţie sau administraţie silvică, a iazurilor, a albiilor pâraielor, a altor terenuri cu destinaţie forestieră, inclusiv cele neproductive, cuprinse în amenajamente silvice la data de 1 ianuarie 1990, inclusiv cu modificările de suprafaţă, conform operaţiunilor de intrări-ieşiri efectuate în condiţiile legii, constituie, indiferent de forma de proprietate, fondul forestier naţional.</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Fondul forestier naţional include:</w:t>
      </w:r>
    </w:p>
    <w:bookmarkStart w:id="0" w:name="do|ttI|ar1|al2|lia"/>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0"/>
      <w:r w:rsidR="002F5025" w:rsidRPr="002F5025">
        <w:rPr>
          <w:rFonts w:ascii="Arial" w:eastAsia="SimSun" w:hAnsi="Arial" w:cs="Arial"/>
          <w:sz w:val="24"/>
          <w:szCs w:val="24"/>
          <w:lang w:val="ro-RO"/>
        </w:rPr>
        <w:t>pădurile;</w:t>
      </w:r>
    </w:p>
    <w:bookmarkStart w:id="1" w:name="do|ttI|ar1|al2|lib"/>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1"/>
      <w:r w:rsidR="002F5025" w:rsidRPr="002F5025">
        <w:rPr>
          <w:rFonts w:ascii="Arial" w:eastAsia="SimSun" w:hAnsi="Arial" w:cs="Arial"/>
          <w:sz w:val="24"/>
          <w:szCs w:val="24"/>
          <w:lang w:val="ro-RO"/>
        </w:rPr>
        <w:t>terenurile în curs de regenerare şi plantaţiile înfiinţate în scopuri forestiere;</w:t>
      </w:r>
    </w:p>
    <w:bookmarkStart w:id="2" w:name="do|ttI|ar1|al2|lic"/>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2"/>
      <w:r w:rsidR="002F5025" w:rsidRPr="002F5025">
        <w:rPr>
          <w:rFonts w:ascii="Arial" w:eastAsia="SimSun" w:hAnsi="Arial" w:cs="Arial"/>
          <w:sz w:val="24"/>
          <w:szCs w:val="24"/>
          <w:lang w:val="ro-RO"/>
        </w:rPr>
        <w:t>terenurile destinate împăduririi: terenuri degradate şi terenuri neîmpădurite, stabilite în condiţiile legii a fi împădurite;</w:t>
      </w:r>
    </w:p>
    <w:bookmarkStart w:id="3" w:name="do|ttI|ar1|al2|lid"/>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3"/>
      <w:r w:rsidR="002F5025" w:rsidRPr="002F5025">
        <w:rPr>
          <w:rFonts w:ascii="Arial" w:eastAsia="SimSun" w:hAnsi="Arial" w:cs="Arial"/>
          <w:sz w:val="24"/>
          <w:szCs w:val="24"/>
          <w:lang w:val="ro-RO"/>
        </w:rPr>
        <w:t>terenurile care servesc nevoilor de cultură: pepiniere, solarii, plantaje şi culturi de plante-mamă;</w:t>
      </w:r>
    </w:p>
    <w:bookmarkStart w:id="4" w:name="do|ttI|ar1|al2|lie"/>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4"/>
      <w:r w:rsidR="002F5025" w:rsidRPr="002F5025">
        <w:rPr>
          <w:rFonts w:ascii="Arial" w:eastAsia="SimSun" w:hAnsi="Arial" w:cs="Arial"/>
          <w:sz w:val="24"/>
          <w:szCs w:val="24"/>
          <w:lang w:val="ro-RO"/>
        </w:rPr>
        <w:t>terenurile care servesc nevoilor de producţie silvică: culturile de răchită, pomi de Crăciun, arbori şi arbuşti ornamentali şi fructiferi;</w:t>
      </w:r>
    </w:p>
    <w:bookmarkStart w:id="5" w:name="do|ttI|ar1|al2|lif"/>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5"/>
      <w:r w:rsidR="002F5025" w:rsidRPr="002F5025">
        <w:rPr>
          <w:rFonts w:ascii="Arial" w:eastAsia="SimSun" w:hAnsi="Arial" w:cs="Arial"/>
          <w:sz w:val="24"/>
          <w:szCs w:val="24"/>
          <w:lang w:val="ro-RO"/>
        </w:rPr>
        <w:t>terenurile care servesc nevoilor de administraţie silvică: terenuri destinate asigurării hranei vânatului şi producerii de furaje, terenuri date în folosinţă temporară personalului silvic;</w:t>
      </w:r>
    </w:p>
    <w:bookmarkStart w:id="6" w:name="do|ttI|ar1|al2|lig"/>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6"/>
      <w:r w:rsidR="002F5025" w:rsidRPr="002F5025">
        <w:rPr>
          <w:rFonts w:ascii="Arial" w:eastAsia="SimSun" w:hAnsi="Arial" w:cs="Arial"/>
          <w:sz w:val="24"/>
          <w:szCs w:val="24"/>
          <w:lang w:val="ro-RO"/>
        </w:rPr>
        <w:t>terenurile ocupate de construcţii şi curţile aferente acestora: sedii administrative, cabane, fazanerii, păstrăvării, crescătorii de animale de interes vânătoresc, drumuri şi căi forestiere de transport, spaţii industriale, alte dotări tehnice specifice sectorului forestier;</w:t>
      </w:r>
    </w:p>
    <w:bookmarkStart w:id="7" w:name="do|ttI|ar1|al2|lih"/>
    <w:p w:rsidR="002F5025" w:rsidRPr="002F5025" w:rsidRDefault="00810D5B" w:rsidP="000A5EAD">
      <w:pPr>
        <w:numPr>
          <w:ilvl w:val="0"/>
          <w:numId w:val="35"/>
        </w:numPr>
        <w:tabs>
          <w:tab w:val="left" w:pos="284"/>
          <w:tab w:val="left" w:pos="426"/>
        </w:tabs>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fldChar w:fldCharType="begin"/>
      </w:r>
      <w:r w:rsidR="002F5025" w:rsidRPr="002F5025">
        <w:rPr>
          <w:rFonts w:ascii="Arial" w:eastAsia="SimSun" w:hAnsi="Arial" w:cs="Arial"/>
          <w:sz w:val="24"/>
          <w:szCs w:val="24"/>
          <w:lang w:val="ro-RO"/>
        </w:rPr>
        <w:instrText xml:space="preserve"> HYPERLINK "file:///C:\\Documents%20and%20Settings\\Sanda\\Sintact%202.0\\cache\\Legislatie\\temp\\00110728.HTML" \l "#" </w:instrText>
      </w:r>
      <w:r w:rsidRPr="002F5025">
        <w:rPr>
          <w:rFonts w:ascii="Arial" w:eastAsia="SimSun" w:hAnsi="Arial" w:cs="Arial"/>
          <w:sz w:val="24"/>
          <w:szCs w:val="24"/>
          <w:lang w:val="ro-RO"/>
        </w:rPr>
        <w:fldChar w:fldCharType="end"/>
      </w:r>
      <w:bookmarkEnd w:id="7"/>
      <w:r w:rsidR="002F5025" w:rsidRPr="002F5025">
        <w:rPr>
          <w:rFonts w:ascii="Arial" w:eastAsia="SimSun" w:hAnsi="Arial" w:cs="Arial"/>
          <w:sz w:val="24"/>
          <w:szCs w:val="24"/>
          <w:lang w:val="ro-RO"/>
        </w:rPr>
        <w:t>iazurile, albiile pâraielor, precum şi terenurile neproductive incluse în amenajamentele silvice.</w:t>
      </w:r>
    </w:p>
    <w:bookmarkStart w:id="8" w:name="do|ttI|ar5|pa1"/>
    <w:p w:rsidR="002F5025" w:rsidRPr="002F5025" w:rsidRDefault="00810D5B"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fldChar w:fldCharType="begin"/>
      </w:r>
      <w:r w:rsidR="002F5025" w:rsidRPr="002F5025">
        <w:rPr>
          <w:rFonts w:ascii="Arial" w:eastAsiaTheme="minorHAnsi" w:hAnsi="Arial" w:cs="Arial"/>
          <w:sz w:val="24"/>
          <w:szCs w:val="24"/>
          <w:lang w:val="ro-RO"/>
        </w:rPr>
        <w:instrText xml:space="preserve"> HYPERLINK "file:///C:\\Documents%20and%20Settings\\Sanda\\Sintact%202.0\\cache\\Legislatie\\temp\\00110728.HTML" \l "#" </w:instrText>
      </w:r>
      <w:r w:rsidRPr="002F5025">
        <w:rPr>
          <w:rFonts w:ascii="Arial" w:eastAsiaTheme="minorHAnsi" w:hAnsi="Arial" w:cs="Arial"/>
          <w:sz w:val="24"/>
          <w:szCs w:val="24"/>
          <w:lang w:val="ro-RO"/>
        </w:rPr>
        <w:fldChar w:fldCharType="end"/>
      </w:r>
      <w:bookmarkEnd w:id="8"/>
      <w:r w:rsidR="002F5025" w:rsidRPr="002F5025">
        <w:rPr>
          <w:rFonts w:ascii="Arial" w:eastAsiaTheme="minorHAnsi" w:hAnsi="Arial" w:cs="Arial"/>
          <w:sz w:val="24"/>
          <w:szCs w:val="24"/>
          <w:lang w:val="ro-RO"/>
        </w:rPr>
        <w:t>Principiile care stau la baza gestionării durabile a pădurilor sunt următoarele:</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promovarea practicilor care asigură gestionarea durabilă a pădurilor;</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asigurarea integrităţii fondului forestier şi a permanenţei pădurii;</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majorarea suprafeţei terenurilor ocupate cu păduri;</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politici forestiere stabile pe termen lung;</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asigurarea nivelului adecvat de continuitate juridică, instituţională şi operaţională în gestionarea pădurilor;</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primordialitatea obiectivelor ecologice ale silviculturii;</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creşterea rolului silviculturii în dezvoltarea rurală;</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promovarea tipului natural fundamental de pădure şi asigurarea diversităţii biologice a pădurii;</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armonizarea relaţiilor dintre silvicultură şi alte domenii de activitate;</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sprijinirea proprietarilor de păduri şi stimularea asocierii acestora;</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prevenirea degradării ireversibile a pădurilor, ca urmare a acţiunilor umane şi a factorilor de mediu destabilizatori;</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gestionarea pădurilor pe principiul teritorialităţii;</w:t>
      </w:r>
    </w:p>
    <w:p w:rsidR="002F5025" w:rsidRPr="002F5025" w:rsidRDefault="002F5025" w:rsidP="000A5EAD">
      <w:pPr>
        <w:numPr>
          <w:ilvl w:val="0"/>
          <w:numId w:val="37"/>
        </w:numPr>
        <w:spacing w:after="120" w:line="240" w:lineRule="auto"/>
        <w:contextualSpacing/>
        <w:jc w:val="both"/>
        <w:rPr>
          <w:rFonts w:ascii="Arial" w:eastAsia="SimSun" w:hAnsi="Arial" w:cs="Arial"/>
          <w:sz w:val="24"/>
          <w:szCs w:val="24"/>
          <w:lang w:val="ro-RO"/>
        </w:rPr>
      </w:pPr>
      <w:r w:rsidRPr="002F5025">
        <w:rPr>
          <w:rFonts w:ascii="Arial" w:eastAsia="SimSun" w:hAnsi="Arial" w:cs="Arial"/>
          <w:sz w:val="24"/>
          <w:szCs w:val="24"/>
          <w:lang w:val="ro-RO"/>
        </w:rPr>
        <w:t>atenuarea consecinţelor produse de schimbările climatice asupra pădurilor, precum şi adaptarea pădurilor la schimbările climatice.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La sfârşitul anului 2012, fondul forestier naţional al României ocupa o suprafaţă de 6529 mii hectare, care reprezenta 27,3% din suprafaţa ţării. Fondul forestier în România ocupă o suprafaţă mai mică de 1/3 din teritoriul ţării, sub nivelul mediu al Uniunii Europene, care este de aproximativ 36%.</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lastRenderedPageBreak/>
        <w:t>România se situează pe locul 10 la nivel european cu 0,30 ha/locuitor, primele locuri fiind ocupate de ţările nordice (Finlanda, Suedia şi Norvegia).</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În procentul de 27, 3% se iau în considerare toate terenurile fondului forestier, inclusiv cele despădurite prin tăieri rase legale sau ilegale (cum sunt cele din ultimii 20 de ani); suprafaţa culturilor tinere neajunse la starea de pădure; arboretele brăcuite şi degradate, nefuncţionale sub raport ecologic ş.a.</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Dacă se ia în considerare numai pădurea funcţională sub raport ecologic procentul de împădurire „funcţional” este doar de aproximativ 22%, respectiv pe jumătate faţă de procentul de împădurire optim calculat pentru ţara noastră, care este de 45%.</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La data de 31 decembrie 1990, întregul fond forestier naţional în suprafaţă de 6.372.268 ha se afla în proprietatea publică a statului. Ca urmare a aplicarii legilor de reconstituire a dreptului de proprietate asupra fondului funciar (Legea nr.18/1991, Legea nr.1/2000 şi Legea nr. 247/2005), precum şi al altor mişcări de suprafaţă (intrări-ieşiri pe baza de acte legale), până la data de 31.12.2013 suprafaţa totală a fondului forestier proprietate publică a statului, administrată de RNP – Romsilva, prin 41 de direcţii silvice şi ICAS, în cadrul a 323 ocoale silvice şi 10 baze experimentale, este de 3.227.907 ha reprezentând aproximativ jumatate din fondul forestier naţional </w:t>
      </w:r>
      <w:r w:rsidRPr="002F5025">
        <w:rPr>
          <w:rFonts w:ascii="Arial" w:eastAsiaTheme="minorHAnsi" w:hAnsi="Arial" w:cs="Arial"/>
          <w:i/>
          <w:sz w:val="24"/>
          <w:szCs w:val="24"/>
          <w:lang w:val="ro-RO"/>
        </w:rPr>
        <w:t>(sursa: www.rosilva.ro).</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Aspectele privind integritatea fondului forestier naţional sunt reglementate de Legea nr. 46/2008 – Codul Silvic, art. 35-42. Documentaţiile de scoatere definitivă sau de ocupare temporară de terenuri din fondul forestier naţional se face conform ordinului ministrului mediului şi pădurilor nr. 924/2011.</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Modificarea regimului de proprietate prezintă interes în legătură cu problema integrităţii şi dezvoltării fondului forestier, în condiţiile în care noile categorii de proprietari manifestă atitudini diferite în legătură cu menţinerea folosinţei de pădure şi/sau cu o eventuală extindere a acesteia.</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Situaţia retrocedarilor de fond forestier, la 30.04.2014, se prezenta astfel: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Suprafeţe de terenuri cu destinaţie forestieră validate:</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persoanelor fizice                                      1.411.089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formelor asociative de proprietate               775.409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unităţilor de cult/învăţământ                        157.192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unităţilor administrativ-teritoriale                   994.919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TOTAL GENERAL :                                     3.338.609 ha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Suprafeţe de terenuri cu destinaţie forestieră puse în posesie:</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persoanelor fizice                                          1.299.107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formelor asociative de proprietate                 744.150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unităţilor de cult/învăţământ                          148.332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unităţilor administrativ-teritoriale                    980.005 ha </w:t>
      </w:r>
    </w:p>
    <w:p w:rsidR="002F5025" w:rsidRPr="002F5025" w:rsidRDefault="002F5025" w:rsidP="002F5025">
      <w:pPr>
        <w:spacing w:after="120" w:line="240" w:lineRule="auto"/>
        <w:ind w:left="708"/>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 TOTAL GENERAL :                                         3.171.594 ha </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i/>
          <w:sz w:val="24"/>
          <w:szCs w:val="24"/>
          <w:lang w:val="ro-RO"/>
        </w:rPr>
        <w:t>(sursa: www.rosilva.ro)</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Toţi proprietarii şi deţinătorii de fond forestier sunt obligaţi să-şi asigure administrarea sau serviciile silvice printr-un ocol silvic autorizat (art.10 din Legea 46/2008).</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Proprietarii de păduri pot beneficia de lucrări de punere în valoare şi autorizare spre exploatare de masă lemnoasă numai dacă au amenajament silvic întocmit şi dacă au asigurate serviciile silvice, pe baza de contract, cu un ocol silvic autorizat (art. 16, alin. (2) şi art. 129 din Legea nr. 46/2008).</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
          <w:sz w:val="24"/>
          <w:szCs w:val="24"/>
          <w:lang w:val="ro-RO"/>
        </w:rPr>
        <w:lastRenderedPageBreak/>
        <w:t>Fondul forestier al judeţului Buzău</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Judeţul Buzău are un capital forestier deosebit de divers. Acest fapt se datorează în parte condiţiilor fizico-geografice care includ munţi, dealuri, câmpii, reţele hidrografice. Întârzierea punerii în posesie a proprietarilor, lipsa mecanizării în sectorul forestier şi dezvoltarea economică redusă au determinat o exploatare mai redusă a resurselor decât în alte judeţe ale României. Totuşi, amploarea fenomenului tăierilor ilegale de arbori din ultimii 15 ani a depăşit sfera de interes a specialiştilor din domeniul silviculturii, devenind o preocupare constantă a întregii societăţi. Atenţia asupra acestui fenomen a fost atrasă şi de inundaţiile şi alunecările de terenuri, cu efecte de multe ori devastatoare asupra comunităţilor locale şi infrastructurii, calamităţi care au fost puse în legătură de cauzalitate cu tăierile masive de arbori din zonele afectate.</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VI.1.1. Evoluţia suprafeţei fondului forestier</w:t>
      </w: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sz w:val="24"/>
          <w:szCs w:val="24"/>
          <w:lang w:val="ro-RO"/>
        </w:rPr>
        <w:t>Situaţia evoluţiei fondului forestier al judeţului Buzău este prezentată în tabelul VI.1.1.-1. şi figura VI.1.1.-1.</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
          <w:sz w:val="24"/>
          <w:szCs w:val="24"/>
          <w:lang w:val="ro-RO"/>
        </w:rPr>
        <w:t>Tabel VI.1.1.-1.</w:t>
      </w:r>
      <w:r w:rsidRPr="002F5025">
        <w:rPr>
          <w:rFonts w:ascii="Arial" w:eastAsiaTheme="minorHAnsi" w:hAnsi="Arial" w:cs="Arial"/>
          <w:sz w:val="24"/>
          <w:szCs w:val="24"/>
          <w:lang w:val="ro-RO"/>
        </w:rPr>
        <w:t xml:space="preserve"> </w:t>
      </w:r>
      <w:r w:rsidRPr="002F5025">
        <w:rPr>
          <w:rFonts w:ascii="Arial" w:eastAsiaTheme="minorHAnsi" w:hAnsi="Arial" w:cs="Arial"/>
          <w:b/>
          <w:sz w:val="24"/>
          <w:szCs w:val="24"/>
          <w:lang w:val="ro-RO"/>
        </w:rPr>
        <w:t xml:space="preserve">Situaţia fondului forestier a judeţului Buzău în perioada 2010-2014              </w:t>
      </w:r>
    </w:p>
    <w:tbl>
      <w:tblPr>
        <w:tblStyle w:val="MediumGrid1-Accent3"/>
        <w:tblpPr w:leftFromText="180" w:rightFromText="180" w:vertAnchor="text" w:horzAnchor="margin" w:tblpY="86"/>
        <w:tblW w:w="10031" w:type="dxa"/>
        <w:tblLook w:val="0000"/>
      </w:tblPr>
      <w:tblGrid>
        <w:gridCol w:w="3971"/>
        <w:gridCol w:w="6060"/>
      </w:tblGrid>
      <w:tr w:rsidR="002F5025" w:rsidRPr="002F5025" w:rsidTr="00D92384">
        <w:trPr>
          <w:cnfStyle w:val="000000100000"/>
          <w:trHeight w:val="361"/>
        </w:trPr>
        <w:tc>
          <w:tcPr>
            <w:cnfStyle w:val="000010000000"/>
            <w:tcW w:w="3971" w:type="dxa"/>
            <w:noWrap/>
          </w:tcPr>
          <w:p w:rsidR="002F5025" w:rsidRPr="002F5025" w:rsidRDefault="002F5025" w:rsidP="002F5025">
            <w:pPr>
              <w:spacing w:after="120" w:line="240" w:lineRule="auto"/>
              <w:jc w:val="center"/>
              <w:rPr>
                <w:rFonts w:ascii="Arial" w:hAnsi="Arial" w:cs="Arial"/>
                <w:b/>
                <w:sz w:val="24"/>
                <w:szCs w:val="24"/>
                <w:lang w:val="ro-RO"/>
              </w:rPr>
            </w:pPr>
            <w:r w:rsidRPr="002F5025">
              <w:rPr>
                <w:rFonts w:ascii="Arial" w:hAnsi="Arial" w:cs="Arial"/>
                <w:b/>
                <w:sz w:val="24"/>
                <w:szCs w:val="24"/>
                <w:lang w:val="ro-RO"/>
              </w:rPr>
              <w:t>Anul</w:t>
            </w:r>
          </w:p>
        </w:tc>
        <w:tc>
          <w:tcPr>
            <w:tcW w:w="6060" w:type="dxa"/>
          </w:tcPr>
          <w:p w:rsidR="002F5025" w:rsidRPr="002F5025" w:rsidRDefault="002F5025" w:rsidP="002F5025">
            <w:pPr>
              <w:spacing w:after="120" w:line="240" w:lineRule="auto"/>
              <w:jc w:val="center"/>
              <w:cnfStyle w:val="000000100000"/>
              <w:rPr>
                <w:rFonts w:ascii="Arial" w:hAnsi="Arial" w:cs="Arial"/>
                <w:b/>
                <w:sz w:val="24"/>
                <w:szCs w:val="24"/>
                <w:lang w:val="ro-RO"/>
              </w:rPr>
            </w:pPr>
            <w:r w:rsidRPr="002F5025">
              <w:rPr>
                <w:rFonts w:ascii="Arial" w:hAnsi="Arial" w:cs="Arial"/>
                <w:b/>
                <w:sz w:val="24"/>
                <w:szCs w:val="24"/>
                <w:lang w:val="ro-RO"/>
              </w:rPr>
              <w:t>Buzau (ha)</w:t>
            </w:r>
          </w:p>
        </w:tc>
      </w:tr>
      <w:tr w:rsidR="002F5025" w:rsidRPr="002F5025" w:rsidTr="00D92384">
        <w:trPr>
          <w:trHeight w:val="361"/>
        </w:trPr>
        <w:tc>
          <w:tcPr>
            <w:cnfStyle w:val="000010000000"/>
            <w:tcW w:w="3971" w:type="dxa"/>
            <w:noWrap/>
          </w:tcPr>
          <w:p w:rsidR="002F5025" w:rsidRPr="002F5025" w:rsidRDefault="002F5025" w:rsidP="002F5025">
            <w:pPr>
              <w:spacing w:after="120" w:line="240" w:lineRule="auto"/>
              <w:jc w:val="center"/>
              <w:rPr>
                <w:rFonts w:ascii="Arial" w:hAnsi="Arial" w:cs="Arial"/>
                <w:b/>
                <w:sz w:val="24"/>
                <w:szCs w:val="24"/>
                <w:lang w:val="ro-RO"/>
              </w:rPr>
            </w:pPr>
            <w:r w:rsidRPr="002F5025">
              <w:rPr>
                <w:rFonts w:ascii="Arial" w:hAnsi="Arial" w:cs="Arial"/>
                <w:b/>
                <w:sz w:val="24"/>
                <w:szCs w:val="24"/>
                <w:lang w:val="ro-RO"/>
              </w:rPr>
              <w:t>2010</w:t>
            </w:r>
          </w:p>
        </w:tc>
        <w:tc>
          <w:tcPr>
            <w:tcW w:w="6060" w:type="dxa"/>
          </w:tcPr>
          <w:p w:rsidR="002F5025" w:rsidRPr="002F5025" w:rsidRDefault="002F5025" w:rsidP="002F5025">
            <w:pPr>
              <w:spacing w:after="120" w:line="240" w:lineRule="auto"/>
              <w:jc w:val="center"/>
              <w:cnfStyle w:val="000000000000"/>
              <w:rPr>
                <w:rFonts w:ascii="Arial" w:hAnsi="Arial" w:cs="Arial"/>
                <w:color w:val="000000"/>
                <w:sz w:val="24"/>
                <w:szCs w:val="24"/>
                <w:lang w:val="ro-RO"/>
              </w:rPr>
            </w:pPr>
            <w:r w:rsidRPr="002F5025">
              <w:rPr>
                <w:rFonts w:ascii="Arial" w:hAnsi="Arial" w:cs="Arial"/>
                <w:color w:val="000000"/>
                <w:sz w:val="24"/>
                <w:szCs w:val="24"/>
                <w:lang w:val="ro-RO"/>
              </w:rPr>
              <w:t>158 502</w:t>
            </w:r>
          </w:p>
        </w:tc>
      </w:tr>
      <w:tr w:rsidR="002F5025" w:rsidRPr="002F5025" w:rsidTr="00D92384">
        <w:trPr>
          <w:cnfStyle w:val="000000100000"/>
          <w:trHeight w:val="361"/>
        </w:trPr>
        <w:tc>
          <w:tcPr>
            <w:cnfStyle w:val="000010000000"/>
            <w:tcW w:w="3971" w:type="dxa"/>
            <w:noWrap/>
          </w:tcPr>
          <w:p w:rsidR="002F5025" w:rsidRPr="002F5025" w:rsidRDefault="002F5025" w:rsidP="002F5025">
            <w:pPr>
              <w:spacing w:after="120" w:line="240" w:lineRule="auto"/>
              <w:jc w:val="center"/>
              <w:rPr>
                <w:rFonts w:ascii="Arial" w:hAnsi="Arial" w:cs="Arial"/>
                <w:b/>
                <w:sz w:val="24"/>
                <w:szCs w:val="24"/>
                <w:lang w:val="ro-RO"/>
              </w:rPr>
            </w:pPr>
            <w:r w:rsidRPr="002F5025">
              <w:rPr>
                <w:rFonts w:ascii="Arial" w:hAnsi="Arial" w:cs="Arial"/>
                <w:b/>
                <w:sz w:val="24"/>
                <w:szCs w:val="24"/>
                <w:lang w:val="ro-RO"/>
              </w:rPr>
              <w:t>2011</w:t>
            </w:r>
          </w:p>
        </w:tc>
        <w:tc>
          <w:tcPr>
            <w:tcW w:w="6060" w:type="dxa"/>
          </w:tcPr>
          <w:p w:rsidR="002F5025" w:rsidRPr="002F5025" w:rsidRDefault="002F5025" w:rsidP="002F5025">
            <w:pPr>
              <w:spacing w:after="120" w:line="240" w:lineRule="auto"/>
              <w:jc w:val="center"/>
              <w:cnfStyle w:val="000000100000"/>
              <w:rPr>
                <w:rFonts w:ascii="Arial" w:hAnsi="Arial" w:cs="Arial"/>
                <w:bCs/>
                <w:iCs/>
                <w:sz w:val="24"/>
                <w:szCs w:val="24"/>
                <w:lang w:val="ro-RO"/>
              </w:rPr>
            </w:pPr>
            <w:r w:rsidRPr="002F5025">
              <w:rPr>
                <w:rFonts w:ascii="Arial" w:hAnsi="Arial" w:cs="Arial"/>
                <w:bCs/>
                <w:iCs/>
                <w:sz w:val="24"/>
                <w:szCs w:val="24"/>
                <w:lang w:val="ro-RO"/>
              </w:rPr>
              <w:t>158 658</w:t>
            </w:r>
          </w:p>
        </w:tc>
      </w:tr>
      <w:tr w:rsidR="002F5025" w:rsidRPr="002F5025" w:rsidTr="00D92384">
        <w:trPr>
          <w:trHeight w:val="361"/>
        </w:trPr>
        <w:tc>
          <w:tcPr>
            <w:cnfStyle w:val="000010000000"/>
            <w:tcW w:w="3971" w:type="dxa"/>
            <w:noWrap/>
          </w:tcPr>
          <w:p w:rsidR="002F5025" w:rsidRPr="002F5025" w:rsidRDefault="002F5025" w:rsidP="002F5025">
            <w:pPr>
              <w:spacing w:after="120" w:line="240" w:lineRule="auto"/>
              <w:jc w:val="center"/>
              <w:rPr>
                <w:rFonts w:ascii="Arial" w:hAnsi="Arial" w:cs="Arial"/>
                <w:b/>
                <w:sz w:val="24"/>
                <w:szCs w:val="24"/>
                <w:lang w:val="ro-RO"/>
              </w:rPr>
            </w:pPr>
            <w:r w:rsidRPr="002F5025">
              <w:rPr>
                <w:rFonts w:ascii="Arial" w:hAnsi="Arial" w:cs="Arial"/>
                <w:b/>
                <w:sz w:val="24"/>
                <w:szCs w:val="24"/>
                <w:lang w:val="ro-RO"/>
              </w:rPr>
              <w:t>2012</w:t>
            </w:r>
          </w:p>
        </w:tc>
        <w:tc>
          <w:tcPr>
            <w:tcW w:w="6060" w:type="dxa"/>
          </w:tcPr>
          <w:p w:rsidR="002F5025" w:rsidRPr="002F5025" w:rsidRDefault="002F5025" w:rsidP="002F5025">
            <w:pPr>
              <w:spacing w:after="120" w:line="240" w:lineRule="auto"/>
              <w:jc w:val="center"/>
              <w:cnfStyle w:val="000000000000"/>
              <w:rPr>
                <w:rFonts w:ascii="Arial" w:hAnsi="Arial" w:cs="Arial"/>
                <w:sz w:val="24"/>
                <w:szCs w:val="24"/>
                <w:lang w:val="ro-RO"/>
              </w:rPr>
            </w:pPr>
            <w:r w:rsidRPr="002F5025">
              <w:rPr>
                <w:rFonts w:ascii="Arial" w:hAnsi="Arial" w:cs="Arial"/>
                <w:sz w:val="24"/>
                <w:szCs w:val="24"/>
                <w:lang w:val="ro-RO"/>
              </w:rPr>
              <w:t>160 818</w:t>
            </w:r>
          </w:p>
        </w:tc>
      </w:tr>
      <w:tr w:rsidR="002F5025" w:rsidRPr="002F5025" w:rsidTr="00D92384">
        <w:trPr>
          <w:cnfStyle w:val="000000100000"/>
          <w:trHeight w:val="361"/>
        </w:trPr>
        <w:tc>
          <w:tcPr>
            <w:cnfStyle w:val="000010000000"/>
            <w:tcW w:w="3971" w:type="dxa"/>
            <w:noWrap/>
          </w:tcPr>
          <w:p w:rsidR="002F5025" w:rsidRPr="002F5025" w:rsidRDefault="002F5025" w:rsidP="002F5025">
            <w:pPr>
              <w:spacing w:after="120" w:line="240" w:lineRule="auto"/>
              <w:jc w:val="center"/>
              <w:rPr>
                <w:rFonts w:ascii="Arial" w:hAnsi="Arial" w:cs="Arial"/>
                <w:b/>
                <w:sz w:val="24"/>
                <w:szCs w:val="24"/>
                <w:lang w:val="ro-RO"/>
              </w:rPr>
            </w:pPr>
            <w:r w:rsidRPr="002F5025">
              <w:rPr>
                <w:rFonts w:ascii="Arial" w:hAnsi="Arial" w:cs="Arial"/>
                <w:b/>
                <w:sz w:val="24"/>
                <w:szCs w:val="24"/>
                <w:lang w:val="ro-RO"/>
              </w:rPr>
              <w:t>2013</w:t>
            </w:r>
          </w:p>
        </w:tc>
        <w:tc>
          <w:tcPr>
            <w:tcW w:w="6060" w:type="dxa"/>
          </w:tcPr>
          <w:p w:rsidR="002F5025" w:rsidRPr="002F5025" w:rsidRDefault="002F5025" w:rsidP="002F5025">
            <w:pPr>
              <w:spacing w:after="120" w:line="240" w:lineRule="auto"/>
              <w:jc w:val="center"/>
              <w:cnfStyle w:val="000000100000"/>
              <w:rPr>
                <w:rFonts w:ascii="Arial" w:hAnsi="Arial" w:cs="Arial"/>
                <w:kern w:val="32"/>
                <w:sz w:val="24"/>
                <w:szCs w:val="24"/>
                <w:lang w:val="ro-RO"/>
              </w:rPr>
            </w:pPr>
            <w:r w:rsidRPr="002F5025">
              <w:rPr>
                <w:rFonts w:ascii="Arial" w:hAnsi="Arial" w:cs="Arial"/>
                <w:sz w:val="24"/>
                <w:szCs w:val="24"/>
                <w:lang w:val="ro-RO"/>
              </w:rPr>
              <w:t>160 216</w:t>
            </w:r>
          </w:p>
        </w:tc>
      </w:tr>
      <w:tr w:rsidR="002F5025" w:rsidRPr="002F5025" w:rsidTr="00D92384">
        <w:trPr>
          <w:trHeight w:val="361"/>
        </w:trPr>
        <w:tc>
          <w:tcPr>
            <w:cnfStyle w:val="000010000000"/>
            <w:tcW w:w="3971" w:type="dxa"/>
            <w:noWrap/>
          </w:tcPr>
          <w:p w:rsidR="002F5025" w:rsidRPr="002F5025" w:rsidRDefault="002F5025" w:rsidP="002F5025">
            <w:pPr>
              <w:spacing w:after="120" w:line="240" w:lineRule="auto"/>
              <w:jc w:val="center"/>
              <w:rPr>
                <w:rFonts w:ascii="Arial" w:hAnsi="Arial" w:cs="Arial"/>
                <w:b/>
                <w:sz w:val="24"/>
                <w:szCs w:val="24"/>
                <w:lang w:val="ro-RO"/>
              </w:rPr>
            </w:pPr>
            <w:r w:rsidRPr="002F5025">
              <w:rPr>
                <w:rFonts w:ascii="Arial" w:hAnsi="Arial" w:cs="Arial"/>
                <w:b/>
                <w:sz w:val="24"/>
                <w:szCs w:val="24"/>
                <w:lang w:val="ro-RO"/>
              </w:rPr>
              <w:t>2014</w:t>
            </w:r>
          </w:p>
        </w:tc>
        <w:tc>
          <w:tcPr>
            <w:tcW w:w="6060" w:type="dxa"/>
          </w:tcPr>
          <w:p w:rsidR="002F5025" w:rsidRPr="002F5025" w:rsidRDefault="002F5025" w:rsidP="002F5025">
            <w:pPr>
              <w:spacing w:after="120" w:line="240" w:lineRule="auto"/>
              <w:jc w:val="center"/>
              <w:cnfStyle w:val="000000000000"/>
              <w:rPr>
                <w:rFonts w:ascii="Arial" w:hAnsi="Arial" w:cs="Arial"/>
                <w:sz w:val="24"/>
                <w:szCs w:val="24"/>
                <w:lang w:val="ro-RO"/>
              </w:rPr>
            </w:pPr>
            <w:r w:rsidRPr="002F5025">
              <w:rPr>
                <w:rFonts w:ascii="Arial" w:hAnsi="Arial" w:cs="Arial"/>
                <w:sz w:val="24"/>
                <w:szCs w:val="24"/>
                <w:lang w:val="ro-RO"/>
              </w:rPr>
              <w:t>159 266</w:t>
            </w:r>
          </w:p>
        </w:tc>
      </w:tr>
    </w:tbl>
    <w:p w:rsidR="002F5025" w:rsidRPr="002F5025" w:rsidRDefault="002F5025" w:rsidP="002F5025">
      <w:pPr>
        <w:spacing w:after="120" w:line="240" w:lineRule="auto"/>
        <w:jc w:val="right"/>
        <w:rPr>
          <w:rFonts w:ascii="Arial" w:eastAsiaTheme="minorHAnsi" w:hAnsi="Arial" w:cs="Arial"/>
          <w:i/>
          <w:sz w:val="24"/>
          <w:szCs w:val="24"/>
          <w:lang w:val="ro-RO"/>
        </w:rPr>
      </w:pPr>
      <w:r w:rsidRPr="002F5025">
        <w:rPr>
          <w:rFonts w:ascii="Arial" w:eastAsiaTheme="minorHAnsi" w:hAnsi="Arial" w:cs="Arial"/>
          <w:sz w:val="24"/>
          <w:szCs w:val="24"/>
          <w:lang w:val="ro-RO"/>
        </w:rPr>
        <w:t xml:space="preserve"> </w:t>
      </w:r>
      <w:r w:rsidRPr="002F5025">
        <w:rPr>
          <w:rFonts w:ascii="Arial" w:eastAsiaTheme="minorHAnsi" w:hAnsi="Arial" w:cs="Arial"/>
          <w:i/>
          <w:sz w:val="24"/>
          <w:szCs w:val="24"/>
          <w:lang w:val="ro-RO"/>
        </w:rPr>
        <w:t xml:space="preserve">Sursa- C.R.S.C. Focşani   </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Figura VI.1.1.-1 Evoluţia suprafeţei fondului forestier în judeţul Buzău</w:t>
      </w:r>
    </w:p>
    <w:p w:rsidR="002F5025" w:rsidRPr="002F5025" w:rsidRDefault="002F5025" w:rsidP="002F5025">
      <w:pPr>
        <w:spacing w:after="120" w:line="240" w:lineRule="auto"/>
        <w:jc w:val="right"/>
        <w:rPr>
          <w:rFonts w:ascii="Arial" w:eastAsiaTheme="minorHAnsi" w:hAnsi="Arial" w:cs="Arial"/>
          <w:b/>
          <w:sz w:val="24"/>
          <w:szCs w:val="24"/>
          <w:lang w:val="ro-RO"/>
        </w:rPr>
      </w:pPr>
      <w:r w:rsidRPr="002F5025">
        <w:rPr>
          <w:rFonts w:ascii="Arial" w:eastAsiaTheme="minorHAnsi" w:hAnsi="Arial" w:cs="Arial"/>
          <w:b/>
          <w:noProof/>
          <w:sz w:val="24"/>
          <w:szCs w:val="24"/>
          <w:lang w:val="ro-RO" w:eastAsia="ro-RO"/>
        </w:rPr>
        <w:drawing>
          <wp:inline distT="0" distB="0" distL="0" distR="0">
            <wp:extent cx="5486400" cy="3200400"/>
            <wp:effectExtent l="19050" t="0" r="19050" b="0"/>
            <wp:docPr id="19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Scăderea suprafeţei fondului forestier înregistrată după anul 2012 este explicată de specialişti prin corectarea măsurătorilor realizate la reamenajarea ocoalelor silvice, prin erori de raportare şi litigii asupra suprafeţelor aflate la limitelor de judeţ.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În ceea ce priveşte creşterea semnificativă a suprafeţei fondului forestier din anul 2012, aceasta se datorează în principal introducerii în fond forestier a păşunilor împădurite şi </w:t>
      </w:r>
      <w:r w:rsidRPr="002F5025">
        <w:rPr>
          <w:rFonts w:ascii="Arial" w:eastAsiaTheme="minorHAnsi" w:hAnsi="Arial" w:cs="Arial"/>
          <w:sz w:val="24"/>
          <w:szCs w:val="24"/>
          <w:lang w:val="ro-RO"/>
        </w:rPr>
        <w:lastRenderedPageBreak/>
        <w:t>împăduririi unor terenuri degradate, în conformitate cu prevederile Legii nr. 46/2008 pentru aprobarea Codului silvic.</w:t>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b/>
          <w:sz w:val="24"/>
          <w:szCs w:val="24"/>
          <w:lang w:val="ro-RO"/>
        </w:rPr>
        <w:t>Evoluţia fondului forestier în judeţul Buzău</w:t>
      </w:r>
    </w:p>
    <w:p w:rsidR="002F5025" w:rsidRPr="002F5025" w:rsidRDefault="002F5025" w:rsidP="002F5025">
      <w:pPr>
        <w:tabs>
          <w:tab w:val="left" w:pos="1276"/>
          <w:tab w:val="left" w:leader="dot" w:pos="9356"/>
        </w:tabs>
        <w:spacing w:after="120" w:line="240" w:lineRule="auto"/>
        <w:jc w:val="both"/>
        <w:rPr>
          <w:rFonts w:ascii="Arial" w:eastAsiaTheme="minorHAnsi" w:hAnsi="Arial" w:cs="Arial"/>
          <w:iCs/>
          <w:sz w:val="24"/>
          <w:szCs w:val="24"/>
          <w:lang w:val="ro-RO"/>
        </w:rPr>
      </w:pPr>
      <w:r w:rsidRPr="002F5025">
        <w:rPr>
          <w:rFonts w:ascii="Arial" w:eastAsiaTheme="minorHAnsi" w:hAnsi="Arial" w:cs="Arial"/>
          <w:iCs/>
          <w:sz w:val="24"/>
          <w:szCs w:val="24"/>
          <w:lang w:val="ro-RO"/>
        </w:rPr>
        <w:t xml:space="preserve">Odată cu dezvoltarea şi evoluţia societăţii umane, ecosistemele naturale au reprezentat un obstacol în calea dezvoltării agriculturii şi creşterii animalelor, astfel încât acestea au fost decimate progresiv, acţiuni ce mai continuă şi astăzi. În ultima perioadă, creşterea nevoilor de resurse coroborată cu evoluţia populaţiei, a condus la noi şi diverse forme de exploatare a ecosistemelor naturale, la supraexploatarea tuturor componentelor de bază ale mediului pe spaţii din ce în ce mai largi. </w:t>
      </w:r>
    </w:p>
    <w:p w:rsidR="002F5025" w:rsidRPr="002F5025" w:rsidRDefault="002F5025" w:rsidP="002F5025">
      <w:pPr>
        <w:tabs>
          <w:tab w:val="left" w:pos="1276"/>
          <w:tab w:val="left" w:leader="dot" w:pos="9356"/>
        </w:tabs>
        <w:spacing w:after="120" w:line="240" w:lineRule="auto"/>
        <w:jc w:val="both"/>
        <w:rPr>
          <w:rFonts w:ascii="Arial" w:eastAsiaTheme="minorHAnsi" w:hAnsi="Arial" w:cs="Arial"/>
          <w:iCs/>
          <w:sz w:val="24"/>
          <w:szCs w:val="24"/>
          <w:lang w:val="ro-RO"/>
        </w:rPr>
      </w:pPr>
      <w:r w:rsidRPr="002F5025">
        <w:rPr>
          <w:rFonts w:ascii="Arial" w:eastAsiaTheme="minorHAnsi" w:hAnsi="Arial" w:cs="Arial"/>
          <w:iCs/>
          <w:sz w:val="24"/>
          <w:szCs w:val="24"/>
          <w:lang w:val="ro-RO"/>
        </w:rPr>
        <w:t>Rezultatele recensământului din 2011 au arătat nu numai faptul că populaţia judeţului Buzău a scăzut în ultimii 10 ani cu aproape 50 de mii de locuitori, ci şi că există un procent foarte mare de persoane cu vârsta de peste 60 de ani.</w:t>
      </w:r>
    </w:p>
    <w:p w:rsidR="002F5025" w:rsidRPr="002F5025" w:rsidRDefault="002F5025" w:rsidP="002F5025">
      <w:pPr>
        <w:tabs>
          <w:tab w:val="left" w:pos="1276"/>
          <w:tab w:val="left" w:leader="dot" w:pos="9356"/>
        </w:tabs>
        <w:spacing w:after="120" w:line="240" w:lineRule="auto"/>
        <w:jc w:val="both"/>
        <w:rPr>
          <w:rFonts w:ascii="Arial" w:eastAsiaTheme="minorHAnsi" w:hAnsi="Arial" w:cs="Arial"/>
          <w:b/>
          <w:sz w:val="24"/>
          <w:szCs w:val="24"/>
          <w:lang w:val="ro-RO"/>
        </w:rPr>
      </w:pPr>
      <w:r w:rsidRPr="002F5025">
        <w:rPr>
          <w:rFonts w:ascii="Arial" w:eastAsiaTheme="minorHAnsi" w:hAnsi="Arial" w:cs="Arial"/>
          <w:iCs/>
          <w:sz w:val="24"/>
          <w:szCs w:val="24"/>
          <w:lang w:val="ro-RO"/>
        </w:rPr>
        <w:t xml:space="preserve">Evoluţia fondului forestier în judeţul Buzău calculată în hectare/locuitor, în perioada 2010-2014, este prezentată în tabelul </w:t>
      </w:r>
      <w:r w:rsidRPr="002F5025">
        <w:rPr>
          <w:rFonts w:ascii="Arial" w:eastAsiaTheme="minorHAnsi" w:hAnsi="Arial" w:cs="Arial"/>
          <w:b/>
          <w:sz w:val="24"/>
          <w:szCs w:val="24"/>
          <w:lang w:val="ro-RO"/>
        </w:rPr>
        <w:t xml:space="preserve"> </w:t>
      </w:r>
      <w:r w:rsidRPr="002F5025">
        <w:rPr>
          <w:rFonts w:ascii="Arial" w:eastAsiaTheme="minorHAnsi" w:hAnsi="Arial" w:cs="Arial"/>
          <w:sz w:val="24"/>
          <w:szCs w:val="24"/>
          <w:lang w:val="ro-RO"/>
        </w:rPr>
        <w:t>VI.1.1.-2.</w:t>
      </w:r>
      <w:r w:rsidRPr="002F5025">
        <w:rPr>
          <w:rFonts w:ascii="Arial" w:eastAsiaTheme="minorHAnsi" w:hAnsi="Arial" w:cs="Arial"/>
          <w:iCs/>
          <w:sz w:val="24"/>
          <w:szCs w:val="24"/>
          <w:lang w:val="ro-RO"/>
        </w:rPr>
        <w:t xml:space="preserve">, respectiv în figura   </w:t>
      </w:r>
      <w:r w:rsidRPr="002F5025">
        <w:rPr>
          <w:rFonts w:ascii="Arial" w:eastAsiaTheme="minorHAnsi" w:hAnsi="Arial" w:cs="Arial"/>
          <w:sz w:val="24"/>
          <w:szCs w:val="24"/>
          <w:lang w:val="ro-RO"/>
        </w:rPr>
        <w:t>VI.1.1.-2</w:t>
      </w:r>
      <w:r w:rsidRPr="002F5025">
        <w:rPr>
          <w:rFonts w:ascii="Arial" w:eastAsiaTheme="minorHAnsi" w:hAnsi="Arial" w:cs="Arial"/>
          <w:iCs/>
          <w:sz w:val="24"/>
          <w:szCs w:val="24"/>
          <w:lang w:val="ro-RO"/>
        </w:rPr>
        <w:t xml:space="preserve">. </w:t>
      </w:r>
    </w:p>
    <w:p w:rsidR="002F5025" w:rsidRPr="002F5025" w:rsidRDefault="002F5025" w:rsidP="002F5025">
      <w:pPr>
        <w:spacing w:after="120" w:line="240" w:lineRule="auto"/>
        <w:jc w:val="both"/>
        <w:rPr>
          <w:rFonts w:ascii="Arial" w:eastAsiaTheme="minorHAnsi" w:hAnsi="Arial" w:cs="Arial"/>
          <w:iCs/>
          <w:sz w:val="24"/>
          <w:szCs w:val="24"/>
          <w:lang w:val="ro-RO"/>
        </w:rPr>
      </w:pPr>
      <w:r w:rsidRPr="002F5025">
        <w:rPr>
          <w:rFonts w:ascii="Arial" w:eastAsiaTheme="minorHAnsi" w:hAnsi="Arial" w:cs="Arial"/>
          <w:b/>
          <w:sz w:val="24"/>
          <w:szCs w:val="24"/>
          <w:lang w:val="ro-RO"/>
        </w:rPr>
        <w:t xml:space="preserve">Tabel VI.1.1.-2  </w:t>
      </w:r>
      <w:r w:rsidRPr="002F5025">
        <w:rPr>
          <w:rFonts w:ascii="Arial" w:eastAsiaTheme="minorHAnsi" w:hAnsi="Arial" w:cs="Arial"/>
          <w:sz w:val="24"/>
          <w:szCs w:val="24"/>
          <w:lang w:val="ro-RO"/>
        </w:rPr>
        <w:t xml:space="preserve"> </w:t>
      </w:r>
      <w:r w:rsidRPr="002F5025">
        <w:rPr>
          <w:rFonts w:ascii="Arial" w:eastAsiaTheme="minorHAnsi" w:hAnsi="Arial" w:cs="Arial"/>
          <w:b/>
          <w:sz w:val="24"/>
          <w:szCs w:val="24"/>
          <w:lang w:val="ro-RO"/>
        </w:rPr>
        <w:t>Evoluţia fondului forestier în judeţul Buzău, ha/locuitor</w:t>
      </w:r>
    </w:p>
    <w:tbl>
      <w:tblPr>
        <w:tblStyle w:val="MediumGrid1-Accent3"/>
        <w:tblW w:w="9606" w:type="dxa"/>
        <w:tblLayout w:type="fixed"/>
        <w:tblLook w:val="01E0"/>
      </w:tblPr>
      <w:tblGrid>
        <w:gridCol w:w="959"/>
        <w:gridCol w:w="1984"/>
        <w:gridCol w:w="3402"/>
        <w:gridCol w:w="3261"/>
      </w:tblGrid>
      <w:tr w:rsidR="002F5025" w:rsidRPr="002F5025" w:rsidTr="00D92384">
        <w:trPr>
          <w:cnfStyle w:val="100000000000"/>
          <w:trHeight w:val="344"/>
        </w:trPr>
        <w:tc>
          <w:tcPr>
            <w:cnfStyle w:val="001000000000"/>
            <w:tcW w:w="959" w:type="dxa"/>
          </w:tcPr>
          <w:p w:rsidR="002F5025" w:rsidRPr="002F5025" w:rsidRDefault="002F5025" w:rsidP="002F5025">
            <w:pPr>
              <w:tabs>
                <w:tab w:val="left" w:pos="1276"/>
                <w:tab w:val="left" w:leader="dot" w:pos="9356"/>
              </w:tabs>
              <w:spacing w:after="120" w:line="240" w:lineRule="auto"/>
              <w:rPr>
                <w:rFonts w:ascii="Arial" w:hAnsi="Arial" w:cs="Arial"/>
                <w:iCs/>
                <w:sz w:val="24"/>
                <w:szCs w:val="24"/>
                <w:lang w:val="ro-RO"/>
              </w:rPr>
            </w:pPr>
            <w:r w:rsidRPr="002F5025">
              <w:rPr>
                <w:rFonts w:ascii="Arial" w:hAnsi="Arial" w:cs="Arial"/>
                <w:iCs/>
                <w:sz w:val="24"/>
                <w:szCs w:val="24"/>
                <w:lang w:val="ro-RO"/>
              </w:rPr>
              <w:t>Anul</w:t>
            </w:r>
          </w:p>
        </w:tc>
        <w:tc>
          <w:tcPr>
            <w:cnfStyle w:val="000010000000"/>
            <w:tcW w:w="1984"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Total populaţie</w:t>
            </w:r>
          </w:p>
        </w:tc>
        <w:tc>
          <w:tcPr>
            <w:tcW w:w="3402" w:type="dxa"/>
          </w:tcPr>
          <w:p w:rsidR="002F5025" w:rsidRPr="002F5025" w:rsidRDefault="002F5025" w:rsidP="002F5025">
            <w:pPr>
              <w:tabs>
                <w:tab w:val="left" w:pos="1276"/>
                <w:tab w:val="left" w:leader="dot" w:pos="9356"/>
              </w:tabs>
              <w:spacing w:after="120" w:line="240" w:lineRule="auto"/>
              <w:jc w:val="center"/>
              <w:cnfStyle w:val="100000000000"/>
              <w:rPr>
                <w:rFonts w:ascii="Arial" w:hAnsi="Arial" w:cs="Arial"/>
                <w:iCs/>
                <w:sz w:val="24"/>
                <w:szCs w:val="24"/>
                <w:lang w:val="ro-RO"/>
              </w:rPr>
            </w:pPr>
            <w:r w:rsidRPr="002F5025">
              <w:rPr>
                <w:rFonts w:ascii="Arial" w:hAnsi="Arial" w:cs="Arial"/>
                <w:iCs/>
                <w:sz w:val="24"/>
                <w:szCs w:val="24"/>
                <w:lang w:val="ro-RO"/>
              </w:rPr>
              <w:t>Suprafaţă fond forestier</w:t>
            </w:r>
          </w:p>
        </w:tc>
        <w:tc>
          <w:tcPr>
            <w:cnfStyle w:val="000100000000"/>
            <w:tcW w:w="3261"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Hectare/locuitor</w:t>
            </w:r>
          </w:p>
        </w:tc>
      </w:tr>
      <w:tr w:rsidR="002F5025" w:rsidRPr="002F5025" w:rsidTr="00D92384">
        <w:trPr>
          <w:cnfStyle w:val="000000100000"/>
          <w:trHeight w:val="506"/>
        </w:trPr>
        <w:tc>
          <w:tcPr>
            <w:cnfStyle w:val="001000000000"/>
            <w:tcW w:w="959" w:type="dxa"/>
          </w:tcPr>
          <w:p w:rsidR="002F5025" w:rsidRPr="002F5025" w:rsidRDefault="002F5025" w:rsidP="002F5025">
            <w:pPr>
              <w:tabs>
                <w:tab w:val="left" w:pos="1276"/>
                <w:tab w:val="left" w:leader="dot" w:pos="9356"/>
              </w:tabs>
              <w:spacing w:after="120" w:line="240" w:lineRule="auto"/>
              <w:rPr>
                <w:rFonts w:ascii="Arial" w:hAnsi="Arial" w:cs="Arial"/>
                <w:iCs/>
                <w:sz w:val="24"/>
                <w:szCs w:val="24"/>
                <w:lang w:val="ro-RO"/>
              </w:rPr>
            </w:pPr>
            <w:r w:rsidRPr="002F5025">
              <w:rPr>
                <w:rFonts w:ascii="Arial" w:hAnsi="Arial" w:cs="Arial"/>
                <w:iCs/>
                <w:sz w:val="24"/>
                <w:szCs w:val="24"/>
                <w:lang w:val="ro-RO"/>
              </w:rPr>
              <w:t>2010</w:t>
            </w:r>
          </w:p>
        </w:tc>
        <w:tc>
          <w:tcPr>
            <w:cnfStyle w:val="000010000000"/>
            <w:tcW w:w="1984"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497418</w:t>
            </w:r>
          </w:p>
        </w:tc>
        <w:tc>
          <w:tcPr>
            <w:tcW w:w="3402" w:type="dxa"/>
          </w:tcPr>
          <w:p w:rsidR="002F5025" w:rsidRPr="002F5025" w:rsidRDefault="002F5025" w:rsidP="002F5025">
            <w:pPr>
              <w:spacing w:after="120" w:line="240" w:lineRule="auto"/>
              <w:jc w:val="center"/>
              <w:cnfStyle w:val="000000100000"/>
              <w:rPr>
                <w:rFonts w:ascii="Arial" w:hAnsi="Arial" w:cs="Arial"/>
                <w:color w:val="000000"/>
                <w:sz w:val="24"/>
                <w:szCs w:val="24"/>
                <w:lang w:val="ro-RO"/>
              </w:rPr>
            </w:pPr>
            <w:r w:rsidRPr="002F5025">
              <w:rPr>
                <w:rFonts w:ascii="Arial" w:hAnsi="Arial" w:cs="Arial"/>
                <w:color w:val="000000"/>
                <w:sz w:val="24"/>
                <w:szCs w:val="24"/>
                <w:lang w:val="ro-RO"/>
              </w:rPr>
              <w:t>158 502</w:t>
            </w:r>
          </w:p>
        </w:tc>
        <w:tc>
          <w:tcPr>
            <w:cnfStyle w:val="000100000000"/>
            <w:tcW w:w="3261"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0,32</w:t>
            </w:r>
          </w:p>
        </w:tc>
      </w:tr>
      <w:tr w:rsidR="002F5025" w:rsidRPr="002F5025" w:rsidTr="00D92384">
        <w:trPr>
          <w:trHeight w:val="362"/>
        </w:trPr>
        <w:tc>
          <w:tcPr>
            <w:cnfStyle w:val="001000000000"/>
            <w:tcW w:w="959" w:type="dxa"/>
          </w:tcPr>
          <w:p w:rsidR="002F5025" w:rsidRPr="002F5025" w:rsidRDefault="002F5025" w:rsidP="002F5025">
            <w:pPr>
              <w:tabs>
                <w:tab w:val="left" w:pos="1276"/>
                <w:tab w:val="left" w:leader="dot" w:pos="9356"/>
              </w:tabs>
              <w:spacing w:after="120" w:line="240" w:lineRule="auto"/>
              <w:rPr>
                <w:rFonts w:ascii="Arial" w:hAnsi="Arial" w:cs="Arial"/>
                <w:iCs/>
                <w:sz w:val="24"/>
                <w:szCs w:val="24"/>
                <w:lang w:val="ro-RO"/>
              </w:rPr>
            </w:pPr>
            <w:r w:rsidRPr="002F5025">
              <w:rPr>
                <w:rFonts w:ascii="Arial" w:hAnsi="Arial" w:cs="Arial"/>
                <w:iCs/>
                <w:sz w:val="24"/>
                <w:szCs w:val="24"/>
                <w:lang w:val="ro-RO"/>
              </w:rPr>
              <w:t>2011</w:t>
            </w:r>
          </w:p>
        </w:tc>
        <w:tc>
          <w:tcPr>
            <w:cnfStyle w:val="000010000000"/>
            <w:tcW w:w="1984"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494172</w:t>
            </w:r>
          </w:p>
        </w:tc>
        <w:tc>
          <w:tcPr>
            <w:tcW w:w="3402" w:type="dxa"/>
          </w:tcPr>
          <w:p w:rsidR="002F5025" w:rsidRPr="002F5025" w:rsidRDefault="002F5025" w:rsidP="002F5025">
            <w:pPr>
              <w:spacing w:after="120" w:line="240" w:lineRule="auto"/>
              <w:jc w:val="center"/>
              <w:cnfStyle w:val="000000000000"/>
              <w:rPr>
                <w:rFonts w:ascii="Arial" w:hAnsi="Arial" w:cs="Arial"/>
                <w:bCs/>
                <w:iCs/>
                <w:sz w:val="24"/>
                <w:szCs w:val="24"/>
                <w:lang w:val="ro-RO"/>
              </w:rPr>
            </w:pPr>
            <w:r w:rsidRPr="002F5025">
              <w:rPr>
                <w:rFonts w:ascii="Arial" w:hAnsi="Arial" w:cs="Arial"/>
                <w:bCs/>
                <w:iCs/>
                <w:sz w:val="24"/>
                <w:szCs w:val="24"/>
                <w:lang w:val="ro-RO"/>
              </w:rPr>
              <w:t>158 658</w:t>
            </w:r>
          </w:p>
        </w:tc>
        <w:tc>
          <w:tcPr>
            <w:cnfStyle w:val="000100000000"/>
            <w:tcW w:w="3261"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0,32</w:t>
            </w:r>
          </w:p>
        </w:tc>
      </w:tr>
      <w:tr w:rsidR="002F5025" w:rsidRPr="002F5025" w:rsidTr="00D92384">
        <w:trPr>
          <w:cnfStyle w:val="000000100000"/>
          <w:trHeight w:val="344"/>
        </w:trPr>
        <w:tc>
          <w:tcPr>
            <w:cnfStyle w:val="001000000000"/>
            <w:tcW w:w="959" w:type="dxa"/>
          </w:tcPr>
          <w:p w:rsidR="002F5025" w:rsidRPr="002F5025" w:rsidRDefault="002F5025" w:rsidP="002F5025">
            <w:pPr>
              <w:tabs>
                <w:tab w:val="left" w:pos="1276"/>
                <w:tab w:val="left" w:leader="dot" w:pos="9356"/>
              </w:tabs>
              <w:spacing w:after="120" w:line="240" w:lineRule="auto"/>
              <w:rPr>
                <w:rFonts w:ascii="Arial" w:hAnsi="Arial" w:cs="Arial"/>
                <w:iCs/>
                <w:sz w:val="24"/>
                <w:szCs w:val="24"/>
                <w:lang w:val="ro-RO"/>
              </w:rPr>
            </w:pPr>
            <w:r w:rsidRPr="002F5025">
              <w:rPr>
                <w:rFonts w:ascii="Arial" w:hAnsi="Arial" w:cs="Arial"/>
                <w:iCs/>
                <w:sz w:val="24"/>
                <w:szCs w:val="24"/>
                <w:lang w:val="ro-RO"/>
              </w:rPr>
              <w:t>2012</w:t>
            </w:r>
          </w:p>
        </w:tc>
        <w:tc>
          <w:tcPr>
            <w:cnfStyle w:val="000010000000"/>
            <w:tcW w:w="1984"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491376</w:t>
            </w:r>
          </w:p>
        </w:tc>
        <w:tc>
          <w:tcPr>
            <w:tcW w:w="3402" w:type="dxa"/>
          </w:tcPr>
          <w:p w:rsidR="002F5025" w:rsidRPr="002F5025" w:rsidRDefault="002F5025" w:rsidP="002F5025">
            <w:pPr>
              <w:spacing w:after="120" w:line="240" w:lineRule="auto"/>
              <w:jc w:val="center"/>
              <w:cnfStyle w:val="000000100000"/>
              <w:rPr>
                <w:rFonts w:ascii="Arial" w:hAnsi="Arial" w:cs="Arial"/>
                <w:sz w:val="24"/>
                <w:szCs w:val="24"/>
                <w:lang w:val="ro-RO"/>
              </w:rPr>
            </w:pPr>
            <w:r w:rsidRPr="002F5025">
              <w:rPr>
                <w:rFonts w:ascii="Arial" w:hAnsi="Arial" w:cs="Arial"/>
                <w:sz w:val="24"/>
                <w:szCs w:val="24"/>
                <w:lang w:val="ro-RO"/>
              </w:rPr>
              <w:t>160 818</w:t>
            </w:r>
          </w:p>
        </w:tc>
        <w:tc>
          <w:tcPr>
            <w:cnfStyle w:val="000100000000"/>
            <w:tcW w:w="3261"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0,33</w:t>
            </w:r>
          </w:p>
        </w:tc>
      </w:tr>
      <w:tr w:rsidR="002F5025" w:rsidRPr="002F5025" w:rsidTr="00D92384">
        <w:trPr>
          <w:trHeight w:val="339"/>
        </w:trPr>
        <w:tc>
          <w:tcPr>
            <w:cnfStyle w:val="001000000000"/>
            <w:tcW w:w="959" w:type="dxa"/>
          </w:tcPr>
          <w:p w:rsidR="002F5025" w:rsidRPr="002F5025" w:rsidRDefault="002F5025" w:rsidP="002F5025">
            <w:pPr>
              <w:tabs>
                <w:tab w:val="left" w:pos="1276"/>
                <w:tab w:val="left" w:leader="dot" w:pos="9356"/>
              </w:tabs>
              <w:spacing w:after="120" w:line="240" w:lineRule="auto"/>
              <w:rPr>
                <w:rFonts w:ascii="Arial" w:hAnsi="Arial" w:cs="Arial"/>
                <w:iCs/>
                <w:sz w:val="24"/>
                <w:szCs w:val="24"/>
                <w:lang w:val="ro-RO"/>
              </w:rPr>
            </w:pPr>
            <w:r w:rsidRPr="002F5025">
              <w:rPr>
                <w:rFonts w:ascii="Arial" w:hAnsi="Arial" w:cs="Arial"/>
                <w:iCs/>
                <w:sz w:val="24"/>
                <w:szCs w:val="24"/>
                <w:lang w:val="ro-RO"/>
              </w:rPr>
              <w:t>2013</w:t>
            </w:r>
          </w:p>
        </w:tc>
        <w:tc>
          <w:tcPr>
            <w:cnfStyle w:val="000010000000"/>
            <w:tcW w:w="1984"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488108</w:t>
            </w:r>
          </w:p>
        </w:tc>
        <w:tc>
          <w:tcPr>
            <w:tcW w:w="3402" w:type="dxa"/>
          </w:tcPr>
          <w:p w:rsidR="002F5025" w:rsidRPr="002F5025" w:rsidRDefault="002F5025" w:rsidP="002F5025">
            <w:pPr>
              <w:spacing w:after="120" w:line="240" w:lineRule="auto"/>
              <w:jc w:val="center"/>
              <w:cnfStyle w:val="000000000000"/>
              <w:rPr>
                <w:rFonts w:ascii="Arial" w:hAnsi="Arial" w:cs="Arial"/>
                <w:kern w:val="32"/>
                <w:sz w:val="24"/>
                <w:szCs w:val="24"/>
                <w:lang w:val="ro-RO"/>
              </w:rPr>
            </w:pPr>
            <w:r w:rsidRPr="002F5025">
              <w:rPr>
                <w:rFonts w:ascii="Arial" w:hAnsi="Arial" w:cs="Arial"/>
                <w:sz w:val="24"/>
                <w:szCs w:val="24"/>
                <w:lang w:val="ro-RO"/>
              </w:rPr>
              <w:t>160 216</w:t>
            </w:r>
          </w:p>
        </w:tc>
        <w:tc>
          <w:tcPr>
            <w:cnfStyle w:val="000100000000"/>
            <w:tcW w:w="3261"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0,33</w:t>
            </w:r>
          </w:p>
        </w:tc>
      </w:tr>
      <w:tr w:rsidR="002F5025" w:rsidRPr="002F5025" w:rsidTr="00D92384">
        <w:trPr>
          <w:cnfStyle w:val="010000000000"/>
          <w:trHeight w:val="339"/>
        </w:trPr>
        <w:tc>
          <w:tcPr>
            <w:cnfStyle w:val="001000000000"/>
            <w:tcW w:w="959" w:type="dxa"/>
          </w:tcPr>
          <w:p w:rsidR="002F5025" w:rsidRPr="002F5025" w:rsidRDefault="002F5025" w:rsidP="002F5025">
            <w:pPr>
              <w:tabs>
                <w:tab w:val="left" w:pos="1276"/>
                <w:tab w:val="left" w:leader="dot" w:pos="9356"/>
              </w:tabs>
              <w:spacing w:after="120" w:line="240" w:lineRule="auto"/>
              <w:rPr>
                <w:rFonts w:ascii="Arial" w:hAnsi="Arial" w:cs="Arial"/>
                <w:iCs/>
                <w:sz w:val="24"/>
                <w:szCs w:val="24"/>
                <w:lang w:val="ro-RO"/>
              </w:rPr>
            </w:pPr>
            <w:r w:rsidRPr="002F5025">
              <w:rPr>
                <w:rFonts w:ascii="Arial" w:hAnsi="Arial" w:cs="Arial"/>
                <w:iCs/>
                <w:sz w:val="24"/>
                <w:szCs w:val="24"/>
                <w:lang w:val="ro-RO"/>
              </w:rPr>
              <w:t>2014</w:t>
            </w:r>
          </w:p>
        </w:tc>
        <w:tc>
          <w:tcPr>
            <w:cnfStyle w:val="000010000000"/>
            <w:tcW w:w="1984"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484524</w:t>
            </w:r>
          </w:p>
        </w:tc>
        <w:tc>
          <w:tcPr>
            <w:tcW w:w="3402" w:type="dxa"/>
          </w:tcPr>
          <w:p w:rsidR="002F5025" w:rsidRPr="002F5025" w:rsidRDefault="002F5025" w:rsidP="002F5025">
            <w:pPr>
              <w:spacing w:after="120" w:line="240" w:lineRule="auto"/>
              <w:jc w:val="center"/>
              <w:cnfStyle w:val="010000000000"/>
              <w:rPr>
                <w:rFonts w:ascii="Arial" w:hAnsi="Arial" w:cs="Arial"/>
                <w:sz w:val="24"/>
                <w:szCs w:val="24"/>
                <w:lang w:val="ro-RO"/>
              </w:rPr>
            </w:pPr>
            <w:r w:rsidRPr="002F5025">
              <w:rPr>
                <w:rFonts w:ascii="Arial" w:hAnsi="Arial" w:cs="Arial"/>
                <w:sz w:val="24"/>
                <w:szCs w:val="24"/>
                <w:lang w:val="ro-RO"/>
              </w:rPr>
              <w:t>159 266</w:t>
            </w:r>
          </w:p>
        </w:tc>
        <w:tc>
          <w:tcPr>
            <w:cnfStyle w:val="000100000000"/>
            <w:tcW w:w="3261" w:type="dxa"/>
          </w:tcPr>
          <w:p w:rsidR="002F5025" w:rsidRPr="002F5025" w:rsidRDefault="002F5025" w:rsidP="002F5025">
            <w:pPr>
              <w:tabs>
                <w:tab w:val="left" w:pos="1276"/>
                <w:tab w:val="left" w:leader="dot" w:pos="9356"/>
              </w:tabs>
              <w:spacing w:after="120" w:line="240" w:lineRule="auto"/>
              <w:jc w:val="center"/>
              <w:rPr>
                <w:rFonts w:ascii="Arial" w:hAnsi="Arial" w:cs="Arial"/>
                <w:iCs/>
                <w:sz w:val="24"/>
                <w:szCs w:val="24"/>
                <w:lang w:val="ro-RO"/>
              </w:rPr>
            </w:pPr>
            <w:r w:rsidRPr="002F5025">
              <w:rPr>
                <w:rFonts w:ascii="Arial" w:hAnsi="Arial" w:cs="Arial"/>
                <w:iCs/>
                <w:sz w:val="24"/>
                <w:szCs w:val="24"/>
                <w:lang w:val="ro-RO"/>
              </w:rPr>
              <w:t>0,33</w:t>
            </w:r>
          </w:p>
        </w:tc>
      </w:tr>
    </w:tbl>
    <w:p w:rsidR="002F5025" w:rsidRPr="002F5025" w:rsidRDefault="002F5025" w:rsidP="002F5025">
      <w:pPr>
        <w:tabs>
          <w:tab w:val="left" w:pos="1276"/>
          <w:tab w:val="left" w:leader="dot" w:pos="9356"/>
        </w:tabs>
        <w:spacing w:after="120" w:line="240" w:lineRule="auto"/>
        <w:rPr>
          <w:rFonts w:ascii="Arial" w:eastAsiaTheme="minorHAnsi" w:hAnsi="Arial" w:cs="Arial"/>
          <w:i/>
          <w:iCs/>
          <w:sz w:val="24"/>
          <w:szCs w:val="24"/>
          <w:lang w:val="ro-RO"/>
        </w:rPr>
      </w:pPr>
      <w:r w:rsidRPr="002F5025">
        <w:rPr>
          <w:rFonts w:ascii="Arial" w:eastAsiaTheme="minorHAnsi" w:hAnsi="Arial" w:cs="Arial"/>
          <w:i/>
          <w:iCs/>
          <w:sz w:val="24"/>
          <w:szCs w:val="24"/>
          <w:lang w:val="ro-RO"/>
        </w:rPr>
        <w:t xml:space="preserve">Sursa: Direcţia Judeţeană de Statistică Buzău ,C.R.S.C. Focşani   </w:t>
      </w:r>
    </w:p>
    <w:p w:rsidR="002F5025" w:rsidRPr="002F5025" w:rsidRDefault="002F5025" w:rsidP="002F5025">
      <w:pPr>
        <w:tabs>
          <w:tab w:val="left" w:pos="7440"/>
        </w:tabs>
        <w:spacing w:after="120" w:line="240" w:lineRule="auto"/>
        <w:rPr>
          <w:rFonts w:ascii="Arial" w:eastAsiaTheme="minorHAnsi" w:hAnsi="Arial" w:cs="Arial"/>
          <w:sz w:val="24"/>
          <w:szCs w:val="24"/>
          <w:lang w:val="ro-RO"/>
        </w:rPr>
      </w:pPr>
      <w:r w:rsidRPr="002F5025">
        <w:rPr>
          <w:rFonts w:ascii="Arial" w:eastAsiaTheme="minorHAnsi" w:hAnsi="Arial" w:cs="Arial"/>
          <w:b/>
          <w:iCs/>
          <w:sz w:val="24"/>
          <w:szCs w:val="24"/>
          <w:lang w:val="ro-RO"/>
        </w:rPr>
        <w:t xml:space="preserve">Figura   </w:t>
      </w:r>
      <w:r w:rsidRPr="002F5025">
        <w:rPr>
          <w:rFonts w:ascii="Arial" w:eastAsiaTheme="minorHAnsi" w:hAnsi="Arial" w:cs="Arial"/>
          <w:b/>
          <w:sz w:val="24"/>
          <w:szCs w:val="24"/>
          <w:lang w:val="ro-RO"/>
        </w:rPr>
        <w:t>VI.1.1.-2  Evoluţia fondului forestier în judeţul Buzău, ha/locuitor</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noProof/>
          <w:sz w:val="24"/>
          <w:szCs w:val="24"/>
          <w:lang w:val="ro-RO" w:eastAsia="ro-RO"/>
        </w:rPr>
        <w:drawing>
          <wp:inline distT="0" distB="0" distL="0" distR="0">
            <wp:extent cx="5486400" cy="2714625"/>
            <wp:effectExtent l="19050" t="0" r="19050" b="0"/>
            <wp:docPr id="19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2F5025" w:rsidRPr="002F5025" w:rsidRDefault="002F5025" w:rsidP="002F5025">
      <w:pPr>
        <w:tabs>
          <w:tab w:val="left" w:pos="1276"/>
          <w:tab w:val="left" w:leader="dot" w:pos="9356"/>
        </w:tabs>
        <w:spacing w:after="120" w:line="240" w:lineRule="auto"/>
        <w:rPr>
          <w:rFonts w:ascii="Arial" w:eastAsiaTheme="minorHAnsi" w:hAnsi="Arial" w:cs="Arial"/>
          <w:i/>
          <w:iCs/>
          <w:sz w:val="24"/>
          <w:szCs w:val="24"/>
          <w:lang w:val="ro-RO"/>
        </w:rPr>
      </w:pPr>
      <w:r w:rsidRPr="002F5025">
        <w:rPr>
          <w:rFonts w:ascii="Arial" w:eastAsiaTheme="minorHAnsi" w:hAnsi="Arial" w:cs="Arial"/>
          <w:i/>
          <w:iCs/>
          <w:sz w:val="24"/>
          <w:szCs w:val="24"/>
          <w:lang w:val="ro-RO"/>
        </w:rPr>
        <w:t xml:space="preserve">Sursa: Direcţia Judeţeană de Statistică Buzău ,C.R.S.C. Focşani  </w:t>
      </w:r>
    </w:p>
    <w:p w:rsidR="002F5025" w:rsidRPr="002F5025" w:rsidRDefault="002F5025" w:rsidP="002F5025">
      <w:pPr>
        <w:tabs>
          <w:tab w:val="left" w:pos="1276"/>
          <w:tab w:val="left" w:leader="dot" w:pos="9356"/>
        </w:tabs>
        <w:spacing w:after="120" w:line="240" w:lineRule="auto"/>
        <w:rPr>
          <w:rFonts w:ascii="Arial" w:eastAsiaTheme="minorHAnsi" w:hAnsi="Arial" w:cs="Arial"/>
          <w:i/>
          <w:iCs/>
          <w:sz w:val="24"/>
          <w:szCs w:val="24"/>
          <w:lang w:val="ro-RO"/>
        </w:rPr>
      </w:pP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
          <w:bCs/>
          <w:sz w:val="24"/>
          <w:szCs w:val="24"/>
          <w:lang w:val="ro-RO"/>
        </w:rPr>
        <w:t xml:space="preserve">Masa lemnoasă recoltată în judeţul Buzău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Volumul de lemn ce poate fi recoltat din păduri este cel prevăzut de amenajamentele silvice. Amenajamentele silvice se întocmesc pentru perioade de 10 ani, cu excepţia pădurilor din specii repede crescătoare (plop, salcie etc), la care amenajamentele silvice au valabilitate de numai 5 ani. Volumul de lemn ce poate fi recoltat anual (posibilitatea </w:t>
      </w:r>
      <w:r w:rsidRPr="002F5025">
        <w:rPr>
          <w:rFonts w:ascii="Arial" w:eastAsiaTheme="minorHAnsi" w:hAnsi="Arial" w:cs="Arial"/>
          <w:sz w:val="24"/>
          <w:szCs w:val="24"/>
          <w:lang w:val="ro-RO"/>
        </w:rPr>
        <w:lastRenderedPageBreak/>
        <w:t>anuală) se calculează raportând volumul total de lemn prevăzut de amenajament a fi recoltat, la numarul de ani de valabilitate a amenajamentului respectiv. Potrivit dispozitiilor art. 59 din Legea nr. 46/2008 Codul silvic, respectarea posibilităţii este obligatorie, putând fi depaşită doar în cazul în care în anii anteriori nu s-a recoltat întreaga posibilitate sau apar produse accidentale (arbori uscaţi, doboriţi de vânt sau zăpadă, atacaţi de insecte etc) care trebuie recoltate.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Pentru judeţul Buzău, evoluţia volumelor de masă lemnoasă recoltate în ultimii ani este prezentată în tabelul VI.1.1.-3 şi în figura VI.1.1.-3</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
          <w:sz w:val="24"/>
          <w:szCs w:val="24"/>
          <w:lang w:val="ro-RO"/>
        </w:rPr>
        <w:t xml:space="preserve">Tabel VI.1.1.-3  </w:t>
      </w:r>
      <w:r w:rsidRPr="002F5025">
        <w:rPr>
          <w:rFonts w:ascii="Arial" w:eastAsiaTheme="minorHAnsi" w:hAnsi="Arial" w:cs="Arial"/>
          <w:sz w:val="24"/>
          <w:szCs w:val="24"/>
          <w:lang w:val="ro-RO"/>
        </w:rPr>
        <w:t xml:space="preserve"> </w:t>
      </w:r>
      <w:r w:rsidRPr="002F5025">
        <w:rPr>
          <w:rFonts w:ascii="Arial" w:eastAsiaTheme="minorHAnsi" w:hAnsi="Arial" w:cs="Arial"/>
          <w:b/>
          <w:bCs/>
          <w:sz w:val="24"/>
          <w:szCs w:val="24"/>
          <w:lang w:val="ro-RO"/>
        </w:rPr>
        <w:t xml:space="preserve">Masa lemnoasă recoltată în judeţul Buzău                                               </w:t>
      </w:r>
    </w:p>
    <w:tbl>
      <w:tblPr>
        <w:tblStyle w:val="MediumGrid1-Accent3"/>
        <w:tblW w:w="4894" w:type="pct"/>
        <w:tblLook w:val="01E0"/>
      </w:tblPr>
      <w:tblGrid>
        <w:gridCol w:w="1946"/>
        <w:gridCol w:w="7699"/>
      </w:tblGrid>
      <w:tr w:rsidR="002F5025" w:rsidRPr="002F5025" w:rsidTr="00D92384">
        <w:trPr>
          <w:cnfStyle w:val="100000000000"/>
          <w:trHeight w:val="454"/>
        </w:trPr>
        <w:tc>
          <w:tcPr>
            <w:cnfStyle w:val="001000000000"/>
            <w:tcW w:w="1009" w:type="pct"/>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Anul</w:t>
            </w:r>
          </w:p>
        </w:tc>
        <w:tc>
          <w:tcPr>
            <w:cnfStyle w:val="000100000000"/>
            <w:tcW w:w="3991" w:type="pct"/>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Masă lemnoasă recoltată ( mc)</w:t>
            </w:r>
          </w:p>
        </w:tc>
      </w:tr>
      <w:tr w:rsidR="002F5025" w:rsidRPr="002F5025" w:rsidTr="00D92384">
        <w:trPr>
          <w:cnfStyle w:val="000000100000"/>
          <w:trHeight w:val="454"/>
        </w:trPr>
        <w:tc>
          <w:tcPr>
            <w:cnfStyle w:val="001000000000"/>
            <w:tcW w:w="1009" w:type="pct"/>
          </w:tcPr>
          <w:p w:rsidR="002F5025" w:rsidRPr="002F5025" w:rsidRDefault="002F5025" w:rsidP="002F5025">
            <w:pPr>
              <w:tabs>
                <w:tab w:val="center" w:pos="4320"/>
                <w:tab w:val="right" w:pos="8640"/>
              </w:tabs>
              <w:spacing w:after="120" w:line="240" w:lineRule="auto"/>
              <w:jc w:val="center"/>
              <w:rPr>
                <w:rFonts w:ascii="Arial" w:hAnsi="Arial" w:cs="Arial"/>
                <w:sz w:val="24"/>
                <w:szCs w:val="24"/>
                <w:lang w:val="ro-RO"/>
              </w:rPr>
            </w:pPr>
            <w:r w:rsidRPr="002F5025">
              <w:rPr>
                <w:rFonts w:ascii="Arial" w:hAnsi="Arial" w:cs="Arial"/>
                <w:sz w:val="24"/>
                <w:szCs w:val="24"/>
                <w:lang w:val="ro-RO"/>
              </w:rPr>
              <w:t>2010</w:t>
            </w:r>
          </w:p>
        </w:tc>
        <w:tc>
          <w:tcPr>
            <w:cnfStyle w:val="000100000000"/>
            <w:tcW w:w="3991" w:type="pct"/>
          </w:tcPr>
          <w:p w:rsidR="002F5025" w:rsidRPr="002F5025" w:rsidRDefault="002F5025" w:rsidP="002F5025">
            <w:pPr>
              <w:spacing w:after="120" w:line="240" w:lineRule="auto"/>
              <w:ind w:left="4"/>
              <w:jc w:val="center"/>
              <w:rPr>
                <w:rFonts w:ascii="Arial" w:hAnsi="Arial" w:cs="Arial"/>
                <w:sz w:val="24"/>
                <w:szCs w:val="24"/>
                <w:lang w:val="ro-RO"/>
              </w:rPr>
            </w:pPr>
            <w:r w:rsidRPr="002F5025">
              <w:rPr>
                <w:rFonts w:ascii="Arial" w:hAnsi="Arial" w:cs="Arial"/>
                <w:sz w:val="24"/>
                <w:szCs w:val="24"/>
                <w:lang w:val="ro-RO"/>
              </w:rPr>
              <w:t>341600</w:t>
            </w:r>
          </w:p>
        </w:tc>
      </w:tr>
      <w:tr w:rsidR="002F5025" w:rsidRPr="002F5025" w:rsidTr="00D92384">
        <w:trPr>
          <w:trHeight w:val="454"/>
        </w:trPr>
        <w:tc>
          <w:tcPr>
            <w:cnfStyle w:val="001000000000"/>
            <w:tcW w:w="1009" w:type="pct"/>
          </w:tcPr>
          <w:p w:rsidR="002F5025" w:rsidRPr="002F5025" w:rsidRDefault="002F5025" w:rsidP="002F5025">
            <w:pPr>
              <w:tabs>
                <w:tab w:val="center" w:pos="4320"/>
                <w:tab w:val="right" w:pos="8640"/>
              </w:tabs>
              <w:spacing w:after="120" w:line="240" w:lineRule="auto"/>
              <w:jc w:val="center"/>
              <w:rPr>
                <w:rFonts w:ascii="Arial" w:hAnsi="Arial" w:cs="Arial"/>
                <w:sz w:val="24"/>
                <w:szCs w:val="24"/>
                <w:lang w:val="ro-RO"/>
              </w:rPr>
            </w:pPr>
            <w:r w:rsidRPr="002F5025">
              <w:rPr>
                <w:rFonts w:ascii="Arial" w:hAnsi="Arial" w:cs="Arial"/>
                <w:sz w:val="24"/>
                <w:szCs w:val="24"/>
                <w:lang w:val="ro-RO"/>
              </w:rPr>
              <w:t>2011</w:t>
            </w:r>
          </w:p>
        </w:tc>
        <w:tc>
          <w:tcPr>
            <w:cnfStyle w:val="000100000000"/>
            <w:tcW w:w="3991" w:type="pct"/>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361600</w:t>
            </w:r>
          </w:p>
        </w:tc>
      </w:tr>
      <w:tr w:rsidR="002F5025" w:rsidRPr="002F5025" w:rsidTr="00D92384">
        <w:trPr>
          <w:cnfStyle w:val="000000100000"/>
          <w:trHeight w:val="454"/>
        </w:trPr>
        <w:tc>
          <w:tcPr>
            <w:cnfStyle w:val="001000000000"/>
            <w:tcW w:w="1009" w:type="pct"/>
          </w:tcPr>
          <w:p w:rsidR="002F5025" w:rsidRPr="002F5025" w:rsidRDefault="002F5025" w:rsidP="002F5025">
            <w:pPr>
              <w:tabs>
                <w:tab w:val="center" w:pos="4320"/>
                <w:tab w:val="right" w:pos="8640"/>
              </w:tabs>
              <w:spacing w:after="120" w:line="240" w:lineRule="auto"/>
              <w:jc w:val="center"/>
              <w:rPr>
                <w:rFonts w:ascii="Arial" w:hAnsi="Arial" w:cs="Arial"/>
                <w:sz w:val="24"/>
                <w:szCs w:val="24"/>
                <w:lang w:val="ro-RO"/>
              </w:rPr>
            </w:pPr>
            <w:r w:rsidRPr="002F5025">
              <w:rPr>
                <w:rFonts w:ascii="Arial" w:hAnsi="Arial" w:cs="Arial"/>
                <w:sz w:val="24"/>
                <w:szCs w:val="24"/>
                <w:lang w:val="ro-RO"/>
              </w:rPr>
              <w:t>2012</w:t>
            </w:r>
          </w:p>
        </w:tc>
        <w:tc>
          <w:tcPr>
            <w:cnfStyle w:val="000100000000"/>
            <w:tcW w:w="3991" w:type="pct"/>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391100</w:t>
            </w:r>
          </w:p>
        </w:tc>
      </w:tr>
      <w:tr w:rsidR="002F5025" w:rsidRPr="002F5025" w:rsidTr="00D92384">
        <w:trPr>
          <w:trHeight w:val="454"/>
        </w:trPr>
        <w:tc>
          <w:tcPr>
            <w:cnfStyle w:val="001000000000"/>
            <w:tcW w:w="1009" w:type="pct"/>
          </w:tcPr>
          <w:p w:rsidR="002F5025" w:rsidRPr="002F5025" w:rsidRDefault="002F5025" w:rsidP="002F5025">
            <w:pPr>
              <w:tabs>
                <w:tab w:val="center" w:pos="4320"/>
                <w:tab w:val="right" w:pos="8640"/>
              </w:tabs>
              <w:spacing w:after="120" w:line="240" w:lineRule="auto"/>
              <w:jc w:val="center"/>
              <w:rPr>
                <w:rFonts w:ascii="Arial" w:hAnsi="Arial" w:cs="Arial"/>
                <w:sz w:val="24"/>
                <w:szCs w:val="24"/>
                <w:lang w:val="ro-RO"/>
              </w:rPr>
            </w:pPr>
            <w:r w:rsidRPr="002F5025">
              <w:rPr>
                <w:rFonts w:ascii="Arial" w:hAnsi="Arial" w:cs="Arial"/>
                <w:sz w:val="24"/>
                <w:szCs w:val="24"/>
                <w:lang w:val="ro-RO"/>
              </w:rPr>
              <w:t>2013</w:t>
            </w:r>
          </w:p>
        </w:tc>
        <w:tc>
          <w:tcPr>
            <w:cnfStyle w:val="000100000000"/>
            <w:tcW w:w="3991" w:type="pct"/>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437300</w:t>
            </w:r>
          </w:p>
        </w:tc>
      </w:tr>
      <w:tr w:rsidR="002F5025" w:rsidRPr="002F5025" w:rsidTr="00D92384">
        <w:trPr>
          <w:cnfStyle w:val="010000000000"/>
          <w:trHeight w:val="454"/>
        </w:trPr>
        <w:tc>
          <w:tcPr>
            <w:cnfStyle w:val="001000000000"/>
            <w:tcW w:w="1009" w:type="pct"/>
          </w:tcPr>
          <w:p w:rsidR="002F5025" w:rsidRPr="002F5025" w:rsidRDefault="002F5025" w:rsidP="002F5025">
            <w:pPr>
              <w:tabs>
                <w:tab w:val="center" w:pos="4320"/>
                <w:tab w:val="right" w:pos="8640"/>
              </w:tabs>
              <w:spacing w:after="120" w:line="240" w:lineRule="auto"/>
              <w:jc w:val="center"/>
              <w:rPr>
                <w:rFonts w:ascii="Arial" w:hAnsi="Arial" w:cs="Arial"/>
                <w:sz w:val="24"/>
                <w:szCs w:val="24"/>
                <w:lang w:val="ro-RO"/>
              </w:rPr>
            </w:pPr>
            <w:r w:rsidRPr="002F5025">
              <w:rPr>
                <w:rFonts w:ascii="Arial" w:hAnsi="Arial" w:cs="Arial"/>
                <w:sz w:val="24"/>
                <w:szCs w:val="24"/>
                <w:lang w:val="ro-RO"/>
              </w:rPr>
              <w:t>2014</w:t>
            </w:r>
          </w:p>
        </w:tc>
        <w:tc>
          <w:tcPr>
            <w:cnfStyle w:val="000100000000"/>
            <w:tcW w:w="3991" w:type="pct"/>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357200</w:t>
            </w:r>
          </w:p>
        </w:tc>
      </w:tr>
    </w:tbl>
    <w:p w:rsidR="002F5025" w:rsidRPr="002F5025" w:rsidRDefault="002F5025" w:rsidP="002F5025">
      <w:pPr>
        <w:tabs>
          <w:tab w:val="left" w:pos="1276"/>
          <w:tab w:val="left" w:leader="dot" w:pos="9356"/>
        </w:tabs>
        <w:spacing w:after="120" w:line="240" w:lineRule="auto"/>
        <w:rPr>
          <w:rFonts w:ascii="Arial" w:eastAsiaTheme="minorHAnsi" w:hAnsi="Arial" w:cs="Arial"/>
          <w:i/>
          <w:iCs/>
          <w:sz w:val="24"/>
          <w:szCs w:val="24"/>
          <w:lang w:val="ro-RO"/>
        </w:rPr>
      </w:pPr>
      <w:r w:rsidRPr="002F5025">
        <w:rPr>
          <w:rFonts w:ascii="Arial" w:eastAsiaTheme="minorHAnsi" w:hAnsi="Arial" w:cs="Arial"/>
          <w:i/>
          <w:iCs/>
          <w:sz w:val="24"/>
          <w:szCs w:val="24"/>
          <w:lang w:val="ro-RO"/>
        </w:rPr>
        <w:t xml:space="preserve">                                                                                                          Sursa C.R.S.C. Focşani  </w:t>
      </w:r>
    </w:p>
    <w:p w:rsidR="002F5025" w:rsidRPr="002F5025" w:rsidRDefault="002F5025" w:rsidP="002F5025">
      <w:pPr>
        <w:spacing w:after="120" w:line="240" w:lineRule="auto"/>
        <w:rPr>
          <w:rFonts w:ascii="Arial" w:eastAsiaTheme="minorHAnsi" w:hAnsi="Arial" w:cs="Arial"/>
          <w:b/>
          <w:bCs/>
          <w:sz w:val="24"/>
          <w:szCs w:val="24"/>
          <w:lang w:val="ro-RO"/>
        </w:rPr>
      </w:pPr>
    </w:p>
    <w:p w:rsidR="002F5025" w:rsidRPr="002F5025" w:rsidRDefault="002F5025" w:rsidP="002F5025">
      <w:pPr>
        <w:spacing w:after="120" w:line="240" w:lineRule="auto"/>
        <w:rPr>
          <w:rFonts w:ascii="Arial" w:eastAsiaTheme="minorHAnsi" w:hAnsi="Arial" w:cs="Arial"/>
          <w:b/>
          <w:bCs/>
          <w:sz w:val="24"/>
          <w:szCs w:val="24"/>
          <w:lang w:val="ro-RO"/>
        </w:rPr>
      </w:pPr>
      <w:r w:rsidRPr="002F5025">
        <w:rPr>
          <w:rFonts w:ascii="Arial" w:eastAsiaTheme="minorHAnsi" w:hAnsi="Arial" w:cs="Arial"/>
          <w:b/>
          <w:bCs/>
          <w:sz w:val="24"/>
          <w:szCs w:val="24"/>
          <w:lang w:val="ro-RO"/>
        </w:rPr>
        <w:t xml:space="preserve">Figura </w:t>
      </w:r>
      <w:r w:rsidRPr="002F5025">
        <w:rPr>
          <w:rFonts w:ascii="Arial" w:eastAsiaTheme="minorHAnsi" w:hAnsi="Arial" w:cs="Arial"/>
          <w:b/>
          <w:sz w:val="24"/>
          <w:szCs w:val="24"/>
          <w:lang w:val="ro-RO"/>
        </w:rPr>
        <w:t xml:space="preserve">VI.1.1.-3  </w:t>
      </w:r>
      <w:r w:rsidRPr="002F5025">
        <w:rPr>
          <w:rFonts w:ascii="Arial" w:eastAsiaTheme="minorHAnsi" w:hAnsi="Arial" w:cs="Arial"/>
          <w:sz w:val="24"/>
          <w:szCs w:val="24"/>
          <w:lang w:val="ro-RO"/>
        </w:rPr>
        <w:t xml:space="preserve"> </w:t>
      </w:r>
      <w:r w:rsidRPr="002F5025">
        <w:rPr>
          <w:rFonts w:ascii="Arial" w:eastAsiaTheme="minorHAnsi" w:hAnsi="Arial" w:cs="Arial"/>
          <w:b/>
          <w:sz w:val="24"/>
          <w:szCs w:val="24"/>
          <w:lang w:val="ro-RO"/>
        </w:rPr>
        <w:t>Evoluţia masei lemnoase recoltate în judeţul Buzău</w:t>
      </w:r>
    </w:p>
    <w:p w:rsidR="002F5025" w:rsidRPr="002F5025" w:rsidRDefault="002F5025" w:rsidP="002F5025">
      <w:pPr>
        <w:spacing w:after="120" w:line="240" w:lineRule="auto"/>
        <w:rPr>
          <w:rFonts w:ascii="Arial" w:eastAsiaTheme="minorHAnsi" w:hAnsi="Arial" w:cs="Arial"/>
          <w:bCs/>
          <w:sz w:val="24"/>
          <w:szCs w:val="24"/>
          <w:lang w:val="ro-RO"/>
        </w:rPr>
      </w:pPr>
      <w:r w:rsidRPr="002F5025">
        <w:rPr>
          <w:rFonts w:ascii="Arial" w:eastAsiaTheme="minorHAnsi" w:hAnsi="Arial" w:cs="Arial"/>
          <w:bCs/>
          <w:noProof/>
          <w:sz w:val="24"/>
          <w:szCs w:val="24"/>
          <w:lang w:val="ro-RO" w:eastAsia="ro-RO"/>
        </w:rPr>
        <w:drawing>
          <wp:inline distT="0" distB="0" distL="0" distR="0">
            <wp:extent cx="5486400" cy="3219450"/>
            <wp:effectExtent l="19050" t="0" r="19050" b="0"/>
            <wp:docPr id="19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2F5025" w:rsidRPr="002F5025" w:rsidRDefault="002F5025" w:rsidP="002F5025">
      <w:pPr>
        <w:tabs>
          <w:tab w:val="left" w:pos="1276"/>
          <w:tab w:val="left" w:leader="dot" w:pos="9356"/>
        </w:tabs>
        <w:spacing w:after="120" w:line="240" w:lineRule="auto"/>
        <w:rPr>
          <w:rFonts w:ascii="Arial" w:eastAsiaTheme="minorHAnsi" w:hAnsi="Arial" w:cs="Arial"/>
          <w:i/>
          <w:iCs/>
          <w:sz w:val="24"/>
          <w:szCs w:val="24"/>
          <w:lang w:val="ro-RO"/>
        </w:rPr>
      </w:pPr>
      <w:r w:rsidRPr="002F5025">
        <w:rPr>
          <w:rFonts w:ascii="Arial" w:eastAsiaTheme="minorHAnsi" w:hAnsi="Arial" w:cs="Arial"/>
          <w:i/>
          <w:iCs/>
          <w:sz w:val="24"/>
          <w:szCs w:val="24"/>
          <w:lang w:val="ro-RO"/>
        </w:rPr>
        <w:t xml:space="preserve">                                                                                           Sursa C.R.S.C. Focşani  </w:t>
      </w:r>
    </w:p>
    <w:p w:rsidR="002F5025" w:rsidRPr="002F5025" w:rsidRDefault="002F5025" w:rsidP="002F5025">
      <w:pPr>
        <w:spacing w:after="120" w:line="240" w:lineRule="auto"/>
        <w:rPr>
          <w:rFonts w:ascii="Arial" w:eastAsiaTheme="minorHAnsi" w:hAnsi="Arial" w:cs="Arial"/>
          <w:bCs/>
          <w:sz w:val="24"/>
          <w:szCs w:val="24"/>
          <w:lang w:val="ro-RO"/>
        </w:rPr>
      </w:pPr>
      <w:r w:rsidRPr="002F5025">
        <w:rPr>
          <w:rFonts w:ascii="Arial" w:eastAsiaTheme="minorHAnsi" w:hAnsi="Arial" w:cs="Arial"/>
          <w:bCs/>
          <w:sz w:val="24"/>
          <w:szCs w:val="24"/>
          <w:lang w:val="ro-RO"/>
        </w:rPr>
        <w:t>Făcând o comparaţie între evoluţia fondului forestier şi tăierea masei lemnoase,  în judeţul Buzău situaţia se prezintă astfel:</w:t>
      </w:r>
    </w:p>
    <w:p w:rsidR="002F5025" w:rsidRPr="002F5025" w:rsidRDefault="002F5025" w:rsidP="002F5025">
      <w:pPr>
        <w:spacing w:after="120" w:line="240" w:lineRule="auto"/>
        <w:jc w:val="both"/>
        <w:rPr>
          <w:rFonts w:ascii="Arial" w:eastAsiaTheme="minorHAnsi" w:hAnsi="Arial" w:cs="Arial"/>
          <w:b/>
          <w:bCs/>
          <w:sz w:val="24"/>
          <w:szCs w:val="24"/>
          <w:lang w:val="ro-RO"/>
        </w:rPr>
      </w:pPr>
      <w:r w:rsidRPr="002F5025">
        <w:rPr>
          <w:rFonts w:ascii="Arial" w:eastAsiaTheme="minorHAnsi" w:hAnsi="Arial" w:cs="Arial"/>
          <w:b/>
          <w:sz w:val="24"/>
          <w:szCs w:val="24"/>
          <w:lang w:val="ro-RO"/>
        </w:rPr>
        <w:t xml:space="preserve">Tabel VI.1.1.-4 Comparaţie între evoluţia fondului forestier şi tăierea masei lemnoase </w:t>
      </w:r>
      <w:r w:rsidRPr="002F5025">
        <w:rPr>
          <w:rFonts w:ascii="Arial" w:eastAsiaTheme="minorHAnsi" w:hAnsi="Arial" w:cs="Arial"/>
          <w:sz w:val="24"/>
          <w:szCs w:val="24"/>
          <w:lang w:val="ro-RO"/>
        </w:rPr>
        <w:t xml:space="preserve"> </w:t>
      </w:r>
    </w:p>
    <w:tbl>
      <w:tblPr>
        <w:tblStyle w:val="MediumShading1-Accent3"/>
        <w:tblW w:w="0" w:type="auto"/>
        <w:jc w:val="center"/>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6"/>
        <w:gridCol w:w="3402"/>
        <w:gridCol w:w="3969"/>
      </w:tblGrid>
      <w:tr w:rsidR="002F5025" w:rsidRPr="002F5025" w:rsidTr="00D92384">
        <w:trPr>
          <w:cnfStyle w:val="100000000000"/>
          <w:jc w:val="center"/>
        </w:trPr>
        <w:tc>
          <w:tcPr>
            <w:cnfStyle w:val="001000000000"/>
            <w:tcW w:w="1726"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0" w:line="240" w:lineRule="auto"/>
              <w:jc w:val="center"/>
              <w:rPr>
                <w:rFonts w:ascii="Arial" w:hAnsi="Arial" w:cs="Arial"/>
                <w:sz w:val="24"/>
                <w:szCs w:val="24"/>
                <w:lang w:val="ro-RO"/>
              </w:rPr>
            </w:pPr>
            <w:r w:rsidRPr="002F5025">
              <w:rPr>
                <w:rFonts w:ascii="Arial" w:hAnsi="Arial" w:cs="Arial"/>
                <w:sz w:val="24"/>
                <w:szCs w:val="24"/>
                <w:lang w:val="ro-RO"/>
              </w:rPr>
              <w:t>An</w:t>
            </w:r>
          </w:p>
        </w:tc>
        <w:tc>
          <w:tcPr>
            <w:tcW w:w="3402"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0" w:line="240" w:lineRule="auto"/>
              <w:jc w:val="center"/>
              <w:cnfStyle w:val="100000000000"/>
              <w:rPr>
                <w:rFonts w:ascii="Arial" w:hAnsi="Arial" w:cs="Arial"/>
                <w:sz w:val="24"/>
                <w:szCs w:val="24"/>
                <w:lang w:val="ro-RO"/>
              </w:rPr>
            </w:pPr>
            <w:r w:rsidRPr="002F5025">
              <w:rPr>
                <w:rFonts w:ascii="Arial" w:hAnsi="Arial" w:cs="Arial"/>
                <w:sz w:val="24"/>
                <w:szCs w:val="24"/>
                <w:lang w:val="ro-RO"/>
              </w:rPr>
              <w:t>Suprafaţa fond forestier (ha)</w:t>
            </w:r>
          </w:p>
        </w:tc>
        <w:tc>
          <w:tcPr>
            <w:tcW w:w="3969"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0" w:line="240" w:lineRule="auto"/>
              <w:jc w:val="center"/>
              <w:cnfStyle w:val="100000000000"/>
              <w:rPr>
                <w:rFonts w:ascii="Arial" w:hAnsi="Arial" w:cs="Arial"/>
                <w:sz w:val="24"/>
                <w:szCs w:val="24"/>
                <w:lang w:val="ro-RO"/>
              </w:rPr>
            </w:pPr>
            <w:r w:rsidRPr="002F5025">
              <w:rPr>
                <w:rFonts w:ascii="Arial" w:hAnsi="Arial" w:cs="Arial"/>
                <w:sz w:val="24"/>
                <w:szCs w:val="24"/>
                <w:lang w:val="ro-RO"/>
              </w:rPr>
              <w:t>Masă lemnoasă     recoltată</w:t>
            </w:r>
          </w:p>
          <w:p w:rsidR="002F5025" w:rsidRPr="002F5025" w:rsidRDefault="002F5025" w:rsidP="002F5025">
            <w:pPr>
              <w:spacing w:after="0" w:line="240" w:lineRule="auto"/>
              <w:jc w:val="center"/>
              <w:cnfStyle w:val="100000000000"/>
              <w:rPr>
                <w:rFonts w:ascii="Arial" w:hAnsi="Arial" w:cs="Arial"/>
                <w:sz w:val="24"/>
                <w:szCs w:val="24"/>
                <w:lang w:val="ro-RO"/>
              </w:rPr>
            </w:pPr>
            <w:r w:rsidRPr="002F5025">
              <w:rPr>
                <w:rFonts w:ascii="Arial" w:hAnsi="Arial" w:cs="Arial"/>
                <w:sz w:val="24"/>
                <w:szCs w:val="24"/>
                <w:lang w:val="ro-RO"/>
              </w:rPr>
              <w:t xml:space="preserve"> ( mii mc)</w:t>
            </w:r>
          </w:p>
        </w:tc>
      </w:tr>
      <w:tr w:rsidR="002F5025" w:rsidRPr="002F5025" w:rsidTr="00D92384">
        <w:trPr>
          <w:cnfStyle w:val="000000100000"/>
          <w:jc w:val="center"/>
        </w:trPr>
        <w:tc>
          <w:tcPr>
            <w:cnfStyle w:val="001000000000"/>
            <w:tcW w:w="1726"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2010</w:t>
            </w:r>
          </w:p>
        </w:tc>
        <w:tc>
          <w:tcPr>
            <w:tcW w:w="3402" w:type="dxa"/>
            <w:tcBorders>
              <w:left w:val="none" w:sz="0" w:space="0" w:color="auto"/>
              <w:right w:val="none" w:sz="0" w:space="0" w:color="auto"/>
            </w:tcBorders>
          </w:tcPr>
          <w:p w:rsidR="002F5025" w:rsidRPr="002F5025" w:rsidRDefault="002F5025" w:rsidP="002F5025">
            <w:pPr>
              <w:spacing w:after="0" w:line="240" w:lineRule="auto"/>
              <w:jc w:val="center"/>
              <w:cnfStyle w:val="000000100000"/>
              <w:rPr>
                <w:rFonts w:ascii="Arial" w:hAnsi="Arial" w:cs="Arial"/>
                <w:color w:val="000000"/>
                <w:sz w:val="24"/>
                <w:szCs w:val="24"/>
                <w:lang w:val="ro-RO"/>
              </w:rPr>
            </w:pPr>
            <w:r w:rsidRPr="002F5025">
              <w:rPr>
                <w:rFonts w:ascii="Arial" w:hAnsi="Arial" w:cs="Arial"/>
                <w:color w:val="000000"/>
                <w:sz w:val="24"/>
                <w:szCs w:val="24"/>
                <w:lang w:val="ro-RO"/>
              </w:rPr>
              <w:t>158 502</w:t>
            </w:r>
          </w:p>
        </w:tc>
        <w:tc>
          <w:tcPr>
            <w:tcW w:w="3969" w:type="dxa"/>
            <w:tcBorders>
              <w:left w:val="none" w:sz="0" w:space="0" w:color="auto"/>
            </w:tcBorders>
          </w:tcPr>
          <w:p w:rsidR="002F5025" w:rsidRPr="002F5025" w:rsidRDefault="002F5025" w:rsidP="002F5025">
            <w:pPr>
              <w:spacing w:after="0" w:line="240" w:lineRule="auto"/>
              <w:ind w:left="4"/>
              <w:jc w:val="center"/>
              <w:cnfStyle w:val="000000100000"/>
              <w:rPr>
                <w:rFonts w:ascii="Arial" w:eastAsia="Times New Roman" w:hAnsi="Arial" w:cs="Arial"/>
                <w:sz w:val="24"/>
                <w:szCs w:val="24"/>
                <w:lang w:val="ro-RO"/>
              </w:rPr>
            </w:pPr>
            <w:r w:rsidRPr="002F5025">
              <w:rPr>
                <w:rFonts w:ascii="Arial" w:eastAsia="Times New Roman" w:hAnsi="Arial" w:cs="Arial"/>
                <w:sz w:val="24"/>
                <w:szCs w:val="24"/>
                <w:lang w:val="ro-RO"/>
              </w:rPr>
              <w:t>341,6</w:t>
            </w:r>
          </w:p>
        </w:tc>
      </w:tr>
      <w:tr w:rsidR="002F5025" w:rsidRPr="002F5025" w:rsidTr="00D92384">
        <w:trPr>
          <w:cnfStyle w:val="000000010000"/>
          <w:jc w:val="center"/>
        </w:trPr>
        <w:tc>
          <w:tcPr>
            <w:cnfStyle w:val="001000000000"/>
            <w:tcW w:w="1726"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2011</w:t>
            </w:r>
          </w:p>
        </w:tc>
        <w:tc>
          <w:tcPr>
            <w:tcW w:w="3402" w:type="dxa"/>
            <w:tcBorders>
              <w:left w:val="none" w:sz="0" w:space="0" w:color="auto"/>
              <w:right w:val="none" w:sz="0" w:space="0" w:color="auto"/>
            </w:tcBorders>
          </w:tcPr>
          <w:p w:rsidR="002F5025" w:rsidRPr="002F5025" w:rsidRDefault="002F5025" w:rsidP="002F5025">
            <w:pPr>
              <w:spacing w:after="0" w:line="240" w:lineRule="auto"/>
              <w:jc w:val="center"/>
              <w:cnfStyle w:val="000000010000"/>
              <w:rPr>
                <w:rFonts w:ascii="Arial" w:hAnsi="Arial" w:cs="Arial"/>
                <w:bCs/>
                <w:iCs/>
                <w:sz w:val="24"/>
                <w:szCs w:val="24"/>
                <w:lang w:val="ro-RO"/>
              </w:rPr>
            </w:pPr>
            <w:r w:rsidRPr="002F5025">
              <w:rPr>
                <w:rFonts w:ascii="Arial" w:hAnsi="Arial" w:cs="Arial"/>
                <w:bCs/>
                <w:iCs/>
                <w:sz w:val="24"/>
                <w:szCs w:val="24"/>
                <w:lang w:val="ro-RO"/>
              </w:rPr>
              <w:t>158 658</w:t>
            </w:r>
          </w:p>
        </w:tc>
        <w:tc>
          <w:tcPr>
            <w:tcW w:w="3969" w:type="dxa"/>
            <w:tcBorders>
              <w:left w:val="none" w:sz="0" w:space="0" w:color="auto"/>
            </w:tcBorders>
          </w:tcPr>
          <w:p w:rsidR="002F5025" w:rsidRPr="002F5025" w:rsidRDefault="002F5025" w:rsidP="002F5025">
            <w:pPr>
              <w:spacing w:after="0" w:line="240" w:lineRule="auto"/>
              <w:jc w:val="center"/>
              <w:cnfStyle w:val="000000010000"/>
              <w:rPr>
                <w:rFonts w:ascii="Arial" w:hAnsi="Arial" w:cs="Arial"/>
                <w:sz w:val="24"/>
                <w:szCs w:val="24"/>
                <w:lang w:val="ro-RO"/>
              </w:rPr>
            </w:pPr>
            <w:r w:rsidRPr="002F5025">
              <w:rPr>
                <w:rFonts w:ascii="Arial" w:hAnsi="Arial" w:cs="Arial"/>
                <w:sz w:val="24"/>
                <w:szCs w:val="24"/>
                <w:lang w:val="ro-RO"/>
              </w:rPr>
              <w:t>361,6</w:t>
            </w:r>
          </w:p>
        </w:tc>
      </w:tr>
      <w:tr w:rsidR="002F5025" w:rsidRPr="002F5025" w:rsidTr="00D92384">
        <w:trPr>
          <w:cnfStyle w:val="000000100000"/>
          <w:jc w:val="center"/>
        </w:trPr>
        <w:tc>
          <w:tcPr>
            <w:cnfStyle w:val="001000000000"/>
            <w:tcW w:w="1726"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2012</w:t>
            </w:r>
          </w:p>
        </w:tc>
        <w:tc>
          <w:tcPr>
            <w:tcW w:w="3402" w:type="dxa"/>
            <w:tcBorders>
              <w:left w:val="none" w:sz="0" w:space="0" w:color="auto"/>
              <w:right w:val="none" w:sz="0" w:space="0" w:color="auto"/>
            </w:tcBorders>
          </w:tcPr>
          <w:p w:rsidR="002F5025" w:rsidRPr="002F5025" w:rsidRDefault="002F5025" w:rsidP="002F5025">
            <w:pPr>
              <w:spacing w:after="0" w:line="240" w:lineRule="auto"/>
              <w:jc w:val="center"/>
              <w:cnfStyle w:val="000000100000"/>
              <w:rPr>
                <w:rFonts w:ascii="Arial" w:hAnsi="Arial" w:cs="Arial"/>
                <w:sz w:val="24"/>
                <w:szCs w:val="24"/>
                <w:lang w:val="ro-RO"/>
              </w:rPr>
            </w:pPr>
            <w:r w:rsidRPr="002F5025">
              <w:rPr>
                <w:rFonts w:ascii="Arial" w:hAnsi="Arial" w:cs="Arial"/>
                <w:sz w:val="24"/>
                <w:szCs w:val="24"/>
                <w:lang w:val="ro-RO"/>
              </w:rPr>
              <w:t>160 818</w:t>
            </w:r>
          </w:p>
        </w:tc>
        <w:tc>
          <w:tcPr>
            <w:tcW w:w="3969" w:type="dxa"/>
            <w:tcBorders>
              <w:left w:val="none" w:sz="0" w:space="0" w:color="auto"/>
            </w:tcBorders>
          </w:tcPr>
          <w:p w:rsidR="002F5025" w:rsidRPr="002F5025" w:rsidRDefault="002F5025" w:rsidP="002F5025">
            <w:pPr>
              <w:spacing w:after="0" w:line="240" w:lineRule="auto"/>
              <w:jc w:val="center"/>
              <w:cnfStyle w:val="000000100000"/>
              <w:rPr>
                <w:rFonts w:ascii="Arial" w:hAnsi="Arial" w:cs="Arial"/>
                <w:sz w:val="24"/>
                <w:szCs w:val="24"/>
                <w:lang w:val="ro-RO"/>
              </w:rPr>
            </w:pPr>
            <w:r w:rsidRPr="002F5025">
              <w:rPr>
                <w:rFonts w:ascii="Arial" w:hAnsi="Arial" w:cs="Arial"/>
                <w:sz w:val="24"/>
                <w:szCs w:val="24"/>
                <w:lang w:val="ro-RO"/>
              </w:rPr>
              <w:t>391,1</w:t>
            </w:r>
          </w:p>
        </w:tc>
      </w:tr>
      <w:tr w:rsidR="002F5025" w:rsidRPr="002F5025" w:rsidTr="00D92384">
        <w:trPr>
          <w:cnfStyle w:val="000000010000"/>
          <w:jc w:val="center"/>
        </w:trPr>
        <w:tc>
          <w:tcPr>
            <w:cnfStyle w:val="001000000000"/>
            <w:tcW w:w="1726"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lastRenderedPageBreak/>
              <w:t>2013</w:t>
            </w:r>
          </w:p>
        </w:tc>
        <w:tc>
          <w:tcPr>
            <w:tcW w:w="3402" w:type="dxa"/>
            <w:tcBorders>
              <w:left w:val="none" w:sz="0" w:space="0" w:color="auto"/>
              <w:right w:val="none" w:sz="0" w:space="0" w:color="auto"/>
            </w:tcBorders>
          </w:tcPr>
          <w:p w:rsidR="002F5025" w:rsidRPr="002F5025" w:rsidRDefault="002F5025" w:rsidP="002F5025">
            <w:pPr>
              <w:spacing w:after="0" w:line="240" w:lineRule="auto"/>
              <w:jc w:val="center"/>
              <w:cnfStyle w:val="000000010000"/>
              <w:rPr>
                <w:rFonts w:ascii="Arial" w:hAnsi="Arial" w:cs="Arial"/>
                <w:kern w:val="32"/>
                <w:sz w:val="24"/>
                <w:szCs w:val="24"/>
                <w:lang w:val="ro-RO"/>
              </w:rPr>
            </w:pPr>
            <w:r w:rsidRPr="002F5025">
              <w:rPr>
                <w:rFonts w:ascii="Arial" w:hAnsi="Arial" w:cs="Arial"/>
                <w:sz w:val="24"/>
                <w:szCs w:val="24"/>
                <w:lang w:val="ro-RO"/>
              </w:rPr>
              <w:t>160216</w:t>
            </w:r>
          </w:p>
        </w:tc>
        <w:tc>
          <w:tcPr>
            <w:tcW w:w="3969" w:type="dxa"/>
            <w:tcBorders>
              <w:left w:val="none" w:sz="0" w:space="0" w:color="auto"/>
            </w:tcBorders>
          </w:tcPr>
          <w:p w:rsidR="002F5025" w:rsidRPr="002F5025" w:rsidRDefault="002F5025" w:rsidP="002F5025">
            <w:pPr>
              <w:spacing w:after="0" w:line="240" w:lineRule="auto"/>
              <w:jc w:val="center"/>
              <w:cnfStyle w:val="000000010000"/>
              <w:rPr>
                <w:rFonts w:ascii="Arial" w:hAnsi="Arial" w:cs="Arial"/>
                <w:sz w:val="24"/>
                <w:szCs w:val="24"/>
                <w:lang w:val="ro-RO"/>
              </w:rPr>
            </w:pPr>
            <w:r w:rsidRPr="002F5025">
              <w:rPr>
                <w:rFonts w:ascii="Arial" w:hAnsi="Arial" w:cs="Arial"/>
                <w:sz w:val="24"/>
                <w:szCs w:val="24"/>
                <w:lang w:val="ro-RO"/>
              </w:rPr>
              <w:t>437,3</w:t>
            </w:r>
          </w:p>
        </w:tc>
      </w:tr>
      <w:tr w:rsidR="002F5025" w:rsidRPr="002F5025" w:rsidTr="00D92384">
        <w:trPr>
          <w:cnfStyle w:val="000000100000"/>
          <w:jc w:val="center"/>
        </w:trPr>
        <w:tc>
          <w:tcPr>
            <w:cnfStyle w:val="001000000000"/>
            <w:tcW w:w="1726"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2014</w:t>
            </w:r>
          </w:p>
        </w:tc>
        <w:tc>
          <w:tcPr>
            <w:tcW w:w="3402" w:type="dxa"/>
            <w:tcBorders>
              <w:left w:val="none" w:sz="0" w:space="0" w:color="auto"/>
              <w:right w:val="none" w:sz="0" w:space="0" w:color="auto"/>
            </w:tcBorders>
          </w:tcPr>
          <w:p w:rsidR="002F5025" w:rsidRPr="002F5025" w:rsidRDefault="002F5025" w:rsidP="002F5025">
            <w:pPr>
              <w:spacing w:after="0" w:line="240" w:lineRule="auto"/>
              <w:jc w:val="center"/>
              <w:cnfStyle w:val="000000100000"/>
              <w:rPr>
                <w:rFonts w:ascii="Arial" w:hAnsi="Arial" w:cs="Arial"/>
                <w:sz w:val="24"/>
                <w:szCs w:val="24"/>
                <w:lang w:val="ro-RO"/>
              </w:rPr>
            </w:pPr>
            <w:r w:rsidRPr="002F5025">
              <w:rPr>
                <w:rFonts w:ascii="Arial" w:hAnsi="Arial" w:cs="Arial"/>
                <w:sz w:val="24"/>
                <w:szCs w:val="24"/>
                <w:lang w:val="ro-RO"/>
              </w:rPr>
              <w:t>159 266</w:t>
            </w:r>
          </w:p>
        </w:tc>
        <w:tc>
          <w:tcPr>
            <w:tcW w:w="3969" w:type="dxa"/>
            <w:tcBorders>
              <w:left w:val="none" w:sz="0" w:space="0" w:color="auto"/>
            </w:tcBorders>
          </w:tcPr>
          <w:p w:rsidR="002F5025" w:rsidRPr="002F5025" w:rsidRDefault="002F5025" w:rsidP="002F5025">
            <w:pPr>
              <w:spacing w:after="0" w:line="240" w:lineRule="auto"/>
              <w:jc w:val="center"/>
              <w:cnfStyle w:val="000000100000"/>
              <w:rPr>
                <w:rFonts w:ascii="Arial" w:hAnsi="Arial" w:cs="Arial"/>
                <w:sz w:val="24"/>
                <w:szCs w:val="24"/>
                <w:lang w:val="ro-RO"/>
              </w:rPr>
            </w:pPr>
            <w:r w:rsidRPr="002F5025">
              <w:rPr>
                <w:rFonts w:ascii="Arial" w:hAnsi="Arial" w:cs="Arial"/>
                <w:sz w:val="24"/>
                <w:szCs w:val="24"/>
                <w:lang w:val="ro-RO"/>
              </w:rPr>
              <w:t>357,2</w:t>
            </w:r>
          </w:p>
        </w:tc>
      </w:tr>
    </w:tbl>
    <w:p w:rsidR="002F5025" w:rsidRPr="002F5025" w:rsidRDefault="002F5025" w:rsidP="002F5025">
      <w:pPr>
        <w:tabs>
          <w:tab w:val="left" w:pos="1276"/>
          <w:tab w:val="left" w:leader="dot" w:pos="9356"/>
        </w:tabs>
        <w:spacing w:after="120" w:line="240" w:lineRule="auto"/>
        <w:rPr>
          <w:rFonts w:ascii="Arial" w:eastAsiaTheme="minorHAnsi" w:hAnsi="Arial" w:cs="Arial"/>
          <w:i/>
          <w:iCs/>
          <w:sz w:val="24"/>
          <w:szCs w:val="24"/>
          <w:lang w:val="ro-RO"/>
        </w:rPr>
      </w:pPr>
      <w:r w:rsidRPr="002F5025">
        <w:rPr>
          <w:rFonts w:ascii="Arial" w:eastAsiaTheme="minorHAnsi" w:hAnsi="Arial" w:cs="Arial"/>
          <w:i/>
          <w:iCs/>
          <w:sz w:val="24"/>
          <w:szCs w:val="24"/>
          <w:lang w:val="ro-RO"/>
        </w:rPr>
        <w:t xml:space="preserve">    Sursa C.R.S.C. Focşani  </w:t>
      </w:r>
    </w:p>
    <w:p w:rsidR="002F5025" w:rsidRPr="002F5025" w:rsidRDefault="002F5025" w:rsidP="002F5025">
      <w:pPr>
        <w:spacing w:after="120" w:line="240" w:lineRule="auto"/>
        <w:rPr>
          <w:rFonts w:ascii="Arial" w:eastAsiaTheme="minorHAnsi" w:hAnsi="Arial" w:cs="Arial"/>
          <w:bCs/>
          <w:sz w:val="24"/>
          <w:szCs w:val="24"/>
          <w:lang w:val="ro-RO"/>
        </w:rPr>
      </w:pPr>
      <w:r w:rsidRPr="002F5025">
        <w:rPr>
          <w:rFonts w:ascii="Arial" w:eastAsiaTheme="minorHAnsi" w:hAnsi="Arial" w:cs="Arial"/>
          <w:b/>
          <w:bCs/>
          <w:sz w:val="24"/>
          <w:szCs w:val="24"/>
          <w:lang w:val="ro-RO"/>
        </w:rPr>
        <w:t xml:space="preserve">Figura </w:t>
      </w:r>
      <w:r w:rsidRPr="002F5025">
        <w:rPr>
          <w:rFonts w:ascii="Arial" w:eastAsiaTheme="minorHAnsi" w:hAnsi="Arial" w:cs="Arial"/>
          <w:b/>
          <w:sz w:val="24"/>
          <w:szCs w:val="24"/>
          <w:lang w:val="ro-RO"/>
        </w:rPr>
        <w:t xml:space="preserve">VI.1.1.-4 Comparaţia între evoluţia fondului forestier şi tăierii masei lemnoase </w:t>
      </w:r>
      <w:r w:rsidRPr="002F5025">
        <w:rPr>
          <w:rFonts w:ascii="Arial" w:eastAsiaTheme="minorHAnsi" w:hAnsi="Arial" w:cs="Arial"/>
          <w:sz w:val="24"/>
          <w:szCs w:val="24"/>
          <w:lang w:val="ro-RO"/>
        </w:rPr>
        <w:t xml:space="preserve"> </w:t>
      </w:r>
    </w:p>
    <w:p w:rsidR="002F5025" w:rsidRPr="002F5025" w:rsidRDefault="002F5025" w:rsidP="002F5025">
      <w:pPr>
        <w:spacing w:after="120" w:line="240" w:lineRule="auto"/>
        <w:rPr>
          <w:rFonts w:ascii="Arial" w:eastAsiaTheme="minorHAnsi" w:hAnsi="Arial" w:cs="Arial"/>
          <w:bCs/>
          <w:sz w:val="24"/>
          <w:szCs w:val="24"/>
          <w:lang w:val="ro-RO"/>
        </w:rPr>
      </w:pPr>
      <w:r w:rsidRPr="002F5025">
        <w:rPr>
          <w:rFonts w:ascii="Arial" w:eastAsiaTheme="minorHAnsi" w:hAnsi="Arial" w:cs="Arial"/>
          <w:bCs/>
          <w:noProof/>
          <w:sz w:val="24"/>
          <w:szCs w:val="24"/>
          <w:lang w:val="ro-RO" w:eastAsia="ro-RO"/>
        </w:rPr>
        <w:drawing>
          <wp:inline distT="0" distB="0" distL="0" distR="0">
            <wp:extent cx="5486400" cy="2809875"/>
            <wp:effectExtent l="19050" t="0" r="19050" b="0"/>
            <wp:docPr id="19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2F5025" w:rsidRPr="002F5025" w:rsidRDefault="002F5025" w:rsidP="002F5025">
      <w:pPr>
        <w:tabs>
          <w:tab w:val="left" w:pos="1276"/>
          <w:tab w:val="left" w:leader="dot" w:pos="9356"/>
        </w:tabs>
        <w:spacing w:after="120" w:line="240" w:lineRule="auto"/>
        <w:rPr>
          <w:rFonts w:ascii="Arial" w:eastAsiaTheme="minorHAnsi" w:hAnsi="Arial" w:cs="Arial"/>
          <w:i/>
          <w:iCs/>
          <w:sz w:val="24"/>
          <w:szCs w:val="24"/>
          <w:lang w:val="ro-RO"/>
        </w:rPr>
      </w:pPr>
      <w:r w:rsidRPr="002F5025">
        <w:rPr>
          <w:rFonts w:ascii="Arial" w:eastAsiaTheme="minorHAnsi" w:hAnsi="Arial" w:cs="Arial"/>
          <w:i/>
          <w:iCs/>
          <w:sz w:val="24"/>
          <w:szCs w:val="24"/>
          <w:lang w:val="ro-RO"/>
        </w:rPr>
        <w:t xml:space="preserve">Sursa C.R.S.C. Focşani  </w:t>
      </w:r>
    </w:p>
    <w:p w:rsidR="002F5025" w:rsidRPr="002F5025" w:rsidRDefault="002F5025" w:rsidP="002F5025">
      <w:pPr>
        <w:spacing w:after="120" w:line="240" w:lineRule="auto"/>
        <w:rPr>
          <w:rFonts w:ascii="Arial" w:eastAsiaTheme="minorHAnsi" w:hAnsi="Arial" w:cs="Arial"/>
          <w:b/>
          <w:bCs/>
          <w:sz w:val="24"/>
          <w:szCs w:val="24"/>
          <w:lang w:val="ro-RO"/>
        </w:rPr>
      </w:pPr>
      <w:r w:rsidRPr="002F5025">
        <w:rPr>
          <w:rFonts w:ascii="Arial" w:eastAsiaTheme="minorHAnsi" w:hAnsi="Arial" w:cs="Arial"/>
          <w:b/>
          <w:bCs/>
          <w:sz w:val="24"/>
          <w:szCs w:val="24"/>
          <w:lang w:val="ro-RO"/>
        </w:rPr>
        <w:t>Ponderea compoziţiei fondului forestier în judeţul Buzău, în anul 2014</w:t>
      </w:r>
    </w:p>
    <w:p w:rsidR="002F5025" w:rsidRPr="002F5025" w:rsidRDefault="002F5025" w:rsidP="002F5025">
      <w:pPr>
        <w:spacing w:after="120" w:line="240" w:lineRule="auto"/>
        <w:jc w:val="both"/>
        <w:rPr>
          <w:rFonts w:ascii="Arial" w:eastAsiaTheme="minorHAnsi" w:hAnsi="Arial" w:cs="Arial"/>
          <w:bCs/>
          <w:sz w:val="24"/>
          <w:szCs w:val="24"/>
          <w:lang w:val="ro-RO"/>
        </w:rPr>
      </w:pPr>
      <w:r w:rsidRPr="002F5025">
        <w:rPr>
          <w:rFonts w:ascii="Arial" w:eastAsiaTheme="minorHAnsi" w:hAnsi="Arial" w:cs="Arial"/>
          <w:bCs/>
          <w:sz w:val="24"/>
          <w:szCs w:val="24"/>
          <w:lang w:val="ro-RO"/>
        </w:rPr>
        <w:t>Datorită prezenţei diverselor forme de relief, pe teritoriul judeţului predomină pădurile de răşinoase şi foioase. În tabelul VI.1.1.-5 este prezentată suprafaţa fondului forestier în funcţie de compoziţie tipuri de păduri –răşinoase, foioase şi altele.</w:t>
      </w:r>
    </w:p>
    <w:p w:rsidR="002F5025" w:rsidRPr="002F5025" w:rsidRDefault="002F5025" w:rsidP="002F5025">
      <w:pPr>
        <w:spacing w:after="120" w:line="240" w:lineRule="auto"/>
        <w:rPr>
          <w:rFonts w:ascii="Arial" w:eastAsiaTheme="minorHAnsi" w:hAnsi="Arial" w:cs="Arial"/>
          <w:b/>
          <w:bCs/>
          <w:sz w:val="24"/>
          <w:szCs w:val="24"/>
          <w:lang w:val="ro-RO"/>
        </w:rPr>
      </w:pPr>
      <w:r w:rsidRPr="002F5025">
        <w:rPr>
          <w:rFonts w:ascii="Arial" w:eastAsiaTheme="minorHAnsi" w:hAnsi="Arial" w:cs="Arial"/>
          <w:b/>
          <w:sz w:val="24"/>
          <w:szCs w:val="24"/>
          <w:lang w:val="ro-RO"/>
        </w:rPr>
        <w:t xml:space="preserve">Tabel VI.1.1.- 5 Compoziţia fondului forestier al judeţului Buzău  </w:t>
      </w:r>
      <w:r w:rsidRPr="002F5025">
        <w:rPr>
          <w:rFonts w:ascii="Arial" w:eastAsiaTheme="minorHAnsi" w:hAnsi="Arial" w:cs="Arial"/>
          <w:sz w:val="24"/>
          <w:szCs w:val="24"/>
          <w:lang w:val="ro-RO"/>
        </w:rPr>
        <w:t xml:space="preserve"> </w:t>
      </w:r>
    </w:p>
    <w:tbl>
      <w:tblPr>
        <w:tblStyle w:val="MediumShading1-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261"/>
      </w:tblGrid>
      <w:tr w:rsidR="002F5025" w:rsidRPr="002F5025" w:rsidTr="00D92384">
        <w:trPr>
          <w:cnfStyle w:val="100000000000"/>
          <w:trHeight w:val="549"/>
          <w:jc w:val="center"/>
        </w:trPr>
        <w:tc>
          <w:tcPr>
            <w:cnfStyle w:val="001000000000"/>
            <w:tcW w:w="3510"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Compoziţie fond forestier</w:t>
            </w:r>
          </w:p>
        </w:tc>
        <w:tc>
          <w:tcPr>
            <w:tcW w:w="3261"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0" w:line="240" w:lineRule="auto"/>
              <w:jc w:val="center"/>
              <w:cnfStyle w:val="100000000000"/>
              <w:rPr>
                <w:rFonts w:ascii="Arial" w:hAnsi="Arial" w:cs="Arial"/>
                <w:sz w:val="24"/>
                <w:szCs w:val="24"/>
                <w:lang w:val="ro-RO"/>
              </w:rPr>
            </w:pPr>
            <w:r w:rsidRPr="002F5025">
              <w:rPr>
                <w:rFonts w:ascii="Arial" w:hAnsi="Arial" w:cs="Arial"/>
                <w:sz w:val="24"/>
                <w:szCs w:val="24"/>
                <w:lang w:val="ro-RO"/>
              </w:rPr>
              <w:t>Suprafaţă(ha)</w:t>
            </w:r>
          </w:p>
        </w:tc>
      </w:tr>
      <w:tr w:rsidR="002F5025" w:rsidRPr="002F5025" w:rsidTr="00D92384">
        <w:trPr>
          <w:cnfStyle w:val="000000100000"/>
          <w:jc w:val="center"/>
        </w:trPr>
        <w:tc>
          <w:tcPr>
            <w:cnfStyle w:val="001000000000"/>
            <w:tcW w:w="3510"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Răşinoase</w:t>
            </w:r>
          </w:p>
        </w:tc>
        <w:tc>
          <w:tcPr>
            <w:tcW w:w="3261" w:type="dxa"/>
            <w:tcBorders>
              <w:left w:val="none" w:sz="0" w:space="0" w:color="auto"/>
            </w:tcBorders>
          </w:tcPr>
          <w:p w:rsidR="002F5025" w:rsidRPr="002F5025" w:rsidRDefault="002F5025" w:rsidP="002F5025">
            <w:pPr>
              <w:spacing w:after="0" w:line="240" w:lineRule="auto"/>
              <w:jc w:val="center"/>
              <w:cnfStyle w:val="000000100000"/>
              <w:rPr>
                <w:rFonts w:ascii="Arial" w:hAnsi="Arial" w:cs="Arial"/>
                <w:sz w:val="24"/>
                <w:szCs w:val="24"/>
                <w:lang w:val="ro-RO"/>
              </w:rPr>
            </w:pPr>
            <w:r w:rsidRPr="002F5025">
              <w:rPr>
                <w:rFonts w:ascii="Arial" w:hAnsi="Arial" w:cs="Arial"/>
                <w:sz w:val="24"/>
                <w:szCs w:val="24"/>
                <w:lang w:val="ro-RO"/>
              </w:rPr>
              <w:t>47876</w:t>
            </w:r>
          </w:p>
        </w:tc>
      </w:tr>
      <w:tr w:rsidR="002F5025" w:rsidRPr="002F5025" w:rsidTr="00D92384">
        <w:trPr>
          <w:cnfStyle w:val="000000010000"/>
          <w:jc w:val="center"/>
        </w:trPr>
        <w:tc>
          <w:tcPr>
            <w:cnfStyle w:val="001000000000"/>
            <w:tcW w:w="3510"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Foioase</w:t>
            </w:r>
          </w:p>
        </w:tc>
        <w:tc>
          <w:tcPr>
            <w:tcW w:w="3261" w:type="dxa"/>
            <w:tcBorders>
              <w:left w:val="none" w:sz="0" w:space="0" w:color="auto"/>
            </w:tcBorders>
          </w:tcPr>
          <w:p w:rsidR="002F5025" w:rsidRPr="002F5025" w:rsidRDefault="002F5025" w:rsidP="002F5025">
            <w:pPr>
              <w:spacing w:after="0" w:line="240" w:lineRule="auto"/>
              <w:jc w:val="center"/>
              <w:cnfStyle w:val="000000010000"/>
              <w:rPr>
                <w:rFonts w:ascii="Arial" w:hAnsi="Arial" w:cs="Arial"/>
                <w:sz w:val="24"/>
                <w:szCs w:val="24"/>
                <w:lang w:val="ro-RO"/>
              </w:rPr>
            </w:pPr>
            <w:r w:rsidRPr="002F5025">
              <w:rPr>
                <w:rFonts w:ascii="Arial" w:hAnsi="Arial" w:cs="Arial"/>
                <w:sz w:val="24"/>
                <w:szCs w:val="24"/>
                <w:lang w:val="ro-RO"/>
              </w:rPr>
              <w:t>108763</w:t>
            </w:r>
          </w:p>
        </w:tc>
      </w:tr>
      <w:tr w:rsidR="002F5025" w:rsidRPr="002F5025" w:rsidTr="00D92384">
        <w:trPr>
          <w:cnfStyle w:val="000000100000"/>
          <w:jc w:val="center"/>
        </w:trPr>
        <w:tc>
          <w:tcPr>
            <w:cnfStyle w:val="001000000000"/>
            <w:tcW w:w="3510" w:type="dxa"/>
            <w:tcBorders>
              <w:right w:val="none" w:sz="0" w:space="0" w:color="auto"/>
            </w:tcBorders>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Alte terenuri</w:t>
            </w:r>
          </w:p>
        </w:tc>
        <w:tc>
          <w:tcPr>
            <w:tcW w:w="3261" w:type="dxa"/>
            <w:tcBorders>
              <w:left w:val="none" w:sz="0" w:space="0" w:color="auto"/>
            </w:tcBorders>
          </w:tcPr>
          <w:p w:rsidR="002F5025" w:rsidRPr="002F5025" w:rsidRDefault="002F5025" w:rsidP="002F5025">
            <w:pPr>
              <w:spacing w:after="0" w:line="240" w:lineRule="auto"/>
              <w:jc w:val="center"/>
              <w:cnfStyle w:val="000000100000"/>
              <w:rPr>
                <w:rFonts w:ascii="Arial" w:hAnsi="Arial" w:cs="Arial"/>
                <w:sz w:val="24"/>
                <w:szCs w:val="24"/>
                <w:lang w:val="ro-RO"/>
              </w:rPr>
            </w:pPr>
            <w:r w:rsidRPr="002F5025">
              <w:rPr>
                <w:rFonts w:ascii="Arial" w:hAnsi="Arial" w:cs="Arial"/>
                <w:sz w:val="24"/>
                <w:szCs w:val="24"/>
                <w:lang w:val="ro-RO"/>
              </w:rPr>
              <w:t>2587</w:t>
            </w:r>
          </w:p>
        </w:tc>
      </w:tr>
    </w:tbl>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i/>
          <w:sz w:val="24"/>
          <w:szCs w:val="24"/>
          <w:lang w:val="ro-RO"/>
        </w:rPr>
        <w:t xml:space="preserve">                     Sursa- C.R.S.C. Focşani  </w:t>
      </w: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b/>
          <w:sz w:val="24"/>
          <w:szCs w:val="24"/>
          <w:lang w:val="ro-RO"/>
        </w:rPr>
        <w:t>Figura</w:t>
      </w:r>
      <w:r w:rsidRPr="002F5025">
        <w:rPr>
          <w:rFonts w:ascii="Arial" w:eastAsiaTheme="minorHAnsi" w:hAnsi="Arial" w:cs="Arial"/>
          <w:sz w:val="24"/>
          <w:szCs w:val="24"/>
          <w:lang w:val="ro-RO"/>
        </w:rPr>
        <w:t xml:space="preserve"> </w:t>
      </w:r>
      <w:r w:rsidRPr="002F5025">
        <w:rPr>
          <w:rFonts w:ascii="Arial" w:eastAsiaTheme="minorHAnsi" w:hAnsi="Arial" w:cs="Arial"/>
          <w:b/>
          <w:sz w:val="24"/>
          <w:szCs w:val="24"/>
          <w:lang w:val="ro-RO"/>
        </w:rPr>
        <w:t xml:space="preserve">VI.1.1.- 5 Ponderea compoziţiei fondului forestier în judeţul Buzău </w:t>
      </w:r>
      <w:r w:rsidRPr="002F5025">
        <w:rPr>
          <w:rFonts w:ascii="Arial" w:eastAsiaTheme="minorHAnsi" w:hAnsi="Arial" w:cs="Arial"/>
          <w:sz w:val="24"/>
          <w:szCs w:val="24"/>
          <w:lang w:val="ro-RO"/>
        </w:rPr>
        <w:t xml:space="preserve"> </w:t>
      </w:r>
    </w:p>
    <w:p w:rsidR="002F5025" w:rsidRPr="002F5025" w:rsidRDefault="002F5025" w:rsidP="002F5025">
      <w:pPr>
        <w:spacing w:after="120" w:line="240" w:lineRule="auto"/>
        <w:rPr>
          <w:rFonts w:ascii="Arial" w:eastAsiaTheme="minorHAnsi" w:hAnsi="Arial" w:cs="Arial"/>
          <w:bCs/>
          <w:sz w:val="24"/>
          <w:szCs w:val="24"/>
          <w:lang w:val="ro-RO"/>
        </w:rPr>
      </w:pPr>
      <w:r w:rsidRPr="002F5025">
        <w:rPr>
          <w:rFonts w:ascii="Arial" w:eastAsiaTheme="minorHAnsi" w:hAnsi="Arial" w:cs="Arial"/>
          <w:bCs/>
          <w:noProof/>
          <w:sz w:val="24"/>
          <w:szCs w:val="24"/>
          <w:lang w:val="ro-RO" w:eastAsia="ro-RO"/>
        </w:rPr>
        <w:drawing>
          <wp:inline distT="0" distB="0" distL="0" distR="0">
            <wp:extent cx="5486400" cy="2638425"/>
            <wp:effectExtent l="19050" t="0" r="19050" b="0"/>
            <wp:docPr id="19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2F5025" w:rsidRPr="002F5025" w:rsidRDefault="002F5025" w:rsidP="002F5025">
      <w:pPr>
        <w:spacing w:after="120" w:line="240" w:lineRule="auto"/>
        <w:rPr>
          <w:rFonts w:ascii="Arial" w:eastAsiaTheme="minorHAnsi" w:hAnsi="Arial" w:cs="Arial"/>
          <w:bCs/>
          <w:sz w:val="24"/>
          <w:szCs w:val="24"/>
          <w:lang w:val="ro-RO"/>
        </w:rPr>
      </w:pPr>
      <w:r w:rsidRPr="002F5025">
        <w:rPr>
          <w:rFonts w:ascii="Arial" w:eastAsiaTheme="minorHAnsi" w:hAnsi="Arial" w:cs="Arial"/>
          <w:i/>
          <w:sz w:val="24"/>
          <w:szCs w:val="24"/>
          <w:lang w:val="ro-RO"/>
        </w:rPr>
        <w:t xml:space="preserve">Sursa- C.R.S.C. Focşani  </w:t>
      </w:r>
    </w:p>
    <w:p w:rsidR="002F5025" w:rsidRPr="002F5025" w:rsidRDefault="002F5025" w:rsidP="002F5025">
      <w:pPr>
        <w:spacing w:after="120" w:line="240" w:lineRule="auto"/>
        <w:rPr>
          <w:rFonts w:ascii="Arial" w:eastAsiaTheme="minorHAnsi" w:hAnsi="Arial" w:cs="Arial"/>
          <w:b/>
          <w:bCs/>
          <w:sz w:val="24"/>
          <w:szCs w:val="24"/>
          <w:lang w:val="ro-RO"/>
        </w:rPr>
      </w:pPr>
      <w:r w:rsidRPr="002F5025">
        <w:rPr>
          <w:rFonts w:ascii="Arial" w:eastAsiaTheme="minorHAnsi" w:hAnsi="Arial" w:cs="Arial"/>
          <w:b/>
          <w:bCs/>
          <w:sz w:val="24"/>
          <w:szCs w:val="24"/>
          <w:lang w:val="ro-RO"/>
        </w:rPr>
        <w:lastRenderedPageBreak/>
        <w:t>VI.1.2. Distribuţia pădurilor după principalele forme de relief</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La câmpie se dezvoltă o vegetaţie caracteristică stepei şi silvostepei. În stepă şi silvostepă vegetaţia a suferit modificări antropice şi a fost înlocuită, pe mari întinderi, de culturi agricole.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Zona dealurilor subcarpatice şi zonele montane cu altitudini reduse sunt acoperite predominant de stejar în amestec şi, pe măsură ce altitudinile cresc, de fag. Acesta urcă în zona montană până în jurul altitudinii de 1.200 m.</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Din punct de vedere fitoclimatic, în zona montană este caracteristic etajul pădurilor de amestecuri (fag, brad, molid, larice, pin), etajul montan de molidişuri şi etajul subalpin la altitudinile cele mai mari.  În tabelul</w:t>
      </w:r>
      <w:r w:rsidRPr="002F5025">
        <w:rPr>
          <w:rFonts w:ascii="Arial" w:eastAsiaTheme="minorHAnsi" w:hAnsi="Arial" w:cs="Arial"/>
          <w:b/>
          <w:sz w:val="24"/>
          <w:szCs w:val="24"/>
          <w:lang w:val="ro-RO"/>
        </w:rPr>
        <w:t xml:space="preserve">   </w:t>
      </w:r>
      <w:r w:rsidRPr="002F5025">
        <w:rPr>
          <w:rFonts w:ascii="Arial" w:eastAsiaTheme="minorHAnsi" w:hAnsi="Arial" w:cs="Arial"/>
          <w:sz w:val="24"/>
          <w:szCs w:val="24"/>
          <w:lang w:val="ro-RO"/>
        </w:rPr>
        <w:t>VI.1.2-1</w:t>
      </w:r>
      <w:r w:rsidRPr="002F5025">
        <w:rPr>
          <w:rFonts w:ascii="Arial" w:eastAsiaTheme="minorHAnsi" w:hAnsi="Arial" w:cs="Arial"/>
          <w:b/>
          <w:sz w:val="24"/>
          <w:szCs w:val="24"/>
          <w:lang w:val="ro-RO"/>
        </w:rPr>
        <w:t xml:space="preserve"> </w:t>
      </w:r>
      <w:r w:rsidRPr="002F5025">
        <w:rPr>
          <w:rFonts w:ascii="Arial" w:eastAsiaTheme="minorHAnsi" w:hAnsi="Arial" w:cs="Arial"/>
          <w:sz w:val="24"/>
          <w:szCs w:val="24"/>
          <w:lang w:val="ro-RO"/>
        </w:rPr>
        <w:t xml:space="preserve">este prezentată repartiţia fondului forestier al judeţului (ha), pe principalele forme de relief .                               </w:t>
      </w:r>
    </w:p>
    <w:p w:rsidR="002F5025" w:rsidRPr="002F5025" w:rsidRDefault="002F5025" w:rsidP="002F5025">
      <w:pPr>
        <w:spacing w:after="120" w:line="240" w:lineRule="auto"/>
        <w:jc w:val="center"/>
        <w:rPr>
          <w:rFonts w:ascii="Arial" w:eastAsiaTheme="minorHAnsi" w:hAnsi="Arial" w:cs="Arial"/>
          <w:b/>
          <w:bCs/>
          <w:sz w:val="24"/>
          <w:szCs w:val="24"/>
          <w:lang w:val="ro-RO"/>
        </w:rPr>
      </w:pPr>
      <w:r w:rsidRPr="002F5025">
        <w:rPr>
          <w:rFonts w:ascii="Arial" w:eastAsiaTheme="minorHAnsi" w:hAnsi="Arial" w:cs="Arial"/>
          <w:b/>
          <w:sz w:val="24"/>
          <w:szCs w:val="24"/>
          <w:lang w:val="ro-RO"/>
        </w:rPr>
        <w:t>Tabel VI.1.2.- 1. Distribuţia pădurilor din judeţul Buzău după formele de relief</w:t>
      </w:r>
    </w:p>
    <w:tbl>
      <w:tblPr>
        <w:tblStyle w:val="MediumGrid1-Accent3"/>
        <w:tblpPr w:leftFromText="180" w:rightFromText="180" w:vertAnchor="text" w:horzAnchor="margin" w:tblpX="250" w:tblpY="170"/>
        <w:tblW w:w="0" w:type="auto"/>
        <w:tblLook w:val="00A0"/>
      </w:tblPr>
      <w:tblGrid>
        <w:gridCol w:w="3693"/>
        <w:gridCol w:w="5204"/>
      </w:tblGrid>
      <w:tr w:rsidR="002F5025" w:rsidRPr="002F5025" w:rsidTr="00D92384">
        <w:trPr>
          <w:cnfStyle w:val="100000000000"/>
          <w:trHeight w:val="329"/>
        </w:trPr>
        <w:tc>
          <w:tcPr>
            <w:cnfStyle w:val="001000000000"/>
            <w:tcW w:w="3693" w:type="dxa"/>
          </w:tcPr>
          <w:p w:rsidR="002F5025" w:rsidRPr="002F5025" w:rsidRDefault="002F5025" w:rsidP="002F5025">
            <w:pPr>
              <w:spacing w:after="0" w:line="240" w:lineRule="auto"/>
              <w:jc w:val="center"/>
              <w:rPr>
                <w:rFonts w:ascii="Arial" w:hAnsi="Arial" w:cs="Arial"/>
                <w:sz w:val="24"/>
                <w:szCs w:val="24"/>
                <w:lang w:val="ro-RO"/>
              </w:rPr>
            </w:pPr>
            <w:r w:rsidRPr="002F5025">
              <w:rPr>
                <w:rFonts w:ascii="Arial" w:hAnsi="Arial" w:cs="Arial"/>
                <w:sz w:val="24"/>
                <w:szCs w:val="24"/>
                <w:lang w:val="ro-RO"/>
              </w:rPr>
              <w:t>Forma de relief</w:t>
            </w:r>
          </w:p>
        </w:tc>
        <w:tc>
          <w:tcPr>
            <w:cnfStyle w:val="000010000000"/>
            <w:tcW w:w="5204" w:type="dxa"/>
          </w:tcPr>
          <w:p w:rsidR="002F5025" w:rsidRPr="002F5025" w:rsidRDefault="002F5025" w:rsidP="002F5025">
            <w:pPr>
              <w:spacing w:after="0" w:line="240" w:lineRule="auto"/>
              <w:jc w:val="center"/>
              <w:rPr>
                <w:rFonts w:ascii="Arial" w:hAnsi="Arial" w:cs="Arial"/>
                <w:sz w:val="24"/>
                <w:szCs w:val="24"/>
                <w:lang w:val="ro-RO"/>
              </w:rPr>
            </w:pPr>
            <w:r w:rsidRPr="002F5025">
              <w:rPr>
                <w:rFonts w:ascii="Arial" w:hAnsi="Arial" w:cs="Arial"/>
                <w:sz w:val="24"/>
                <w:szCs w:val="24"/>
                <w:lang w:val="ro-RO"/>
              </w:rPr>
              <w:t>Suprafaţa totală /ha)</w:t>
            </w:r>
          </w:p>
        </w:tc>
      </w:tr>
      <w:tr w:rsidR="002F5025" w:rsidRPr="002F5025" w:rsidTr="00D92384">
        <w:trPr>
          <w:cnfStyle w:val="000000100000"/>
          <w:trHeight w:val="329"/>
        </w:trPr>
        <w:tc>
          <w:tcPr>
            <w:cnfStyle w:val="001000000000"/>
            <w:tcW w:w="3693" w:type="dxa"/>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Munte</w:t>
            </w:r>
          </w:p>
        </w:tc>
        <w:tc>
          <w:tcPr>
            <w:cnfStyle w:val="000010000000"/>
            <w:tcW w:w="5204" w:type="dxa"/>
          </w:tcPr>
          <w:p w:rsidR="002F5025" w:rsidRPr="002F5025" w:rsidRDefault="002F5025" w:rsidP="002F5025">
            <w:pPr>
              <w:spacing w:after="0" w:line="240" w:lineRule="auto"/>
              <w:jc w:val="right"/>
              <w:rPr>
                <w:rFonts w:ascii="Arial" w:hAnsi="Arial" w:cs="Arial"/>
                <w:sz w:val="24"/>
                <w:szCs w:val="24"/>
                <w:lang w:val="ro-RO"/>
              </w:rPr>
            </w:pPr>
            <w:r w:rsidRPr="002F5025">
              <w:rPr>
                <w:rFonts w:ascii="Arial" w:hAnsi="Arial" w:cs="Arial"/>
                <w:sz w:val="24"/>
                <w:szCs w:val="24"/>
                <w:lang w:val="ro-RO"/>
              </w:rPr>
              <w:t>102285</w:t>
            </w:r>
          </w:p>
        </w:tc>
      </w:tr>
      <w:tr w:rsidR="002F5025" w:rsidRPr="002F5025" w:rsidTr="00D92384">
        <w:trPr>
          <w:trHeight w:val="329"/>
        </w:trPr>
        <w:tc>
          <w:tcPr>
            <w:cnfStyle w:val="001000000000"/>
            <w:tcW w:w="3693" w:type="dxa"/>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Deal</w:t>
            </w:r>
          </w:p>
        </w:tc>
        <w:tc>
          <w:tcPr>
            <w:cnfStyle w:val="000010000000"/>
            <w:tcW w:w="5204" w:type="dxa"/>
          </w:tcPr>
          <w:p w:rsidR="002F5025" w:rsidRPr="002F5025" w:rsidRDefault="002F5025" w:rsidP="002F5025">
            <w:pPr>
              <w:tabs>
                <w:tab w:val="left" w:pos="3696"/>
                <w:tab w:val="right" w:pos="5669"/>
              </w:tabs>
              <w:spacing w:after="0" w:line="240" w:lineRule="auto"/>
              <w:jc w:val="right"/>
              <w:rPr>
                <w:rFonts w:ascii="Arial" w:hAnsi="Arial" w:cs="Arial"/>
                <w:sz w:val="24"/>
                <w:szCs w:val="24"/>
                <w:lang w:val="ro-RO"/>
              </w:rPr>
            </w:pPr>
            <w:r w:rsidRPr="002F5025">
              <w:rPr>
                <w:rFonts w:ascii="Arial" w:hAnsi="Arial" w:cs="Arial"/>
                <w:sz w:val="24"/>
                <w:szCs w:val="24"/>
                <w:lang w:val="ro-RO"/>
              </w:rPr>
              <w:tab/>
            </w:r>
            <w:r w:rsidRPr="002F5025">
              <w:rPr>
                <w:rFonts w:ascii="Arial" w:hAnsi="Arial" w:cs="Arial"/>
                <w:sz w:val="24"/>
                <w:szCs w:val="24"/>
                <w:lang w:val="ro-RO"/>
              </w:rPr>
              <w:tab/>
              <w:t xml:space="preserve">      55564</w:t>
            </w:r>
          </w:p>
        </w:tc>
      </w:tr>
      <w:tr w:rsidR="002F5025" w:rsidRPr="002F5025" w:rsidTr="00D92384">
        <w:trPr>
          <w:cnfStyle w:val="000000100000"/>
          <w:trHeight w:val="329"/>
        </w:trPr>
        <w:tc>
          <w:tcPr>
            <w:cnfStyle w:val="001000000000"/>
            <w:tcW w:w="3693" w:type="dxa"/>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Luncă şi ostroave</w:t>
            </w:r>
          </w:p>
        </w:tc>
        <w:tc>
          <w:tcPr>
            <w:cnfStyle w:val="000010000000"/>
            <w:tcW w:w="5204" w:type="dxa"/>
          </w:tcPr>
          <w:p w:rsidR="002F5025" w:rsidRPr="002F5025" w:rsidRDefault="002F5025" w:rsidP="002F5025">
            <w:pPr>
              <w:spacing w:after="0" w:line="240" w:lineRule="auto"/>
              <w:jc w:val="right"/>
              <w:rPr>
                <w:rFonts w:ascii="Arial" w:hAnsi="Arial" w:cs="Arial"/>
                <w:sz w:val="24"/>
                <w:szCs w:val="24"/>
                <w:lang w:val="ro-RO"/>
              </w:rPr>
            </w:pPr>
            <w:r w:rsidRPr="002F5025">
              <w:rPr>
                <w:rFonts w:ascii="Arial" w:hAnsi="Arial" w:cs="Arial"/>
                <w:sz w:val="24"/>
                <w:szCs w:val="24"/>
                <w:lang w:val="ro-RO"/>
              </w:rPr>
              <w:t>121</w:t>
            </w:r>
          </w:p>
        </w:tc>
      </w:tr>
      <w:tr w:rsidR="002F5025" w:rsidRPr="002F5025" w:rsidTr="00D92384">
        <w:trPr>
          <w:trHeight w:val="329"/>
        </w:trPr>
        <w:tc>
          <w:tcPr>
            <w:cnfStyle w:val="001000000000"/>
            <w:tcW w:w="3693" w:type="dxa"/>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Câmpie</w:t>
            </w:r>
          </w:p>
        </w:tc>
        <w:tc>
          <w:tcPr>
            <w:cnfStyle w:val="000010000000"/>
            <w:tcW w:w="5204" w:type="dxa"/>
          </w:tcPr>
          <w:p w:rsidR="002F5025" w:rsidRPr="002F5025" w:rsidRDefault="002F5025" w:rsidP="002F5025">
            <w:pPr>
              <w:spacing w:after="0" w:line="240" w:lineRule="auto"/>
              <w:jc w:val="right"/>
              <w:rPr>
                <w:rFonts w:ascii="Arial" w:hAnsi="Arial" w:cs="Arial"/>
                <w:sz w:val="24"/>
                <w:szCs w:val="24"/>
                <w:lang w:val="ro-RO"/>
              </w:rPr>
            </w:pPr>
            <w:r w:rsidRPr="002F5025">
              <w:rPr>
                <w:rFonts w:ascii="Arial" w:hAnsi="Arial" w:cs="Arial"/>
                <w:sz w:val="24"/>
                <w:szCs w:val="24"/>
                <w:lang w:val="ro-RO"/>
              </w:rPr>
              <w:t>1256</w:t>
            </w:r>
          </w:p>
        </w:tc>
      </w:tr>
    </w:tbl>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                                                                                                      </w:t>
      </w:r>
    </w:p>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i/>
          <w:sz w:val="24"/>
          <w:szCs w:val="24"/>
          <w:lang w:val="ro-RO"/>
        </w:rPr>
      </w:pPr>
      <w:r w:rsidRPr="002F5025">
        <w:rPr>
          <w:rFonts w:ascii="Arial" w:eastAsiaTheme="minorHAnsi" w:hAnsi="Arial" w:cs="Arial"/>
          <w:i/>
          <w:sz w:val="24"/>
          <w:szCs w:val="24"/>
          <w:lang w:val="ro-RO"/>
        </w:rPr>
        <w:t xml:space="preserve">Sursa- C.R.S.C. Focşani  </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     Figura</w:t>
      </w:r>
      <w:r w:rsidRPr="002F5025">
        <w:rPr>
          <w:rFonts w:ascii="Arial" w:eastAsiaTheme="minorHAnsi" w:hAnsi="Arial" w:cs="Arial"/>
          <w:sz w:val="24"/>
          <w:szCs w:val="24"/>
          <w:lang w:val="ro-RO"/>
        </w:rPr>
        <w:t xml:space="preserve"> </w:t>
      </w:r>
      <w:r w:rsidRPr="002F5025">
        <w:rPr>
          <w:rFonts w:ascii="Arial" w:eastAsiaTheme="minorHAnsi" w:hAnsi="Arial" w:cs="Arial"/>
          <w:b/>
          <w:sz w:val="24"/>
          <w:szCs w:val="24"/>
          <w:lang w:val="ro-RO"/>
        </w:rPr>
        <w:t>VI.1.2.- 1 Distribuţia pădurilor din judeţul Buzău după formele de relief</w:t>
      </w:r>
    </w:p>
    <w:p w:rsidR="002F5025" w:rsidRPr="002F5025" w:rsidRDefault="002F5025" w:rsidP="002F5025">
      <w:pPr>
        <w:spacing w:after="120" w:line="240" w:lineRule="auto"/>
        <w:jc w:val="center"/>
        <w:rPr>
          <w:rFonts w:ascii="Arial" w:eastAsiaTheme="minorHAnsi" w:hAnsi="Arial" w:cs="Arial"/>
          <w:i/>
          <w:sz w:val="24"/>
          <w:szCs w:val="24"/>
          <w:lang w:val="ro-RO"/>
        </w:rPr>
      </w:pPr>
      <w:r w:rsidRPr="002F5025">
        <w:rPr>
          <w:rFonts w:ascii="Arial" w:eastAsiaTheme="minorHAnsi" w:hAnsi="Arial" w:cs="Arial"/>
          <w:b/>
          <w:noProof/>
          <w:sz w:val="24"/>
          <w:szCs w:val="24"/>
          <w:lang w:val="ro-RO" w:eastAsia="ro-RO"/>
        </w:rPr>
        <w:drawing>
          <wp:inline distT="0" distB="0" distL="0" distR="0">
            <wp:extent cx="5486400" cy="2390775"/>
            <wp:effectExtent l="19050" t="0" r="19050" b="0"/>
            <wp:docPr id="20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i/>
          <w:sz w:val="24"/>
          <w:szCs w:val="24"/>
          <w:lang w:val="ro-RO"/>
        </w:rPr>
        <w:t xml:space="preserve">      Sursa- C.R.S.C. Focşani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Distribuţia pădurilor pe specii şi grupe de specii este prezentată în tabelul VI.1.2.- 2. şi figura VI.1.2.-2.</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
          <w:sz w:val="24"/>
          <w:szCs w:val="24"/>
          <w:lang w:val="ro-RO"/>
        </w:rPr>
        <w:t xml:space="preserve">Tabelul VI.1.2.- 2. </w:t>
      </w:r>
      <w:r w:rsidRPr="002F5025">
        <w:rPr>
          <w:rFonts w:ascii="Arial" w:eastAsiaTheme="minorHAnsi" w:hAnsi="Arial" w:cs="Arial"/>
          <w:b/>
          <w:bCs/>
          <w:sz w:val="24"/>
          <w:szCs w:val="24"/>
          <w:lang w:val="ro-RO"/>
        </w:rPr>
        <w:t>Distribuţia pădurilor pe specii şi grupe de specii</w:t>
      </w:r>
    </w:p>
    <w:tbl>
      <w:tblPr>
        <w:tblStyle w:val="MediumGrid1-Accent3"/>
        <w:tblW w:w="0" w:type="auto"/>
        <w:tblLook w:val="04A0"/>
      </w:tblPr>
      <w:tblGrid>
        <w:gridCol w:w="3096"/>
        <w:gridCol w:w="3096"/>
        <w:gridCol w:w="3096"/>
      </w:tblGrid>
      <w:tr w:rsidR="002F5025" w:rsidRPr="002F5025" w:rsidTr="00D92384">
        <w:trPr>
          <w:cnfStyle w:val="100000000000"/>
        </w:trPr>
        <w:tc>
          <w:tcPr>
            <w:cnfStyle w:val="001000000000"/>
            <w:tcW w:w="6192" w:type="dxa"/>
            <w:gridSpan w:val="2"/>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 xml:space="preserve">                   Specii şi grupe de specii</w:t>
            </w:r>
          </w:p>
        </w:tc>
        <w:tc>
          <w:tcPr>
            <w:tcW w:w="3096" w:type="dxa"/>
          </w:tcPr>
          <w:p w:rsidR="002F5025" w:rsidRPr="002F5025" w:rsidRDefault="002F5025" w:rsidP="002F5025">
            <w:pPr>
              <w:spacing w:after="0" w:line="240" w:lineRule="auto"/>
              <w:jc w:val="both"/>
              <w:cnfStyle w:val="100000000000"/>
              <w:rPr>
                <w:rFonts w:ascii="Arial" w:hAnsi="Arial" w:cs="Arial"/>
                <w:sz w:val="24"/>
                <w:szCs w:val="24"/>
                <w:lang w:val="ro-RO"/>
              </w:rPr>
            </w:pPr>
            <w:r w:rsidRPr="002F5025">
              <w:rPr>
                <w:rFonts w:ascii="Arial" w:hAnsi="Arial" w:cs="Arial"/>
                <w:sz w:val="24"/>
                <w:szCs w:val="24"/>
                <w:lang w:val="ro-RO"/>
              </w:rPr>
              <w:t>Suprafaţă(ha)</w:t>
            </w:r>
          </w:p>
        </w:tc>
      </w:tr>
      <w:tr w:rsidR="002F5025" w:rsidRPr="002F5025" w:rsidTr="00D92384">
        <w:trPr>
          <w:cnfStyle w:val="000000100000"/>
        </w:trPr>
        <w:tc>
          <w:tcPr>
            <w:cnfStyle w:val="001000000000"/>
            <w:tcW w:w="3096" w:type="dxa"/>
            <w:vMerge w:val="restart"/>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Răşinoase</w:t>
            </w: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molid</w:t>
            </w: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23826</w:t>
            </w:r>
          </w:p>
        </w:tc>
      </w:tr>
      <w:tr w:rsidR="002F5025" w:rsidRPr="002F5025" w:rsidTr="00D92384">
        <w:tc>
          <w:tcPr>
            <w:cnfStyle w:val="001000000000"/>
            <w:tcW w:w="3096" w:type="dxa"/>
            <w:vMerge/>
          </w:tcPr>
          <w:p w:rsidR="002F5025" w:rsidRPr="002F5025" w:rsidRDefault="002F5025" w:rsidP="002F5025">
            <w:pPr>
              <w:spacing w:after="0" w:line="240" w:lineRule="auto"/>
              <w:jc w:val="both"/>
              <w:rPr>
                <w:rFonts w:ascii="Arial" w:hAnsi="Arial" w:cs="Arial"/>
                <w:sz w:val="24"/>
                <w:szCs w:val="24"/>
                <w:lang w:val="ro-RO"/>
              </w:rPr>
            </w:pPr>
          </w:p>
        </w:tc>
        <w:tc>
          <w:tcPr>
            <w:tcW w:w="3096" w:type="dxa"/>
          </w:tcPr>
          <w:p w:rsidR="002F5025" w:rsidRPr="002F5025" w:rsidRDefault="002F5025" w:rsidP="002F5025">
            <w:pPr>
              <w:spacing w:after="0" w:line="240" w:lineRule="auto"/>
              <w:jc w:val="both"/>
              <w:cnfStyle w:val="000000000000"/>
              <w:rPr>
                <w:rFonts w:ascii="Arial" w:hAnsi="Arial" w:cs="Arial"/>
                <w:sz w:val="24"/>
                <w:szCs w:val="24"/>
                <w:lang w:val="ro-RO"/>
              </w:rPr>
            </w:pPr>
            <w:r w:rsidRPr="002F5025">
              <w:rPr>
                <w:rFonts w:ascii="Arial" w:hAnsi="Arial" w:cs="Arial"/>
                <w:sz w:val="24"/>
                <w:szCs w:val="24"/>
                <w:lang w:val="ro-RO"/>
              </w:rPr>
              <w:t>brad</w:t>
            </w:r>
          </w:p>
        </w:tc>
        <w:tc>
          <w:tcPr>
            <w:tcW w:w="3096" w:type="dxa"/>
          </w:tcPr>
          <w:p w:rsidR="002F5025" w:rsidRPr="002F5025" w:rsidRDefault="002F5025" w:rsidP="002F5025">
            <w:pPr>
              <w:spacing w:after="0" w:line="240" w:lineRule="auto"/>
              <w:jc w:val="both"/>
              <w:cnfStyle w:val="000000000000"/>
              <w:rPr>
                <w:rFonts w:ascii="Arial" w:hAnsi="Arial" w:cs="Arial"/>
                <w:sz w:val="24"/>
                <w:szCs w:val="24"/>
                <w:lang w:val="ro-RO"/>
              </w:rPr>
            </w:pPr>
            <w:r w:rsidRPr="002F5025">
              <w:rPr>
                <w:rFonts w:ascii="Arial" w:hAnsi="Arial" w:cs="Arial"/>
                <w:sz w:val="24"/>
                <w:szCs w:val="24"/>
                <w:lang w:val="ro-RO"/>
              </w:rPr>
              <w:t>12584</w:t>
            </w:r>
          </w:p>
        </w:tc>
      </w:tr>
      <w:tr w:rsidR="002F5025" w:rsidRPr="002F5025" w:rsidTr="00D92384">
        <w:trPr>
          <w:cnfStyle w:val="000000100000"/>
        </w:trPr>
        <w:tc>
          <w:tcPr>
            <w:cnfStyle w:val="001000000000"/>
            <w:tcW w:w="3096" w:type="dxa"/>
            <w:vMerge/>
          </w:tcPr>
          <w:p w:rsidR="002F5025" w:rsidRPr="002F5025" w:rsidRDefault="002F5025" w:rsidP="002F5025">
            <w:pPr>
              <w:spacing w:after="0" w:line="240" w:lineRule="auto"/>
              <w:jc w:val="both"/>
              <w:rPr>
                <w:rFonts w:ascii="Arial" w:hAnsi="Arial" w:cs="Arial"/>
                <w:sz w:val="24"/>
                <w:szCs w:val="24"/>
                <w:lang w:val="ro-RO"/>
              </w:rPr>
            </w:pP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alte răşinoase</w:t>
            </w: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8366</w:t>
            </w:r>
          </w:p>
        </w:tc>
      </w:tr>
      <w:tr w:rsidR="002F5025" w:rsidRPr="002F5025" w:rsidTr="00D92384">
        <w:tc>
          <w:tcPr>
            <w:cnfStyle w:val="001000000000"/>
            <w:tcW w:w="3096" w:type="dxa"/>
            <w:vMerge w:val="restart"/>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Foioase</w:t>
            </w:r>
          </w:p>
        </w:tc>
        <w:tc>
          <w:tcPr>
            <w:tcW w:w="3096" w:type="dxa"/>
          </w:tcPr>
          <w:p w:rsidR="002F5025" w:rsidRPr="002F5025" w:rsidRDefault="002F5025" w:rsidP="002F5025">
            <w:pPr>
              <w:spacing w:after="0" w:line="240" w:lineRule="auto"/>
              <w:jc w:val="both"/>
              <w:cnfStyle w:val="000000000000"/>
              <w:rPr>
                <w:rFonts w:ascii="Arial" w:hAnsi="Arial" w:cs="Arial"/>
                <w:sz w:val="24"/>
                <w:szCs w:val="24"/>
                <w:lang w:val="ro-RO"/>
              </w:rPr>
            </w:pPr>
            <w:r w:rsidRPr="002F5025">
              <w:rPr>
                <w:rFonts w:ascii="Arial" w:hAnsi="Arial" w:cs="Arial"/>
                <w:sz w:val="24"/>
                <w:szCs w:val="24"/>
                <w:lang w:val="ro-RO"/>
              </w:rPr>
              <w:t>fag</w:t>
            </w:r>
          </w:p>
        </w:tc>
        <w:tc>
          <w:tcPr>
            <w:tcW w:w="3096" w:type="dxa"/>
          </w:tcPr>
          <w:p w:rsidR="002F5025" w:rsidRPr="002F5025" w:rsidRDefault="002F5025" w:rsidP="002F5025">
            <w:pPr>
              <w:spacing w:after="0" w:line="240" w:lineRule="auto"/>
              <w:jc w:val="both"/>
              <w:cnfStyle w:val="000000000000"/>
              <w:rPr>
                <w:rFonts w:ascii="Arial" w:hAnsi="Arial" w:cs="Arial"/>
                <w:sz w:val="24"/>
                <w:szCs w:val="24"/>
                <w:lang w:val="ro-RO"/>
              </w:rPr>
            </w:pPr>
            <w:r w:rsidRPr="002F5025">
              <w:rPr>
                <w:rFonts w:ascii="Arial" w:hAnsi="Arial" w:cs="Arial"/>
                <w:sz w:val="24"/>
                <w:szCs w:val="24"/>
                <w:lang w:val="ro-RO"/>
              </w:rPr>
              <w:t>64759</w:t>
            </w:r>
          </w:p>
        </w:tc>
      </w:tr>
      <w:tr w:rsidR="002F5025" w:rsidRPr="002F5025" w:rsidTr="00D92384">
        <w:trPr>
          <w:cnfStyle w:val="000000100000"/>
        </w:trPr>
        <w:tc>
          <w:tcPr>
            <w:cnfStyle w:val="001000000000"/>
            <w:tcW w:w="3096" w:type="dxa"/>
            <w:vMerge/>
          </w:tcPr>
          <w:p w:rsidR="002F5025" w:rsidRPr="002F5025" w:rsidRDefault="002F5025" w:rsidP="002F5025">
            <w:pPr>
              <w:spacing w:after="0" w:line="240" w:lineRule="auto"/>
              <w:jc w:val="both"/>
              <w:rPr>
                <w:rFonts w:ascii="Arial" w:hAnsi="Arial" w:cs="Arial"/>
                <w:sz w:val="24"/>
                <w:szCs w:val="24"/>
                <w:lang w:val="ro-RO"/>
              </w:rPr>
            </w:pP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stejar</w:t>
            </w: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17207</w:t>
            </w:r>
          </w:p>
        </w:tc>
      </w:tr>
      <w:tr w:rsidR="002F5025" w:rsidRPr="002F5025" w:rsidTr="00D92384">
        <w:tc>
          <w:tcPr>
            <w:cnfStyle w:val="001000000000"/>
            <w:tcW w:w="3096" w:type="dxa"/>
            <w:vMerge/>
          </w:tcPr>
          <w:p w:rsidR="002F5025" w:rsidRPr="002F5025" w:rsidRDefault="002F5025" w:rsidP="002F5025">
            <w:pPr>
              <w:spacing w:after="0" w:line="240" w:lineRule="auto"/>
              <w:jc w:val="both"/>
              <w:rPr>
                <w:rFonts w:ascii="Arial" w:hAnsi="Arial" w:cs="Arial"/>
                <w:sz w:val="24"/>
                <w:szCs w:val="24"/>
                <w:lang w:val="ro-RO"/>
              </w:rPr>
            </w:pPr>
          </w:p>
        </w:tc>
        <w:tc>
          <w:tcPr>
            <w:tcW w:w="3096" w:type="dxa"/>
          </w:tcPr>
          <w:p w:rsidR="002F5025" w:rsidRPr="002F5025" w:rsidRDefault="002F5025" w:rsidP="002F5025">
            <w:pPr>
              <w:spacing w:after="0" w:line="240" w:lineRule="auto"/>
              <w:jc w:val="both"/>
              <w:cnfStyle w:val="000000000000"/>
              <w:rPr>
                <w:rFonts w:ascii="Arial" w:hAnsi="Arial" w:cs="Arial"/>
                <w:sz w:val="24"/>
                <w:szCs w:val="24"/>
                <w:lang w:val="ro-RO"/>
              </w:rPr>
            </w:pPr>
            <w:r w:rsidRPr="002F5025">
              <w:rPr>
                <w:rFonts w:ascii="Arial" w:hAnsi="Arial" w:cs="Arial"/>
                <w:sz w:val="24"/>
                <w:szCs w:val="24"/>
                <w:lang w:val="ro-RO"/>
              </w:rPr>
              <w:t>diverse specii tari</w:t>
            </w:r>
          </w:p>
        </w:tc>
        <w:tc>
          <w:tcPr>
            <w:tcW w:w="3096" w:type="dxa"/>
          </w:tcPr>
          <w:p w:rsidR="002F5025" w:rsidRPr="002F5025" w:rsidRDefault="002F5025" w:rsidP="002F5025">
            <w:pPr>
              <w:spacing w:after="0" w:line="240" w:lineRule="auto"/>
              <w:jc w:val="both"/>
              <w:cnfStyle w:val="000000000000"/>
              <w:rPr>
                <w:rFonts w:ascii="Arial" w:hAnsi="Arial" w:cs="Arial"/>
                <w:sz w:val="24"/>
                <w:szCs w:val="24"/>
                <w:lang w:val="ro-RO"/>
              </w:rPr>
            </w:pPr>
            <w:r w:rsidRPr="002F5025">
              <w:rPr>
                <w:rFonts w:ascii="Arial" w:hAnsi="Arial" w:cs="Arial"/>
                <w:sz w:val="24"/>
                <w:szCs w:val="24"/>
                <w:lang w:val="ro-RO"/>
              </w:rPr>
              <w:t>22723</w:t>
            </w:r>
          </w:p>
        </w:tc>
      </w:tr>
      <w:tr w:rsidR="002F5025" w:rsidRPr="002F5025" w:rsidTr="00D92384">
        <w:trPr>
          <w:cnfStyle w:val="000000100000"/>
        </w:trPr>
        <w:tc>
          <w:tcPr>
            <w:cnfStyle w:val="001000000000"/>
            <w:tcW w:w="3096" w:type="dxa"/>
            <w:vMerge/>
          </w:tcPr>
          <w:p w:rsidR="002F5025" w:rsidRPr="002F5025" w:rsidRDefault="002F5025" w:rsidP="002F5025">
            <w:pPr>
              <w:spacing w:after="0" w:line="240" w:lineRule="auto"/>
              <w:jc w:val="both"/>
              <w:rPr>
                <w:rFonts w:ascii="Arial" w:hAnsi="Arial" w:cs="Arial"/>
                <w:sz w:val="24"/>
                <w:szCs w:val="24"/>
                <w:lang w:val="ro-RO"/>
              </w:rPr>
            </w:pP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diverse specii moi</w:t>
            </w:r>
          </w:p>
        </w:tc>
        <w:tc>
          <w:tcPr>
            <w:tcW w:w="3096" w:type="dxa"/>
          </w:tcPr>
          <w:p w:rsidR="002F5025" w:rsidRPr="002F5025" w:rsidRDefault="002F5025" w:rsidP="002F5025">
            <w:pPr>
              <w:spacing w:after="0" w:line="240" w:lineRule="auto"/>
              <w:jc w:val="both"/>
              <w:cnfStyle w:val="000000100000"/>
              <w:rPr>
                <w:rFonts w:ascii="Arial" w:hAnsi="Arial" w:cs="Arial"/>
                <w:sz w:val="24"/>
                <w:szCs w:val="24"/>
                <w:lang w:val="ro-RO"/>
              </w:rPr>
            </w:pPr>
            <w:r w:rsidRPr="002F5025">
              <w:rPr>
                <w:rFonts w:ascii="Arial" w:hAnsi="Arial" w:cs="Arial"/>
                <w:sz w:val="24"/>
                <w:szCs w:val="24"/>
                <w:lang w:val="ro-RO"/>
              </w:rPr>
              <w:t>7259</w:t>
            </w:r>
          </w:p>
        </w:tc>
      </w:tr>
      <w:tr w:rsidR="002F5025" w:rsidRPr="002F5025" w:rsidTr="00D92384">
        <w:tc>
          <w:tcPr>
            <w:cnfStyle w:val="001000000000"/>
            <w:tcW w:w="6192" w:type="dxa"/>
            <w:gridSpan w:val="2"/>
          </w:tcPr>
          <w:p w:rsidR="002F5025" w:rsidRPr="002F5025" w:rsidRDefault="002F5025" w:rsidP="002F5025">
            <w:pPr>
              <w:spacing w:after="0" w:line="240" w:lineRule="auto"/>
              <w:jc w:val="both"/>
              <w:rPr>
                <w:rFonts w:ascii="Arial" w:hAnsi="Arial" w:cs="Arial"/>
                <w:sz w:val="24"/>
                <w:szCs w:val="24"/>
                <w:lang w:val="ro-RO"/>
              </w:rPr>
            </w:pPr>
            <w:r w:rsidRPr="002F5025">
              <w:rPr>
                <w:rFonts w:ascii="Arial" w:hAnsi="Arial" w:cs="Arial"/>
                <w:sz w:val="24"/>
                <w:szCs w:val="24"/>
                <w:lang w:val="ro-RO"/>
              </w:rPr>
              <w:t>Total pădure</w:t>
            </w:r>
          </w:p>
        </w:tc>
        <w:tc>
          <w:tcPr>
            <w:tcW w:w="3096" w:type="dxa"/>
          </w:tcPr>
          <w:p w:rsidR="002F5025" w:rsidRPr="002F5025" w:rsidRDefault="002F5025" w:rsidP="002F5025">
            <w:pPr>
              <w:spacing w:after="0" w:line="240" w:lineRule="auto"/>
              <w:jc w:val="both"/>
              <w:cnfStyle w:val="000000000000"/>
              <w:rPr>
                <w:rFonts w:ascii="Arial" w:hAnsi="Arial" w:cs="Arial"/>
                <w:sz w:val="24"/>
                <w:szCs w:val="24"/>
                <w:lang w:val="ro-RO"/>
              </w:rPr>
            </w:pPr>
            <w:r w:rsidRPr="002F5025">
              <w:rPr>
                <w:rFonts w:ascii="Arial" w:hAnsi="Arial" w:cs="Arial"/>
                <w:sz w:val="24"/>
                <w:szCs w:val="24"/>
                <w:lang w:val="ro-RO"/>
              </w:rPr>
              <w:t>156724</w:t>
            </w:r>
          </w:p>
        </w:tc>
      </w:tr>
    </w:tbl>
    <w:p w:rsidR="002F5025" w:rsidRPr="002F5025" w:rsidRDefault="002F5025" w:rsidP="002F5025">
      <w:pPr>
        <w:spacing w:after="120" w:line="240" w:lineRule="auto"/>
        <w:rPr>
          <w:rFonts w:ascii="Arial" w:eastAsiaTheme="minorHAnsi" w:hAnsi="Arial" w:cs="Arial"/>
          <w:i/>
          <w:sz w:val="24"/>
          <w:szCs w:val="24"/>
          <w:lang w:val="ro-RO"/>
        </w:rPr>
      </w:pPr>
      <w:r w:rsidRPr="002F5025">
        <w:rPr>
          <w:rFonts w:ascii="Arial" w:eastAsiaTheme="minorHAnsi" w:hAnsi="Arial" w:cs="Arial"/>
          <w:i/>
          <w:sz w:val="24"/>
          <w:szCs w:val="24"/>
          <w:lang w:val="ro-RO"/>
        </w:rPr>
        <w:t xml:space="preserve">Sursa- C.R.S.C. Focşani  </w:t>
      </w:r>
    </w:p>
    <w:p w:rsidR="002F5025" w:rsidRPr="002F5025" w:rsidRDefault="002F5025" w:rsidP="002F5025">
      <w:pPr>
        <w:spacing w:after="120"/>
        <w:jc w:val="both"/>
        <w:rPr>
          <w:rFonts w:ascii="Arial" w:eastAsiaTheme="minorHAnsi" w:hAnsi="Arial" w:cs="Arial"/>
          <w:sz w:val="24"/>
          <w:szCs w:val="24"/>
          <w:lang w:val="ro-RO"/>
        </w:rPr>
      </w:pPr>
      <w:r w:rsidRPr="002F5025">
        <w:rPr>
          <w:rFonts w:ascii="Arial" w:eastAsiaTheme="minorHAnsi" w:hAnsi="Arial" w:cs="Arial"/>
          <w:b/>
          <w:sz w:val="24"/>
          <w:szCs w:val="24"/>
          <w:lang w:val="ro-RO"/>
        </w:rPr>
        <w:lastRenderedPageBreak/>
        <w:t>FiguraVI.1.2.-2</w:t>
      </w:r>
      <w:r w:rsidRPr="002F5025">
        <w:rPr>
          <w:rFonts w:ascii="Arial" w:eastAsiaTheme="minorHAnsi" w:hAnsi="Arial" w:cs="Arial"/>
          <w:sz w:val="24"/>
          <w:szCs w:val="24"/>
          <w:lang w:val="ro-RO"/>
        </w:rPr>
        <w:t xml:space="preserve"> </w:t>
      </w:r>
      <w:r w:rsidRPr="002F5025">
        <w:rPr>
          <w:rFonts w:ascii="Arial" w:eastAsiaTheme="minorHAnsi" w:hAnsi="Arial" w:cs="Arial"/>
          <w:b/>
          <w:bCs/>
          <w:sz w:val="24"/>
          <w:szCs w:val="24"/>
          <w:lang w:val="ro-RO"/>
        </w:rPr>
        <w:t>Distribuţia pădurilor pe specii şi grupe de specii</w:t>
      </w:r>
    </w:p>
    <w:p w:rsidR="002F5025" w:rsidRPr="002F5025" w:rsidRDefault="002F5025" w:rsidP="002F5025">
      <w:pPr>
        <w:spacing w:after="120" w:line="240" w:lineRule="auto"/>
        <w:jc w:val="both"/>
        <w:rPr>
          <w:rFonts w:ascii="Arial" w:eastAsiaTheme="minorHAnsi" w:hAnsi="Arial" w:cs="Arial"/>
          <w:i/>
          <w:sz w:val="24"/>
          <w:szCs w:val="24"/>
          <w:lang w:val="ro-RO"/>
        </w:rPr>
      </w:pPr>
      <w:r w:rsidRPr="002F5025">
        <w:rPr>
          <w:rFonts w:ascii="Arial" w:eastAsiaTheme="minorHAnsi" w:hAnsi="Arial" w:cs="Arial"/>
          <w:noProof/>
          <w:sz w:val="24"/>
          <w:szCs w:val="24"/>
          <w:lang w:val="ro-RO" w:eastAsia="ro-RO"/>
        </w:rPr>
        <w:drawing>
          <wp:inline distT="0" distB="0" distL="0" distR="0">
            <wp:extent cx="5486400" cy="2219325"/>
            <wp:effectExtent l="19050" t="0" r="19050" b="0"/>
            <wp:docPr id="20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i/>
          <w:sz w:val="24"/>
          <w:szCs w:val="24"/>
          <w:lang w:val="ro-RO"/>
        </w:rPr>
        <w:t xml:space="preserve">Sursa- C.R.S.C. Focşani  </w:t>
      </w:r>
    </w:p>
    <w:p w:rsidR="002F5025" w:rsidRPr="002F5025" w:rsidRDefault="002F5025" w:rsidP="002F5025">
      <w:pPr>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Corespunzător obiectivelor social-economice stabilite pentru arborete din fondul forestier s-au atribuit funcţii de protecţie şi funcţii de producţie, corelate cu categoria funcţională atribuită. Pentru arboretele din tipurile funcţionale III-VI se reglementează producţia iar pentru cele din tipurile I-II nu se reglementează producţia acestea având rol de protecţie. </w:t>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sz w:val="24"/>
          <w:szCs w:val="24"/>
          <w:lang w:val="ro-RO"/>
        </w:rPr>
        <w:t>În</w:t>
      </w:r>
      <w:r w:rsidRPr="002F5025">
        <w:rPr>
          <w:rFonts w:ascii="Arial" w:eastAsiaTheme="minorHAnsi" w:hAnsi="Arial" w:cs="Arial"/>
          <w:b/>
          <w:sz w:val="24"/>
          <w:szCs w:val="24"/>
          <w:lang w:val="ro-RO"/>
        </w:rPr>
        <w:t xml:space="preserve"> </w:t>
      </w:r>
      <w:r w:rsidRPr="002F5025">
        <w:rPr>
          <w:rFonts w:ascii="Arial" w:eastAsiaTheme="minorHAnsi" w:hAnsi="Arial" w:cs="Arial"/>
          <w:sz w:val="24"/>
          <w:szCs w:val="24"/>
          <w:lang w:val="ro-RO"/>
        </w:rPr>
        <w:t>FiguraVI.1.2.-2 prezentăm distribuţia pădurii din judeţul Buzău pe tipuri funcţionale.</w:t>
      </w:r>
      <w:r w:rsidRPr="002F5025">
        <w:rPr>
          <w:rFonts w:ascii="Arial" w:eastAsiaTheme="minorHAnsi" w:hAnsi="Arial" w:cs="Arial"/>
          <w:b/>
          <w:sz w:val="24"/>
          <w:szCs w:val="24"/>
          <w:lang w:val="ro-RO"/>
        </w:rPr>
        <w:t xml:space="preserve"> </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noProof/>
          <w:sz w:val="24"/>
          <w:szCs w:val="24"/>
          <w:lang w:val="ro-RO" w:eastAsia="ro-RO"/>
        </w:rPr>
        <w:drawing>
          <wp:inline distT="0" distB="0" distL="0" distR="0">
            <wp:extent cx="5486400" cy="1962150"/>
            <wp:effectExtent l="19050" t="0" r="19050" b="0"/>
            <wp:docPr id="20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i/>
          <w:sz w:val="24"/>
          <w:szCs w:val="24"/>
          <w:lang w:val="ro-RO"/>
        </w:rPr>
        <w:t xml:space="preserve">Sursa- C.R.S.C. Focşani  </w:t>
      </w:r>
    </w:p>
    <w:p w:rsidR="002F5025" w:rsidRPr="002F5025" w:rsidRDefault="002F5025" w:rsidP="002F5025">
      <w:pPr>
        <w:spacing w:after="120" w:line="240" w:lineRule="auto"/>
        <w:rPr>
          <w:rFonts w:ascii="Arial" w:eastAsiaTheme="minorHAnsi" w:hAnsi="Arial" w:cs="Arial"/>
          <w:b/>
          <w:bCs/>
          <w:sz w:val="24"/>
          <w:szCs w:val="24"/>
          <w:lang w:val="ro-RO"/>
        </w:rPr>
      </w:pPr>
      <w:r w:rsidRPr="002F5025">
        <w:rPr>
          <w:rFonts w:ascii="Arial" w:eastAsiaTheme="minorHAnsi" w:hAnsi="Arial" w:cs="Arial"/>
          <w:b/>
          <w:bCs/>
          <w:sz w:val="24"/>
          <w:szCs w:val="24"/>
          <w:lang w:val="ro-RO"/>
        </w:rPr>
        <w:t xml:space="preserve"> VI.1.3. Starea de sănătate a pădurilor</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Lemnul mort în pădure, atât buturugile cât si buştenii căzuţi pe pământ a fost considerat în trecut ca un inconvenient pentru silvicultură şi chiar ca indicator pentru un  management forestier inadecvat. Prezenţa arborilor morţi în pădure a fost considerat pentru mult timp ca fiind o expresie a arboretului neîndreptat; în timpul procesului de tăiere a arborilor, arboretul mort trebuie să fi fost tăiat înaintea procesului normal de recoltare (a arborilor vii) deoarece au fost consideraţi o sursă de atac de insecte şi un potenţial risc de accidente.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Recent, problematica lemnului mort în pădure a fost reconsiderată. Prezenţa buturugilor şi buştenilor căzuţi pe pământ este considerată acum ca o sursă de biodiversitate; fără lemnul mort pădurile naturale ar fi foarte fragile, echilibrul ecologic ar fi afectat şi pădurile ar fi slabe în biodiversitate.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Managementul sustenabil al pădurilor, considerat o balanţă între economie, ecologie şi sociologie implică o reflexie prudentă asupra folosirii lemnului ca sursă de energie şi asupra conservării diferitelor forme de lemn mort în cantităţi suficiente pentru conservarea biodiversităţii.</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Păstrarea arborilor morţi în pădure este o condiţie impusă în toate actele de reglementare emise de instituţia noastră pentru activităţile de exploatare forestieră, însă inventarierea </w:t>
      </w:r>
      <w:r w:rsidRPr="002F5025">
        <w:rPr>
          <w:rFonts w:ascii="Arial" w:eastAsiaTheme="minorHAnsi" w:hAnsi="Arial" w:cs="Arial"/>
          <w:sz w:val="24"/>
          <w:szCs w:val="24"/>
          <w:lang w:val="ro-RO"/>
        </w:rPr>
        <w:lastRenderedPageBreak/>
        <w:t>volumului  de lemn mort din pădurile de pe teritoriul judeţului Buzău este practic imposibil de realizat.</w:t>
      </w:r>
    </w:p>
    <w:p w:rsidR="002F5025" w:rsidRPr="002F5025" w:rsidRDefault="002F5025" w:rsidP="002F5025">
      <w:pPr>
        <w:spacing w:after="120" w:line="240" w:lineRule="auto"/>
        <w:rPr>
          <w:rFonts w:ascii="Arial" w:eastAsia="SimSun" w:hAnsi="Arial" w:cs="Arial"/>
          <w:sz w:val="24"/>
          <w:szCs w:val="24"/>
          <w:lang w:val="ro-RO"/>
        </w:rPr>
      </w:pPr>
      <w:r w:rsidRPr="002F5025">
        <w:rPr>
          <w:rFonts w:ascii="Arial" w:eastAsia="SimSun" w:hAnsi="Arial" w:cs="Arial"/>
          <w:sz w:val="24"/>
          <w:szCs w:val="24"/>
          <w:lang w:val="ro-RO"/>
        </w:rPr>
        <w:t>Chiar şi în condiţiile unui management adecvat, deteriorarea stării de sănătate a pădurilor poate survenii din diverse alte cauze, cum ar fi:</w:t>
      </w:r>
    </w:p>
    <w:p w:rsidR="002F5025" w:rsidRPr="002F5025" w:rsidRDefault="002F5025" w:rsidP="000A5EAD">
      <w:pPr>
        <w:numPr>
          <w:ilvl w:val="0"/>
          <w:numId w:val="27"/>
        </w:numPr>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t xml:space="preserve">vătămări fiziologice datorate unor cauze complexe, greu de stabilit: defolierea, decolorarea; </w:t>
      </w:r>
    </w:p>
    <w:p w:rsidR="002F5025" w:rsidRPr="002F5025" w:rsidRDefault="002F5025" w:rsidP="000A5EAD">
      <w:pPr>
        <w:numPr>
          <w:ilvl w:val="0"/>
          <w:numId w:val="27"/>
        </w:numPr>
        <w:spacing w:after="120" w:line="240" w:lineRule="auto"/>
        <w:jc w:val="both"/>
        <w:rPr>
          <w:rFonts w:ascii="Arial" w:eastAsia="SimSun" w:hAnsi="Arial" w:cs="Arial"/>
          <w:sz w:val="24"/>
          <w:szCs w:val="24"/>
          <w:lang w:val="ro-RO"/>
        </w:rPr>
      </w:pPr>
      <w:r w:rsidRPr="002F5025">
        <w:rPr>
          <w:rFonts w:ascii="Arial" w:eastAsia="SimSun" w:hAnsi="Arial" w:cs="Arial"/>
          <w:sz w:val="24"/>
          <w:szCs w:val="24"/>
          <w:lang w:val="ro-RO"/>
        </w:rPr>
        <w:t>vătămări fizice uşor identificabile: vânat şi animale domestice mari, insecte, ciuperci, agenţi abiotici (vânt, zăpadă, geruri, grindina, etc), agenţi antropici (cojiri, cioplaje, rezinaj, vătămări de exploatare), alte vătămări (incendii, poluări accidentale).</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 VI.1.4. Suprafeţe de păduri regenerate</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Regenerarea pădurilor este una din activităţile prioritare din România. Extinderea suprafeţei pădurilor se face prin regenerarea tuturor suprafeţelor de pădure de pe care s-a recoltat masă lemnoasă, prin împădurirea terenurilor fără vegetaţie forestieră şi prin reconstrucţia ecologică a terenurilor afectate de fenomene de degradare.</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Regenerarea pădurilor se realizează în trei moduri:</w:t>
      </w:r>
    </w:p>
    <w:p w:rsidR="002F5025" w:rsidRPr="002F5025" w:rsidRDefault="002F5025" w:rsidP="000A5EAD">
      <w:pPr>
        <w:numPr>
          <w:ilvl w:val="0"/>
          <w:numId w:val="28"/>
        </w:num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regenerare naturală- sub arboretul matur,</w:t>
      </w:r>
    </w:p>
    <w:p w:rsidR="002F5025" w:rsidRPr="002F5025" w:rsidRDefault="002F5025" w:rsidP="000A5EAD">
      <w:pPr>
        <w:numPr>
          <w:ilvl w:val="0"/>
          <w:numId w:val="28"/>
        </w:num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regenerare artificială, cu puieţi forestieri produşi în pepiniere, care se plantează în urma tăierilor definitive, în suprafeţe goale sau în cele unde nu s-au regenerat natural,</w:t>
      </w:r>
    </w:p>
    <w:p w:rsidR="002F5025" w:rsidRPr="002F5025" w:rsidRDefault="002F5025" w:rsidP="000A5EAD">
      <w:pPr>
        <w:numPr>
          <w:ilvl w:val="0"/>
          <w:numId w:val="28"/>
        </w:num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regenerarea mixtă (naturală şi artificială) porneşte de la principiul că, într-o gospodărire raţională, regenerarea declanşată trebuie desăvârşită cu eforturi cât mai mici şi în timp cât mai scurt.</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Regenerarea naturală a pădurii din samânţă constituie în prezent şi va constitui şi în perspectivă un obiectiv prioritar, atât din considerente ecologice (conservarea şi utilizarea speciilor şi provenienţelor locale valoroase), cât şi economice (costuri de producţie mai mici).</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Situaţia regenerărilor naturale şi artificiale la nivelul judeţului Buzău este prezentată în tabelele </w:t>
      </w:r>
      <w:r w:rsidRPr="002F5025">
        <w:rPr>
          <w:rFonts w:ascii="Arial" w:eastAsia="SimSun" w:hAnsi="Arial" w:cs="Arial"/>
          <w:sz w:val="24"/>
          <w:szCs w:val="24"/>
          <w:lang w:val="ro-RO"/>
        </w:rPr>
        <w:t>VI.1.4.-1 şi VI.1.4.-2.</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Tabel</w:t>
      </w:r>
      <w:r w:rsidRPr="002F5025">
        <w:rPr>
          <w:rFonts w:ascii="Arial" w:eastAsia="SimSun" w:hAnsi="Arial" w:cs="Arial"/>
          <w:kern w:val="24"/>
          <w:sz w:val="24"/>
          <w:szCs w:val="24"/>
          <w:lang w:val="ro-RO"/>
        </w:rPr>
        <w:t xml:space="preserve">  </w:t>
      </w:r>
      <w:r w:rsidRPr="002F5025">
        <w:rPr>
          <w:rFonts w:ascii="Arial" w:eastAsia="SimSun" w:hAnsi="Arial" w:cs="Arial"/>
          <w:b/>
          <w:sz w:val="24"/>
          <w:szCs w:val="24"/>
          <w:lang w:val="ro-RO"/>
        </w:rPr>
        <w:t>VI.1.4.-1.</w:t>
      </w:r>
      <w:r w:rsidRPr="002F5025">
        <w:rPr>
          <w:rFonts w:ascii="Arial" w:eastAsia="SimSun" w:hAnsi="Arial" w:cs="Arial"/>
          <w:kern w:val="24"/>
          <w:sz w:val="24"/>
          <w:szCs w:val="24"/>
          <w:lang w:val="ro-RO"/>
        </w:rPr>
        <w:t xml:space="preserve"> </w:t>
      </w:r>
      <w:r w:rsidRPr="002F5025">
        <w:rPr>
          <w:rFonts w:ascii="Arial" w:eastAsia="SimSun" w:hAnsi="Arial" w:cs="Arial"/>
          <w:b/>
          <w:kern w:val="24"/>
          <w:sz w:val="24"/>
          <w:szCs w:val="24"/>
          <w:lang w:val="ro-RO"/>
        </w:rPr>
        <w:t>Suprafeţele  supuse procesului de regenerare a pădurilor la nivelul anului 2014</w:t>
      </w:r>
    </w:p>
    <w:tbl>
      <w:tblPr>
        <w:tblStyle w:val="MediumGrid1-Accent3"/>
        <w:tblW w:w="4892" w:type="pct"/>
        <w:tblInd w:w="108" w:type="dxa"/>
        <w:tblLook w:val="01E0"/>
      </w:tblPr>
      <w:tblGrid>
        <w:gridCol w:w="2863"/>
        <w:gridCol w:w="6778"/>
      </w:tblGrid>
      <w:tr w:rsidR="002F5025" w:rsidRPr="002F5025" w:rsidTr="00D92384">
        <w:trPr>
          <w:cnfStyle w:val="100000000000"/>
          <w:trHeight w:val="353"/>
        </w:trPr>
        <w:tc>
          <w:tcPr>
            <w:cnfStyle w:val="001000000000"/>
            <w:tcW w:w="1485" w:type="pct"/>
          </w:tcPr>
          <w:p w:rsidR="002F5025" w:rsidRPr="002F5025" w:rsidRDefault="002F5025" w:rsidP="002F5025">
            <w:pPr>
              <w:spacing w:after="120" w:line="240" w:lineRule="auto"/>
              <w:jc w:val="center"/>
              <w:rPr>
                <w:rFonts w:ascii="Arial" w:hAnsi="Arial" w:cs="Arial"/>
                <w:kern w:val="24"/>
                <w:sz w:val="24"/>
                <w:szCs w:val="24"/>
                <w:lang w:val="ro-RO"/>
              </w:rPr>
            </w:pPr>
            <w:r w:rsidRPr="002F5025">
              <w:rPr>
                <w:rFonts w:ascii="Arial" w:hAnsi="Arial" w:cs="Arial"/>
                <w:kern w:val="24"/>
                <w:sz w:val="24"/>
                <w:szCs w:val="24"/>
                <w:lang w:val="ro-RO"/>
              </w:rPr>
              <w:t>Tipuri de regenerare</w:t>
            </w:r>
          </w:p>
        </w:tc>
        <w:tc>
          <w:tcPr>
            <w:cnfStyle w:val="000100000000"/>
            <w:tcW w:w="3515" w:type="pct"/>
          </w:tcPr>
          <w:p w:rsidR="002F5025" w:rsidRPr="002F5025" w:rsidRDefault="002F5025" w:rsidP="002F5025">
            <w:pPr>
              <w:spacing w:after="120" w:line="240" w:lineRule="auto"/>
              <w:jc w:val="center"/>
              <w:rPr>
                <w:rFonts w:ascii="Arial" w:hAnsi="Arial" w:cs="Arial"/>
                <w:kern w:val="24"/>
                <w:sz w:val="24"/>
                <w:szCs w:val="24"/>
                <w:lang w:val="ro-RO"/>
              </w:rPr>
            </w:pPr>
            <w:r w:rsidRPr="002F5025">
              <w:rPr>
                <w:rFonts w:ascii="Arial" w:hAnsi="Arial" w:cs="Arial"/>
                <w:kern w:val="24"/>
                <w:sz w:val="24"/>
                <w:szCs w:val="24"/>
                <w:lang w:val="ro-RO"/>
              </w:rPr>
              <w:t>Suprafaţa (ha)</w:t>
            </w:r>
          </w:p>
        </w:tc>
      </w:tr>
      <w:tr w:rsidR="002F5025" w:rsidRPr="002F5025" w:rsidTr="00D92384">
        <w:trPr>
          <w:cnfStyle w:val="000000100000"/>
          <w:trHeight w:val="342"/>
        </w:trPr>
        <w:tc>
          <w:tcPr>
            <w:cnfStyle w:val="001000000000"/>
            <w:tcW w:w="1485" w:type="pct"/>
          </w:tcPr>
          <w:p w:rsidR="002F5025" w:rsidRPr="002F5025" w:rsidRDefault="002F5025" w:rsidP="002F5025">
            <w:pPr>
              <w:spacing w:after="120" w:line="240" w:lineRule="auto"/>
              <w:rPr>
                <w:rFonts w:ascii="Arial" w:hAnsi="Arial" w:cs="Arial"/>
                <w:kern w:val="24"/>
                <w:sz w:val="24"/>
                <w:szCs w:val="24"/>
                <w:lang w:val="ro-RO"/>
              </w:rPr>
            </w:pPr>
            <w:r w:rsidRPr="002F5025">
              <w:rPr>
                <w:rFonts w:ascii="Arial" w:hAnsi="Arial" w:cs="Arial"/>
                <w:kern w:val="24"/>
                <w:sz w:val="24"/>
                <w:szCs w:val="24"/>
                <w:lang w:val="ro-RO"/>
              </w:rPr>
              <w:t>Naturală</w:t>
            </w:r>
          </w:p>
        </w:tc>
        <w:tc>
          <w:tcPr>
            <w:cnfStyle w:val="000100000000"/>
            <w:tcW w:w="3515" w:type="pct"/>
          </w:tcPr>
          <w:p w:rsidR="002F5025" w:rsidRPr="002F5025" w:rsidRDefault="002F5025" w:rsidP="002F5025">
            <w:pPr>
              <w:spacing w:after="120" w:line="240" w:lineRule="auto"/>
              <w:jc w:val="right"/>
              <w:rPr>
                <w:rFonts w:ascii="Arial" w:hAnsi="Arial" w:cs="Arial"/>
                <w:kern w:val="24"/>
                <w:sz w:val="24"/>
                <w:szCs w:val="24"/>
                <w:lang w:val="ro-RO"/>
              </w:rPr>
            </w:pPr>
            <w:r w:rsidRPr="002F5025">
              <w:rPr>
                <w:rFonts w:ascii="Arial" w:hAnsi="Arial" w:cs="Arial"/>
                <w:kern w:val="24"/>
                <w:sz w:val="24"/>
                <w:szCs w:val="24"/>
                <w:lang w:val="ro-RO"/>
              </w:rPr>
              <w:t>340</w:t>
            </w:r>
          </w:p>
        </w:tc>
      </w:tr>
      <w:tr w:rsidR="002F5025" w:rsidRPr="002F5025" w:rsidTr="00D92384">
        <w:trPr>
          <w:trHeight w:val="342"/>
        </w:trPr>
        <w:tc>
          <w:tcPr>
            <w:cnfStyle w:val="001000000000"/>
            <w:tcW w:w="1485" w:type="pct"/>
          </w:tcPr>
          <w:p w:rsidR="002F5025" w:rsidRPr="002F5025" w:rsidRDefault="002F5025" w:rsidP="002F5025">
            <w:pPr>
              <w:spacing w:after="120" w:line="240" w:lineRule="auto"/>
              <w:rPr>
                <w:rFonts w:ascii="Arial" w:hAnsi="Arial" w:cs="Arial"/>
                <w:kern w:val="24"/>
                <w:sz w:val="24"/>
                <w:szCs w:val="24"/>
                <w:lang w:val="ro-RO"/>
              </w:rPr>
            </w:pPr>
            <w:r w:rsidRPr="002F5025">
              <w:rPr>
                <w:rFonts w:ascii="Arial" w:hAnsi="Arial" w:cs="Arial"/>
                <w:kern w:val="24"/>
                <w:sz w:val="24"/>
                <w:szCs w:val="24"/>
                <w:lang w:val="ro-RO"/>
              </w:rPr>
              <w:t>Artificială</w:t>
            </w:r>
          </w:p>
        </w:tc>
        <w:tc>
          <w:tcPr>
            <w:cnfStyle w:val="000100000000"/>
            <w:tcW w:w="3515" w:type="pct"/>
          </w:tcPr>
          <w:p w:rsidR="002F5025" w:rsidRPr="002F5025" w:rsidRDefault="002F5025" w:rsidP="002F5025">
            <w:pPr>
              <w:spacing w:after="120" w:line="240" w:lineRule="auto"/>
              <w:jc w:val="right"/>
              <w:rPr>
                <w:rFonts w:ascii="Arial" w:hAnsi="Arial" w:cs="Arial"/>
                <w:kern w:val="24"/>
                <w:sz w:val="24"/>
                <w:szCs w:val="24"/>
                <w:lang w:val="ro-RO"/>
              </w:rPr>
            </w:pPr>
            <w:r w:rsidRPr="002F5025">
              <w:rPr>
                <w:rFonts w:ascii="Arial" w:hAnsi="Arial" w:cs="Arial"/>
                <w:kern w:val="24"/>
                <w:sz w:val="24"/>
                <w:szCs w:val="24"/>
                <w:lang w:val="ro-RO"/>
              </w:rPr>
              <w:t>35</w:t>
            </w:r>
          </w:p>
        </w:tc>
      </w:tr>
      <w:tr w:rsidR="002F5025" w:rsidRPr="002F5025" w:rsidTr="00D92384">
        <w:trPr>
          <w:cnfStyle w:val="010000000000"/>
          <w:trHeight w:val="342"/>
        </w:trPr>
        <w:tc>
          <w:tcPr>
            <w:cnfStyle w:val="001000000000"/>
            <w:tcW w:w="1485" w:type="pct"/>
          </w:tcPr>
          <w:p w:rsidR="002F5025" w:rsidRPr="002F5025" w:rsidRDefault="002F5025" w:rsidP="002F5025">
            <w:pPr>
              <w:spacing w:after="120" w:line="240" w:lineRule="auto"/>
              <w:rPr>
                <w:rFonts w:ascii="Arial" w:hAnsi="Arial" w:cs="Arial"/>
                <w:kern w:val="24"/>
                <w:sz w:val="24"/>
                <w:szCs w:val="24"/>
                <w:lang w:val="ro-RO"/>
              </w:rPr>
            </w:pPr>
            <w:r w:rsidRPr="002F5025">
              <w:rPr>
                <w:rFonts w:ascii="Arial" w:hAnsi="Arial" w:cs="Arial"/>
                <w:kern w:val="24"/>
                <w:sz w:val="24"/>
                <w:szCs w:val="24"/>
                <w:lang w:val="ro-RO"/>
              </w:rPr>
              <w:t>Total</w:t>
            </w:r>
          </w:p>
        </w:tc>
        <w:tc>
          <w:tcPr>
            <w:cnfStyle w:val="000100000000"/>
            <w:tcW w:w="3515" w:type="pct"/>
          </w:tcPr>
          <w:p w:rsidR="002F5025" w:rsidRPr="002F5025" w:rsidRDefault="002F5025" w:rsidP="002F5025">
            <w:pPr>
              <w:spacing w:after="120" w:line="240" w:lineRule="auto"/>
              <w:jc w:val="right"/>
              <w:rPr>
                <w:rFonts w:ascii="Arial" w:hAnsi="Arial" w:cs="Arial"/>
                <w:kern w:val="24"/>
                <w:sz w:val="24"/>
                <w:szCs w:val="24"/>
                <w:lang w:val="ro-RO"/>
              </w:rPr>
            </w:pPr>
            <w:r w:rsidRPr="002F5025">
              <w:rPr>
                <w:rFonts w:ascii="Arial" w:hAnsi="Arial" w:cs="Arial"/>
                <w:kern w:val="24"/>
                <w:sz w:val="24"/>
                <w:szCs w:val="24"/>
                <w:lang w:val="ro-RO"/>
              </w:rPr>
              <w:t>375</w:t>
            </w:r>
          </w:p>
        </w:tc>
      </w:tr>
    </w:tbl>
    <w:p w:rsidR="002F5025" w:rsidRDefault="002F5025" w:rsidP="002F5025">
      <w:pPr>
        <w:spacing w:after="120" w:line="240" w:lineRule="auto"/>
        <w:rPr>
          <w:rFonts w:ascii="Arial" w:eastAsia="SimSun" w:hAnsi="Arial" w:cs="Arial"/>
          <w:i/>
          <w:kern w:val="24"/>
          <w:sz w:val="24"/>
          <w:szCs w:val="24"/>
          <w:lang w:val="ro-RO"/>
        </w:rPr>
      </w:pPr>
      <w:r w:rsidRPr="002F5025">
        <w:rPr>
          <w:rFonts w:ascii="Arial" w:eastAsia="SimSun" w:hAnsi="Arial" w:cs="Arial"/>
          <w:i/>
          <w:kern w:val="24"/>
          <w:sz w:val="24"/>
          <w:szCs w:val="24"/>
          <w:lang w:val="ro-RO"/>
        </w:rPr>
        <w:t>Sursa-  C.R.S.C. Focşani</w:t>
      </w:r>
    </w:p>
    <w:p w:rsidR="00DD353B" w:rsidRPr="002F5025" w:rsidRDefault="00DD353B" w:rsidP="002F5025">
      <w:pPr>
        <w:spacing w:after="120" w:line="240" w:lineRule="auto"/>
        <w:rPr>
          <w:rFonts w:ascii="Arial" w:eastAsia="SimSun" w:hAnsi="Arial" w:cs="Arial"/>
          <w:i/>
          <w:kern w:val="24"/>
          <w:sz w:val="24"/>
          <w:szCs w:val="24"/>
          <w:lang w:val="ro-RO"/>
        </w:rPr>
      </w:pP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Tabel</w:t>
      </w:r>
      <w:r w:rsidRPr="002F5025">
        <w:rPr>
          <w:rFonts w:ascii="Arial" w:eastAsia="SimSun" w:hAnsi="Arial" w:cs="Arial"/>
          <w:kern w:val="24"/>
          <w:sz w:val="24"/>
          <w:szCs w:val="24"/>
          <w:lang w:val="ro-RO"/>
        </w:rPr>
        <w:t xml:space="preserve">  </w:t>
      </w:r>
      <w:r w:rsidRPr="002F5025">
        <w:rPr>
          <w:rFonts w:ascii="Arial" w:eastAsiaTheme="minorHAnsi" w:hAnsi="Arial" w:cs="Arial"/>
          <w:b/>
          <w:sz w:val="24"/>
          <w:szCs w:val="24"/>
          <w:lang w:val="ro-RO"/>
        </w:rPr>
        <w:t>VI.1.4.-2.</w:t>
      </w:r>
      <w:r w:rsidRPr="002F5025">
        <w:rPr>
          <w:rFonts w:ascii="Arial" w:eastAsia="SimSun" w:hAnsi="Arial" w:cs="Arial"/>
          <w:kern w:val="24"/>
          <w:sz w:val="24"/>
          <w:szCs w:val="24"/>
          <w:lang w:val="ro-RO"/>
        </w:rPr>
        <w:t xml:space="preserve"> </w:t>
      </w:r>
      <w:r w:rsidRPr="002F5025">
        <w:rPr>
          <w:rFonts w:ascii="Arial" w:eastAsia="SimSun" w:hAnsi="Arial" w:cs="Arial"/>
          <w:b/>
          <w:kern w:val="24"/>
          <w:sz w:val="24"/>
          <w:szCs w:val="24"/>
          <w:lang w:val="ro-RO"/>
        </w:rPr>
        <w:t>Evoluţia suprafeţelor din fondul forestier, supuse procesului de regenerare, în perioada 2010 – 2014.</w:t>
      </w:r>
    </w:p>
    <w:tbl>
      <w:tblPr>
        <w:tblStyle w:val="MediumShading1-Accent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1559"/>
        <w:gridCol w:w="1418"/>
        <w:gridCol w:w="1276"/>
        <w:gridCol w:w="1417"/>
        <w:gridCol w:w="1559"/>
      </w:tblGrid>
      <w:tr w:rsidR="002F5025" w:rsidRPr="002F5025" w:rsidTr="00D92384">
        <w:trPr>
          <w:cnfStyle w:val="100000000000"/>
          <w:trHeight w:val="397"/>
        </w:trPr>
        <w:tc>
          <w:tcPr>
            <w:cnfStyle w:val="001000000000"/>
            <w:tcW w:w="2410" w:type="dxa"/>
            <w:vMerge w:val="restart"/>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Categorii de terenuri</w:t>
            </w:r>
          </w:p>
        </w:tc>
        <w:tc>
          <w:tcPr>
            <w:tcW w:w="7229" w:type="dxa"/>
            <w:gridSpan w:val="5"/>
            <w:tcBorders>
              <w:top w:val="single" w:sz="4" w:space="0" w:color="auto"/>
              <w:left w:val="single" w:sz="4" w:space="0" w:color="auto"/>
              <w:bottom w:val="single" w:sz="4" w:space="0" w:color="auto"/>
              <w:right w:val="single" w:sz="4" w:space="0" w:color="auto"/>
            </w:tcBorders>
          </w:tcPr>
          <w:p w:rsidR="002F5025" w:rsidRPr="002F5025" w:rsidRDefault="002F5025" w:rsidP="002F5025">
            <w:pPr>
              <w:spacing w:after="120" w:line="240" w:lineRule="auto"/>
              <w:jc w:val="center"/>
              <w:cnfStyle w:val="100000000000"/>
              <w:rPr>
                <w:rFonts w:ascii="Arial" w:eastAsia="SimSun" w:hAnsi="Arial" w:cs="Arial"/>
                <w:kern w:val="24"/>
                <w:sz w:val="24"/>
                <w:szCs w:val="24"/>
                <w:lang w:val="ro-RO"/>
              </w:rPr>
            </w:pPr>
            <w:r w:rsidRPr="002F5025">
              <w:rPr>
                <w:rFonts w:ascii="Arial" w:eastAsia="SimSun" w:hAnsi="Arial" w:cs="Arial"/>
                <w:kern w:val="24"/>
                <w:sz w:val="24"/>
                <w:szCs w:val="24"/>
                <w:lang w:val="ro-RO"/>
              </w:rPr>
              <w:t>Suprafaţa(ha)</w:t>
            </w:r>
          </w:p>
        </w:tc>
      </w:tr>
      <w:tr w:rsidR="002F5025" w:rsidRPr="002F5025" w:rsidTr="00D92384">
        <w:trPr>
          <w:cnfStyle w:val="000000100000"/>
          <w:trHeight w:val="397"/>
        </w:trPr>
        <w:tc>
          <w:tcPr>
            <w:cnfStyle w:val="001000000000"/>
            <w:tcW w:w="2410" w:type="dxa"/>
            <w:vMerge/>
            <w:tcBorders>
              <w:bottom w:val="single" w:sz="4" w:space="0" w:color="auto"/>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p>
        </w:tc>
        <w:tc>
          <w:tcPr>
            <w:tcW w:w="1559" w:type="dxa"/>
            <w:tcBorders>
              <w:top w:val="single" w:sz="4" w:space="0" w:color="auto"/>
              <w:left w:val="single" w:sz="4" w:space="0" w:color="auto"/>
              <w:bottom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2010</w:t>
            </w:r>
          </w:p>
        </w:tc>
        <w:tc>
          <w:tcPr>
            <w:tcW w:w="1418" w:type="dxa"/>
            <w:tcBorders>
              <w:top w:val="single" w:sz="4" w:space="0" w:color="auto"/>
              <w:left w:val="single" w:sz="4" w:space="0" w:color="auto"/>
              <w:bottom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2011</w:t>
            </w:r>
          </w:p>
        </w:tc>
        <w:tc>
          <w:tcPr>
            <w:tcW w:w="1276" w:type="dxa"/>
            <w:tcBorders>
              <w:top w:val="single" w:sz="4" w:space="0" w:color="auto"/>
              <w:left w:val="single" w:sz="4" w:space="0" w:color="auto"/>
              <w:bottom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2012</w:t>
            </w:r>
          </w:p>
        </w:tc>
        <w:tc>
          <w:tcPr>
            <w:tcW w:w="1417" w:type="dxa"/>
            <w:tcBorders>
              <w:top w:val="single" w:sz="4" w:space="0" w:color="auto"/>
              <w:left w:val="single" w:sz="4" w:space="0" w:color="auto"/>
              <w:bottom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2013</w:t>
            </w:r>
          </w:p>
        </w:tc>
        <w:tc>
          <w:tcPr>
            <w:tcW w:w="1559" w:type="dxa"/>
            <w:tcBorders>
              <w:top w:val="single" w:sz="4" w:space="0" w:color="auto"/>
              <w:left w:val="single" w:sz="4" w:space="0" w:color="auto"/>
              <w:bottom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2014</w:t>
            </w:r>
          </w:p>
        </w:tc>
      </w:tr>
      <w:tr w:rsidR="002F5025" w:rsidRPr="002F5025" w:rsidTr="00D92384">
        <w:trPr>
          <w:cnfStyle w:val="00000001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Total regenerări</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293</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307</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316</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359</w:t>
            </w:r>
          </w:p>
        </w:tc>
        <w:tc>
          <w:tcPr>
            <w:tcW w:w="1559" w:type="dxa"/>
            <w:tcBorders>
              <w:lef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375</w:t>
            </w:r>
          </w:p>
        </w:tc>
      </w:tr>
      <w:tr w:rsidR="002F5025" w:rsidRPr="002F5025" w:rsidTr="00D92384">
        <w:trPr>
          <w:cnfStyle w:val="00000010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Regenerări </w:t>
            </w:r>
            <w:r w:rsidRPr="002F5025">
              <w:rPr>
                <w:rFonts w:ascii="Arial" w:eastAsia="SimSun" w:hAnsi="Arial" w:cs="Arial"/>
                <w:kern w:val="24"/>
                <w:sz w:val="24"/>
                <w:szCs w:val="24"/>
                <w:lang w:val="ro-RO"/>
              </w:rPr>
              <w:lastRenderedPageBreak/>
              <w:t xml:space="preserve">naturale, din care: </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lastRenderedPageBreak/>
              <w:t>258</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281</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289</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329</w:t>
            </w:r>
          </w:p>
        </w:tc>
        <w:tc>
          <w:tcPr>
            <w:tcW w:w="1559" w:type="dxa"/>
            <w:tcBorders>
              <w:lef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340</w:t>
            </w:r>
          </w:p>
        </w:tc>
      </w:tr>
      <w:tr w:rsidR="002F5025" w:rsidRPr="002F5025" w:rsidTr="00D92384">
        <w:trPr>
          <w:cnfStyle w:val="00000001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lastRenderedPageBreak/>
              <w:t>În fond forestier</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258</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281</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289</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329</w:t>
            </w:r>
          </w:p>
        </w:tc>
        <w:tc>
          <w:tcPr>
            <w:tcW w:w="1559" w:type="dxa"/>
            <w:tcBorders>
              <w:lef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340</w:t>
            </w:r>
          </w:p>
        </w:tc>
      </w:tr>
      <w:tr w:rsidR="002F5025" w:rsidRPr="002F5025" w:rsidTr="00D92384">
        <w:trPr>
          <w:cnfStyle w:val="00000010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În afara fondului forestier</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559" w:type="dxa"/>
            <w:tcBorders>
              <w:lef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r>
      <w:tr w:rsidR="002F5025" w:rsidRPr="002F5025" w:rsidTr="00D92384">
        <w:trPr>
          <w:cnfStyle w:val="00000001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Regenerări artificiale, din care:</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35</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26</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27</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30</w:t>
            </w:r>
          </w:p>
        </w:tc>
        <w:tc>
          <w:tcPr>
            <w:tcW w:w="1559" w:type="dxa"/>
            <w:tcBorders>
              <w:lef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35</w:t>
            </w:r>
          </w:p>
        </w:tc>
      </w:tr>
      <w:tr w:rsidR="002F5025" w:rsidRPr="002F5025" w:rsidTr="00D92384">
        <w:trPr>
          <w:cnfStyle w:val="00000010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În fondul forestier</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31</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22</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27</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30</w:t>
            </w:r>
          </w:p>
        </w:tc>
        <w:tc>
          <w:tcPr>
            <w:tcW w:w="1559" w:type="dxa"/>
            <w:tcBorders>
              <w:lef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35</w:t>
            </w:r>
          </w:p>
        </w:tc>
      </w:tr>
      <w:tr w:rsidR="002F5025" w:rsidRPr="002F5025" w:rsidTr="00D92384">
        <w:trPr>
          <w:cnfStyle w:val="00000001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În terenuri preluate în fondul forestier</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4</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4</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559" w:type="dxa"/>
            <w:tcBorders>
              <w:left w:val="single" w:sz="4"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r>
      <w:tr w:rsidR="002F5025" w:rsidRPr="002F5025" w:rsidTr="00D92384">
        <w:trPr>
          <w:cnfStyle w:val="000000100000"/>
          <w:trHeight w:val="397"/>
        </w:trPr>
        <w:tc>
          <w:tcPr>
            <w:cnfStyle w:val="001000000000"/>
            <w:tcW w:w="2410" w:type="dxa"/>
            <w:tcBorders>
              <w:right w:val="single" w:sz="4" w:space="0" w:color="auto"/>
            </w:tcBorders>
          </w:tcPr>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În afara fondului forestier</w:t>
            </w:r>
          </w:p>
        </w:tc>
        <w:tc>
          <w:tcPr>
            <w:tcW w:w="1559"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418"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276"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417" w:type="dxa"/>
            <w:tcBorders>
              <w:left w:val="single" w:sz="4" w:space="0" w:color="auto"/>
              <w:righ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c>
          <w:tcPr>
            <w:tcW w:w="1559" w:type="dxa"/>
            <w:tcBorders>
              <w:left w:val="single" w:sz="4"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0</w:t>
            </w:r>
          </w:p>
        </w:tc>
      </w:tr>
    </w:tbl>
    <w:p w:rsidR="002F5025" w:rsidRPr="002F5025" w:rsidRDefault="002F5025" w:rsidP="002F5025">
      <w:pPr>
        <w:spacing w:after="120" w:line="240" w:lineRule="auto"/>
        <w:rPr>
          <w:rFonts w:ascii="Arial" w:eastAsia="SimSun" w:hAnsi="Arial" w:cs="Arial"/>
          <w:i/>
          <w:kern w:val="24"/>
          <w:sz w:val="24"/>
          <w:szCs w:val="24"/>
          <w:lang w:val="ro-RO"/>
        </w:rPr>
      </w:pPr>
      <w:r w:rsidRPr="002F5025">
        <w:rPr>
          <w:rFonts w:ascii="Arial" w:eastAsia="SimSun" w:hAnsi="Arial" w:cs="Arial"/>
          <w:i/>
          <w:kern w:val="24"/>
          <w:sz w:val="24"/>
          <w:szCs w:val="24"/>
          <w:lang w:val="ro-RO"/>
        </w:rPr>
        <w:t>Sursa-  C.R.S.C. Focşani</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Împăduririle efectuate în anul 2014 pe raza judeţului Buzău au vizat suprafeţe din fondul forestier, 42,86% pe suprafeţe parcurse cu tăieri de regenerare, 22,86% substituiri şi refaceri de arborete slab productive, 14,29% în</w:t>
      </w:r>
      <w:r w:rsidRPr="002F5025">
        <w:rPr>
          <w:rFonts w:ascii="Arial" w:eastAsiaTheme="minorHAnsi" w:hAnsi="Arial" w:cs="Arial"/>
          <w:kern w:val="24"/>
          <w:sz w:val="24"/>
          <w:szCs w:val="24"/>
          <w:lang w:val="ro-RO"/>
        </w:rPr>
        <w:t xml:space="preserve"> </w:t>
      </w:r>
      <w:r w:rsidRPr="002F5025">
        <w:rPr>
          <w:rFonts w:ascii="Arial" w:eastAsia="SimSun" w:hAnsi="Arial" w:cs="Arial"/>
          <w:kern w:val="24"/>
          <w:sz w:val="24"/>
          <w:szCs w:val="24"/>
          <w:lang w:val="ro-RO"/>
        </w:rPr>
        <w:t>poieni şi goluri neregenerate şi 2,86% pe terenuri degradate din fondul forestier .</w:t>
      </w:r>
    </w:p>
    <w:p w:rsid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SimSun" w:hAnsi="Arial" w:cs="Arial"/>
          <w:kern w:val="24"/>
          <w:sz w:val="24"/>
          <w:szCs w:val="24"/>
          <w:lang w:val="ro-RO"/>
        </w:rPr>
        <w:t xml:space="preserve">Evoluţia suprafeţelor împădurite, pe categorii de terenuri, în perioada 2010-2014 este prezentată în tabelul </w:t>
      </w:r>
      <w:r w:rsidRPr="002F5025">
        <w:rPr>
          <w:rFonts w:ascii="Arial" w:eastAsiaTheme="minorHAnsi" w:hAnsi="Arial" w:cs="Arial"/>
          <w:sz w:val="24"/>
          <w:szCs w:val="24"/>
          <w:lang w:val="ro-RO"/>
        </w:rPr>
        <w:t>VI.1.4.-3.</w:t>
      </w:r>
    </w:p>
    <w:p w:rsidR="00DD353B" w:rsidRPr="002F5025" w:rsidRDefault="00DD353B" w:rsidP="002F5025">
      <w:pPr>
        <w:spacing w:after="120" w:line="240" w:lineRule="auto"/>
        <w:jc w:val="both"/>
        <w:rPr>
          <w:rFonts w:ascii="Arial" w:eastAsia="SimSun" w:hAnsi="Arial" w:cs="Arial"/>
          <w:kern w:val="24"/>
          <w:sz w:val="24"/>
          <w:szCs w:val="24"/>
          <w:lang w:val="ro-RO"/>
        </w:rPr>
      </w:pPr>
    </w:p>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b/>
          <w:kern w:val="24"/>
          <w:sz w:val="24"/>
          <w:szCs w:val="24"/>
          <w:lang w:val="ro-RO"/>
        </w:rPr>
        <w:t xml:space="preserve"> Tabel  </w:t>
      </w:r>
      <w:r w:rsidRPr="002F5025">
        <w:rPr>
          <w:rFonts w:ascii="Arial" w:eastAsiaTheme="minorHAnsi" w:hAnsi="Arial" w:cs="Arial"/>
          <w:b/>
          <w:sz w:val="24"/>
          <w:szCs w:val="24"/>
          <w:lang w:val="ro-RO"/>
        </w:rPr>
        <w:t xml:space="preserve">VI.1.4.-3 </w:t>
      </w:r>
      <w:r w:rsidRPr="002F5025">
        <w:rPr>
          <w:rFonts w:ascii="Arial" w:eastAsia="SimSun" w:hAnsi="Arial" w:cs="Arial"/>
          <w:b/>
          <w:kern w:val="24"/>
          <w:sz w:val="24"/>
          <w:szCs w:val="24"/>
          <w:lang w:val="ro-RO"/>
        </w:rPr>
        <w:t>Evoluţia suprafeţelor împădurite, pe categorii de terenuri</w:t>
      </w:r>
    </w:p>
    <w:tbl>
      <w:tblPr>
        <w:tblStyle w:val="MediumGrid1-Accent3"/>
        <w:tblW w:w="0" w:type="auto"/>
        <w:tblInd w:w="108" w:type="dxa"/>
        <w:tblLook w:val="04A0"/>
      </w:tblPr>
      <w:tblGrid>
        <w:gridCol w:w="2268"/>
        <w:gridCol w:w="1684"/>
        <w:gridCol w:w="1459"/>
        <w:gridCol w:w="1275"/>
        <w:gridCol w:w="1134"/>
        <w:gridCol w:w="1560"/>
      </w:tblGrid>
      <w:tr w:rsidR="002F5025" w:rsidRPr="002F5025" w:rsidTr="00D92384">
        <w:trPr>
          <w:cnfStyle w:val="100000000000"/>
        </w:trPr>
        <w:tc>
          <w:tcPr>
            <w:cnfStyle w:val="001000000000"/>
            <w:tcW w:w="2268" w:type="dxa"/>
            <w:vMerge w:val="restart"/>
          </w:tcPr>
          <w:p w:rsidR="002F5025" w:rsidRPr="002F5025" w:rsidRDefault="002F5025" w:rsidP="002F5025">
            <w:pPr>
              <w:spacing w:after="0" w:line="240" w:lineRule="auto"/>
              <w:rPr>
                <w:rFonts w:ascii="Arial" w:hAnsi="Arial" w:cs="Arial"/>
                <w:kern w:val="24"/>
                <w:sz w:val="24"/>
                <w:szCs w:val="24"/>
                <w:lang w:val="ro-RO"/>
              </w:rPr>
            </w:pPr>
            <w:r w:rsidRPr="002F5025">
              <w:rPr>
                <w:rFonts w:ascii="Arial" w:hAnsi="Arial" w:cs="Arial"/>
                <w:kern w:val="24"/>
                <w:sz w:val="24"/>
                <w:szCs w:val="24"/>
                <w:lang w:val="ro-RO"/>
              </w:rPr>
              <w:t>Categorii de terenuri</w:t>
            </w:r>
          </w:p>
        </w:tc>
        <w:tc>
          <w:tcPr>
            <w:tcW w:w="7112" w:type="dxa"/>
            <w:gridSpan w:val="5"/>
          </w:tcPr>
          <w:p w:rsidR="002F5025" w:rsidRPr="002F5025" w:rsidRDefault="002F5025" w:rsidP="002F5025">
            <w:pPr>
              <w:spacing w:after="0" w:line="240" w:lineRule="auto"/>
              <w:jc w:val="center"/>
              <w:cnfStyle w:val="100000000000"/>
              <w:rPr>
                <w:rFonts w:ascii="Arial" w:hAnsi="Arial" w:cs="Arial"/>
                <w:kern w:val="24"/>
                <w:sz w:val="24"/>
                <w:szCs w:val="24"/>
                <w:lang w:val="ro-RO"/>
              </w:rPr>
            </w:pPr>
            <w:r w:rsidRPr="002F5025">
              <w:rPr>
                <w:rFonts w:ascii="Arial" w:hAnsi="Arial" w:cs="Arial"/>
                <w:kern w:val="24"/>
                <w:sz w:val="24"/>
                <w:szCs w:val="24"/>
                <w:lang w:val="ro-RO"/>
              </w:rPr>
              <w:t>Suprafaţa(ha)</w:t>
            </w:r>
          </w:p>
        </w:tc>
      </w:tr>
      <w:tr w:rsidR="002F5025" w:rsidRPr="002F5025" w:rsidTr="00D92384">
        <w:trPr>
          <w:cnfStyle w:val="000000100000"/>
        </w:trPr>
        <w:tc>
          <w:tcPr>
            <w:cnfStyle w:val="001000000000"/>
            <w:tcW w:w="2268" w:type="dxa"/>
            <w:vMerge/>
          </w:tcPr>
          <w:p w:rsidR="002F5025" w:rsidRPr="002F5025" w:rsidRDefault="002F5025" w:rsidP="002F5025">
            <w:pPr>
              <w:spacing w:after="0" w:line="240" w:lineRule="auto"/>
              <w:rPr>
                <w:rFonts w:ascii="Arial" w:hAnsi="Arial" w:cs="Arial"/>
                <w:kern w:val="24"/>
                <w:sz w:val="24"/>
                <w:szCs w:val="24"/>
                <w:lang w:val="ro-RO"/>
              </w:rPr>
            </w:pPr>
          </w:p>
        </w:tc>
        <w:tc>
          <w:tcPr>
            <w:tcW w:w="168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2010</w:t>
            </w:r>
          </w:p>
        </w:tc>
        <w:tc>
          <w:tcPr>
            <w:tcW w:w="1459"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2011</w:t>
            </w:r>
          </w:p>
        </w:tc>
        <w:tc>
          <w:tcPr>
            <w:tcW w:w="1275"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2012</w:t>
            </w:r>
          </w:p>
        </w:tc>
        <w:tc>
          <w:tcPr>
            <w:tcW w:w="113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2013</w:t>
            </w:r>
          </w:p>
        </w:tc>
        <w:tc>
          <w:tcPr>
            <w:tcW w:w="1560"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2014</w:t>
            </w:r>
          </w:p>
        </w:tc>
      </w:tr>
      <w:tr w:rsidR="002F5025" w:rsidRPr="002F5025" w:rsidTr="00D92384">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Total împăduriri, din care: </w:t>
            </w:r>
          </w:p>
        </w:tc>
        <w:tc>
          <w:tcPr>
            <w:tcW w:w="168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35</w:t>
            </w:r>
          </w:p>
        </w:tc>
        <w:tc>
          <w:tcPr>
            <w:tcW w:w="1459"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26</w:t>
            </w:r>
          </w:p>
        </w:tc>
        <w:tc>
          <w:tcPr>
            <w:tcW w:w="1275"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27</w:t>
            </w:r>
          </w:p>
        </w:tc>
        <w:tc>
          <w:tcPr>
            <w:tcW w:w="113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30</w:t>
            </w:r>
          </w:p>
        </w:tc>
        <w:tc>
          <w:tcPr>
            <w:tcW w:w="1560"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35</w:t>
            </w:r>
          </w:p>
        </w:tc>
      </w:tr>
      <w:tr w:rsidR="002F5025" w:rsidRPr="002F5025" w:rsidTr="00D92384">
        <w:trPr>
          <w:cnfStyle w:val="000000100000"/>
          <w:trHeight w:val="359"/>
        </w:trPr>
        <w:tc>
          <w:tcPr>
            <w:cnfStyle w:val="001000000000"/>
            <w:tcW w:w="2268" w:type="dxa"/>
          </w:tcPr>
          <w:tbl>
            <w:tblPr>
              <w:tblW w:w="0" w:type="auto"/>
              <w:tblBorders>
                <w:top w:val="nil"/>
                <w:left w:val="nil"/>
                <w:bottom w:val="nil"/>
                <w:right w:val="nil"/>
              </w:tblBorders>
              <w:tblLook w:val="0000"/>
            </w:tblPr>
            <w:tblGrid>
              <w:gridCol w:w="2052"/>
            </w:tblGrid>
            <w:tr w:rsidR="002F5025" w:rsidRPr="002F5025" w:rsidTr="00D92384">
              <w:trPr>
                <w:trHeight w:val="90"/>
              </w:trPr>
              <w:tc>
                <w:tcPr>
                  <w:tcW w:w="0" w:type="auto"/>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în fondul forestier</w:t>
                  </w:r>
                </w:p>
              </w:tc>
            </w:tr>
          </w:tbl>
          <w:p w:rsidR="002F5025" w:rsidRPr="002F5025" w:rsidRDefault="002F5025" w:rsidP="002F5025">
            <w:pPr>
              <w:spacing w:after="0" w:line="240" w:lineRule="auto"/>
              <w:rPr>
                <w:rFonts w:ascii="Arial" w:hAnsi="Arial" w:cs="Arial"/>
                <w:kern w:val="24"/>
                <w:sz w:val="24"/>
                <w:szCs w:val="24"/>
                <w:lang w:val="ro-RO"/>
              </w:rPr>
            </w:pPr>
          </w:p>
        </w:tc>
        <w:tc>
          <w:tcPr>
            <w:tcW w:w="168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31</w:t>
            </w:r>
          </w:p>
        </w:tc>
        <w:tc>
          <w:tcPr>
            <w:tcW w:w="1459"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26</w:t>
            </w:r>
          </w:p>
        </w:tc>
        <w:tc>
          <w:tcPr>
            <w:tcW w:w="1275"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27</w:t>
            </w:r>
          </w:p>
        </w:tc>
        <w:tc>
          <w:tcPr>
            <w:tcW w:w="113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30</w:t>
            </w:r>
          </w:p>
        </w:tc>
        <w:tc>
          <w:tcPr>
            <w:tcW w:w="1560"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35</w:t>
            </w:r>
          </w:p>
        </w:tc>
      </w:tr>
      <w:tr w:rsidR="002F5025" w:rsidRPr="002F5025" w:rsidTr="00D92384">
        <w:tc>
          <w:tcPr>
            <w:cnfStyle w:val="001000000000"/>
            <w:tcW w:w="2268" w:type="dxa"/>
          </w:tcPr>
          <w:tbl>
            <w:tblPr>
              <w:tblW w:w="0" w:type="auto"/>
              <w:tblBorders>
                <w:top w:val="nil"/>
                <w:left w:val="nil"/>
                <w:bottom w:val="nil"/>
                <w:right w:val="nil"/>
              </w:tblBorders>
              <w:tblLook w:val="0000"/>
            </w:tblPr>
            <w:tblGrid>
              <w:gridCol w:w="2052"/>
            </w:tblGrid>
            <w:tr w:rsidR="002F5025" w:rsidRPr="002F5025" w:rsidTr="00D92384">
              <w:trPr>
                <w:trHeight w:val="90"/>
              </w:trPr>
              <w:tc>
                <w:tcPr>
                  <w:tcW w:w="0" w:type="auto"/>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pe suprafeţe parcurse cu tăieri de regenerare </w:t>
                  </w:r>
                </w:p>
              </w:tc>
            </w:tr>
          </w:tbl>
          <w:p w:rsidR="002F5025" w:rsidRPr="002F5025" w:rsidRDefault="002F5025" w:rsidP="002F5025">
            <w:pPr>
              <w:spacing w:after="0" w:line="240" w:lineRule="auto"/>
              <w:rPr>
                <w:rFonts w:ascii="Arial" w:hAnsi="Arial" w:cs="Arial"/>
                <w:kern w:val="24"/>
                <w:sz w:val="24"/>
                <w:szCs w:val="24"/>
                <w:lang w:val="ro-RO"/>
              </w:rPr>
            </w:pPr>
          </w:p>
        </w:tc>
        <w:tc>
          <w:tcPr>
            <w:tcW w:w="168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31</w:t>
            </w:r>
          </w:p>
        </w:tc>
        <w:tc>
          <w:tcPr>
            <w:tcW w:w="1459"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4</w:t>
            </w:r>
          </w:p>
        </w:tc>
        <w:tc>
          <w:tcPr>
            <w:tcW w:w="1275"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17</w:t>
            </w:r>
          </w:p>
        </w:tc>
        <w:tc>
          <w:tcPr>
            <w:tcW w:w="113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15</w:t>
            </w:r>
          </w:p>
        </w:tc>
        <w:tc>
          <w:tcPr>
            <w:tcW w:w="1560"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15</w:t>
            </w:r>
          </w:p>
        </w:tc>
      </w:tr>
      <w:tr w:rsidR="002F5025" w:rsidRPr="002F5025" w:rsidTr="00D92384">
        <w:trPr>
          <w:cnfStyle w:val="000000100000"/>
        </w:trPr>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substituiri şi refaceri de arborete slab productive </w:t>
            </w:r>
          </w:p>
        </w:tc>
        <w:tc>
          <w:tcPr>
            <w:tcW w:w="168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459"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14</w:t>
            </w:r>
          </w:p>
        </w:tc>
        <w:tc>
          <w:tcPr>
            <w:tcW w:w="1275"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9</w:t>
            </w:r>
          </w:p>
        </w:tc>
        <w:tc>
          <w:tcPr>
            <w:tcW w:w="113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9</w:t>
            </w:r>
          </w:p>
        </w:tc>
        <w:tc>
          <w:tcPr>
            <w:tcW w:w="1560"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8</w:t>
            </w:r>
          </w:p>
        </w:tc>
      </w:tr>
      <w:tr w:rsidR="002F5025" w:rsidRPr="002F5025" w:rsidTr="00D92384">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poieni şi goluri neregenerate</w:t>
            </w:r>
          </w:p>
        </w:tc>
        <w:tc>
          <w:tcPr>
            <w:tcW w:w="168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459"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4</w:t>
            </w:r>
          </w:p>
        </w:tc>
        <w:tc>
          <w:tcPr>
            <w:tcW w:w="1275"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13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6</w:t>
            </w:r>
          </w:p>
        </w:tc>
        <w:tc>
          <w:tcPr>
            <w:tcW w:w="1560"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5</w:t>
            </w:r>
          </w:p>
        </w:tc>
      </w:tr>
      <w:tr w:rsidR="002F5025" w:rsidRPr="002F5025" w:rsidTr="00D92384">
        <w:trPr>
          <w:cnfStyle w:val="000000100000"/>
        </w:trPr>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terenuri degradate din fondul forestier</w:t>
            </w:r>
          </w:p>
        </w:tc>
        <w:tc>
          <w:tcPr>
            <w:tcW w:w="168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4</w:t>
            </w:r>
          </w:p>
        </w:tc>
        <w:tc>
          <w:tcPr>
            <w:tcW w:w="1459"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4</w:t>
            </w:r>
          </w:p>
        </w:tc>
        <w:tc>
          <w:tcPr>
            <w:tcW w:w="1275"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1</w:t>
            </w:r>
          </w:p>
        </w:tc>
        <w:tc>
          <w:tcPr>
            <w:tcW w:w="113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560"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1</w:t>
            </w:r>
          </w:p>
        </w:tc>
      </w:tr>
      <w:tr w:rsidR="002F5025" w:rsidRPr="002F5025" w:rsidTr="00D92384">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perdele forestiere de protecţie </w:t>
            </w:r>
          </w:p>
        </w:tc>
        <w:tc>
          <w:tcPr>
            <w:tcW w:w="168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459"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275"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13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560"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r>
      <w:tr w:rsidR="002F5025" w:rsidRPr="002F5025" w:rsidTr="00D92384">
        <w:trPr>
          <w:cnfStyle w:val="000000100000"/>
        </w:trPr>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în alte terenuri din afara fondului forestier: </w:t>
            </w:r>
          </w:p>
        </w:tc>
        <w:tc>
          <w:tcPr>
            <w:tcW w:w="168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459"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275"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13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560"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r>
      <w:tr w:rsidR="002F5025" w:rsidRPr="002F5025" w:rsidTr="00D92384">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perdele de protecţie </w:t>
            </w:r>
          </w:p>
        </w:tc>
        <w:tc>
          <w:tcPr>
            <w:tcW w:w="168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459"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275"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13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560"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r>
      <w:tr w:rsidR="002F5025" w:rsidRPr="002F5025" w:rsidTr="00D92384">
        <w:trPr>
          <w:cnfStyle w:val="000000100000"/>
        </w:trPr>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t>împăduriri antierozionale</w:t>
            </w:r>
          </w:p>
        </w:tc>
        <w:tc>
          <w:tcPr>
            <w:tcW w:w="168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459"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275"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134"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c>
          <w:tcPr>
            <w:tcW w:w="1560" w:type="dxa"/>
          </w:tcPr>
          <w:p w:rsidR="002F5025" w:rsidRPr="002F5025" w:rsidRDefault="002F5025" w:rsidP="002F5025">
            <w:pPr>
              <w:spacing w:after="0" w:line="240" w:lineRule="auto"/>
              <w:jc w:val="center"/>
              <w:cnfStyle w:val="000000100000"/>
              <w:rPr>
                <w:rFonts w:ascii="Arial" w:hAnsi="Arial" w:cs="Arial"/>
                <w:kern w:val="24"/>
                <w:sz w:val="24"/>
                <w:szCs w:val="24"/>
                <w:lang w:val="ro-RO"/>
              </w:rPr>
            </w:pPr>
            <w:r w:rsidRPr="002F5025">
              <w:rPr>
                <w:rFonts w:ascii="Arial" w:hAnsi="Arial" w:cs="Arial"/>
                <w:kern w:val="24"/>
                <w:sz w:val="24"/>
                <w:szCs w:val="24"/>
                <w:lang w:val="ro-RO"/>
              </w:rPr>
              <w:t>0</w:t>
            </w:r>
          </w:p>
        </w:tc>
      </w:tr>
      <w:tr w:rsidR="002F5025" w:rsidRPr="002F5025" w:rsidTr="00D92384">
        <w:tc>
          <w:tcPr>
            <w:cnfStyle w:val="001000000000"/>
            <w:tcW w:w="2268" w:type="dxa"/>
          </w:tcPr>
          <w:p w:rsidR="002F5025" w:rsidRPr="002F5025" w:rsidRDefault="002F5025" w:rsidP="002F5025">
            <w:pPr>
              <w:autoSpaceDE w:val="0"/>
              <w:autoSpaceDN w:val="0"/>
              <w:adjustRightInd w:val="0"/>
              <w:spacing w:after="0" w:line="240" w:lineRule="auto"/>
              <w:rPr>
                <w:rFonts w:ascii="Arial" w:eastAsia="SimSun" w:hAnsi="Arial" w:cs="Arial"/>
                <w:kern w:val="24"/>
                <w:sz w:val="24"/>
                <w:szCs w:val="24"/>
                <w:lang w:val="ro-RO"/>
              </w:rPr>
            </w:pPr>
            <w:r w:rsidRPr="002F5025">
              <w:rPr>
                <w:rFonts w:ascii="Arial" w:eastAsia="SimSun" w:hAnsi="Arial" w:cs="Arial"/>
                <w:kern w:val="24"/>
                <w:sz w:val="24"/>
                <w:szCs w:val="24"/>
                <w:lang w:val="ro-RO"/>
              </w:rPr>
              <w:lastRenderedPageBreak/>
              <w:t xml:space="preserve">terenuri degradate in afara fondului forestier </w:t>
            </w:r>
          </w:p>
        </w:tc>
        <w:tc>
          <w:tcPr>
            <w:tcW w:w="168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459"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275"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134"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c>
          <w:tcPr>
            <w:tcW w:w="1560" w:type="dxa"/>
          </w:tcPr>
          <w:p w:rsidR="002F5025" w:rsidRPr="002F5025" w:rsidRDefault="002F5025" w:rsidP="002F5025">
            <w:pPr>
              <w:spacing w:after="0" w:line="240" w:lineRule="auto"/>
              <w:jc w:val="center"/>
              <w:cnfStyle w:val="000000000000"/>
              <w:rPr>
                <w:rFonts w:ascii="Arial" w:hAnsi="Arial" w:cs="Arial"/>
                <w:kern w:val="24"/>
                <w:sz w:val="24"/>
                <w:szCs w:val="24"/>
                <w:lang w:val="ro-RO"/>
              </w:rPr>
            </w:pPr>
            <w:r w:rsidRPr="002F5025">
              <w:rPr>
                <w:rFonts w:ascii="Arial" w:hAnsi="Arial" w:cs="Arial"/>
                <w:kern w:val="24"/>
                <w:sz w:val="24"/>
                <w:szCs w:val="24"/>
                <w:lang w:val="ro-RO"/>
              </w:rPr>
              <w:t>0</w:t>
            </w:r>
          </w:p>
        </w:tc>
      </w:tr>
    </w:tbl>
    <w:p w:rsidR="002F5025" w:rsidRPr="002F5025" w:rsidRDefault="002F5025" w:rsidP="002F5025">
      <w:pPr>
        <w:spacing w:after="120" w:line="240" w:lineRule="auto"/>
        <w:rPr>
          <w:rFonts w:ascii="Arial" w:eastAsia="SimSun" w:hAnsi="Arial" w:cs="Arial"/>
          <w:i/>
          <w:kern w:val="24"/>
          <w:sz w:val="24"/>
          <w:szCs w:val="24"/>
          <w:lang w:val="ro-RO"/>
        </w:rPr>
      </w:pPr>
      <w:r w:rsidRPr="002F5025">
        <w:rPr>
          <w:rFonts w:ascii="Arial" w:eastAsia="SimSun" w:hAnsi="Arial" w:cs="Arial"/>
          <w:i/>
          <w:kern w:val="24"/>
          <w:sz w:val="24"/>
          <w:szCs w:val="24"/>
          <w:lang w:val="ro-RO"/>
        </w:rPr>
        <w:t>Sursa- C.R.S.C. Focşani</w:t>
      </w:r>
    </w:p>
    <w:p w:rsid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Analizând datele privind suprafeţele de păduri regenerate, prezentate în tabelul şi figura VI.1.4.-4, se constată o creştere constantă a acestora în ultimii cinci ani.</w:t>
      </w:r>
    </w:p>
    <w:p w:rsidR="00DD353B" w:rsidRPr="002F5025" w:rsidRDefault="00DD353B" w:rsidP="002F5025">
      <w:pPr>
        <w:spacing w:after="120" w:line="240" w:lineRule="auto"/>
        <w:jc w:val="both"/>
        <w:rPr>
          <w:rFonts w:ascii="Arial" w:eastAsia="SimSun" w:hAnsi="Arial" w:cs="Arial"/>
          <w:kern w:val="24"/>
          <w:sz w:val="24"/>
          <w:szCs w:val="24"/>
          <w:lang w:val="ro-RO"/>
        </w:rPr>
      </w:pPr>
    </w:p>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b/>
          <w:kern w:val="24"/>
          <w:sz w:val="24"/>
          <w:szCs w:val="24"/>
          <w:lang w:val="ro-RO"/>
        </w:rPr>
        <w:t xml:space="preserve">Tabel  </w:t>
      </w:r>
      <w:r w:rsidRPr="002F5025">
        <w:rPr>
          <w:rFonts w:ascii="Arial" w:eastAsiaTheme="minorHAnsi" w:hAnsi="Arial" w:cs="Arial"/>
          <w:b/>
          <w:sz w:val="24"/>
          <w:szCs w:val="24"/>
          <w:lang w:val="ro-RO"/>
        </w:rPr>
        <w:t>VI.1.4.-4 Evoluţia suprafeţelor de păduri regenerate, în judeţul Buzău</w:t>
      </w:r>
    </w:p>
    <w:tbl>
      <w:tblPr>
        <w:tblStyle w:val="MediumShading1-Accent3"/>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2477"/>
        <w:gridCol w:w="2420"/>
        <w:gridCol w:w="1858"/>
      </w:tblGrid>
      <w:tr w:rsidR="002F5025" w:rsidRPr="002F5025" w:rsidTr="00D92384">
        <w:trPr>
          <w:cnfStyle w:val="100000000000"/>
        </w:trPr>
        <w:tc>
          <w:tcPr>
            <w:cnfStyle w:val="001000000000"/>
            <w:tcW w:w="500"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120" w:line="240" w:lineRule="auto"/>
              <w:jc w:val="center"/>
              <w:rPr>
                <w:rFonts w:ascii="Arial" w:eastAsia="SimSun" w:hAnsi="Arial" w:cs="Arial"/>
                <w:kern w:val="24"/>
                <w:sz w:val="24"/>
                <w:szCs w:val="24"/>
                <w:lang w:val="ro-RO"/>
              </w:rPr>
            </w:pPr>
            <w:r w:rsidRPr="002F5025">
              <w:rPr>
                <w:rFonts w:ascii="Arial" w:eastAsia="SimSun" w:hAnsi="Arial" w:cs="Arial"/>
                <w:kern w:val="24"/>
                <w:sz w:val="24"/>
                <w:szCs w:val="24"/>
                <w:lang w:val="ro-RO"/>
              </w:rPr>
              <w:t>An</w:t>
            </w:r>
          </w:p>
        </w:tc>
        <w:tc>
          <w:tcPr>
            <w:tcW w:w="2477"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120" w:line="240" w:lineRule="auto"/>
              <w:jc w:val="center"/>
              <w:cnfStyle w:val="100000000000"/>
              <w:rPr>
                <w:rFonts w:ascii="Arial" w:eastAsia="SimSun" w:hAnsi="Arial" w:cs="Arial"/>
                <w:kern w:val="24"/>
                <w:sz w:val="24"/>
                <w:szCs w:val="24"/>
                <w:lang w:val="ro-RO"/>
              </w:rPr>
            </w:pPr>
            <w:r w:rsidRPr="002F5025">
              <w:rPr>
                <w:rFonts w:ascii="Arial" w:eastAsia="SimSun" w:hAnsi="Arial" w:cs="Arial"/>
                <w:kern w:val="24"/>
                <w:sz w:val="24"/>
                <w:szCs w:val="24"/>
                <w:lang w:val="ro-RO"/>
              </w:rPr>
              <w:t>Regenerare totală</w:t>
            </w:r>
          </w:p>
        </w:tc>
        <w:tc>
          <w:tcPr>
            <w:tcW w:w="2420"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120" w:line="240" w:lineRule="auto"/>
              <w:jc w:val="center"/>
              <w:cnfStyle w:val="100000000000"/>
              <w:rPr>
                <w:rFonts w:ascii="Arial" w:eastAsia="SimSun" w:hAnsi="Arial" w:cs="Arial"/>
                <w:kern w:val="24"/>
                <w:sz w:val="24"/>
                <w:szCs w:val="24"/>
                <w:lang w:val="ro-RO"/>
              </w:rPr>
            </w:pPr>
            <w:r w:rsidRPr="002F5025">
              <w:rPr>
                <w:rFonts w:ascii="Arial" w:eastAsia="SimSun" w:hAnsi="Arial" w:cs="Arial"/>
                <w:kern w:val="24"/>
                <w:sz w:val="24"/>
                <w:szCs w:val="24"/>
                <w:lang w:val="ro-RO"/>
              </w:rPr>
              <w:t>Împăduriri</w:t>
            </w:r>
          </w:p>
        </w:tc>
        <w:tc>
          <w:tcPr>
            <w:tcW w:w="1858" w:type="dxa"/>
            <w:tcBorders>
              <w:top w:val="none" w:sz="0" w:space="0" w:color="auto"/>
              <w:left w:val="none" w:sz="0" w:space="0" w:color="auto"/>
              <w:bottom w:val="none" w:sz="0" w:space="0" w:color="auto"/>
              <w:right w:val="none" w:sz="0" w:space="0" w:color="auto"/>
            </w:tcBorders>
          </w:tcPr>
          <w:p w:rsidR="002F5025" w:rsidRPr="002F5025" w:rsidRDefault="002F5025" w:rsidP="002F5025">
            <w:pPr>
              <w:spacing w:after="120" w:line="240" w:lineRule="auto"/>
              <w:jc w:val="center"/>
              <w:cnfStyle w:val="100000000000"/>
              <w:rPr>
                <w:rFonts w:ascii="Arial" w:eastAsia="SimSun" w:hAnsi="Arial" w:cs="Arial"/>
                <w:kern w:val="24"/>
                <w:sz w:val="24"/>
                <w:szCs w:val="24"/>
                <w:lang w:val="ro-RO"/>
              </w:rPr>
            </w:pPr>
            <w:r w:rsidRPr="002F5025">
              <w:rPr>
                <w:rFonts w:ascii="Arial" w:eastAsia="SimSun" w:hAnsi="Arial" w:cs="Arial"/>
                <w:kern w:val="24"/>
                <w:sz w:val="24"/>
                <w:szCs w:val="24"/>
                <w:lang w:val="ro-RO"/>
              </w:rPr>
              <w:t>Regenerare naturală</w:t>
            </w:r>
          </w:p>
        </w:tc>
      </w:tr>
      <w:tr w:rsidR="002F5025" w:rsidRPr="002F5025" w:rsidTr="00D92384">
        <w:trPr>
          <w:cnfStyle w:val="000000100000"/>
        </w:trPr>
        <w:tc>
          <w:tcPr>
            <w:cnfStyle w:val="001000000000"/>
            <w:tcW w:w="500" w:type="dxa"/>
            <w:tcBorders>
              <w:right w:val="none" w:sz="0" w:space="0" w:color="auto"/>
            </w:tcBorders>
          </w:tcPr>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2010</w:t>
            </w:r>
          </w:p>
        </w:tc>
        <w:tc>
          <w:tcPr>
            <w:tcW w:w="2477" w:type="dxa"/>
            <w:tcBorders>
              <w:left w:val="none" w:sz="0" w:space="0" w:color="auto"/>
              <w:righ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293</w:t>
            </w:r>
          </w:p>
        </w:tc>
        <w:tc>
          <w:tcPr>
            <w:tcW w:w="2420" w:type="dxa"/>
            <w:tcBorders>
              <w:left w:val="none" w:sz="0" w:space="0" w:color="auto"/>
              <w:righ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35</w:t>
            </w:r>
          </w:p>
        </w:tc>
        <w:tc>
          <w:tcPr>
            <w:tcW w:w="1858" w:type="dxa"/>
            <w:tcBorders>
              <w:lef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258</w:t>
            </w:r>
          </w:p>
        </w:tc>
      </w:tr>
      <w:tr w:rsidR="002F5025" w:rsidRPr="002F5025" w:rsidTr="00D92384">
        <w:trPr>
          <w:cnfStyle w:val="000000010000"/>
        </w:trPr>
        <w:tc>
          <w:tcPr>
            <w:cnfStyle w:val="001000000000"/>
            <w:tcW w:w="500" w:type="dxa"/>
            <w:tcBorders>
              <w:right w:val="none" w:sz="0" w:space="0" w:color="auto"/>
            </w:tcBorders>
          </w:tcPr>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2011</w:t>
            </w:r>
          </w:p>
        </w:tc>
        <w:tc>
          <w:tcPr>
            <w:tcW w:w="2477" w:type="dxa"/>
            <w:tcBorders>
              <w:left w:val="none" w:sz="0" w:space="0" w:color="auto"/>
              <w:right w:val="none" w:sz="0"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307</w:t>
            </w:r>
          </w:p>
        </w:tc>
        <w:tc>
          <w:tcPr>
            <w:tcW w:w="2420" w:type="dxa"/>
            <w:tcBorders>
              <w:left w:val="none" w:sz="0" w:space="0" w:color="auto"/>
              <w:right w:val="none" w:sz="0"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26</w:t>
            </w:r>
          </w:p>
        </w:tc>
        <w:tc>
          <w:tcPr>
            <w:tcW w:w="1858" w:type="dxa"/>
            <w:tcBorders>
              <w:left w:val="none" w:sz="0"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281</w:t>
            </w:r>
          </w:p>
        </w:tc>
      </w:tr>
      <w:tr w:rsidR="002F5025" w:rsidRPr="002F5025" w:rsidTr="00D92384">
        <w:trPr>
          <w:cnfStyle w:val="000000100000"/>
        </w:trPr>
        <w:tc>
          <w:tcPr>
            <w:cnfStyle w:val="001000000000"/>
            <w:tcW w:w="500" w:type="dxa"/>
            <w:tcBorders>
              <w:right w:val="none" w:sz="0" w:space="0" w:color="auto"/>
            </w:tcBorders>
          </w:tcPr>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2012</w:t>
            </w:r>
          </w:p>
        </w:tc>
        <w:tc>
          <w:tcPr>
            <w:tcW w:w="2477" w:type="dxa"/>
            <w:tcBorders>
              <w:left w:val="none" w:sz="0" w:space="0" w:color="auto"/>
              <w:righ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316</w:t>
            </w:r>
          </w:p>
        </w:tc>
        <w:tc>
          <w:tcPr>
            <w:tcW w:w="2420" w:type="dxa"/>
            <w:tcBorders>
              <w:left w:val="none" w:sz="0" w:space="0" w:color="auto"/>
              <w:righ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27</w:t>
            </w:r>
          </w:p>
        </w:tc>
        <w:tc>
          <w:tcPr>
            <w:tcW w:w="1858" w:type="dxa"/>
            <w:tcBorders>
              <w:lef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289</w:t>
            </w:r>
          </w:p>
        </w:tc>
      </w:tr>
      <w:tr w:rsidR="002F5025" w:rsidRPr="002F5025" w:rsidTr="00D92384">
        <w:trPr>
          <w:cnfStyle w:val="000000010000"/>
        </w:trPr>
        <w:tc>
          <w:tcPr>
            <w:cnfStyle w:val="001000000000"/>
            <w:tcW w:w="500" w:type="dxa"/>
            <w:tcBorders>
              <w:right w:val="none" w:sz="0" w:space="0" w:color="auto"/>
            </w:tcBorders>
          </w:tcPr>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2013</w:t>
            </w:r>
          </w:p>
        </w:tc>
        <w:tc>
          <w:tcPr>
            <w:tcW w:w="2477" w:type="dxa"/>
            <w:tcBorders>
              <w:left w:val="none" w:sz="0" w:space="0" w:color="auto"/>
              <w:right w:val="none" w:sz="0"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359</w:t>
            </w:r>
          </w:p>
        </w:tc>
        <w:tc>
          <w:tcPr>
            <w:tcW w:w="2420" w:type="dxa"/>
            <w:tcBorders>
              <w:left w:val="none" w:sz="0" w:space="0" w:color="auto"/>
              <w:right w:val="none" w:sz="0"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30</w:t>
            </w:r>
          </w:p>
        </w:tc>
        <w:tc>
          <w:tcPr>
            <w:tcW w:w="1858" w:type="dxa"/>
            <w:tcBorders>
              <w:left w:val="none" w:sz="0" w:space="0" w:color="auto"/>
            </w:tcBorders>
          </w:tcPr>
          <w:p w:rsidR="002F5025" w:rsidRPr="002F5025" w:rsidRDefault="002F5025" w:rsidP="002F5025">
            <w:pPr>
              <w:spacing w:after="120" w:line="240" w:lineRule="auto"/>
              <w:jc w:val="center"/>
              <w:cnfStyle w:val="000000010000"/>
              <w:rPr>
                <w:rFonts w:ascii="Arial" w:eastAsia="SimSun" w:hAnsi="Arial" w:cs="Arial"/>
                <w:kern w:val="24"/>
                <w:sz w:val="24"/>
                <w:szCs w:val="24"/>
                <w:lang w:val="ro-RO"/>
              </w:rPr>
            </w:pPr>
            <w:r w:rsidRPr="002F5025">
              <w:rPr>
                <w:rFonts w:ascii="Arial" w:eastAsia="SimSun" w:hAnsi="Arial" w:cs="Arial"/>
                <w:kern w:val="24"/>
                <w:sz w:val="24"/>
                <w:szCs w:val="24"/>
                <w:lang w:val="ro-RO"/>
              </w:rPr>
              <w:t>329</w:t>
            </w:r>
          </w:p>
        </w:tc>
      </w:tr>
      <w:tr w:rsidR="002F5025" w:rsidRPr="002F5025" w:rsidTr="00D92384">
        <w:trPr>
          <w:cnfStyle w:val="000000100000"/>
        </w:trPr>
        <w:tc>
          <w:tcPr>
            <w:cnfStyle w:val="001000000000"/>
            <w:tcW w:w="500" w:type="dxa"/>
            <w:tcBorders>
              <w:right w:val="none" w:sz="0" w:space="0" w:color="auto"/>
            </w:tcBorders>
          </w:tcPr>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2014</w:t>
            </w:r>
          </w:p>
        </w:tc>
        <w:tc>
          <w:tcPr>
            <w:tcW w:w="2477" w:type="dxa"/>
            <w:tcBorders>
              <w:left w:val="none" w:sz="0" w:space="0" w:color="auto"/>
              <w:righ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375</w:t>
            </w:r>
          </w:p>
        </w:tc>
        <w:tc>
          <w:tcPr>
            <w:tcW w:w="2420" w:type="dxa"/>
            <w:tcBorders>
              <w:left w:val="none" w:sz="0" w:space="0" w:color="auto"/>
              <w:righ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35</w:t>
            </w:r>
          </w:p>
        </w:tc>
        <w:tc>
          <w:tcPr>
            <w:tcW w:w="1858" w:type="dxa"/>
            <w:tcBorders>
              <w:left w:val="none" w:sz="0" w:space="0" w:color="auto"/>
            </w:tcBorders>
          </w:tcPr>
          <w:p w:rsidR="002F5025" w:rsidRPr="002F5025" w:rsidRDefault="002F5025" w:rsidP="002F5025">
            <w:pPr>
              <w:spacing w:after="120" w:line="240" w:lineRule="auto"/>
              <w:jc w:val="center"/>
              <w:cnfStyle w:val="000000100000"/>
              <w:rPr>
                <w:rFonts w:ascii="Arial" w:eastAsia="SimSun" w:hAnsi="Arial" w:cs="Arial"/>
                <w:kern w:val="24"/>
                <w:sz w:val="24"/>
                <w:szCs w:val="24"/>
                <w:lang w:val="ro-RO"/>
              </w:rPr>
            </w:pPr>
            <w:r w:rsidRPr="002F5025">
              <w:rPr>
                <w:rFonts w:ascii="Arial" w:eastAsia="SimSun" w:hAnsi="Arial" w:cs="Arial"/>
                <w:kern w:val="24"/>
                <w:sz w:val="24"/>
                <w:szCs w:val="24"/>
                <w:lang w:val="ro-RO"/>
              </w:rPr>
              <w:t>340</w:t>
            </w:r>
          </w:p>
        </w:tc>
      </w:tr>
    </w:tbl>
    <w:p w:rsidR="002F5025" w:rsidRDefault="002F5025" w:rsidP="002F5025">
      <w:pPr>
        <w:spacing w:after="120" w:line="240" w:lineRule="auto"/>
        <w:rPr>
          <w:rFonts w:ascii="Arial" w:eastAsia="SimSun" w:hAnsi="Arial" w:cs="Arial"/>
          <w:i/>
          <w:kern w:val="24"/>
          <w:sz w:val="24"/>
          <w:szCs w:val="24"/>
          <w:lang w:val="ro-RO"/>
        </w:rPr>
      </w:pPr>
      <w:r w:rsidRPr="002F5025">
        <w:rPr>
          <w:rFonts w:ascii="Arial" w:eastAsia="SimSun" w:hAnsi="Arial" w:cs="Arial"/>
          <w:i/>
          <w:kern w:val="24"/>
          <w:sz w:val="24"/>
          <w:szCs w:val="24"/>
          <w:lang w:val="ro-RO"/>
        </w:rPr>
        <w:t>Sursa- C.R.S.C. Focşani</w:t>
      </w:r>
    </w:p>
    <w:p w:rsidR="00DD353B" w:rsidRPr="002F5025" w:rsidRDefault="00DD353B" w:rsidP="002F5025">
      <w:pPr>
        <w:spacing w:after="120" w:line="240" w:lineRule="auto"/>
        <w:rPr>
          <w:rFonts w:ascii="Arial" w:eastAsia="SimSun" w:hAnsi="Arial" w:cs="Arial"/>
          <w:i/>
          <w:kern w:val="24"/>
          <w:sz w:val="24"/>
          <w:szCs w:val="24"/>
          <w:lang w:val="ro-RO"/>
        </w:rPr>
      </w:pPr>
    </w:p>
    <w:p w:rsidR="002F5025" w:rsidRPr="002F5025" w:rsidRDefault="002F5025" w:rsidP="002F5025">
      <w:pPr>
        <w:spacing w:after="120" w:line="240" w:lineRule="auto"/>
        <w:rPr>
          <w:rFonts w:ascii="Arial" w:eastAsia="SimSun" w:hAnsi="Arial" w:cs="Arial"/>
          <w:kern w:val="24"/>
          <w:sz w:val="24"/>
          <w:szCs w:val="24"/>
          <w:lang w:val="ro-RO"/>
        </w:rPr>
      </w:pPr>
      <w:r w:rsidRPr="002F5025">
        <w:rPr>
          <w:rFonts w:ascii="Arial" w:eastAsia="SimSun" w:hAnsi="Arial" w:cs="Arial"/>
          <w:b/>
          <w:kern w:val="24"/>
          <w:sz w:val="24"/>
          <w:szCs w:val="24"/>
          <w:lang w:val="ro-RO"/>
        </w:rPr>
        <w:t>Figura</w:t>
      </w:r>
      <w:r w:rsidRPr="002F5025">
        <w:rPr>
          <w:rFonts w:ascii="Arial" w:eastAsia="SimSun" w:hAnsi="Arial" w:cs="Arial"/>
          <w:kern w:val="24"/>
          <w:sz w:val="24"/>
          <w:szCs w:val="24"/>
          <w:lang w:val="ro-RO"/>
        </w:rPr>
        <w:t xml:space="preserve"> </w:t>
      </w:r>
      <w:r w:rsidRPr="002F5025">
        <w:rPr>
          <w:rFonts w:ascii="Arial" w:eastAsiaTheme="minorHAnsi" w:hAnsi="Arial" w:cs="Arial"/>
          <w:b/>
          <w:sz w:val="24"/>
          <w:szCs w:val="24"/>
          <w:lang w:val="ro-RO"/>
        </w:rPr>
        <w:t>VI.1.4.-1 Evoluţia suprafeţelor de păduri regenerate la nivelul judeţului Buzău</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noProof/>
          <w:kern w:val="24"/>
          <w:sz w:val="24"/>
          <w:szCs w:val="24"/>
          <w:lang w:val="ro-RO" w:eastAsia="ro-RO"/>
        </w:rPr>
        <w:drawing>
          <wp:inline distT="0" distB="0" distL="0" distR="0">
            <wp:extent cx="5486400" cy="2743200"/>
            <wp:effectExtent l="19050" t="0" r="19050" b="0"/>
            <wp:docPr id="2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Theme="minorHAnsi" w:hAnsi="Arial" w:cs="Arial"/>
          <w:i/>
          <w:sz w:val="24"/>
          <w:szCs w:val="24"/>
          <w:lang w:val="ro-RO"/>
        </w:rPr>
        <w:t xml:space="preserve"> Sursa- C.R.S.C. Focşani  </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Enorma restrângere a fondului forestier de la aproximativ 19 milioane hectare, cât a fost în trecutul îndepărtat, la 6,4 milioane hectare, cât mai este în prezent, în condiţiile înaltei vulnerabilităţi a mediului geografic românesc la harzarde naturale şi antropice, pe de o parte, şi ale modului agresiv de folosire a terenurilor despădurite, pe de altă parte, explică gradul actual ridicat de deteriorare a factorilor de mediu, îndeosebi a solului, înregistrându-se: eroziuni prin apă pe 6,3 mil. ha; eroziuni eoliene pe 0,4 mil. ha; alunecări de teren pe 0,7 mil. ha; poluarea chimică pe 0,9 mil. ha. Slabele preocupări pentru întregirea patrimoniului forestier naţional vin totodată în directă contradicţie cu imperativul atenuării schimbărilor climatice (prin sechestrarea dioxidului de carbon în biomasa forestieră şi în solul de pădure, dar şi prin capacitatea azotului din aparatul foliar al arborilor de a reflecta radiaţiile solare); mai vin în contradicţie şi cu imperativul reconstrucţiei ecologice a spaţiului rural, precum şi al dezvoltării durabile a acestuia.</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lastRenderedPageBreak/>
        <w:t xml:space="preserve"> VI.2. Ameninţări şi presiuni exercitate asupra pădurilor</w:t>
      </w:r>
    </w:p>
    <w:p w:rsidR="002F5025" w:rsidRPr="002F5025" w:rsidRDefault="002F5025" w:rsidP="002F5025">
      <w:pPr>
        <w:autoSpaceDE w:val="0"/>
        <w:autoSpaceDN w:val="0"/>
        <w:adjustRightInd w:val="0"/>
        <w:spacing w:after="120" w:line="240" w:lineRule="auto"/>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Principalele ameninţări care afectează pădurile sunt: </w:t>
      </w:r>
    </w:p>
    <w:p w:rsidR="002F5025" w:rsidRPr="002F5025" w:rsidRDefault="002F5025" w:rsidP="000A5EAD">
      <w:pPr>
        <w:numPr>
          <w:ilvl w:val="0"/>
          <w:numId w:val="30"/>
        </w:numPr>
        <w:autoSpaceDE w:val="0"/>
        <w:autoSpaceDN w:val="0"/>
        <w:adjustRightInd w:val="0"/>
        <w:spacing w:after="120" w:line="240" w:lineRule="auto"/>
        <w:jc w:val="both"/>
        <w:rPr>
          <w:rFonts w:ascii="Arial" w:eastAsia="SimSun" w:hAnsi="Arial" w:cs="Arial"/>
          <w:color w:val="000000"/>
          <w:sz w:val="24"/>
          <w:szCs w:val="24"/>
          <w:lang w:val="ro-RO" w:eastAsia="ro-RO"/>
        </w:rPr>
      </w:pPr>
      <w:r w:rsidRPr="002F5025">
        <w:rPr>
          <w:rFonts w:ascii="Arial" w:eastAsia="SimSun" w:hAnsi="Arial" w:cs="Arial"/>
          <w:color w:val="000000"/>
          <w:sz w:val="24"/>
          <w:szCs w:val="24"/>
          <w:lang w:val="ro-RO" w:eastAsia="ro-RO"/>
        </w:rPr>
        <w:t xml:space="preserve">defrişările (în exces, în scopuri industriale sau pentru obţinerea de energie sau biocombustibili, dar mai ales cele ilegale; de asemenea, tăierile datorate conversiei pădurilor la terenuri agricole au rol important); </w:t>
      </w:r>
    </w:p>
    <w:p w:rsidR="002F5025" w:rsidRPr="002F5025" w:rsidRDefault="002F5025" w:rsidP="000A5EAD">
      <w:pPr>
        <w:numPr>
          <w:ilvl w:val="0"/>
          <w:numId w:val="31"/>
        </w:numPr>
        <w:autoSpaceDE w:val="0"/>
        <w:autoSpaceDN w:val="0"/>
        <w:adjustRightInd w:val="0"/>
        <w:spacing w:after="120" w:line="240" w:lineRule="auto"/>
        <w:jc w:val="both"/>
        <w:rPr>
          <w:rFonts w:ascii="Arial" w:eastAsia="SimSun" w:hAnsi="Arial" w:cs="Arial"/>
          <w:color w:val="000000"/>
          <w:sz w:val="24"/>
          <w:szCs w:val="24"/>
          <w:lang w:val="ro-RO"/>
        </w:rPr>
      </w:pPr>
      <w:r w:rsidRPr="002F5025">
        <w:rPr>
          <w:rFonts w:ascii="Arial" w:eastAsia="SimSun" w:hAnsi="Arial" w:cs="Arial"/>
          <w:color w:val="000000"/>
          <w:sz w:val="24"/>
          <w:szCs w:val="24"/>
          <w:lang w:val="ro-RO"/>
        </w:rPr>
        <w:t xml:space="preserve">fragmentarea ecosistemelor; </w:t>
      </w:r>
    </w:p>
    <w:p w:rsidR="002F5025" w:rsidRPr="002F5025" w:rsidRDefault="002F5025" w:rsidP="000A5EAD">
      <w:pPr>
        <w:numPr>
          <w:ilvl w:val="0"/>
          <w:numId w:val="32"/>
        </w:numPr>
        <w:autoSpaceDE w:val="0"/>
        <w:autoSpaceDN w:val="0"/>
        <w:adjustRightInd w:val="0"/>
        <w:spacing w:after="120" w:line="240" w:lineRule="auto"/>
        <w:jc w:val="both"/>
        <w:rPr>
          <w:rFonts w:ascii="Arial" w:eastAsia="SimSun" w:hAnsi="Arial" w:cs="Arial"/>
          <w:color w:val="000000"/>
          <w:sz w:val="24"/>
          <w:szCs w:val="24"/>
          <w:lang w:val="ro-RO"/>
        </w:rPr>
      </w:pPr>
      <w:r w:rsidRPr="002F5025">
        <w:rPr>
          <w:rFonts w:ascii="Arial" w:eastAsia="SimSun" w:hAnsi="Arial" w:cs="Arial"/>
          <w:color w:val="000000"/>
          <w:sz w:val="24"/>
          <w:szCs w:val="24"/>
          <w:lang w:val="ro-RO"/>
        </w:rPr>
        <w:t xml:space="preserve">degradarea pădurilor, din cauza dăunătorilor sau bolilor sau a speciilor invazive; </w:t>
      </w:r>
    </w:p>
    <w:p w:rsidR="002F5025" w:rsidRPr="002F5025" w:rsidRDefault="002F5025" w:rsidP="000A5EAD">
      <w:pPr>
        <w:numPr>
          <w:ilvl w:val="0"/>
          <w:numId w:val="32"/>
        </w:numPr>
        <w:autoSpaceDE w:val="0"/>
        <w:autoSpaceDN w:val="0"/>
        <w:adjustRightInd w:val="0"/>
        <w:spacing w:after="120" w:line="240" w:lineRule="auto"/>
        <w:jc w:val="both"/>
        <w:rPr>
          <w:rFonts w:ascii="Arial" w:eastAsia="SimSun" w:hAnsi="Arial" w:cs="Arial"/>
          <w:color w:val="000000"/>
          <w:sz w:val="24"/>
          <w:szCs w:val="24"/>
          <w:lang w:val="ro-RO"/>
        </w:rPr>
      </w:pPr>
      <w:r w:rsidRPr="002F5025">
        <w:rPr>
          <w:rFonts w:ascii="Arial" w:eastAsia="SimSun" w:hAnsi="Arial" w:cs="Arial"/>
          <w:color w:val="000000"/>
          <w:sz w:val="24"/>
          <w:szCs w:val="24"/>
          <w:lang w:val="ro-RO"/>
        </w:rPr>
        <w:t xml:space="preserve">schimbările climatice, inclusiv incendiile de pădure; </w:t>
      </w:r>
    </w:p>
    <w:p w:rsidR="002F5025" w:rsidRPr="002F5025" w:rsidRDefault="002F5025" w:rsidP="000A5EAD">
      <w:pPr>
        <w:numPr>
          <w:ilvl w:val="0"/>
          <w:numId w:val="33"/>
        </w:numPr>
        <w:autoSpaceDE w:val="0"/>
        <w:autoSpaceDN w:val="0"/>
        <w:adjustRightInd w:val="0"/>
        <w:spacing w:after="120" w:line="240" w:lineRule="auto"/>
        <w:jc w:val="both"/>
        <w:rPr>
          <w:rFonts w:ascii="Arial" w:eastAsia="SimSun" w:hAnsi="Arial" w:cs="Arial"/>
          <w:color w:val="000000"/>
          <w:sz w:val="24"/>
          <w:szCs w:val="24"/>
          <w:lang w:val="ro-RO"/>
        </w:rPr>
      </w:pPr>
      <w:r w:rsidRPr="002F5025">
        <w:rPr>
          <w:rFonts w:ascii="Arial" w:eastAsia="SimSun" w:hAnsi="Arial" w:cs="Arial"/>
          <w:color w:val="000000"/>
          <w:sz w:val="24"/>
          <w:szCs w:val="24"/>
          <w:lang w:val="ro-RO"/>
        </w:rPr>
        <w:t xml:space="preserve">turismul negestionat. </w:t>
      </w:r>
    </w:p>
    <w:p w:rsidR="002F5025" w:rsidRPr="002F5025" w:rsidRDefault="002F5025" w:rsidP="002F5025">
      <w:pPr>
        <w:spacing w:before="120" w:after="120"/>
        <w:jc w:val="both"/>
        <w:rPr>
          <w:rFonts w:ascii="Arial" w:eastAsiaTheme="minorHAnsi" w:hAnsi="Arial" w:cs="Arial"/>
          <w:sz w:val="24"/>
          <w:szCs w:val="24"/>
          <w:lang w:val="it-IT"/>
        </w:rPr>
      </w:pPr>
      <w:r w:rsidRPr="002F5025">
        <w:rPr>
          <w:rFonts w:ascii="Arial" w:eastAsiaTheme="minorHAnsi" w:hAnsi="Arial" w:cs="Arial"/>
          <w:sz w:val="24"/>
          <w:szCs w:val="24"/>
          <w:lang w:val="ro-RO"/>
        </w:rPr>
        <w:t xml:space="preserve"> Ca urmare, pentru a se asigura p</w:t>
      </w:r>
      <w:r w:rsidRPr="002F5025">
        <w:rPr>
          <w:rFonts w:ascii="Arial" w:eastAsiaTheme="minorHAnsi" w:hAnsi="Arial" w:cs="Arial"/>
          <w:sz w:val="24"/>
          <w:szCs w:val="24"/>
          <w:lang w:val="it-IT"/>
        </w:rPr>
        <w:t>rotecţia fondului forestier trebuie:</w:t>
      </w:r>
    </w:p>
    <w:p w:rsidR="002F5025" w:rsidRPr="002F5025" w:rsidRDefault="002F5025" w:rsidP="000A5EAD">
      <w:pPr>
        <w:numPr>
          <w:ilvl w:val="0"/>
          <w:numId w:val="36"/>
        </w:numPr>
        <w:spacing w:before="120" w:after="120" w:line="240" w:lineRule="auto"/>
        <w:jc w:val="both"/>
        <w:rPr>
          <w:rFonts w:ascii="Arial" w:eastAsiaTheme="minorHAnsi" w:hAnsi="Arial" w:cs="Arial"/>
          <w:sz w:val="24"/>
          <w:szCs w:val="24"/>
          <w:lang w:val="it-IT"/>
        </w:rPr>
      </w:pPr>
      <w:r w:rsidRPr="002F5025">
        <w:rPr>
          <w:rFonts w:ascii="Arial" w:eastAsiaTheme="minorHAnsi" w:hAnsi="Arial" w:cs="Arial"/>
          <w:sz w:val="24"/>
          <w:szCs w:val="24"/>
          <w:lang w:val="ro-RO"/>
        </w:rPr>
        <w:t>o planificare forestieră corespunzătoare, care să contribuie la adaptarea compoziţiei pădurilor prin favorizarea speciilor şi soiurilor arboricole cele mai adaptate sau, în cadrul unei specii, a unei mai bune variabilităţi genetice;</w:t>
      </w:r>
    </w:p>
    <w:p w:rsidR="002F5025" w:rsidRPr="002F5025" w:rsidRDefault="002F5025" w:rsidP="000A5EAD">
      <w:pPr>
        <w:numPr>
          <w:ilvl w:val="0"/>
          <w:numId w:val="36"/>
        </w:numPr>
        <w:spacing w:before="120" w:after="120" w:line="240" w:lineRule="auto"/>
        <w:jc w:val="both"/>
        <w:rPr>
          <w:rFonts w:ascii="Arial" w:eastAsiaTheme="minorHAnsi" w:hAnsi="Arial" w:cs="Arial"/>
          <w:sz w:val="24"/>
          <w:szCs w:val="24"/>
          <w:lang w:val="it-IT"/>
        </w:rPr>
      </w:pPr>
      <w:r w:rsidRPr="002F5025">
        <w:rPr>
          <w:rFonts w:ascii="Arial" w:eastAsiaTheme="minorHAnsi" w:hAnsi="Arial" w:cs="Arial"/>
          <w:sz w:val="24"/>
          <w:szCs w:val="24"/>
          <w:lang w:val="ro-RO"/>
        </w:rPr>
        <w:t>măsuri de prevenire a incendiilor, precum gestionarea materialelor combustibile, înfiinţarea şi întreţinerea de parafocuri, poteci, puncte de alimentare cu apă, alegerea optimă a speciilor de arbori, stabilirea de puncte fixe de monitorizare a incendiilor forestiere şi furnizarea de echipamente de comunicare pentru a împiedica propagarea incendiilor;</w:t>
      </w:r>
    </w:p>
    <w:p w:rsidR="002F5025" w:rsidRPr="002F5025" w:rsidRDefault="002F5025" w:rsidP="000A5EAD">
      <w:pPr>
        <w:numPr>
          <w:ilvl w:val="0"/>
          <w:numId w:val="36"/>
        </w:numPr>
        <w:spacing w:before="120" w:after="120" w:line="240" w:lineRule="auto"/>
        <w:jc w:val="both"/>
        <w:rPr>
          <w:rFonts w:ascii="Arial" w:eastAsiaTheme="minorHAnsi" w:hAnsi="Arial" w:cs="Arial"/>
          <w:sz w:val="24"/>
          <w:szCs w:val="24"/>
          <w:lang w:val="it-IT"/>
        </w:rPr>
      </w:pPr>
      <w:r w:rsidRPr="002F5025">
        <w:rPr>
          <w:rFonts w:ascii="Arial" w:eastAsiaTheme="minorHAnsi" w:hAnsi="Arial" w:cs="Arial"/>
          <w:sz w:val="24"/>
          <w:szCs w:val="24"/>
          <w:lang w:val="ro-RO"/>
        </w:rPr>
        <w:t>mobilizarea şi recoltarea sustenabilă a masei lemnoase, precum şi investiţiile în operaţiunile forestiere menite a creşte stabilitatea şi capacitatea pădurilor de a face faţă impactulului schimbărilor climatice, inclusiv reducerea riscurilor de producere a incendiilor forestiere provocate de furtuni şi de apariţie a dăunătorilor;</w:t>
      </w:r>
    </w:p>
    <w:p w:rsidR="002F5025" w:rsidRPr="002F5025" w:rsidRDefault="002F5025" w:rsidP="000A5EAD">
      <w:pPr>
        <w:numPr>
          <w:ilvl w:val="0"/>
          <w:numId w:val="36"/>
        </w:numPr>
        <w:spacing w:before="120" w:after="120" w:line="240" w:lineRule="auto"/>
        <w:jc w:val="both"/>
        <w:rPr>
          <w:rFonts w:ascii="Arial" w:eastAsiaTheme="minorHAnsi" w:hAnsi="Arial" w:cs="Arial"/>
          <w:sz w:val="24"/>
          <w:szCs w:val="24"/>
          <w:lang w:val="it-IT"/>
        </w:rPr>
      </w:pPr>
      <w:r w:rsidRPr="002F5025">
        <w:rPr>
          <w:rFonts w:ascii="Arial" w:eastAsiaTheme="minorHAnsi" w:hAnsi="Arial" w:cs="Arial"/>
          <w:sz w:val="24"/>
          <w:szCs w:val="24"/>
          <w:lang w:val="ro-RO"/>
        </w:rPr>
        <w:t>favorizarea activă a speciilor arboricole care se adaptează mai bine la condiţiile locale şi la condiţiile de creştere în contextul schimbărilor climatice, inclusiv prin utilizarea regenerării naturale în cazurile în care acest lucru este posibil şi recomandabil;</w:t>
      </w:r>
    </w:p>
    <w:p w:rsidR="002F5025" w:rsidRPr="002F5025" w:rsidRDefault="002F5025" w:rsidP="000A5EAD">
      <w:pPr>
        <w:numPr>
          <w:ilvl w:val="0"/>
          <w:numId w:val="36"/>
        </w:numPr>
        <w:spacing w:before="120" w:after="120" w:line="240" w:lineRule="auto"/>
        <w:jc w:val="both"/>
        <w:rPr>
          <w:rFonts w:ascii="Arial" w:eastAsiaTheme="minorHAnsi" w:hAnsi="Arial" w:cs="Arial"/>
          <w:sz w:val="24"/>
          <w:szCs w:val="24"/>
          <w:lang w:val="it-IT"/>
        </w:rPr>
      </w:pPr>
      <w:r w:rsidRPr="002F5025">
        <w:rPr>
          <w:rFonts w:ascii="Arial" w:eastAsiaTheme="minorHAnsi" w:hAnsi="Arial" w:cs="Arial"/>
          <w:sz w:val="24"/>
          <w:szCs w:val="24"/>
          <w:lang w:val="ro-RO"/>
        </w:rPr>
        <w:t>conservarea resurselor genetice endemice şi selecţionarea elementelor din patrimoniul genetic care sunt cel mai bine adaptate la condiţiile estimate de creştere; aceasta poate presupune şi utilizarea de noi varietăţi şi specii;</w:t>
      </w:r>
    </w:p>
    <w:p w:rsidR="002F5025" w:rsidRPr="002F5025" w:rsidRDefault="002F5025" w:rsidP="000A5EAD">
      <w:pPr>
        <w:numPr>
          <w:ilvl w:val="0"/>
          <w:numId w:val="36"/>
        </w:numPr>
        <w:spacing w:before="120" w:after="120" w:line="240" w:lineRule="auto"/>
        <w:jc w:val="both"/>
        <w:rPr>
          <w:rFonts w:ascii="Arial" w:eastAsiaTheme="minorHAnsi" w:hAnsi="Arial" w:cs="Arial"/>
          <w:sz w:val="24"/>
          <w:szCs w:val="24"/>
          <w:lang w:val="it-IT"/>
        </w:rPr>
      </w:pPr>
      <w:r w:rsidRPr="002F5025">
        <w:rPr>
          <w:rFonts w:ascii="Arial" w:eastAsiaTheme="minorHAnsi" w:hAnsi="Arial" w:cs="Arial"/>
          <w:sz w:val="24"/>
          <w:szCs w:val="24"/>
          <w:lang w:val="ro-RO"/>
        </w:rPr>
        <w:t>prevenirea introducerii, prin intermediul schimburilor comerciale internaţionale, a bolilor şi dăunătorilor noi şi a vectorilor acestora (cum ar fi nematodul lemnului de pin din portugalia).</w:t>
      </w:r>
    </w:p>
    <w:p w:rsidR="002F5025" w:rsidRPr="002F5025" w:rsidRDefault="002F5025" w:rsidP="000A5EAD">
      <w:pPr>
        <w:numPr>
          <w:ilvl w:val="0"/>
          <w:numId w:val="36"/>
        </w:numPr>
        <w:spacing w:before="120" w:after="120" w:line="240" w:lineRule="auto"/>
        <w:jc w:val="both"/>
        <w:rPr>
          <w:rFonts w:ascii="Arial" w:eastAsiaTheme="minorHAnsi" w:hAnsi="Arial" w:cs="Arial"/>
          <w:sz w:val="24"/>
          <w:szCs w:val="24"/>
          <w:lang w:val="it-IT"/>
        </w:rPr>
      </w:pPr>
      <w:r w:rsidRPr="002F5025">
        <w:rPr>
          <w:rFonts w:ascii="Arial" w:eastAsiaTheme="minorHAnsi" w:hAnsi="Arial" w:cs="Arial"/>
          <w:sz w:val="24"/>
          <w:szCs w:val="24"/>
          <w:lang w:val="ro-RO"/>
        </w:rPr>
        <w:t>raportarea armonizată a unui set mai complet de indicatori poate fi o modalitate eficace de a obţine informaţii mai bune despre utilizarea, funcţiile şi protecţia pădurilor; un nivel mai bun de informare asupra stocurilor de carbon din păduri şi asupra conţinutului de carbon din produsele lemnoase este esenţial pentru sprijinirea pădurilor şi a sectorului forestier în sensul menţinerii contribuţiei active a acestora la atenuarea schimbărilor climatice.</w:t>
      </w:r>
    </w:p>
    <w:p w:rsidR="00DD353B" w:rsidRDefault="00DD353B"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VI.2.1. Suprafeţe de pădure parcurse cu tăieri</w:t>
      </w:r>
    </w:p>
    <w:p w:rsid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Masa lemnoasă recoltată</w:t>
      </w:r>
      <w:r w:rsidRPr="002F5025">
        <w:rPr>
          <w:rFonts w:ascii="Arial" w:eastAsiaTheme="minorHAnsi" w:hAnsi="Arial" w:cs="Arial"/>
          <w:sz w:val="24"/>
          <w:szCs w:val="24"/>
          <w:lang w:val="ro-RO"/>
        </w:rPr>
        <w:t xml:space="preserve"> reprezintă volumul brut de masă lemnoasă pe picior, recoltat până la sfârşitul anului, destinat persoanelor juridice atestate şi persoanelor fizice, conform reglementărilor legale. În tabel VI.2.1-1. vă prezentăm suprafaţa de pădure parcursă de tăieri în ultimii 5 ani, pe tipuri de tăieri din  judeţul Buzău</w:t>
      </w:r>
    </w:p>
    <w:p w:rsidR="00DD353B" w:rsidRDefault="00DD353B" w:rsidP="002F5025">
      <w:pPr>
        <w:spacing w:after="120" w:line="240" w:lineRule="auto"/>
        <w:jc w:val="both"/>
        <w:rPr>
          <w:rFonts w:ascii="Arial" w:eastAsiaTheme="minorHAnsi" w:hAnsi="Arial" w:cs="Arial"/>
          <w:sz w:val="24"/>
          <w:szCs w:val="24"/>
          <w:lang w:val="ro-RO"/>
        </w:rPr>
      </w:pPr>
    </w:p>
    <w:p w:rsidR="00DD353B" w:rsidRDefault="00DD353B" w:rsidP="002F5025">
      <w:pPr>
        <w:spacing w:after="120" w:line="240" w:lineRule="auto"/>
        <w:jc w:val="both"/>
        <w:rPr>
          <w:rFonts w:ascii="Arial" w:eastAsiaTheme="minorHAnsi" w:hAnsi="Arial" w:cs="Arial"/>
          <w:sz w:val="24"/>
          <w:szCs w:val="24"/>
          <w:lang w:val="ro-RO"/>
        </w:rPr>
      </w:pP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b/>
          <w:sz w:val="24"/>
          <w:szCs w:val="24"/>
          <w:lang w:val="ro-RO"/>
        </w:rPr>
        <w:lastRenderedPageBreak/>
        <w:t>Tabel VI.2.1-1. Suprafaţa de pădure parcursă de tăieri, din  judeţul Buzău</w:t>
      </w:r>
    </w:p>
    <w:tbl>
      <w:tblPr>
        <w:tblStyle w:val="MediumShading1-Accent2"/>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4"/>
        <w:gridCol w:w="1084"/>
        <w:gridCol w:w="1492"/>
        <w:gridCol w:w="1492"/>
        <w:gridCol w:w="1498"/>
        <w:gridCol w:w="1498"/>
      </w:tblGrid>
      <w:tr w:rsidR="002F5025" w:rsidRPr="002F5025" w:rsidTr="00D92384">
        <w:trPr>
          <w:cnfStyle w:val="100000000000"/>
        </w:trPr>
        <w:tc>
          <w:tcPr>
            <w:cnfStyle w:val="001000000000"/>
            <w:tcW w:w="2084" w:type="dxa"/>
            <w:vMerge w:val="restart"/>
            <w:tcBorders>
              <w:top w:val="none" w:sz="0" w:space="0" w:color="auto"/>
              <w:left w:val="none" w:sz="0" w:space="0" w:color="auto"/>
              <w:bottom w:val="none" w:sz="0" w:space="0" w:color="auto"/>
              <w:right w:val="none" w:sz="0" w:space="0" w:color="auto"/>
            </w:tcBorders>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Tipuri de tăieri</w:t>
            </w:r>
          </w:p>
        </w:tc>
        <w:tc>
          <w:tcPr>
            <w:tcW w:w="7064" w:type="dxa"/>
            <w:gridSpan w:val="5"/>
            <w:tcBorders>
              <w:top w:val="none" w:sz="0" w:space="0" w:color="auto"/>
              <w:left w:val="none" w:sz="0" w:space="0" w:color="auto"/>
              <w:bottom w:val="none" w:sz="0" w:space="0" w:color="auto"/>
              <w:right w:val="none" w:sz="0" w:space="0" w:color="auto"/>
            </w:tcBorders>
          </w:tcPr>
          <w:p w:rsidR="002F5025" w:rsidRPr="002F5025" w:rsidRDefault="002F5025" w:rsidP="002F5025">
            <w:pPr>
              <w:spacing w:after="120" w:line="240" w:lineRule="auto"/>
              <w:jc w:val="center"/>
              <w:cnfStyle w:val="100000000000"/>
              <w:rPr>
                <w:rFonts w:ascii="Arial" w:hAnsi="Arial" w:cs="Arial"/>
                <w:sz w:val="24"/>
                <w:szCs w:val="24"/>
                <w:lang w:val="ro-RO"/>
              </w:rPr>
            </w:pPr>
            <w:r w:rsidRPr="002F5025">
              <w:rPr>
                <w:rFonts w:ascii="Arial" w:hAnsi="Arial" w:cs="Arial"/>
                <w:sz w:val="24"/>
                <w:szCs w:val="24"/>
                <w:lang w:val="ro-RO"/>
              </w:rPr>
              <w:t>Suprafaţa parcursă cu tăieri (hectare)</w:t>
            </w:r>
          </w:p>
        </w:tc>
      </w:tr>
      <w:tr w:rsidR="002F5025" w:rsidRPr="002F5025" w:rsidTr="00D92384">
        <w:trPr>
          <w:cnfStyle w:val="000000100000"/>
        </w:trPr>
        <w:tc>
          <w:tcPr>
            <w:cnfStyle w:val="001000000000"/>
            <w:tcW w:w="2084" w:type="dxa"/>
            <w:vMerge/>
            <w:tcBorders>
              <w:right w:val="none" w:sz="0" w:space="0" w:color="auto"/>
            </w:tcBorders>
          </w:tcPr>
          <w:p w:rsidR="002F5025" w:rsidRPr="002F5025" w:rsidRDefault="002F5025" w:rsidP="002F5025">
            <w:pPr>
              <w:spacing w:after="120" w:line="240" w:lineRule="auto"/>
              <w:rPr>
                <w:rFonts w:ascii="Arial" w:hAnsi="Arial" w:cs="Arial"/>
                <w:sz w:val="24"/>
                <w:szCs w:val="24"/>
                <w:lang w:val="ro-RO"/>
              </w:rPr>
            </w:pP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2010</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2011</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2012</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2013</w:t>
            </w:r>
          </w:p>
        </w:tc>
        <w:tc>
          <w:tcPr>
            <w:tcW w:w="1498" w:type="dxa"/>
            <w:tcBorders>
              <w:lef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2014</w:t>
            </w:r>
          </w:p>
        </w:tc>
      </w:tr>
      <w:tr w:rsidR="002F5025" w:rsidRPr="002F5025" w:rsidTr="00D92384">
        <w:trPr>
          <w:cnfStyle w:val="000000010000"/>
        </w:trPr>
        <w:tc>
          <w:tcPr>
            <w:cnfStyle w:val="001000000000"/>
            <w:tcW w:w="2084" w:type="dxa"/>
            <w:tcBorders>
              <w:right w:val="none" w:sz="0" w:space="0" w:color="auto"/>
            </w:tcBorders>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Suprafaţa totală parcursă de tăieri</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5320</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6578</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7365</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13431</w:t>
            </w:r>
          </w:p>
        </w:tc>
        <w:tc>
          <w:tcPr>
            <w:tcW w:w="1498" w:type="dxa"/>
            <w:tcBorders>
              <w:lef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9878</w:t>
            </w:r>
          </w:p>
        </w:tc>
      </w:tr>
      <w:tr w:rsidR="002F5025" w:rsidRPr="002F5025" w:rsidTr="00D92384">
        <w:trPr>
          <w:cnfStyle w:val="000000100000"/>
        </w:trPr>
        <w:tc>
          <w:tcPr>
            <w:cnfStyle w:val="001000000000"/>
            <w:tcW w:w="2084" w:type="dxa"/>
            <w:tcBorders>
              <w:right w:val="none" w:sz="0" w:space="0" w:color="auto"/>
            </w:tcBorders>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Tăieri de regenerare în codru din care:</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1917</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2057</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1938</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2664</w:t>
            </w:r>
          </w:p>
        </w:tc>
        <w:tc>
          <w:tcPr>
            <w:tcW w:w="1498" w:type="dxa"/>
            <w:tcBorders>
              <w:lef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1782</w:t>
            </w:r>
          </w:p>
        </w:tc>
      </w:tr>
      <w:tr w:rsidR="002F5025" w:rsidRPr="002F5025" w:rsidTr="00D92384">
        <w:trPr>
          <w:cnfStyle w:val="000000010000"/>
        </w:trPr>
        <w:tc>
          <w:tcPr>
            <w:cnfStyle w:val="001000000000"/>
            <w:tcW w:w="2084" w:type="dxa"/>
            <w:tcBorders>
              <w:right w:val="none" w:sz="0" w:space="0" w:color="auto"/>
            </w:tcBorders>
          </w:tcPr>
          <w:p w:rsidR="002F5025" w:rsidRPr="002F5025" w:rsidRDefault="002F5025" w:rsidP="002F5025">
            <w:pPr>
              <w:spacing w:after="120" w:line="240" w:lineRule="auto"/>
              <w:ind w:left="720"/>
              <w:contextualSpacing/>
              <w:jc w:val="both"/>
              <w:rPr>
                <w:rFonts w:ascii="Arial" w:eastAsia="Times New Roman" w:hAnsi="Arial" w:cs="Arial"/>
                <w:sz w:val="24"/>
                <w:szCs w:val="24"/>
                <w:lang w:val="ro-RO"/>
              </w:rPr>
            </w:pPr>
            <w:r w:rsidRPr="002F5025">
              <w:rPr>
                <w:rFonts w:ascii="Arial" w:eastAsia="Times New Roman" w:hAnsi="Arial" w:cs="Arial"/>
                <w:sz w:val="24"/>
                <w:szCs w:val="24"/>
                <w:lang w:val="ro-RO"/>
              </w:rPr>
              <w:t>-tăieri succesive</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223</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221</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197</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200</w:t>
            </w:r>
          </w:p>
        </w:tc>
        <w:tc>
          <w:tcPr>
            <w:tcW w:w="1498" w:type="dxa"/>
            <w:tcBorders>
              <w:lef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116</w:t>
            </w:r>
          </w:p>
        </w:tc>
      </w:tr>
      <w:tr w:rsidR="002F5025" w:rsidRPr="002F5025" w:rsidTr="00D92384">
        <w:trPr>
          <w:cnfStyle w:val="000000100000"/>
        </w:trPr>
        <w:tc>
          <w:tcPr>
            <w:cnfStyle w:val="001000000000"/>
            <w:tcW w:w="2084" w:type="dxa"/>
            <w:tcBorders>
              <w:right w:val="none" w:sz="0" w:space="0" w:color="auto"/>
            </w:tcBorders>
          </w:tcPr>
          <w:p w:rsidR="002F5025" w:rsidRPr="002F5025" w:rsidRDefault="002F5025" w:rsidP="000A5EAD">
            <w:pPr>
              <w:numPr>
                <w:ilvl w:val="0"/>
                <w:numId w:val="29"/>
              </w:numPr>
              <w:spacing w:after="120" w:line="240" w:lineRule="auto"/>
              <w:contextualSpacing/>
              <w:rPr>
                <w:rFonts w:ascii="Arial" w:eastAsia="Times New Roman" w:hAnsi="Arial" w:cs="Arial"/>
                <w:sz w:val="24"/>
                <w:szCs w:val="24"/>
                <w:lang w:val="ro-RO"/>
              </w:rPr>
            </w:pPr>
            <w:r w:rsidRPr="002F5025">
              <w:rPr>
                <w:rFonts w:ascii="Arial" w:eastAsia="Times New Roman" w:hAnsi="Arial" w:cs="Arial"/>
                <w:sz w:val="24"/>
                <w:szCs w:val="24"/>
                <w:lang w:val="ro-RO"/>
              </w:rPr>
              <w:t>tăieri progresive</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1238</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1251</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1268</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1605</w:t>
            </w:r>
          </w:p>
        </w:tc>
        <w:tc>
          <w:tcPr>
            <w:tcW w:w="1498" w:type="dxa"/>
            <w:tcBorders>
              <w:lef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1206</w:t>
            </w:r>
          </w:p>
        </w:tc>
      </w:tr>
      <w:tr w:rsidR="002F5025" w:rsidRPr="002F5025" w:rsidTr="00D92384">
        <w:trPr>
          <w:cnfStyle w:val="000000010000"/>
        </w:trPr>
        <w:tc>
          <w:tcPr>
            <w:cnfStyle w:val="001000000000"/>
            <w:tcW w:w="2084" w:type="dxa"/>
            <w:tcBorders>
              <w:right w:val="none" w:sz="0" w:space="0" w:color="auto"/>
            </w:tcBorders>
          </w:tcPr>
          <w:p w:rsidR="002F5025" w:rsidRPr="002F5025" w:rsidRDefault="002F5025" w:rsidP="000A5EAD">
            <w:pPr>
              <w:numPr>
                <w:ilvl w:val="0"/>
                <w:numId w:val="29"/>
              </w:numPr>
              <w:spacing w:after="120" w:line="240" w:lineRule="auto"/>
              <w:contextualSpacing/>
              <w:rPr>
                <w:rFonts w:ascii="Arial" w:eastAsia="Times New Roman" w:hAnsi="Arial" w:cs="Arial"/>
                <w:sz w:val="24"/>
                <w:szCs w:val="24"/>
                <w:lang w:val="ro-RO"/>
              </w:rPr>
            </w:pPr>
            <w:r w:rsidRPr="002F5025">
              <w:rPr>
                <w:rFonts w:ascii="Arial" w:eastAsia="Times New Roman" w:hAnsi="Arial" w:cs="Arial"/>
                <w:sz w:val="24"/>
                <w:szCs w:val="24"/>
                <w:lang w:val="ro-RO"/>
              </w:rPr>
              <w:t>tăieri grădinărite</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440</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558</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444</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792</w:t>
            </w:r>
          </w:p>
        </w:tc>
        <w:tc>
          <w:tcPr>
            <w:tcW w:w="1498" w:type="dxa"/>
            <w:tcBorders>
              <w:lef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418</w:t>
            </w:r>
          </w:p>
        </w:tc>
      </w:tr>
      <w:tr w:rsidR="002F5025" w:rsidRPr="002F5025" w:rsidTr="00D92384">
        <w:trPr>
          <w:cnfStyle w:val="000000100000"/>
        </w:trPr>
        <w:tc>
          <w:tcPr>
            <w:cnfStyle w:val="001000000000"/>
            <w:tcW w:w="2084" w:type="dxa"/>
            <w:tcBorders>
              <w:right w:val="none" w:sz="0" w:space="0" w:color="auto"/>
            </w:tcBorders>
          </w:tcPr>
          <w:p w:rsidR="002F5025" w:rsidRPr="002F5025" w:rsidRDefault="002F5025" w:rsidP="000A5EAD">
            <w:pPr>
              <w:numPr>
                <w:ilvl w:val="0"/>
                <w:numId w:val="29"/>
              </w:numPr>
              <w:spacing w:after="120" w:line="240" w:lineRule="auto"/>
              <w:contextualSpacing/>
              <w:rPr>
                <w:rFonts w:ascii="Arial" w:eastAsia="Times New Roman" w:hAnsi="Arial" w:cs="Arial"/>
                <w:sz w:val="24"/>
                <w:szCs w:val="24"/>
                <w:lang w:val="ro-RO"/>
              </w:rPr>
            </w:pPr>
            <w:r w:rsidRPr="002F5025">
              <w:rPr>
                <w:rFonts w:ascii="Arial" w:eastAsia="Times New Roman" w:hAnsi="Arial" w:cs="Arial"/>
                <w:sz w:val="24"/>
                <w:szCs w:val="24"/>
                <w:lang w:val="ro-RO"/>
              </w:rPr>
              <w:t>tăieri rase</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16</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27</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29</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67</w:t>
            </w:r>
          </w:p>
        </w:tc>
        <w:tc>
          <w:tcPr>
            <w:tcW w:w="1498" w:type="dxa"/>
            <w:tcBorders>
              <w:lef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42</w:t>
            </w:r>
          </w:p>
        </w:tc>
      </w:tr>
      <w:tr w:rsidR="002F5025" w:rsidRPr="002F5025" w:rsidTr="00D92384">
        <w:trPr>
          <w:cnfStyle w:val="000000010000"/>
        </w:trPr>
        <w:tc>
          <w:tcPr>
            <w:cnfStyle w:val="001000000000"/>
            <w:tcW w:w="2084" w:type="dxa"/>
            <w:tcBorders>
              <w:right w:val="none" w:sz="0" w:space="0" w:color="auto"/>
            </w:tcBorders>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Tăieri de regenerare în crâng</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178</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143</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140</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140</w:t>
            </w:r>
          </w:p>
        </w:tc>
        <w:tc>
          <w:tcPr>
            <w:tcW w:w="1498" w:type="dxa"/>
            <w:tcBorders>
              <w:lef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91</w:t>
            </w:r>
          </w:p>
        </w:tc>
      </w:tr>
      <w:tr w:rsidR="002F5025" w:rsidRPr="002F5025" w:rsidTr="00D92384">
        <w:trPr>
          <w:cnfStyle w:val="000000100000"/>
        </w:trPr>
        <w:tc>
          <w:tcPr>
            <w:cnfStyle w:val="001000000000"/>
            <w:tcW w:w="2084" w:type="dxa"/>
            <w:tcBorders>
              <w:right w:val="none" w:sz="0" w:space="0" w:color="auto"/>
            </w:tcBorders>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Tăieri de substituiri-refacere a arboretelor slab productive şi degradate</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7</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0</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4</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100000"/>
              <w:rPr>
                <w:rFonts w:ascii="Arial" w:hAnsi="Arial" w:cs="Arial"/>
                <w:b/>
                <w:sz w:val="24"/>
                <w:szCs w:val="24"/>
                <w:lang w:val="ro-RO"/>
              </w:rPr>
            </w:pPr>
            <w:r w:rsidRPr="002F5025">
              <w:rPr>
                <w:rFonts w:ascii="Arial" w:hAnsi="Arial" w:cs="Arial"/>
                <w:b/>
                <w:sz w:val="24"/>
                <w:szCs w:val="24"/>
                <w:lang w:val="ro-RO"/>
              </w:rPr>
              <w:t>6</w:t>
            </w:r>
          </w:p>
        </w:tc>
        <w:tc>
          <w:tcPr>
            <w:tcW w:w="1498" w:type="dxa"/>
            <w:tcBorders>
              <w:left w:val="none" w:sz="0" w:space="0" w:color="auto"/>
            </w:tcBorders>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14</w:t>
            </w:r>
          </w:p>
        </w:tc>
      </w:tr>
      <w:tr w:rsidR="002F5025" w:rsidRPr="002F5025" w:rsidTr="00D92384">
        <w:trPr>
          <w:cnfStyle w:val="000000010000"/>
        </w:trPr>
        <w:tc>
          <w:tcPr>
            <w:cnfStyle w:val="001000000000"/>
            <w:tcW w:w="2084" w:type="dxa"/>
            <w:tcBorders>
              <w:right w:val="none" w:sz="0" w:space="0" w:color="auto"/>
            </w:tcBorders>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Tăieri de conservare</w:t>
            </w:r>
          </w:p>
        </w:tc>
        <w:tc>
          <w:tcPr>
            <w:tcW w:w="1084"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604</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499</w:t>
            </w:r>
          </w:p>
        </w:tc>
        <w:tc>
          <w:tcPr>
            <w:tcW w:w="1492"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731</w:t>
            </w:r>
          </w:p>
        </w:tc>
        <w:tc>
          <w:tcPr>
            <w:tcW w:w="1498" w:type="dxa"/>
            <w:tcBorders>
              <w:left w:val="none" w:sz="0" w:space="0" w:color="auto"/>
              <w:right w:val="none" w:sz="0" w:space="0" w:color="auto"/>
            </w:tcBorders>
          </w:tcPr>
          <w:p w:rsidR="002F5025" w:rsidRPr="002F5025" w:rsidRDefault="002F5025" w:rsidP="002F5025">
            <w:pPr>
              <w:spacing w:after="120" w:line="240" w:lineRule="auto"/>
              <w:cnfStyle w:val="000000010000"/>
              <w:rPr>
                <w:rFonts w:ascii="Arial" w:hAnsi="Arial" w:cs="Arial"/>
                <w:b/>
                <w:sz w:val="24"/>
                <w:szCs w:val="24"/>
                <w:lang w:val="ro-RO"/>
              </w:rPr>
            </w:pPr>
            <w:r w:rsidRPr="002F5025">
              <w:rPr>
                <w:rFonts w:ascii="Arial" w:hAnsi="Arial" w:cs="Arial"/>
                <w:b/>
                <w:sz w:val="24"/>
                <w:szCs w:val="24"/>
                <w:lang w:val="ro-RO"/>
              </w:rPr>
              <w:t>632</w:t>
            </w:r>
          </w:p>
        </w:tc>
        <w:tc>
          <w:tcPr>
            <w:tcW w:w="1498" w:type="dxa"/>
            <w:tcBorders>
              <w:left w:val="none" w:sz="0" w:space="0" w:color="auto"/>
            </w:tcBorders>
          </w:tcPr>
          <w:p w:rsidR="002F5025" w:rsidRPr="002F5025" w:rsidRDefault="002F5025" w:rsidP="002F5025">
            <w:pPr>
              <w:spacing w:after="120" w:line="240" w:lineRule="auto"/>
              <w:cnfStyle w:val="000000010000"/>
              <w:rPr>
                <w:rFonts w:ascii="Arial" w:hAnsi="Arial" w:cs="Arial"/>
                <w:sz w:val="24"/>
                <w:szCs w:val="24"/>
                <w:lang w:val="ro-RO"/>
              </w:rPr>
            </w:pPr>
            <w:r w:rsidRPr="002F5025">
              <w:rPr>
                <w:rFonts w:ascii="Arial" w:hAnsi="Arial" w:cs="Arial"/>
                <w:sz w:val="24"/>
                <w:szCs w:val="24"/>
                <w:lang w:val="ro-RO"/>
              </w:rPr>
              <w:t>827</w:t>
            </w:r>
          </w:p>
        </w:tc>
      </w:tr>
    </w:tbl>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i/>
          <w:sz w:val="24"/>
          <w:szCs w:val="24"/>
          <w:lang w:val="ro-RO"/>
        </w:rPr>
        <w:t xml:space="preserve">  Sursa- C.R.S.C. Focşani  </w:t>
      </w: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sz w:val="24"/>
          <w:szCs w:val="24"/>
          <w:lang w:val="ro-RO"/>
        </w:rPr>
        <w:t>În tabel şi figura VI.2.1.- 2 este prezentată evoluţia  volumului de masă lemnoasă recoltat în ultimii cinci ani, pe principalele specii, din fondul forestier al judeţului Buzău.</w:t>
      </w:r>
    </w:p>
    <w:p w:rsidR="00DD353B" w:rsidRDefault="00DD353B"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Tabel VI.2.1.- 2 Volumul de masă lemnoasă recoltat din fondul forestier al judeţului Buzău, pe principalele specii</w:t>
      </w:r>
    </w:p>
    <w:tbl>
      <w:tblPr>
        <w:tblStyle w:val="MediumGrid3-Accent2"/>
        <w:tblW w:w="0" w:type="auto"/>
        <w:tblInd w:w="250" w:type="dxa"/>
        <w:tblLook w:val="04A0"/>
      </w:tblPr>
      <w:tblGrid>
        <w:gridCol w:w="817"/>
        <w:gridCol w:w="1843"/>
        <w:gridCol w:w="1276"/>
        <w:gridCol w:w="1417"/>
        <w:gridCol w:w="1843"/>
        <w:gridCol w:w="2092"/>
      </w:tblGrid>
      <w:tr w:rsidR="002F5025" w:rsidRPr="002F5025" w:rsidTr="00D92384">
        <w:trPr>
          <w:cnfStyle w:val="100000000000"/>
        </w:trPr>
        <w:tc>
          <w:tcPr>
            <w:cnfStyle w:val="001000000000"/>
            <w:tcW w:w="817" w:type="dxa"/>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An</w:t>
            </w:r>
          </w:p>
        </w:tc>
        <w:tc>
          <w:tcPr>
            <w:tcW w:w="1843" w:type="dxa"/>
          </w:tcPr>
          <w:p w:rsidR="002F5025" w:rsidRPr="002F5025" w:rsidRDefault="002F5025" w:rsidP="002F5025">
            <w:pPr>
              <w:spacing w:after="0" w:line="240" w:lineRule="auto"/>
              <w:cnfStyle w:val="100000000000"/>
              <w:rPr>
                <w:rFonts w:ascii="Arial" w:hAnsi="Arial" w:cs="Arial"/>
                <w:sz w:val="24"/>
                <w:szCs w:val="24"/>
                <w:lang w:val="ro-RO"/>
              </w:rPr>
            </w:pPr>
            <w:r w:rsidRPr="002F5025">
              <w:rPr>
                <w:rFonts w:ascii="Arial" w:hAnsi="Arial" w:cs="Arial"/>
                <w:sz w:val="24"/>
                <w:szCs w:val="24"/>
                <w:lang w:val="ro-RO"/>
              </w:rPr>
              <w:t>Răşinoase</w:t>
            </w:r>
          </w:p>
        </w:tc>
        <w:tc>
          <w:tcPr>
            <w:tcW w:w="1276" w:type="dxa"/>
          </w:tcPr>
          <w:p w:rsidR="002F5025" w:rsidRPr="002F5025" w:rsidRDefault="002F5025" w:rsidP="002F5025">
            <w:pPr>
              <w:spacing w:after="0" w:line="240" w:lineRule="auto"/>
              <w:cnfStyle w:val="100000000000"/>
              <w:rPr>
                <w:rFonts w:ascii="Arial" w:hAnsi="Arial" w:cs="Arial"/>
                <w:sz w:val="24"/>
                <w:szCs w:val="24"/>
                <w:lang w:val="ro-RO"/>
              </w:rPr>
            </w:pPr>
            <w:r w:rsidRPr="002F5025">
              <w:rPr>
                <w:rFonts w:ascii="Arial" w:hAnsi="Arial" w:cs="Arial"/>
                <w:sz w:val="24"/>
                <w:szCs w:val="24"/>
                <w:lang w:val="ro-RO"/>
              </w:rPr>
              <w:t>Fag</w:t>
            </w:r>
          </w:p>
        </w:tc>
        <w:tc>
          <w:tcPr>
            <w:tcW w:w="1417" w:type="dxa"/>
          </w:tcPr>
          <w:p w:rsidR="002F5025" w:rsidRPr="002F5025" w:rsidRDefault="002F5025" w:rsidP="002F5025">
            <w:pPr>
              <w:spacing w:after="0" w:line="240" w:lineRule="auto"/>
              <w:cnfStyle w:val="100000000000"/>
              <w:rPr>
                <w:rFonts w:ascii="Arial" w:hAnsi="Arial" w:cs="Arial"/>
                <w:sz w:val="24"/>
                <w:szCs w:val="24"/>
                <w:lang w:val="ro-RO"/>
              </w:rPr>
            </w:pPr>
            <w:r w:rsidRPr="002F5025">
              <w:rPr>
                <w:rFonts w:ascii="Arial" w:hAnsi="Arial" w:cs="Arial"/>
                <w:sz w:val="24"/>
                <w:szCs w:val="24"/>
                <w:lang w:val="ro-RO"/>
              </w:rPr>
              <w:t>Stejar</w:t>
            </w:r>
          </w:p>
        </w:tc>
        <w:tc>
          <w:tcPr>
            <w:tcW w:w="1843" w:type="dxa"/>
          </w:tcPr>
          <w:p w:rsidR="002F5025" w:rsidRPr="002F5025" w:rsidRDefault="002F5025" w:rsidP="002F5025">
            <w:pPr>
              <w:spacing w:after="0" w:line="240" w:lineRule="auto"/>
              <w:cnfStyle w:val="100000000000"/>
              <w:rPr>
                <w:rFonts w:ascii="Arial" w:hAnsi="Arial" w:cs="Arial"/>
                <w:sz w:val="24"/>
                <w:szCs w:val="24"/>
                <w:lang w:val="ro-RO"/>
              </w:rPr>
            </w:pPr>
            <w:r w:rsidRPr="002F5025">
              <w:rPr>
                <w:rFonts w:ascii="Arial" w:hAnsi="Arial" w:cs="Arial"/>
                <w:sz w:val="24"/>
                <w:szCs w:val="24"/>
                <w:lang w:val="ro-RO"/>
              </w:rPr>
              <w:t>Diverse specii tari</w:t>
            </w:r>
          </w:p>
        </w:tc>
        <w:tc>
          <w:tcPr>
            <w:tcW w:w="2092" w:type="dxa"/>
          </w:tcPr>
          <w:p w:rsidR="002F5025" w:rsidRPr="002F5025" w:rsidRDefault="002F5025" w:rsidP="002F5025">
            <w:pPr>
              <w:spacing w:after="0" w:line="240" w:lineRule="auto"/>
              <w:cnfStyle w:val="100000000000"/>
              <w:rPr>
                <w:rFonts w:ascii="Arial" w:hAnsi="Arial" w:cs="Arial"/>
                <w:sz w:val="24"/>
                <w:szCs w:val="24"/>
                <w:lang w:val="ro-RO"/>
              </w:rPr>
            </w:pPr>
            <w:r w:rsidRPr="002F5025">
              <w:rPr>
                <w:rFonts w:ascii="Arial" w:hAnsi="Arial" w:cs="Arial"/>
                <w:sz w:val="24"/>
                <w:szCs w:val="24"/>
                <w:lang w:val="ro-RO"/>
              </w:rPr>
              <w:t>Diverse specii moi</w:t>
            </w:r>
          </w:p>
        </w:tc>
      </w:tr>
      <w:tr w:rsidR="002F5025" w:rsidRPr="002F5025" w:rsidTr="00D92384">
        <w:trPr>
          <w:cnfStyle w:val="000000100000"/>
        </w:trPr>
        <w:tc>
          <w:tcPr>
            <w:cnfStyle w:val="001000000000"/>
            <w:tcW w:w="817" w:type="dxa"/>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2010</w:t>
            </w:r>
          </w:p>
        </w:tc>
        <w:tc>
          <w:tcPr>
            <w:tcW w:w="1843"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114,40</w:t>
            </w:r>
          </w:p>
        </w:tc>
        <w:tc>
          <w:tcPr>
            <w:tcW w:w="1276"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157,5</w:t>
            </w:r>
          </w:p>
        </w:tc>
        <w:tc>
          <w:tcPr>
            <w:tcW w:w="1417"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20,3</w:t>
            </w:r>
          </w:p>
        </w:tc>
        <w:tc>
          <w:tcPr>
            <w:tcW w:w="1843"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47,6</w:t>
            </w:r>
          </w:p>
        </w:tc>
        <w:tc>
          <w:tcPr>
            <w:tcW w:w="2092"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18,7</w:t>
            </w:r>
          </w:p>
        </w:tc>
      </w:tr>
      <w:tr w:rsidR="002F5025" w:rsidRPr="002F5025" w:rsidTr="00D92384">
        <w:tc>
          <w:tcPr>
            <w:cnfStyle w:val="001000000000"/>
            <w:tcW w:w="817" w:type="dxa"/>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2011</w:t>
            </w:r>
          </w:p>
        </w:tc>
        <w:tc>
          <w:tcPr>
            <w:tcW w:w="1843"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133,30</w:t>
            </w:r>
          </w:p>
        </w:tc>
        <w:tc>
          <w:tcPr>
            <w:tcW w:w="1276"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180,71</w:t>
            </w:r>
          </w:p>
        </w:tc>
        <w:tc>
          <w:tcPr>
            <w:tcW w:w="1417"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20,45</w:t>
            </w:r>
          </w:p>
        </w:tc>
        <w:tc>
          <w:tcPr>
            <w:tcW w:w="1843"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42,82</w:t>
            </w:r>
          </w:p>
        </w:tc>
        <w:tc>
          <w:tcPr>
            <w:tcW w:w="2092"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19,32</w:t>
            </w:r>
          </w:p>
        </w:tc>
      </w:tr>
      <w:tr w:rsidR="002F5025" w:rsidRPr="002F5025" w:rsidTr="00D92384">
        <w:trPr>
          <w:cnfStyle w:val="000000100000"/>
        </w:trPr>
        <w:tc>
          <w:tcPr>
            <w:cnfStyle w:val="001000000000"/>
            <w:tcW w:w="817" w:type="dxa"/>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2012</w:t>
            </w:r>
          </w:p>
        </w:tc>
        <w:tc>
          <w:tcPr>
            <w:tcW w:w="1843"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101,40</w:t>
            </w:r>
          </w:p>
        </w:tc>
        <w:tc>
          <w:tcPr>
            <w:tcW w:w="1276"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141,10</w:t>
            </w:r>
          </w:p>
        </w:tc>
        <w:tc>
          <w:tcPr>
            <w:tcW w:w="1417"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10,10</w:t>
            </w:r>
          </w:p>
        </w:tc>
        <w:tc>
          <w:tcPr>
            <w:tcW w:w="1843"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44,50</w:t>
            </w:r>
          </w:p>
        </w:tc>
        <w:tc>
          <w:tcPr>
            <w:tcW w:w="2092"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17,40</w:t>
            </w:r>
          </w:p>
        </w:tc>
      </w:tr>
      <w:tr w:rsidR="002F5025" w:rsidRPr="002F5025" w:rsidTr="00D92384">
        <w:tc>
          <w:tcPr>
            <w:cnfStyle w:val="001000000000"/>
            <w:tcW w:w="817" w:type="dxa"/>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2013</w:t>
            </w:r>
          </w:p>
        </w:tc>
        <w:tc>
          <w:tcPr>
            <w:tcW w:w="1843"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175,6</w:t>
            </w:r>
          </w:p>
        </w:tc>
        <w:tc>
          <w:tcPr>
            <w:tcW w:w="1276"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17060</w:t>
            </w:r>
          </w:p>
        </w:tc>
        <w:tc>
          <w:tcPr>
            <w:tcW w:w="1417"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16,80</w:t>
            </w:r>
          </w:p>
        </w:tc>
        <w:tc>
          <w:tcPr>
            <w:tcW w:w="1843"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42,50</w:t>
            </w:r>
          </w:p>
        </w:tc>
        <w:tc>
          <w:tcPr>
            <w:tcW w:w="2092" w:type="dxa"/>
          </w:tcPr>
          <w:p w:rsidR="002F5025" w:rsidRPr="002F5025" w:rsidRDefault="002F5025" w:rsidP="002F5025">
            <w:pPr>
              <w:spacing w:after="0" w:line="240" w:lineRule="auto"/>
              <w:cnfStyle w:val="000000000000"/>
              <w:rPr>
                <w:rFonts w:ascii="Arial" w:hAnsi="Arial" w:cs="Arial"/>
                <w:sz w:val="24"/>
                <w:szCs w:val="24"/>
                <w:lang w:val="ro-RO"/>
              </w:rPr>
            </w:pPr>
            <w:r w:rsidRPr="002F5025">
              <w:rPr>
                <w:rFonts w:ascii="Arial" w:hAnsi="Arial" w:cs="Arial"/>
                <w:sz w:val="24"/>
                <w:szCs w:val="24"/>
                <w:lang w:val="ro-RO"/>
              </w:rPr>
              <w:t>19,40</w:t>
            </w:r>
          </w:p>
        </w:tc>
      </w:tr>
      <w:tr w:rsidR="002F5025" w:rsidRPr="002F5025" w:rsidTr="00D92384">
        <w:trPr>
          <w:cnfStyle w:val="000000100000"/>
        </w:trPr>
        <w:tc>
          <w:tcPr>
            <w:cnfStyle w:val="001000000000"/>
            <w:tcW w:w="817" w:type="dxa"/>
          </w:tcPr>
          <w:p w:rsidR="002F5025" w:rsidRPr="002F5025" w:rsidRDefault="002F5025" w:rsidP="002F5025">
            <w:pPr>
              <w:spacing w:after="0" w:line="240" w:lineRule="auto"/>
              <w:rPr>
                <w:rFonts w:ascii="Arial" w:hAnsi="Arial" w:cs="Arial"/>
                <w:sz w:val="24"/>
                <w:szCs w:val="24"/>
                <w:lang w:val="ro-RO"/>
              </w:rPr>
            </w:pPr>
            <w:r w:rsidRPr="002F5025">
              <w:rPr>
                <w:rFonts w:ascii="Arial" w:hAnsi="Arial" w:cs="Arial"/>
                <w:sz w:val="24"/>
                <w:szCs w:val="24"/>
                <w:lang w:val="ro-RO"/>
              </w:rPr>
              <w:t>2014</w:t>
            </w:r>
          </w:p>
        </w:tc>
        <w:tc>
          <w:tcPr>
            <w:tcW w:w="1843"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155,4</w:t>
            </w:r>
          </w:p>
        </w:tc>
        <w:tc>
          <w:tcPr>
            <w:tcW w:w="1276"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167,4</w:t>
            </w:r>
          </w:p>
        </w:tc>
        <w:tc>
          <w:tcPr>
            <w:tcW w:w="1417"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12,7</w:t>
            </w:r>
          </w:p>
        </w:tc>
        <w:tc>
          <w:tcPr>
            <w:tcW w:w="1843"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39,5</w:t>
            </w:r>
          </w:p>
        </w:tc>
        <w:tc>
          <w:tcPr>
            <w:tcW w:w="2092" w:type="dxa"/>
          </w:tcPr>
          <w:p w:rsidR="002F5025" w:rsidRPr="002F5025" w:rsidRDefault="002F5025" w:rsidP="002F5025">
            <w:pPr>
              <w:spacing w:after="0" w:line="240" w:lineRule="auto"/>
              <w:cnfStyle w:val="000000100000"/>
              <w:rPr>
                <w:rFonts w:ascii="Arial" w:hAnsi="Arial" w:cs="Arial"/>
                <w:sz w:val="24"/>
                <w:szCs w:val="24"/>
                <w:lang w:val="ro-RO"/>
              </w:rPr>
            </w:pPr>
            <w:r w:rsidRPr="002F5025">
              <w:rPr>
                <w:rFonts w:ascii="Arial" w:hAnsi="Arial" w:cs="Arial"/>
                <w:sz w:val="24"/>
                <w:szCs w:val="24"/>
                <w:lang w:val="ro-RO"/>
              </w:rPr>
              <w:t>18,3</w:t>
            </w:r>
          </w:p>
        </w:tc>
      </w:tr>
    </w:tbl>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i/>
          <w:sz w:val="24"/>
          <w:szCs w:val="24"/>
          <w:lang w:val="ro-RO"/>
        </w:rPr>
        <w:t xml:space="preserve">Sursa- C.R.S.C. Focşani  </w:t>
      </w:r>
    </w:p>
    <w:p w:rsidR="00DD353B" w:rsidRDefault="00DD353B" w:rsidP="002F5025">
      <w:pPr>
        <w:spacing w:after="120" w:line="240" w:lineRule="auto"/>
        <w:rPr>
          <w:rFonts w:ascii="Arial" w:eastAsiaTheme="minorHAnsi" w:hAnsi="Arial" w:cs="Arial"/>
          <w:b/>
          <w:sz w:val="24"/>
          <w:szCs w:val="24"/>
          <w:lang w:val="ro-RO"/>
        </w:rPr>
      </w:pPr>
    </w:p>
    <w:p w:rsidR="00DD353B" w:rsidRDefault="00DD353B"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lastRenderedPageBreak/>
        <w:t>Figura  VI.2.1-1. Evoluţia volumului de masă lemnoasă recoltat în ultimii cinci ani pe principalele specii</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noProof/>
          <w:sz w:val="24"/>
          <w:szCs w:val="24"/>
          <w:lang w:val="ro-RO" w:eastAsia="ro-RO"/>
        </w:rPr>
        <w:drawing>
          <wp:inline distT="0" distB="0" distL="0" distR="0">
            <wp:extent cx="5486400" cy="1876425"/>
            <wp:effectExtent l="19050" t="0" r="19050" b="0"/>
            <wp:docPr id="2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i/>
          <w:sz w:val="24"/>
          <w:szCs w:val="24"/>
          <w:lang w:val="ro-RO"/>
        </w:rPr>
        <w:t xml:space="preserve"> Sursa- C.R.S.C. Focşani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Din punct de vedere al formei de proprietate, volumul de masă lemnoasă recoltat în anul 2014, în judeţul Buzău, este prezentat în tabelul şi figura VI.2.1.-2. </w:t>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b/>
          <w:sz w:val="24"/>
          <w:szCs w:val="24"/>
          <w:lang w:val="ro-RO"/>
        </w:rPr>
        <w:t>Tabel VI.2.1.- 2. Volumul de masă lemnoasă recoltat în anul 2014, pe forme de proprietate</w:t>
      </w:r>
    </w:p>
    <w:tbl>
      <w:tblPr>
        <w:tblStyle w:val="MediumGrid3-Accent3"/>
        <w:tblW w:w="8080" w:type="dxa"/>
        <w:tblInd w:w="250" w:type="dxa"/>
        <w:tblLook w:val="04A0"/>
      </w:tblPr>
      <w:tblGrid>
        <w:gridCol w:w="3369"/>
        <w:gridCol w:w="4711"/>
      </w:tblGrid>
      <w:tr w:rsidR="002F5025" w:rsidRPr="002F5025" w:rsidTr="00D92384">
        <w:trPr>
          <w:cnfStyle w:val="100000000000"/>
        </w:trPr>
        <w:tc>
          <w:tcPr>
            <w:cnfStyle w:val="001000000000"/>
            <w:tcW w:w="3369" w:type="dxa"/>
          </w:tcPr>
          <w:p w:rsidR="002F5025" w:rsidRPr="002F5025" w:rsidRDefault="002F5025" w:rsidP="002F5025">
            <w:pPr>
              <w:spacing w:after="120" w:line="240" w:lineRule="auto"/>
              <w:rPr>
                <w:rFonts w:ascii="Arial" w:hAnsi="Arial" w:cs="Arial"/>
                <w:b w:val="0"/>
                <w:sz w:val="24"/>
                <w:szCs w:val="24"/>
                <w:lang w:val="ro-RO"/>
              </w:rPr>
            </w:pPr>
            <w:r w:rsidRPr="002F5025">
              <w:rPr>
                <w:rFonts w:ascii="Arial" w:hAnsi="Arial" w:cs="Arial"/>
                <w:b w:val="0"/>
                <w:sz w:val="24"/>
                <w:szCs w:val="24"/>
                <w:lang w:val="ro-RO"/>
              </w:rPr>
              <w:t>Forma de proprietate</w:t>
            </w:r>
          </w:p>
        </w:tc>
        <w:tc>
          <w:tcPr>
            <w:tcW w:w="4711" w:type="dxa"/>
          </w:tcPr>
          <w:p w:rsidR="002F5025" w:rsidRPr="002F5025" w:rsidRDefault="002F5025" w:rsidP="002F5025">
            <w:pPr>
              <w:spacing w:after="120" w:line="240" w:lineRule="auto"/>
              <w:cnfStyle w:val="100000000000"/>
              <w:rPr>
                <w:rFonts w:ascii="Arial" w:hAnsi="Arial" w:cs="Arial"/>
                <w:b w:val="0"/>
                <w:sz w:val="24"/>
                <w:szCs w:val="24"/>
                <w:lang w:val="ro-RO"/>
              </w:rPr>
            </w:pPr>
            <w:r w:rsidRPr="002F5025">
              <w:rPr>
                <w:rFonts w:ascii="Arial" w:hAnsi="Arial" w:cs="Arial"/>
                <w:b w:val="0"/>
                <w:sz w:val="24"/>
                <w:szCs w:val="24"/>
                <w:lang w:val="ro-RO"/>
              </w:rPr>
              <w:t>Volum masă lemnoasă recoltată(mc)</w:t>
            </w:r>
          </w:p>
        </w:tc>
      </w:tr>
      <w:tr w:rsidR="002F5025" w:rsidRPr="002F5025" w:rsidTr="00D92384">
        <w:trPr>
          <w:cnfStyle w:val="000000100000"/>
        </w:trPr>
        <w:tc>
          <w:tcPr>
            <w:cnfStyle w:val="001000000000"/>
            <w:tcW w:w="3369"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proprietatea publică a statului</w:t>
            </w:r>
          </w:p>
        </w:tc>
        <w:tc>
          <w:tcPr>
            <w:tcW w:w="4711" w:type="dxa"/>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130200</w:t>
            </w:r>
          </w:p>
        </w:tc>
      </w:tr>
      <w:tr w:rsidR="002F5025" w:rsidRPr="002F5025" w:rsidTr="00D92384">
        <w:tc>
          <w:tcPr>
            <w:cnfStyle w:val="001000000000"/>
            <w:tcW w:w="3369"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proprietatea privată a persoanelor fizice şi juridice</w:t>
            </w:r>
          </w:p>
        </w:tc>
        <w:tc>
          <w:tcPr>
            <w:tcW w:w="4711" w:type="dxa"/>
          </w:tcPr>
          <w:p w:rsidR="002F5025" w:rsidRPr="002F5025" w:rsidRDefault="002F5025" w:rsidP="002F5025">
            <w:pPr>
              <w:spacing w:after="120" w:line="240" w:lineRule="auto"/>
              <w:cnfStyle w:val="000000000000"/>
              <w:rPr>
                <w:rFonts w:ascii="Arial" w:hAnsi="Arial" w:cs="Arial"/>
                <w:sz w:val="24"/>
                <w:szCs w:val="24"/>
                <w:lang w:val="ro-RO"/>
              </w:rPr>
            </w:pPr>
            <w:r w:rsidRPr="002F5025">
              <w:rPr>
                <w:rFonts w:ascii="Arial" w:hAnsi="Arial" w:cs="Arial"/>
                <w:sz w:val="24"/>
                <w:szCs w:val="24"/>
                <w:lang w:val="ro-RO"/>
              </w:rPr>
              <w:t>251300</w:t>
            </w:r>
          </w:p>
        </w:tc>
      </w:tr>
      <w:tr w:rsidR="002F5025" w:rsidRPr="002F5025" w:rsidTr="00D92384">
        <w:trPr>
          <w:cnfStyle w:val="000000100000"/>
        </w:trPr>
        <w:tc>
          <w:tcPr>
            <w:cnfStyle w:val="001000000000"/>
            <w:tcW w:w="3369"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proprietatea publică U.A.T.</w:t>
            </w:r>
          </w:p>
          <w:p w:rsidR="002F5025" w:rsidRPr="002F5025" w:rsidRDefault="002F5025" w:rsidP="002F5025">
            <w:pPr>
              <w:spacing w:after="120" w:line="240" w:lineRule="auto"/>
              <w:rPr>
                <w:rFonts w:ascii="Arial" w:hAnsi="Arial" w:cs="Arial"/>
                <w:sz w:val="24"/>
                <w:szCs w:val="24"/>
                <w:lang w:val="ro-RO"/>
              </w:rPr>
            </w:pPr>
          </w:p>
        </w:tc>
        <w:tc>
          <w:tcPr>
            <w:tcW w:w="4711" w:type="dxa"/>
          </w:tcPr>
          <w:p w:rsidR="002F5025" w:rsidRPr="002F5025" w:rsidRDefault="002F5025" w:rsidP="002F5025">
            <w:pPr>
              <w:spacing w:after="120" w:line="240" w:lineRule="auto"/>
              <w:cnfStyle w:val="000000100000"/>
              <w:rPr>
                <w:rFonts w:ascii="Arial" w:hAnsi="Arial" w:cs="Arial"/>
                <w:sz w:val="24"/>
                <w:szCs w:val="24"/>
                <w:lang w:val="ro-RO"/>
              </w:rPr>
            </w:pPr>
            <w:r w:rsidRPr="002F5025">
              <w:rPr>
                <w:rFonts w:ascii="Arial" w:hAnsi="Arial" w:cs="Arial"/>
                <w:sz w:val="24"/>
                <w:szCs w:val="24"/>
                <w:lang w:val="ro-RO"/>
              </w:rPr>
              <w:t>700</w:t>
            </w:r>
          </w:p>
        </w:tc>
      </w:tr>
      <w:tr w:rsidR="002F5025" w:rsidRPr="002F5025" w:rsidTr="00D92384">
        <w:tc>
          <w:tcPr>
            <w:cnfStyle w:val="001000000000"/>
            <w:tcW w:w="3369" w:type="dxa"/>
          </w:tcPr>
          <w:p w:rsidR="002F5025" w:rsidRPr="002F5025" w:rsidRDefault="002F5025" w:rsidP="002F5025">
            <w:pPr>
              <w:spacing w:after="120" w:line="240" w:lineRule="auto"/>
              <w:rPr>
                <w:rFonts w:ascii="Arial" w:hAnsi="Arial" w:cs="Arial"/>
                <w:sz w:val="24"/>
                <w:szCs w:val="24"/>
                <w:lang w:val="ro-RO"/>
              </w:rPr>
            </w:pPr>
            <w:r w:rsidRPr="002F5025">
              <w:rPr>
                <w:rFonts w:ascii="Arial" w:hAnsi="Arial" w:cs="Arial"/>
                <w:sz w:val="24"/>
                <w:szCs w:val="24"/>
                <w:lang w:val="ro-RO"/>
              </w:rPr>
              <w:t>vegetaţie în afara fondului forestier</w:t>
            </w:r>
          </w:p>
        </w:tc>
        <w:tc>
          <w:tcPr>
            <w:tcW w:w="4711" w:type="dxa"/>
          </w:tcPr>
          <w:p w:rsidR="002F5025" w:rsidRPr="002F5025" w:rsidRDefault="002F5025" w:rsidP="002F5025">
            <w:pPr>
              <w:spacing w:after="120" w:line="240" w:lineRule="auto"/>
              <w:cnfStyle w:val="000000000000"/>
              <w:rPr>
                <w:rFonts w:ascii="Arial" w:hAnsi="Arial" w:cs="Arial"/>
                <w:sz w:val="24"/>
                <w:szCs w:val="24"/>
                <w:lang w:val="ro-RO"/>
              </w:rPr>
            </w:pPr>
            <w:r w:rsidRPr="002F5025">
              <w:rPr>
                <w:rFonts w:ascii="Arial" w:hAnsi="Arial" w:cs="Arial"/>
                <w:sz w:val="24"/>
                <w:szCs w:val="24"/>
                <w:lang w:val="ro-RO"/>
              </w:rPr>
              <w:t>11900</w:t>
            </w:r>
          </w:p>
        </w:tc>
      </w:tr>
    </w:tbl>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 </w:t>
      </w:r>
      <w:r w:rsidRPr="002F5025">
        <w:rPr>
          <w:rFonts w:ascii="Arial" w:eastAsiaTheme="minorHAnsi" w:hAnsi="Arial" w:cs="Arial"/>
          <w:i/>
          <w:sz w:val="24"/>
          <w:szCs w:val="24"/>
          <w:lang w:val="ro-RO"/>
        </w:rPr>
        <w:t xml:space="preserve">Sursa- C.R.S.C. Focşani  </w:t>
      </w:r>
      <w:r w:rsidRPr="002F5025">
        <w:rPr>
          <w:rFonts w:ascii="Arial" w:eastAsiaTheme="minorHAnsi" w:hAnsi="Arial" w:cs="Arial"/>
          <w:b/>
          <w:sz w:val="24"/>
          <w:szCs w:val="24"/>
          <w:lang w:val="ro-RO"/>
        </w:rPr>
        <w:t xml:space="preserve">                                                                                     </w:t>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b/>
          <w:sz w:val="24"/>
          <w:szCs w:val="24"/>
          <w:lang w:val="ro-RO"/>
        </w:rPr>
        <w:t>Figura VI.2.1-2 Structura volumului de masă lemnoasă recoltat, în anul 2014, pe forme de proprietate</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noProof/>
          <w:sz w:val="24"/>
          <w:szCs w:val="24"/>
          <w:lang w:val="ro-RO" w:eastAsia="ro-RO"/>
        </w:rPr>
        <w:drawing>
          <wp:inline distT="0" distB="0" distL="0" distR="0">
            <wp:extent cx="5486400" cy="2705100"/>
            <wp:effectExtent l="19050" t="0" r="19050" b="0"/>
            <wp:docPr id="2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i/>
          <w:sz w:val="24"/>
          <w:szCs w:val="24"/>
          <w:lang w:val="ro-RO"/>
        </w:rPr>
        <w:t xml:space="preserve">Sursa- C.R.S.C. Focşani  </w:t>
      </w: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lastRenderedPageBreak/>
        <w:t>VI.2.2. Schimbarea utilizării terenurilor</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Conform prevederilor Codului silvic, aprobat prin Legea nr. 46/2008, cu modificările şi completările ulterioare, reducerea suprafeţei fondului forestier naţional este interzisă, cu excepţia scoaterii definitive din circuitul forestier a terenurilor necesare realizării obiectivelor de interes naţional, declarate de utilitate publică. Totodată, Codul silvic prevede că pot fi scoase definitiv din fondul forestier naţional, însă doar cu condiţia compensării acestora, fără reducerea suprafeţei fondului forestier şi cu plata anticipată a obligaţiilor băneşti, numai terenurile necesare realizării sau extinderii următoarelor categorii de lucrări şi obiective:</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a) </w:t>
      </w:r>
      <w:r w:rsidRPr="002F5025">
        <w:rPr>
          <w:rFonts w:ascii="Arial" w:eastAsiaTheme="minorHAnsi" w:hAnsi="Arial" w:cs="Arial"/>
          <w:sz w:val="24"/>
          <w:szCs w:val="24"/>
          <w:lang w:val="ro-RO"/>
        </w:rPr>
        <w:t>exploatare a resurselor minerale prevăzute la art. 2 alin. (1) din Legea nr. 85/2003 - Legea minelor, cu modificările şi completările ulterioare;</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b) </w:t>
      </w:r>
      <w:r w:rsidRPr="002F5025">
        <w:rPr>
          <w:rFonts w:ascii="Arial" w:eastAsiaTheme="minorHAnsi" w:hAnsi="Arial" w:cs="Arial"/>
          <w:sz w:val="24"/>
          <w:szCs w:val="24"/>
          <w:lang w:val="ro-RO"/>
        </w:rPr>
        <w:t>obiective turistice, de agrement, inclusiv structuri de primire turistică, unităţi de cult, obiective sportive, medicale, precum şi obiective sociale realizate numai de furnizorii de servicii sociale; pentru teritoriul administrativ în zonele de interes economic al Rezervaţiei Biosferei «Delta Dunării» se pot realiza pontoane de acostare pentru ambarcaţiuni cu scop turistic şi de agrement şi de aprovizionare cu alimente şi combustibil, pontoane plutitoare şi adăposturi pescăreşti pentru pescari constituiţi în asociaţii;</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c) </w:t>
      </w:r>
      <w:r w:rsidRPr="002F5025">
        <w:rPr>
          <w:rFonts w:ascii="Arial" w:eastAsiaTheme="minorHAnsi" w:hAnsi="Arial" w:cs="Arial"/>
          <w:sz w:val="24"/>
          <w:szCs w:val="24"/>
          <w:lang w:val="ro-RO"/>
        </w:rPr>
        <w:t>locuinţe sau case de vacanţă, numai în fondul forestier proprietate privată a persoanelor fizice şi juridice, în anumite condiţii;</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d) </w:t>
      </w:r>
      <w:r w:rsidRPr="002F5025">
        <w:rPr>
          <w:rFonts w:ascii="Arial" w:eastAsiaTheme="minorHAnsi" w:hAnsi="Arial" w:cs="Arial"/>
          <w:sz w:val="24"/>
          <w:szCs w:val="24"/>
          <w:lang w:val="ro-RO"/>
        </w:rPr>
        <w:t>obiective instalate în fondul forestier naţional înainte de anul 1990, precum şi suprafeţele aferente activelor vândute, în condiţiile legii, de către Regia Naţională a Pădurilor - Romsilva;</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e) </w:t>
      </w:r>
      <w:r w:rsidRPr="002F5025">
        <w:rPr>
          <w:rFonts w:ascii="Arial" w:eastAsiaTheme="minorHAnsi" w:hAnsi="Arial" w:cs="Arial"/>
          <w:sz w:val="24"/>
          <w:szCs w:val="24"/>
          <w:lang w:val="ro-RO"/>
        </w:rPr>
        <w:t>surse şi reţele de apă şi de canalizare, surse şi reţele de energie din resurse convenţionale sau regenerabile, reţele şi sisteme de comunicaţii, drumuri de interes judeţean şi local, parcuri recreative, parcuri tematice şi/sau educaţionale, precum şi lucrări şi/sau construcţii hidrotehnice şi de piscicultură;</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f) </w:t>
      </w:r>
      <w:r w:rsidRPr="002F5025">
        <w:rPr>
          <w:rFonts w:ascii="Arial" w:eastAsiaTheme="minorHAnsi" w:hAnsi="Arial" w:cs="Arial"/>
          <w:sz w:val="24"/>
          <w:szCs w:val="24"/>
          <w:lang w:val="ro-RO"/>
        </w:rPr>
        <w:t>explorare a următoarelor resurse minerale: cărbuni, roci utile, agregate minerale, minereuri; explorarea, exploatarea şi transportul resurselor de petrol şi gaze naturale, precum şi instalarea, repararea, întreţinerea, dezafectarea reţelelor de transport sau distribuţie petrol, gaze naturale sau energie electrică.</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În aceste condiţii, schimbarea legală a utilizării terenurilor din fondul forestier nu poate avea decât un impact local, prin antropizarea cadrului natural. </w:t>
      </w:r>
    </w:p>
    <w:p w:rsidR="002F5025" w:rsidRPr="002F5025" w:rsidRDefault="002F5025" w:rsidP="002F5025">
      <w:pPr>
        <w:autoSpaceDE w:val="0"/>
        <w:autoSpaceDN w:val="0"/>
        <w:adjustRightInd w:val="0"/>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Din nefericire, d</w:t>
      </w:r>
      <w:r w:rsidRPr="002F5025">
        <w:rPr>
          <w:rFonts w:ascii="Arial" w:eastAsiaTheme="minorHAnsi" w:hAnsi="Arial" w:cs="Arial"/>
          <w:bCs/>
          <w:sz w:val="24"/>
          <w:szCs w:val="24"/>
          <w:lang w:val="ro-RO"/>
        </w:rPr>
        <w:t>efrişările ilegale şi degradarea pădurilor pot avea consecinţe majore, cum ar fi:</w:t>
      </w:r>
    </w:p>
    <w:p w:rsidR="002F5025" w:rsidRPr="002F5025" w:rsidRDefault="002F5025" w:rsidP="000A5EAD">
      <w:pPr>
        <w:numPr>
          <w:ilvl w:val="0"/>
          <w:numId w:val="38"/>
        </w:numPr>
        <w:autoSpaceDE w:val="0"/>
        <w:autoSpaceDN w:val="0"/>
        <w:adjustRightInd w:val="0"/>
        <w:spacing w:after="120" w:line="240" w:lineRule="auto"/>
        <w:contextualSpacing/>
        <w:jc w:val="both"/>
        <w:rPr>
          <w:rFonts w:ascii="Arial" w:eastAsia="SimSun" w:hAnsi="Arial" w:cs="Arial"/>
          <w:sz w:val="24"/>
          <w:szCs w:val="24"/>
          <w:lang w:val="ro-RO"/>
        </w:rPr>
      </w:pPr>
      <w:r w:rsidRPr="002F5025">
        <w:rPr>
          <w:rFonts w:ascii="Arial" w:eastAsia="SimSun" w:hAnsi="Arial" w:cs="Arial"/>
          <w:bCs/>
          <w:sz w:val="24"/>
          <w:szCs w:val="24"/>
          <w:lang w:val="ro-RO"/>
        </w:rPr>
        <w:t>fragmentarea arealelor naturale şi seminaturale;</w:t>
      </w:r>
    </w:p>
    <w:p w:rsidR="002F5025" w:rsidRPr="002F5025" w:rsidRDefault="002F5025" w:rsidP="000A5EAD">
      <w:pPr>
        <w:numPr>
          <w:ilvl w:val="0"/>
          <w:numId w:val="38"/>
        </w:numPr>
        <w:autoSpaceDE w:val="0"/>
        <w:autoSpaceDN w:val="0"/>
        <w:adjustRightInd w:val="0"/>
        <w:spacing w:after="120" w:line="240" w:lineRule="auto"/>
        <w:contextualSpacing/>
        <w:jc w:val="both"/>
        <w:rPr>
          <w:rFonts w:ascii="Arial" w:eastAsia="SimSun" w:hAnsi="Arial" w:cs="Arial"/>
          <w:bCs/>
          <w:sz w:val="24"/>
          <w:szCs w:val="24"/>
          <w:lang w:val="ro-RO"/>
        </w:rPr>
      </w:pPr>
      <w:r w:rsidRPr="002F5025">
        <w:rPr>
          <w:rFonts w:ascii="Arial" w:eastAsia="SimSun" w:hAnsi="Arial" w:cs="Arial"/>
          <w:bCs/>
          <w:sz w:val="24"/>
          <w:szCs w:val="24"/>
          <w:lang w:val="ro-RO"/>
        </w:rPr>
        <w:t>scăderea biomasei şi a volumului de resurse forestiere valorificabile (lemn, fructe de   pădure, ciuperci,  răşini, etc.),</w:t>
      </w:r>
    </w:p>
    <w:p w:rsidR="002F5025" w:rsidRPr="002F5025" w:rsidRDefault="002F5025" w:rsidP="000A5EAD">
      <w:pPr>
        <w:numPr>
          <w:ilvl w:val="0"/>
          <w:numId w:val="38"/>
        </w:numPr>
        <w:autoSpaceDE w:val="0"/>
        <w:autoSpaceDN w:val="0"/>
        <w:adjustRightInd w:val="0"/>
        <w:spacing w:after="120" w:line="240" w:lineRule="auto"/>
        <w:contextualSpacing/>
        <w:jc w:val="both"/>
        <w:rPr>
          <w:rFonts w:ascii="Arial" w:eastAsia="SimSun" w:hAnsi="Arial" w:cs="Arial"/>
          <w:bCs/>
          <w:sz w:val="24"/>
          <w:szCs w:val="24"/>
          <w:lang w:val="ro-RO"/>
        </w:rPr>
      </w:pPr>
      <w:r w:rsidRPr="002F5025">
        <w:rPr>
          <w:rFonts w:ascii="Arial" w:eastAsia="SimSun" w:hAnsi="Arial" w:cs="Arial"/>
          <w:bCs/>
          <w:sz w:val="24"/>
          <w:szCs w:val="24"/>
          <w:lang w:val="ro-RO"/>
        </w:rPr>
        <w:t>modificarea proceselor ecologice (circuitul elementelor, stocarea carbonului, diminuarea rezistenţei la factori perturbatori etc.),</w:t>
      </w:r>
    </w:p>
    <w:p w:rsidR="002F5025" w:rsidRPr="002F5025" w:rsidRDefault="002F5025" w:rsidP="000A5EAD">
      <w:pPr>
        <w:numPr>
          <w:ilvl w:val="0"/>
          <w:numId w:val="38"/>
        </w:numPr>
        <w:autoSpaceDE w:val="0"/>
        <w:autoSpaceDN w:val="0"/>
        <w:adjustRightInd w:val="0"/>
        <w:spacing w:after="120" w:line="240" w:lineRule="auto"/>
        <w:contextualSpacing/>
        <w:jc w:val="both"/>
        <w:rPr>
          <w:rFonts w:ascii="Arial" w:eastAsia="SimSun" w:hAnsi="Arial" w:cs="Arial"/>
          <w:bCs/>
          <w:sz w:val="24"/>
          <w:szCs w:val="24"/>
          <w:lang w:val="ro-RO"/>
        </w:rPr>
      </w:pPr>
      <w:r w:rsidRPr="002F5025">
        <w:rPr>
          <w:rFonts w:ascii="Arial" w:eastAsia="SimSun" w:hAnsi="Arial" w:cs="Arial"/>
          <w:bCs/>
          <w:sz w:val="24"/>
          <w:szCs w:val="24"/>
          <w:lang w:val="ro-RO"/>
        </w:rPr>
        <w:t>reducerea diversităţii biologice la toate nivelurile (genetice a speciilor, comunităţilor, peisajelor).</w:t>
      </w:r>
    </w:p>
    <w:p w:rsid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VI.2.2.1. Fragmentarea ecosistemelor</w:t>
      </w:r>
    </w:p>
    <w:p w:rsidR="002F5025" w:rsidRPr="002F5025" w:rsidRDefault="002F5025" w:rsidP="002F5025">
      <w:pPr>
        <w:spacing w:after="120" w:line="240" w:lineRule="auto"/>
        <w:jc w:val="both"/>
        <w:rPr>
          <w:rFonts w:ascii="Arial" w:eastAsiaTheme="minorHAnsi" w:hAnsi="Arial" w:cs="Arial"/>
          <w:sz w:val="24"/>
          <w:lang w:val="ro-RO"/>
        </w:rPr>
      </w:pPr>
      <w:r w:rsidRPr="002F5025">
        <w:rPr>
          <w:rFonts w:ascii="Arial" w:eastAsiaTheme="minorHAnsi" w:hAnsi="Arial" w:cs="Arial"/>
          <w:sz w:val="24"/>
          <w:lang w:val="ro-RO"/>
        </w:rPr>
        <w:t xml:space="preserve">În ultimele două secole, sub impactul activităţilor antropice coroborate cu cele induse de factori naturali perturbatori, modul de utilizare şi acoperire a terenurilor a fost supus unei continue transformări prin reducerea locală a suprafeţelor forestiere şi creşterea în suprafaţă a terenurilor agricole, sau a celor destinate căilor de transport şi/sau construcţiilor. Reducerea locală a suprafeţei ecosistemelor forestiere a condus la fragmentarea ecosistemelor, uneori cu consecinţe ireversibile asupra diversităţii biologice. </w:t>
      </w:r>
      <w:r w:rsidRPr="002F5025">
        <w:rPr>
          <w:rFonts w:ascii="Arial" w:eastAsiaTheme="minorHAnsi" w:hAnsi="Arial" w:cs="Arial"/>
          <w:sz w:val="24"/>
          <w:lang w:val="ro-RO"/>
        </w:rPr>
        <w:lastRenderedPageBreak/>
        <w:t xml:space="preserve">Din această cauză, în ultimii ani, s-a pus un accent deosebit pe protejarea şi conservarea ecosistemelor forestiere, în scopul creşterii procentului de reîmpădurire şi reducerii nivelului de fragmentare. </w:t>
      </w:r>
    </w:p>
    <w:p w:rsidR="002F5025" w:rsidRPr="002F5025" w:rsidRDefault="002F5025" w:rsidP="002F5025">
      <w:pPr>
        <w:spacing w:after="120" w:line="240" w:lineRule="auto"/>
        <w:jc w:val="both"/>
        <w:rPr>
          <w:rFonts w:ascii="Arial" w:eastAsiaTheme="minorHAnsi" w:hAnsi="Arial" w:cs="Arial"/>
          <w:sz w:val="24"/>
          <w:lang w:val="ro-RO"/>
        </w:rPr>
      </w:pPr>
      <w:r w:rsidRPr="002F5025">
        <w:rPr>
          <w:rFonts w:ascii="Arial" w:eastAsiaTheme="minorHAnsi" w:hAnsi="Arial" w:cs="Arial"/>
          <w:sz w:val="24"/>
          <w:lang w:val="ro-RO"/>
        </w:rPr>
        <w:t>Legislaţia actuală din domeniul silvic şi al protecţiei mediului, pune un accent deosebit pe  garantarea conservării şi utilizării durabile a patrimoniului natural, acesta fiind considerat un obiectiv de interes public major şi o componentă fundamentală a strategiei naţionale pentru dezvoltare durabilă. Actele normative, care stabilesc procedurile de reglementare din punct de vedere al protecţiei mediului a planurilor, programelor şi proiectelor, stipulează obligativitatea efectuării unor evaluări specifice de mediu (</w:t>
      </w:r>
      <w:r w:rsidRPr="002F5025">
        <w:rPr>
          <w:rFonts w:ascii="Arial" w:eastAsiaTheme="minorHAnsi" w:hAnsi="Arial" w:cs="Arial"/>
          <w:sz w:val="24"/>
          <w:szCs w:val="24"/>
          <w:lang w:val="ro-RO"/>
        </w:rPr>
        <w:t xml:space="preserve">evaluare de mediu, evaluarea impactului asupra mediului, evaluare adecvată) </w:t>
      </w:r>
      <w:r w:rsidRPr="002F5025">
        <w:rPr>
          <w:rFonts w:ascii="Arial" w:eastAsiaTheme="minorHAnsi" w:hAnsi="Arial" w:cs="Arial"/>
          <w:sz w:val="24"/>
          <w:lang w:val="ro-RO"/>
        </w:rPr>
        <w:t xml:space="preserve">pentru toate activităţile care ar putea avea un impact semnificativ asupra biodiversităţii şi faptul că actul de reglementare se eliberează numai după ce se se demonstrează fără dubiu că respectivele activităţi nu au impact semnificativ asupra mediului şi asupra biodiversităţii. </w:t>
      </w:r>
    </w:p>
    <w:p w:rsidR="002F5025" w:rsidRPr="002F5025" w:rsidRDefault="002F5025" w:rsidP="002F5025">
      <w:pPr>
        <w:spacing w:after="120" w:line="240" w:lineRule="auto"/>
        <w:jc w:val="both"/>
        <w:rPr>
          <w:rFonts w:ascii="Arial" w:eastAsiaTheme="minorHAnsi" w:hAnsi="Arial" w:cs="Arial"/>
          <w:sz w:val="24"/>
          <w:lang w:val="ro-RO"/>
        </w:rPr>
      </w:pPr>
      <w:r w:rsidRPr="002F5025">
        <w:rPr>
          <w:rFonts w:ascii="Arial" w:eastAsiaTheme="minorHAnsi" w:hAnsi="Arial" w:cs="Arial"/>
          <w:sz w:val="24"/>
          <w:lang w:val="ro-RO"/>
        </w:rPr>
        <w:t>Începând din anul 1995, cele mai valoroase habitate forestiere din judeţul Buzău au fost incluse în reţeaua ariilor naturale protejate de interes judeţean, naţional şi comunitar, asigurându-se astfel un regim de protecţie corespunzător.</w:t>
      </w:r>
    </w:p>
    <w:p w:rsidR="002F5025" w:rsidRPr="002F5025" w:rsidRDefault="002F5025" w:rsidP="002F5025">
      <w:pPr>
        <w:spacing w:after="120" w:line="240" w:lineRule="auto"/>
        <w:jc w:val="both"/>
        <w:rPr>
          <w:rFonts w:ascii="Verdana" w:eastAsiaTheme="minorHAnsi" w:hAnsi="Verdana" w:cstheme="minorBidi"/>
          <w:sz w:val="20"/>
          <w:szCs w:val="20"/>
          <w:lang w:val="ro-RO"/>
        </w:rPr>
      </w:pPr>
      <w:r w:rsidRPr="002F5025">
        <w:rPr>
          <w:rFonts w:ascii="Arial" w:eastAsiaTheme="minorHAnsi" w:hAnsi="Arial" w:cs="Arial"/>
          <w:sz w:val="24"/>
          <w:lang w:val="ro-RO"/>
        </w:rPr>
        <w:t xml:space="preserve">Studiile de evaluare adecvată elaborate pentru planurile şi proiectele iniţiate în judeţul Buzău, au evidenţiat că nu există un impact negativ semnificativ habitatelor şi speciilor datorate fragmentării ecosistemelor. Măsurile propuse prin aceste studii, au ca obiectiv păstrarea statutului favorabil de conservare a speciilor şi habitatelor pentru care ariile naturale protejate au fost declarate. </w:t>
      </w:r>
    </w:p>
    <w:p w:rsidR="002F5025" w:rsidRPr="002F5025" w:rsidRDefault="002F5025" w:rsidP="002F5025">
      <w:pPr>
        <w:spacing w:after="120" w:line="240" w:lineRule="auto"/>
        <w:jc w:val="both"/>
        <w:rPr>
          <w:rFonts w:asciiTheme="minorHAnsi" w:eastAsiaTheme="minorHAnsi" w:hAnsiTheme="minorHAnsi" w:cstheme="minorBidi"/>
          <w:sz w:val="24"/>
          <w:lang w:val="ro-RO"/>
        </w:rPr>
      </w:pPr>
      <w:r w:rsidRPr="002F5025">
        <w:rPr>
          <w:rFonts w:ascii="Arial" w:eastAsiaTheme="minorHAnsi" w:hAnsi="Arial" w:cs="Arial"/>
          <w:sz w:val="24"/>
          <w:lang w:val="ro-RO"/>
        </w:rPr>
        <w:t>Prezentarea sintetică a situaţiei privind fragmentarea arealelor naturale şi semi-naturale, ar trebui să se bazeze pe date care să evidenţieze procentul pierderilor de suprafaţă forestieră la nivel judeţean pentru ultimul an de analiză, respectiv situaţia conversiei terenurilor ocupate de păduri în alte clase, pe ultimii cinci ani, date de care însă nu dispunem.</w:t>
      </w:r>
    </w:p>
    <w:p w:rsid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VI.2.3. Schimbările climatice</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Creşterea arborilor este influenţată de către interacţiunile complexe între climă şi factori non-climatici, managementul forestier având un efect semnificativ. Arborii reacţionează la schimbările climei: modificările coroanei arborilor de la un an la altul reprezintă o sursă importantă privind informaţiile climatice, însă acestea sunt dificil de interpretat. Schimbările climatice influenţează compoziţia şi productivitatea pădurilor. Creşterea concentraţiei de CO</w:t>
      </w:r>
      <w:r w:rsidRPr="002F5025">
        <w:rPr>
          <w:rFonts w:ascii="Arial" w:eastAsiaTheme="minorHAnsi" w:hAnsi="Arial" w:cs="Arial"/>
          <w:color w:val="000000"/>
          <w:sz w:val="24"/>
          <w:szCs w:val="24"/>
          <w:vertAlign w:val="subscript"/>
          <w:lang w:val="ro-RO"/>
        </w:rPr>
        <w:t>2</w:t>
      </w:r>
      <w:r w:rsidRPr="002F5025">
        <w:rPr>
          <w:rFonts w:ascii="Arial" w:eastAsiaTheme="minorHAnsi" w:hAnsi="Arial" w:cs="Arial"/>
          <w:color w:val="000000"/>
          <w:sz w:val="24"/>
          <w:szCs w:val="24"/>
          <w:lang w:val="ro-RO"/>
        </w:rPr>
        <w:t xml:space="preserve"> în atmosferă, modificările privind temperatura şi disponibilitatea resurselor de apă vor afecta sănătatea şi productivitatea speciilor de arbori. Dioxidul de carbon prezintă un impact direct asupra productivităţii pădurilor. Creşterea concentraţiei de dioxid de carbon în atmosferă stimulează fotosinteza rezultând o creştere a ratei de dezvoltare, în condiţiile în care ceilalţi factori importanţi pentru dezvoltarea arborilor nu sunt limitaţi. În general, creşterea temperaturii accelerează dezvoltarea plantelor, ratele privind descompunerea şi ciclul nutrienţilor, deşi alţi factori precum disponibilitatea resurselor de apă influenţează, de asemenea, aceste procese. Temperaturile ridicate prelungesc sezonul de creştere prin începerea timpurie a acestuia în anotimpul de primăvară şi întârzierea încheierii acestuia în anotimpul de toamnă.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De asemenea, modificările privind depunerile de azot şi sulf precum şi creşterea nivelului de ozon prezintă impact asupra dezvoltării plantelor. Depunerile de azot pot stimula creşterea pădurilor dar de asemenea, acestea pot creşte sensibilitatea</w:t>
      </w:r>
      <w:r w:rsidRPr="002F5025">
        <w:rPr>
          <w:rFonts w:ascii="Arial" w:eastAsiaTheme="minorHAnsi" w:hAnsi="Arial" w:cs="Arial"/>
          <w:sz w:val="24"/>
          <w:szCs w:val="24"/>
          <w:lang w:val="ro-RO"/>
        </w:rPr>
        <w:t xml:space="preserve"> </w:t>
      </w:r>
      <w:r w:rsidRPr="002F5025">
        <w:rPr>
          <w:rFonts w:ascii="Arial" w:eastAsiaTheme="minorHAnsi" w:hAnsi="Arial" w:cs="Arial"/>
          <w:color w:val="000000"/>
          <w:sz w:val="24"/>
          <w:szCs w:val="24"/>
          <w:lang w:val="ro-RO"/>
        </w:rPr>
        <w:t>arborilor la secetă, boli şi dăunători.</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Schimbările climatice prezintă câteva ameninţări asupra dezvoltării şi productivităţii pădurilor precum creşterea frecvenţei şi severităţii secetelor din anotimpul de vară cu impact asupra speciilor de arbori sensibili la fenomenul de secetă. Efectele indirecte </w:t>
      </w:r>
      <w:r w:rsidRPr="002F5025">
        <w:rPr>
          <w:rFonts w:ascii="Arial" w:eastAsiaTheme="minorHAnsi" w:hAnsi="Arial" w:cs="Arial"/>
          <w:color w:val="000000"/>
          <w:sz w:val="24"/>
          <w:szCs w:val="24"/>
          <w:lang w:val="ro-RO"/>
        </w:rPr>
        <w:lastRenderedPageBreak/>
        <w:t>asupra productivităţii pădurilor sunt: modificări privind severitatea şi frecvenţa focarelor de dăunători şi boli, creşterea populaţiei de insecte şi mamifere dăunătoare şi impactul speciilor invazive existente şi noi.</w:t>
      </w:r>
    </w:p>
    <w:p w:rsidR="002F5025" w:rsidRPr="002F5025" w:rsidRDefault="002F5025" w:rsidP="002F5025">
      <w:pPr>
        <w:keepNext/>
        <w:spacing w:after="120" w:line="240" w:lineRule="auto"/>
        <w:jc w:val="both"/>
        <w:outlineLvl w:val="0"/>
        <w:rPr>
          <w:rFonts w:ascii="Arial" w:eastAsia="SimSun" w:hAnsi="Arial" w:cs="Arial"/>
          <w:b/>
          <w:bCs/>
          <w:kern w:val="32"/>
          <w:sz w:val="24"/>
          <w:szCs w:val="24"/>
          <w:lang w:val="ro-RO"/>
        </w:rPr>
      </w:pPr>
      <w:r w:rsidRPr="002F5025">
        <w:rPr>
          <w:rFonts w:ascii="Arial" w:eastAsia="SimSun" w:hAnsi="Arial" w:cs="Arial"/>
          <w:b/>
          <w:bCs/>
          <w:kern w:val="32"/>
          <w:sz w:val="24"/>
          <w:szCs w:val="24"/>
          <w:lang w:val="ro-RO"/>
        </w:rPr>
        <w:t>Factorii abiotici vătămători</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Excesele de temperatură, depăşind valorile obişnuite de viaţă ale plantelor, precum şi ploile torenţiale, zăpada etc. provoacă vătămări ale ţesuturilor acestora.</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Geru</w:t>
      </w:r>
      <w:r w:rsidRPr="002F5025">
        <w:rPr>
          <w:rFonts w:ascii="Arial" w:eastAsia="SimSun" w:hAnsi="Arial" w:cs="Arial"/>
          <w:kern w:val="24"/>
          <w:sz w:val="24"/>
          <w:szCs w:val="24"/>
          <w:lang w:val="ro-RO"/>
        </w:rPr>
        <w:t>l cauzează plesnirea scoarţei şi a lemnului, degerarea frunzişului, ramurilor, înroşirea şi căderea acestora. Pot degera rădăcinile, dacă solul nu este acoperit cu zăpadă (culturile din pepinieră şi cele de molid).</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Îngheţurile târzii</w:t>
      </w:r>
      <w:r w:rsidRPr="002F5025">
        <w:rPr>
          <w:rFonts w:ascii="Arial" w:eastAsia="SimSun" w:hAnsi="Arial" w:cs="Arial"/>
          <w:kern w:val="24"/>
          <w:sz w:val="24"/>
          <w:szCs w:val="24"/>
          <w:lang w:val="ro-RO"/>
        </w:rPr>
        <w:t>, cele de primăvara, produc vătămări puieţilor porniţi în vegetaţie, arborilor înfrunziţi şi chiar înfloriţi.</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Îngheţurile timpurii</w:t>
      </w:r>
      <w:r w:rsidRPr="002F5025">
        <w:rPr>
          <w:rFonts w:ascii="Arial" w:eastAsia="SimSun" w:hAnsi="Arial" w:cs="Arial"/>
          <w:kern w:val="24"/>
          <w:sz w:val="24"/>
          <w:szCs w:val="24"/>
          <w:lang w:val="ro-RO"/>
        </w:rPr>
        <w:t>, de toamnă, se produc înainte ca lujerii să fie complet lignificaţi şi provoacă îngheţarea şi distrugerea ţesuturilor acestora.</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Căldura</w:t>
      </w:r>
      <w:r w:rsidRPr="002F5025">
        <w:rPr>
          <w:rFonts w:ascii="Arial" w:eastAsia="SimSun" w:hAnsi="Arial" w:cs="Arial"/>
          <w:kern w:val="24"/>
          <w:sz w:val="24"/>
          <w:szCs w:val="24"/>
          <w:lang w:val="ro-RO"/>
        </w:rPr>
        <w:t>, la temperaturi mari, provoacă arsura scoarţei la cei cu scoarţa netedă şi subţire, dacă sunt puşi direct în lumină (fagul, frasinul, paltinul, bradul), inelarea coletului la puieţi prin încălzirea excesivă a solului, uscarea solului, care conduce la uscarea plantelor. Căldurile mari favorizează izbucnirea incendiilor.</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Dacă ploile</w:t>
      </w:r>
      <w:r w:rsidRPr="002F5025">
        <w:rPr>
          <w:rFonts w:ascii="Arial" w:eastAsia="SimSun" w:hAnsi="Arial" w:cs="Arial"/>
          <w:kern w:val="24"/>
          <w:sz w:val="24"/>
          <w:szCs w:val="24"/>
          <w:lang w:val="ro-RO"/>
        </w:rPr>
        <w:t xml:space="preserve"> cad sub formă torenţială sau durează mult bătătoresc şi/sau spală solul la suprafaţă de pătura nutritivă, de humus, inundă culturile forestiere, dezrădăcinează puieţii şi seminţişul, înmoaie pământul şi înlesneşte doborâturile de vânt.</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 xml:space="preserve">Zăpada umedă </w:t>
      </w:r>
      <w:r w:rsidRPr="002F5025">
        <w:rPr>
          <w:rFonts w:ascii="Arial" w:eastAsia="SimSun" w:hAnsi="Arial" w:cs="Arial"/>
          <w:kern w:val="24"/>
          <w:sz w:val="24"/>
          <w:szCs w:val="24"/>
          <w:lang w:val="ro-RO"/>
        </w:rPr>
        <w:t>este dăunătoare pădurii prin aceea că aderă de ramuri şi îngreunează coroanele arborilor, cauzând îndoirea şi ruperea lor. Se creează, astfel, goluri în arboret care au consecinţe negative în stabilitatea arboretelor (reduc creşterea, se depreciază lemnul, favorizează atacurile de insecte). Este cazul răşinoaselor: pin, molid, brad, dar şi unele foioase: salcâmul, fagul, plopul, aninul.</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Vântul</w:t>
      </w:r>
      <w:r w:rsidRPr="002F5025">
        <w:rPr>
          <w:rFonts w:ascii="Arial" w:eastAsia="SimSun" w:hAnsi="Arial" w:cs="Arial"/>
          <w:kern w:val="24"/>
          <w:sz w:val="24"/>
          <w:szCs w:val="24"/>
          <w:lang w:val="ro-RO"/>
        </w:rPr>
        <w:t>, prin presiunea exercitată la suprafaţa solului are efecte distrugătoare asupra    arboretelor. După viteză, vânturile mai periculoase se clasifică în vânturi tari, furtuni şi uragane.Pagubele produse de vânt sunt foarte variate: doborâturi, rupturi de tulpină şi de ramuri, dezrădăcinări.</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Lipsa apei sau prezenţa ei în exces are efecte negative asupra pădurii. Astfel, </w:t>
      </w:r>
      <w:r w:rsidRPr="002F5025">
        <w:rPr>
          <w:rFonts w:ascii="Arial" w:eastAsia="SimSun" w:hAnsi="Arial" w:cs="Arial"/>
          <w:b/>
          <w:kern w:val="24"/>
          <w:sz w:val="24"/>
          <w:szCs w:val="24"/>
          <w:lang w:val="ro-RO"/>
        </w:rPr>
        <w:t xml:space="preserve">deficitul de apă </w:t>
      </w:r>
      <w:r w:rsidRPr="002F5025">
        <w:rPr>
          <w:rFonts w:ascii="Arial" w:eastAsia="SimSun" w:hAnsi="Arial" w:cs="Arial"/>
          <w:kern w:val="24"/>
          <w:sz w:val="24"/>
          <w:szCs w:val="24"/>
          <w:lang w:val="ro-RO"/>
        </w:rPr>
        <w:t xml:space="preserve">provoacă ofilirea frunzelor, moartea puieţilor şi seminţişurilor, încetarea creşterilor, uscarea arborilor.Exemplu concludent pentru judeţul Buzău sunt pădurile de la Spătaru şi Frasinu care datorită deficitului de apă sunt într-o continuă degradare. </w:t>
      </w:r>
      <w:r w:rsidRPr="002F5025">
        <w:rPr>
          <w:rFonts w:ascii="Arial" w:eastAsia="SimSun" w:hAnsi="Arial" w:cs="Arial"/>
          <w:b/>
          <w:kern w:val="24"/>
          <w:sz w:val="24"/>
          <w:szCs w:val="24"/>
          <w:lang w:val="ro-RO"/>
        </w:rPr>
        <w:t xml:space="preserve">Excesul de apă (inundaţiile) </w:t>
      </w:r>
      <w:r w:rsidRPr="002F5025">
        <w:rPr>
          <w:rFonts w:ascii="Arial" w:eastAsia="SimSun" w:hAnsi="Arial" w:cs="Arial"/>
          <w:kern w:val="24"/>
          <w:sz w:val="24"/>
          <w:szCs w:val="24"/>
          <w:lang w:val="ro-RO"/>
        </w:rPr>
        <w:t>conduce la asfixierea rădăcinilor şi, în final, la scăderea vitalităţii şi chiar moartea arborilor.</w:t>
      </w:r>
    </w:p>
    <w:p w:rsidR="002F5025" w:rsidRPr="002F5025" w:rsidRDefault="002F5025" w:rsidP="002F5025">
      <w:pPr>
        <w:spacing w:after="120" w:line="240" w:lineRule="auto"/>
        <w:jc w:val="both"/>
        <w:rPr>
          <w:rFonts w:ascii="Arial" w:eastAsia="SimSun" w:hAnsi="Arial" w:cs="Arial"/>
          <w:b/>
          <w:kern w:val="24"/>
          <w:sz w:val="24"/>
          <w:szCs w:val="24"/>
          <w:lang w:val="ro-RO"/>
        </w:rPr>
      </w:pPr>
      <w:r w:rsidRPr="002F5025">
        <w:rPr>
          <w:rFonts w:ascii="Arial" w:eastAsia="SimSun" w:hAnsi="Arial" w:cs="Arial"/>
          <w:b/>
          <w:kern w:val="24"/>
          <w:sz w:val="24"/>
          <w:szCs w:val="24"/>
          <w:lang w:val="ro-RO"/>
        </w:rPr>
        <w:t>Factorii biotici vătămători</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În esenţă factorii biotici (buruieni şi paraziţi vegetali, insecte şi animale mici, animale mari) pot deveni vătămători în condiţiile în care numărul acestora creşte. Pe măsura artificializării pădurii, a scăderii stabilităţii ecologice a acestora aceşti factori pot ieşi de sub controlul ecosistemic al pădurilor înmulţindu-se peste capacitatea de suport a acestora.</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b/>
          <w:kern w:val="24"/>
          <w:sz w:val="24"/>
          <w:szCs w:val="24"/>
          <w:lang w:val="ro-RO"/>
        </w:rPr>
        <w:t>Buruienile</w:t>
      </w:r>
      <w:r w:rsidRPr="002F5025">
        <w:rPr>
          <w:rFonts w:ascii="Arial" w:eastAsia="SimSun" w:hAnsi="Arial" w:cs="Arial"/>
          <w:kern w:val="24"/>
          <w:sz w:val="24"/>
          <w:szCs w:val="24"/>
          <w:lang w:val="ro-RO"/>
        </w:rPr>
        <w:t xml:space="preserve"> reprezintă o problemă în întreţinerea culturilor din pepinierele silvice sau în plantaţii. Prezenţa în masă a acestora determină reducerea capacităţii de acumulare de substanţe nutritive a puieţilor, creşteri anormale (alungirea ş.a.), scăderea rezistenţei acestora şi, în final, poate conduce la compromiterea culturilor forestiere nou instalate.</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t xml:space="preserve">Ca </w:t>
      </w:r>
      <w:r w:rsidRPr="002F5025">
        <w:rPr>
          <w:rFonts w:ascii="Arial" w:eastAsia="SimSun" w:hAnsi="Arial" w:cs="Arial"/>
          <w:b/>
          <w:kern w:val="24"/>
          <w:sz w:val="24"/>
          <w:szCs w:val="24"/>
          <w:lang w:val="ro-RO"/>
        </w:rPr>
        <w:t>paraziţi vegetali</w:t>
      </w:r>
      <w:r w:rsidRPr="002F5025">
        <w:rPr>
          <w:rFonts w:ascii="Arial" w:eastAsia="SimSun" w:hAnsi="Arial" w:cs="Arial"/>
          <w:kern w:val="24"/>
          <w:sz w:val="24"/>
          <w:szCs w:val="24"/>
          <w:lang w:val="ro-RO"/>
        </w:rPr>
        <w:t xml:space="preserve"> care produc vătămări pot fi amintiţi: cuscuta (torţelul), care parazitează culturile de foioase în special din regiunile secetoase şi vâscul de stejar şi de brad. Fiind plante parazite acestea debilitează puieţii, în cazul cuscutei, care apoi se usucă, respectiv arborii, în cazul vâscului.</w:t>
      </w:r>
    </w:p>
    <w:p w:rsidR="002F5025" w:rsidRPr="002F5025" w:rsidRDefault="002F5025" w:rsidP="002F5025">
      <w:pPr>
        <w:spacing w:after="120" w:line="240" w:lineRule="auto"/>
        <w:jc w:val="both"/>
        <w:rPr>
          <w:rFonts w:ascii="Arial" w:eastAsia="SimSun" w:hAnsi="Arial" w:cs="Arial"/>
          <w:kern w:val="24"/>
          <w:sz w:val="24"/>
          <w:szCs w:val="24"/>
          <w:lang w:val="ro-RO"/>
        </w:rPr>
      </w:pPr>
      <w:r w:rsidRPr="002F5025">
        <w:rPr>
          <w:rFonts w:ascii="Arial" w:eastAsia="SimSun" w:hAnsi="Arial" w:cs="Arial"/>
          <w:kern w:val="24"/>
          <w:sz w:val="24"/>
          <w:szCs w:val="24"/>
          <w:lang w:val="ro-RO"/>
        </w:rPr>
        <w:lastRenderedPageBreak/>
        <w:t xml:space="preserve">Dintre </w:t>
      </w:r>
      <w:r w:rsidRPr="002F5025">
        <w:rPr>
          <w:rFonts w:ascii="Arial" w:eastAsia="SimSun" w:hAnsi="Arial" w:cs="Arial"/>
          <w:b/>
          <w:kern w:val="24"/>
          <w:sz w:val="24"/>
          <w:szCs w:val="24"/>
          <w:lang w:val="ro-RO"/>
        </w:rPr>
        <w:t>insectele vătămătoare pădurilor</w:t>
      </w:r>
      <w:r w:rsidRPr="002F5025">
        <w:rPr>
          <w:rFonts w:ascii="Arial" w:eastAsia="SimSun" w:hAnsi="Arial" w:cs="Arial"/>
          <w:kern w:val="24"/>
          <w:sz w:val="24"/>
          <w:szCs w:val="24"/>
          <w:lang w:val="ro-RO"/>
        </w:rPr>
        <w:t xml:space="preserve"> se menţionează: Lymantria dispar (omida păroasă a stejarului), dăunătorul cel mai periculos al pădurilor de foioase şi în general al celor de stejar, Lymantria monacha (omida păroasă a molidului), ce dăunează molidişurile, Tortrix viridana (molia verde a stejarului), Ips typografus (gândacul mare de scoarţă al molidului), ultima insectă fiind semnalată în arborete de răşinoase, mai ales în doborâturi de vânt şi în rupturi de zăpadă. Dintre dăunătorii care produc pagube în pepiniere şi plantaţii, cei mai frecvenţi sunt: coropişniţa (Gryllothalpa gryllothalpa), larvele de cărăbuş (Melolontha melolontha), care se hrănesc cu rădăcinile plantelor. De asemenea tot în pepiniere sunt frecvente bolile: culcarea puieţilor (Fusarium), făinarea stejarului (Microsphaera abreviata). În cazul arboretelor dintre agenţii criptogamici fitopatogeni deosebit de nocivi, se menţionează: Ophiostoma ulmi (grafioza ulmilor), Fomes annosus (putregaiul roşu) la molid, Armillaria mellea (gheabă), Ceratocystis sp. ce contribuie la uscările din arboretele de cvercinee precum şi la deprecierea lemnului. Pentru combaterea agenţilor dăunători se recomandă a se recurge la aplicarea, numai a metodelor biologice de combatere a dăunătorilor. Rolul păsărilor şi insectelor folositoare (cum sunt furnicile) este hotărâtor. În cazul unor infestări foarte puternice se vor aplica, totuşi, substanţe chimice biodegradabile.</w:t>
      </w:r>
    </w:p>
    <w:p w:rsidR="002F5025" w:rsidRPr="002F5025" w:rsidRDefault="002F5025" w:rsidP="002F5025">
      <w:pPr>
        <w:spacing w:after="120" w:line="240" w:lineRule="auto"/>
        <w:jc w:val="both"/>
        <w:rPr>
          <w:rFonts w:ascii="Arial" w:eastAsiaTheme="minorHAnsi" w:hAnsi="Arial" w:cs="Arial"/>
          <w:b/>
          <w:sz w:val="24"/>
          <w:szCs w:val="24"/>
          <w:lang w:val="ro-RO"/>
        </w:rPr>
      </w:pPr>
      <w:r w:rsidRPr="002F5025">
        <w:rPr>
          <w:rFonts w:ascii="Arial" w:eastAsiaTheme="minorHAnsi" w:hAnsi="Arial" w:cs="Arial"/>
          <w:b/>
          <w:sz w:val="24"/>
          <w:szCs w:val="24"/>
          <w:lang w:val="ro-RO"/>
        </w:rPr>
        <w:t>Riscul producerii incendiilor de pădure</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 xml:space="preserve">Riscul producerii incendiilor de pădure depinde de mulţi factori, dintre care cei mai importanţi ar fi: vremea, vegetaţia (de exemplu cantitatea şi tipul de combustibilitate al vegetaţiei), topografia, managementul forestier şi alţi factori socio-economici. </w:t>
      </w:r>
    </w:p>
    <w:p w:rsidR="002F5025" w:rsidRPr="002F5025" w:rsidRDefault="002F5025" w:rsidP="002F5025">
      <w:pPr>
        <w:spacing w:after="120" w:line="240" w:lineRule="auto"/>
        <w:jc w:val="both"/>
        <w:rPr>
          <w:rFonts w:ascii="Arial" w:eastAsiaTheme="minorHAnsi" w:hAnsi="Arial" w:cs="Arial"/>
          <w:color w:val="000000"/>
          <w:sz w:val="24"/>
          <w:szCs w:val="24"/>
          <w:lang w:val="ro-RO"/>
        </w:rPr>
      </w:pPr>
      <w:r w:rsidRPr="002F5025">
        <w:rPr>
          <w:rFonts w:ascii="Arial" w:eastAsiaTheme="minorHAnsi" w:hAnsi="Arial" w:cs="Arial"/>
          <w:color w:val="000000"/>
          <w:sz w:val="24"/>
          <w:szCs w:val="24"/>
          <w:lang w:val="ro-RO"/>
        </w:rPr>
        <w:t>Probabilitatea de apariţie a unui incendiu la fondul forestier este influenţată de factorii naturali şi de factorii antropici.</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Situaţia suprafeţelor forestiere afectate de incendii în ultimii cinci ani este prezentată în tabelul VI.2.3.-1.</w:t>
      </w: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b/>
          <w:sz w:val="24"/>
          <w:szCs w:val="24"/>
          <w:lang w:val="ro-RO"/>
        </w:rPr>
        <w:t xml:space="preserve"> Tabel VI.2.3.-1. Suprafeţe forestiere afectate de incendii în judeţul Buzău</w:t>
      </w:r>
    </w:p>
    <w:tbl>
      <w:tblPr>
        <w:tblStyle w:val="MediumGrid1-Accent3"/>
        <w:tblW w:w="0" w:type="auto"/>
        <w:tblInd w:w="250" w:type="dxa"/>
        <w:tblLook w:val="04A0"/>
      </w:tblPr>
      <w:tblGrid>
        <w:gridCol w:w="1701"/>
        <w:gridCol w:w="5528"/>
      </w:tblGrid>
      <w:tr w:rsidR="002F5025" w:rsidRPr="002F5025" w:rsidTr="00D92384">
        <w:trPr>
          <w:cnfStyle w:val="100000000000"/>
          <w:trHeight w:val="415"/>
        </w:trPr>
        <w:tc>
          <w:tcPr>
            <w:cnfStyle w:val="001000000000"/>
            <w:tcW w:w="1701" w:type="dxa"/>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An</w:t>
            </w:r>
          </w:p>
        </w:tc>
        <w:tc>
          <w:tcPr>
            <w:tcW w:w="5528" w:type="dxa"/>
          </w:tcPr>
          <w:p w:rsidR="002F5025" w:rsidRPr="002F5025" w:rsidRDefault="002F5025" w:rsidP="002F5025">
            <w:pPr>
              <w:spacing w:after="120" w:line="240" w:lineRule="auto"/>
              <w:cnfStyle w:val="100000000000"/>
              <w:rPr>
                <w:rFonts w:ascii="Arial" w:hAnsi="Arial" w:cs="Arial"/>
                <w:sz w:val="24"/>
                <w:szCs w:val="24"/>
                <w:lang w:val="ro-RO"/>
              </w:rPr>
            </w:pPr>
            <w:r w:rsidRPr="002F5025">
              <w:rPr>
                <w:rFonts w:ascii="Arial" w:hAnsi="Arial" w:cs="Arial"/>
                <w:sz w:val="24"/>
                <w:szCs w:val="24"/>
                <w:lang w:val="ro-RO"/>
              </w:rPr>
              <w:t xml:space="preserve">Suprafeţe forestiere parcurse de incendii </w:t>
            </w:r>
          </w:p>
          <w:p w:rsidR="002F5025" w:rsidRPr="002F5025" w:rsidRDefault="002F5025" w:rsidP="002F5025">
            <w:pPr>
              <w:spacing w:after="120" w:line="240" w:lineRule="auto"/>
              <w:jc w:val="center"/>
              <w:cnfStyle w:val="100000000000"/>
              <w:rPr>
                <w:rFonts w:ascii="Arial" w:hAnsi="Arial" w:cs="Arial"/>
                <w:sz w:val="24"/>
                <w:szCs w:val="24"/>
                <w:lang w:val="ro-RO"/>
              </w:rPr>
            </w:pPr>
            <w:r w:rsidRPr="002F5025">
              <w:rPr>
                <w:rFonts w:ascii="Arial" w:hAnsi="Arial" w:cs="Arial"/>
                <w:sz w:val="24"/>
                <w:szCs w:val="24"/>
                <w:lang w:val="ro-RO"/>
              </w:rPr>
              <w:t>(ha)</w:t>
            </w:r>
          </w:p>
        </w:tc>
      </w:tr>
      <w:tr w:rsidR="002F5025" w:rsidRPr="002F5025" w:rsidTr="00D92384">
        <w:trPr>
          <w:cnfStyle w:val="000000100000"/>
        </w:trPr>
        <w:tc>
          <w:tcPr>
            <w:cnfStyle w:val="001000000000"/>
            <w:tcW w:w="1701" w:type="dxa"/>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2010</w:t>
            </w:r>
          </w:p>
        </w:tc>
        <w:tc>
          <w:tcPr>
            <w:tcW w:w="5528" w:type="dxa"/>
          </w:tcPr>
          <w:p w:rsidR="002F5025" w:rsidRPr="002F5025" w:rsidRDefault="002F5025" w:rsidP="002F5025">
            <w:pPr>
              <w:spacing w:after="120" w:line="240" w:lineRule="auto"/>
              <w:jc w:val="center"/>
              <w:cnfStyle w:val="000000100000"/>
              <w:rPr>
                <w:rFonts w:ascii="Arial" w:hAnsi="Arial" w:cs="Arial"/>
                <w:sz w:val="24"/>
                <w:szCs w:val="24"/>
                <w:lang w:val="ro-RO"/>
              </w:rPr>
            </w:pPr>
            <w:r w:rsidRPr="002F5025">
              <w:rPr>
                <w:rFonts w:ascii="Arial" w:hAnsi="Arial" w:cs="Arial"/>
                <w:sz w:val="24"/>
                <w:szCs w:val="24"/>
                <w:lang w:val="ro-RO"/>
              </w:rPr>
              <w:t>0</w:t>
            </w:r>
          </w:p>
        </w:tc>
      </w:tr>
      <w:tr w:rsidR="002F5025" w:rsidRPr="002F5025" w:rsidTr="00D92384">
        <w:tc>
          <w:tcPr>
            <w:cnfStyle w:val="001000000000"/>
            <w:tcW w:w="1701" w:type="dxa"/>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2011</w:t>
            </w:r>
          </w:p>
        </w:tc>
        <w:tc>
          <w:tcPr>
            <w:tcW w:w="5528" w:type="dxa"/>
          </w:tcPr>
          <w:p w:rsidR="002F5025" w:rsidRPr="002F5025" w:rsidRDefault="002F5025" w:rsidP="002F5025">
            <w:pPr>
              <w:spacing w:after="120" w:line="240" w:lineRule="auto"/>
              <w:jc w:val="center"/>
              <w:cnfStyle w:val="000000000000"/>
              <w:rPr>
                <w:rFonts w:ascii="Arial" w:hAnsi="Arial" w:cs="Arial"/>
                <w:sz w:val="24"/>
                <w:szCs w:val="24"/>
                <w:lang w:val="ro-RO"/>
              </w:rPr>
            </w:pPr>
            <w:r w:rsidRPr="002F5025">
              <w:rPr>
                <w:rFonts w:ascii="Arial" w:hAnsi="Arial" w:cs="Arial"/>
                <w:sz w:val="24"/>
                <w:szCs w:val="24"/>
                <w:lang w:val="ro-RO"/>
              </w:rPr>
              <w:t>0</w:t>
            </w:r>
          </w:p>
        </w:tc>
      </w:tr>
      <w:tr w:rsidR="002F5025" w:rsidRPr="002F5025" w:rsidTr="00D92384">
        <w:trPr>
          <w:cnfStyle w:val="000000100000"/>
        </w:trPr>
        <w:tc>
          <w:tcPr>
            <w:cnfStyle w:val="001000000000"/>
            <w:tcW w:w="1701" w:type="dxa"/>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2012</w:t>
            </w:r>
          </w:p>
        </w:tc>
        <w:tc>
          <w:tcPr>
            <w:tcW w:w="5528" w:type="dxa"/>
          </w:tcPr>
          <w:p w:rsidR="002F5025" w:rsidRPr="002F5025" w:rsidRDefault="002F5025" w:rsidP="002F5025">
            <w:pPr>
              <w:spacing w:after="120" w:line="240" w:lineRule="auto"/>
              <w:jc w:val="center"/>
              <w:cnfStyle w:val="000000100000"/>
              <w:rPr>
                <w:rFonts w:ascii="Arial" w:hAnsi="Arial" w:cs="Arial"/>
                <w:sz w:val="24"/>
                <w:szCs w:val="24"/>
                <w:lang w:val="ro-RO"/>
              </w:rPr>
            </w:pPr>
            <w:r w:rsidRPr="002F5025">
              <w:rPr>
                <w:rFonts w:ascii="Arial" w:hAnsi="Arial" w:cs="Arial"/>
                <w:sz w:val="24"/>
                <w:szCs w:val="24"/>
                <w:lang w:val="ro-RO"/>
              </w:rPr>
              <w:t>0</w:t>
            </w:r>
          </w:p>
        </w:tc>
      </w:tr>
      <w:tr w:rsidR="002F5025" w:rsidRPr="002F5025" w:rsidTr="00D92384">
        <w:tc>
          <w:tcPr>
            <w:cnfStyle w:val="001000000000"/>
            <w:tcW w:w="1701" w:type="dxa"/>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2013</w:t>
            </w:r>
          </w:p>
        </w:tc>
        <w:tc>
          <w:tcPr>
            <w:tcW w:w="5528" w:type="dxa"/>
          </w:tcPr>
          <w:p w:rsidR="002F5025" w:rsidRPr="002F5025" w:rsidRDefault="002F5025" w:rsidP="002F5025">
            <w:pPr>
              <w:spacing w:after="120" w:line="240" w:lineRule="auto"/>
              <w:jc w:val="center"/>
              <w:cnfStyle w:val="000000000000"/>
              <w:rPr>
                <w:rFonts w:ascii="Arial" w:hAnsi="Arial" w:cs="Arial"/>
                <w:sz w:val="24"/>
                <w:szCs w:val="24"/>
                <w:lang w:val="ro-RO"/>
              </w:rPr>
            </w:pPr>
            <w:r w:rsidRPr="002F5025">
              <w:rPr>
                <w:rFonts w:ascii="Arial" w:hAnsi="Arial" w:cs="Arial"/>
                <w:sz w:val="24"/>
                <w:szCs w:val="24"/>
                <w:lang w:val="ro-RO"/>
              </w:rPr>
              <w:t>25</w:t>
            </w:r>
          </w:p>
        </w:tc>
      </w:tr>
      <w:tr w:rsidR="002F5025" w:rsidRPr="002F5025" w:rsidTr="00D92384">
        <w:trPr>
          <w:cnfStyle w:val="000000100000"/>
        </w:trPr>
        <w:tc>
          <w:tcPr>
            <w:cnfStyle w:val="001000000000"/>
            <w:tcW w:w="1701" w:type="dxa"/>
          </w:tcPr>
          <w:p w:rsidR="002F5025" w:rsidRPr="002F5025" w:rsidRDefault="002F5025" w:rsidP="002F5025">
            <w:pPr>
              <w:spacing w:after="120" w:line="240" w:lineRule="auto"/>
              <w:jc w:val="center"/>
              <w:rPr>
                <w:rFonts w:ascii="Arial" w:hAnsi="Arial" w:cs="Arial"/>
                <w:sz w:val="24"/>
                <w:szCs w:val="24"/>
                <w:lang w:val="ro-RO"/>
              </w:rPr>
            </w:pPr>
            <w:r w:rsidRPr="002F5025">
              <w:rPr>
                <w:rFonts w:ascii="Arial" w:hAnsi="Arial" w:cs="Arial"/>
                <w:sz w:val="24"/>
                <w:szCs w:val="24"/>
                <w:lang w:val="ro-RO"/>
              </w:rPr>
              <w:t>2014</w:t>
            </w:r>
          </w:p>
        </w:tc>
        <w:tc>
          <w:tcPr>
            <w:tcW w:w="5528" w:type="dxa"/>
          </w:tcPr>
          <w:p w:rsidR="002F5025" w:rsidRPr="002F5025" w:rsidRDefault="002F5025" w:rsidP="002F5025">
            <w:pPr>
              <w:spacing w:after="120" w:line="240" w:lineRule="auto"/>
              <w:jc w:val="center"/>
              <w:cnfStyle w:val="000000100000"/>
              <w:rPr>
                <w:rFonts w:ascii="Arial" w:hAnsi="Arial" w:cs="Arial"/>
                <w:sz w:val="24"/>
                <w:szCs w:val="24"/>
                <w:lang w:val="ro-RO"/>
              </w:rPr>
            </w:pPr>
            <w:r w:rsidRPr="002F5025">
              <w:rPr>
                <w:rFonts w:ascii="Arial" w:hAnsi="Arial" w:cs="Arial"/>
                <w:sz w:val="24"/>
                <w:szCs w:val="24"/>
                <w:lang w:val="ro-RO"/>
              </w:rPr>
              <w:t>45</w:t>
            </w:r>
          </w:p>
        </w:tc>
      </w:tr>
    </w:tbl>
    <w:p w:rsidR="002F5025" w:rsidRPr="002F5025" w:rsidRDefault="002F5025" w:rsidP="002F5025">
      <w:pPr>
        <w:spacing w:after="120" w:line="240" w:lineRule="auto"/>
        <w:rPr>
          <w:rFonts w:ascii="Arial" w:eastAsiaTheme="minorHAnsi" w:hAnsi="Arial" w:cs="Arial"/>
          <w:sz w:val="24"/>
          <w:szCs w:val="24"/>
          <w:lang w:val="ro-RO"/>
        </w:rPr>
      </w:pPr>
      <w:r w:rsidRPr="002F5025">
        <w:rPr>
          <w:rFonts w:ascii="Arial" w:eastAsiaTheme="minorHAnsi" w:hAnsi="Arial" w:cs="Arial"/>
          <w:i/>
          <w:sz w:val="24"/>
          <w:szCs w:val="24"/>
          <w:lang w:val="ro-RO"/>
        </w:rPr>
        <w:t xml:space="preserve"> Sursa: C.R.S.C. Focşani  </w:t>
      </w:r>
    </w:p>
    <w:p w:rsidR="002F5025" w:rsidRPr="002F5025" w:rsidRDefault="002F5025" w:rsidP="002F5025">
      <w:pPr>
        <w:spacing w:after="120" w:line="240" w:lineRule="auto"/>
        <w:rPr>
          <w:rFonts w:ascii="Arial" w:eastAsiaTheme="minorHAnsi" w:hAnsi="Arial" w:cs="Arial"/>
          <w:b/>
          <w:sz w:val="24"/>
          <w:szCs w:val="24"/>
          <w:lang w:val="ro-RO"/>
        </w:rPr>
      </w:pPr>
    </w:p>
    <w:p w:rsidR="002F5025" w:rsidRPr="002F5025" w:rsidRDefault="002F5025" w:rsidP="002F5025">
      <w:pPr>
        <w:spacing w:after="120" w:line="240" w:lineRule="auto"/>
        <w:rPr>
          <w:rFonts w:ascii="Arial" w:eastAsiaTheme="minorHAnsi" w:hAnsi="Arial" w:cs="Arial"/>
          <w:b/>
          <w:sz w:val="24"/>
          <w:szCs w:val="24"/>
          <w:lang w:val="ro-RO"/>
        </w:rPr>
      </w:pPr>
      <w:r w:rsidRPr="002F5025">
        <w:rPr>
          <w:rFonts w:ascii="Arial" w:eastAsiaTheme="minorHAnsi" w:hAnsi="Arial" w:cs="Arial"/>
          <w:b/>
          <w:sz w:val="24"/>
          <w:szCs w:val="24"/>
          <w:lang w:val="ro-RO"/>
        </w:rPr>
        <w:t xml:space="preserve">VI.3. Tendinţe, prognoze şi acţiuni privind gestionarea durabilă a pădurilor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bCs/>
          <w:sz w:val="24"/>
          <w:szCs w:val="24"/>
          <w:lang w:val="ro-RO"/>
        </w:rPr>
        <w:t>În contextul actual, când f</w:t>
      </w:r>
      <w:r w:rsidRPr="002F5025">
        <w:rPr>
          <w:rFonts w:ascii="Arial" w:eastAsiaTheme="minorHAnsi" w:hAnsi="Arial" w:cs="Arial"/>
          <w:sz w:val="24"/>
          <w:szCs w:val="24"/>
          <w:lang w:val="ro-RO"/>
        </w:rPr>
        <w:t xml:space="preserve">ondul forestier naţional ocupă mai puţin de 1/3 din suprafaţa ţării, procentual situându-ne sub nivelul mediu al Uniunii Europene (27,3 %, faţă de 36%), </w:t>
      </w:r>
      <w:r w:rsidRPr="002F5025">
        <w:rPr>
          <w:rFonts w:ascii="Arial" w:eastAsiaTheme="minorHAnsi" w:hAnsi="Arial" w:cs="Arial"/>
          <w:sz w:val="24"/>
          <w:lang w:val="ro-RO"/>
        </w:rPr>
        <w:t xml:space="preserve">România are urgent nevoie de finalizarea şi adoptarea Strategiei Forestiere Naţionale elaborată de Ministerul Mediului. O dată finalizată şi adoptată printr-un consens politic,  Strategia va oferi cadrul instituţional </w:t>
      </w:r>
      <w:r w:rsidRPr="002F5025">
        <w:rPr>
          <w:rFonts w:ascii="Arial" w:eastAsiaTheme="minorHAnsi" w:hAnsi="Arial" w:cs="Arial"/>
          <w:sz w:val="24"/>
          <w:szCs w:val="24"/>
          <w:lang w:val="ro-RO"/>
        </w:rPr>
        <w:t xml:space="preserve">pentru soluţionarea pe termen mediu şi lung a problemelor pădurilor.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Implementarea unui astfel de document strategic va asigura dezvoltarea durabilă a sectorului forestier, rezultatul fiind creşterea calităţii vieţii şi asigurarea necesităţilor</w:t>
      </w:r>
      <w:r w:rsidRPr="002F5025">
        <w:rPr>
          <w:rFonts w:ascii="Arial" w:eastAsiaTheme="minorHAnsi" w:hAnsi="Arial" w:cs="Arial"/>
          <w:bCs/>
          <w:sz w:val="24"/>
          <w:szCs w:val="24"/>
          <w:lang w:val="ro-RO"/>
        </w:rPr>
        <w:t xml:space="preserve"> prezente şi viitoare ale societăţii, în context european.</w:t>
      </w:r>
    </w:p>
    <w:p w:rsidR="002F5025" w:rsidRPr="002F5025" w:rsidRDefault="002F5025" w:rsidP="002F5025">
      <w:pPr>
        <w:autoSpaceDE w:val="0"/>
        <w:autoSpaceDN w:val="0"/>
        <w:adjustRightInd w:val="0"/>
        <w:spacing w:after="120" w:line="240" w:lineRule="auto"/>
        <w:jc w:val="both"/>
        <w:rPr>
          <w:rFonts w:ascii="Arial" w:eastAsiaTheme="minorHAnsi" w:hAnsi="Arial" w:cs="Arial"/>
          <w:bCs/>
          <w:color w:val="000000"/>
          <w:sz w:val="24"/>
          <w:szCs w:val="24"/>
          <w:lang w:val="ro-RO"/>
        </w:rPr>
      </w:pPr>
      <w:r w:rsidRPr="002F5025">
        <w:rPr>
          <w:rFonts w:ascii="Arial" w:eastAsiaTheme="minorHAnsi" w:hAnsi="Arial" w:cs="Arial"/>
          <w:bCs/>
          <w:color w:val="000000"/>
          <w:sz w:val="24"/>
          <w:szCs w:val="24"/>
          <w:lang w:val="ro-RO"/>
        </w:rPr>
        <w:lastRenderedPageBreak/>
        <w:t>Obiective specifice şi măsurile aferente fiecărui obiectiv conţinute în draft-ul Strategiei Forestiere naţionale pentru perioada 2013-2022 sunt:</w:t>
      </w:r>
    </w:p>
    <w:p w:rsidR="002F5025" w:rsidRPr="002F5025" w:rsidRDefault="002F5025" w:rsidP="000A5EAD">
      <w:pPr>
        <w:numPr>
          <w:ilvl w:val="0"/>
          <w:numId w:val="34"/>
        </w:numPr>
        <w:autoSpaceDE w:val="0"/>
        <w:autoSpaceDN w:val="0"/>
        <w:adjustRightInd w:val="0"/>
        <w:spacing w:after="120" w:line="240" w:lineRule="auto"/>
        <w:jc w:val="both"/>
        <w:rPr>
          <w:rFonts w:ascii="Arial" w:eastAsia="SimSun" w:hAnsi="Arial" w:cs="Arial"/>
          <w:b/>
          <w:color w:val="000000"/>
          <w:sz w:val="24"/>
          <w:szCs w:val="24"/>
          <w:lang w:val="ro-RO"/>
        </w:rPr>
      </w:pPr>
      <w:r w:rsidRPr="002F5025">
        <w:rPr>
          <w:rFonts w:ascii="Arial" w:eastAsia="SimSun" w:hAnsi="Arial" w:cs="Arial"/>
          <w:b/>
          <w:color w:val="000000"/>
          <w:sz w:val="24"/>
          <w:szCs w:val="24"/>
          <w:lang w:val="ro-RO"/>
        </w:rPr>
        <w:t xml:space="preserve">Dezvoltarea cadrului instituţional şi de reglementare a activităţii din sectorul forestier; </w:t>
      </w:r>
    </w:p>
    <w:p w:rsidR="002F5025" w:rsidRPr="002F5025" w:rsidRDefault="002F5025" w:rsidP="000A5EAD">
      <w:pPr>
        <w:numPr>
          <w:ilvl w:val="0"/>
          <w:numId w:val="29"/>
        </w:numPr>
        <w:autoSpaceDE w:val="0"/>
        <w:autoSpaceDN w:val="0"/>
        <w:adjustRightInd w:val="0"/>
        <w:spacing w:after="120" w:line="240" w:lineRule="auto"/>
        <w:ind w:left="714" w:hanging="357"/>
        <w:jc w:val="both"/>
        <w:rPr>
          <w:rFonts w:ascii="Arial" w:eastAsia="SimSun" w:hAnsi="Arial" w:cs="Arial"/>
          <w:bCs/>
          <w:color w:val="000000"/>
          <w:sz w:val="24"/>
          <w:szCs w:val="24"/>
          <w:lang w:val="ro-RO"/>
        </w:rPr>
      </w:pPr>
      <w:r w:rsidRPr="002F5025">
        <w:rPr>
          <w:rFonts w:ascii="Arial" w:eastAsia="SimSun" w:hAnsi="Arial" w:cs="Arial"/>
          <w:bCs/>
          <w:color w:val="000000"/>
          <w:sz w:val="24"/>
          <w:szCs w:val="24"/>
          <w:lang w:val="ro-RO"/>
        </w:rPr>
        <w:t>Întreprinderea de demersuri în vederea corelării legislaţiei din domeniul forestier cu cea aplicabilă în alte sectoare, cu implicarea tuturor factorilor interesati;</w:t>
      </w:r>
    </w:p>
    <w:p w:rsidR="002F5025" w:rsidRPr="002F5025" w:rsidRDefault="002F5025" w:rsidP="000A5EAD">
      <w:pPr>
        <w:numPr>
          <w:ilvl w:val="0"/>
          <w:numId w:val="29"/>
        </w:numPr>
        <w:autoSpaceDE w:val="0"/>
        <w:autoSpaceDN w:val="0"/>
        <w:adjustRightInd w:val="0"/>
        <w:spacing w:after="120" w:line="240" w:lineRule="auto"/>
        <w:ind w:left="714" w:hanging="357"/>
        <w:jc w:val="both"/>
        <w:rPr>
          <w:rFonts w:ascii="Arial" w:eastAsia="SimSun" w:hAnsi="Arial" w:cs="Arial"/>
          <w:bCs/>
          <w:color w:val="000000"/>
          <w:sz w:val="24"/>
          <w:szCs w:val="24"/>
          <w:lang w:val="ro-RO"/>
        </w:rPr>
      </w:pPr>
      <w:r w:rsidRPr="002F5025">
        <w:rPr>
          <w:rFonts w:ascii="Arial" w:eastAsia="SimSun" w:hAnsi="Arial" w:cs="Arial"/>
          <w:bCs/>
          <w:sz w:val="24"/>
          <w:szCs w:val="24"/>
          <w:lang w:val="ro-RO"/>
        </w:rPr>
        <w:t xml:space="preserve"> </w:t>
      </w:r>
      <w:r w:rsidRPr="002F5025">
        <w:rPr>
          <w:rFonts w:ascii="Arial" w:eastAsiaTheme="minorHAnsi" w:hAnsi="Arial" w:cs="Arial"/>
          <w:bCs/>
          <w:sz w:val="24"/>
          <w:szCs w:val="24"/>
          <w:lang w:val="ro-RO"/>
        </w:rPr>
        <w:t>Armonizarea legislaţiei naţionale cu legislaţia specifică a U.E., convenţiile şi acordurile internaţionale la care România este parte semnatară;</w:t>
      </w:r>
    </w:p>
    <w:p w:rsidR="002F5025" w:rsidRPr="002F5025" w:rsidRDefault="002F5025" w:rsidP="000A5EAD">
      <w:pPr>
        <w:numPr>
          <w:ilvl w:val="0"/>
          <w:numId w:val="29"/>
        </w:numPr>
        <w:autoSpaceDE w:val="0"/>
        <w:autoSpaceDN w:val="0"/>
        <w:adjustRightInd w:val="0"/>
        <w:spacing w:after="120" w:line="240" w:lineRule="auto"/>
        <w:ind w:left="714" w:hanging="357"/>
        <w:jc w:val="both"/>
        <w:rPr>
          <w:rFonts w:ascii="Arial" w:eastAsia="SimSun" w:hAnsi="Arial" w:cs="Arial"/>
          <w:bCs/>
          <w:color w:val="000000"/>
          <w:sz w:val="24"/>
          <w:szCs w:val="24"/>
          <w:lang w:val="ro-RO"/>
        </w:rPr>
      </w:pPr>
      <w:r w:rsidRPr="002F5025">
        <w:rPr>
          <w:rFonts w:ascii="Arial" w:eastAsia="SimSun" w:hAnsi="Arial" w:cs="Arial"/>
          <w:bCs/>
          <w:color w:val="000000"/>
          <w:sz w:val="24"/>
          <w:szCs w:val="24"/>
          <w:lang w:val="ro-RO"/>
        </w:rPr>
        <w:t>Îmbunătăţirea cadrului legislativ pentru favorizarea asocierii proprietarilor de păduri cu suprafeţe mici;</w:t>
      </w:r>
    </w:p>
    <w:p w:rsidR="002F5025" w:rsidRPr="002F5025" w:rsidRDefault="002F5025" w:rsidP="000A5EAD">
      <w:pPr>
        <w:numPr>
          <w:ilvl w:val="0"/>
          <w:numId w:val="29"/>
        </w:numPr>
        <w:autoSpaceDE w:val="0"/>
        <w:autoSpaceDN w:val="0"/>
        <w:adjustRightInd w:val="0"/>
        <w:spacing w:after="120" w:line="240" w:lineRule="auto"/>
        <w:ind w:left="714" w:hanging="357"/>
        <w:jc w:val="both"/>
        <w:rPr>
          <w:rFonts w:ascii="Arial" w:eastAsia="SimSun" w:hAnsi="Arial" w:cs="Arial"/>
          <w:bCs/>
          <w:color w:val="000000"/>
          <w:sz w:val="24"/>
          <w:szCs w:val="24"/>
          <w:lang w:val="ro-RO"/>
        </w:rPr>
      </w:pPr>
      <w:r w:rsidRPr="002F5025">
        <w:rPr>
          <w:rFonts w:ascii="Arial" w:eastAsiaTheme="minorHAnsi" w:hAnsi="Arial" w:cs="Arial"/>
          <w:bCs/>
          <w:sz w:val="24"/>
          <w:szCs w:val="24"/>
          <w:lang w:val="ro-RO"/>
        </w:rPr>
        <w:t>Reglementarea sistemului de cuantificare şi compensare a funcţiilor ecosistemice ale pădurii;</w:t>
      </w:r>
    </w:p>
    <w:p w:rsidR="002F5025" w:rsidRPr="002F5025" w:rsidRDefault="002F5025" w:rsidP="000A5EAD">
      <w:pPr>
        <w:numPr>
          <w:ilvl w:val="0"/>
          <w:numId w:val="29"/>
        </w:numPr>
        <w:autoSpaceDE w:val="0"/>
        <w:autoSpaceDN w:val="0"/>
        <w:adjustRightInd w:val="0"/>
        <w:spacing w:after="120" w:line="240" w:lineRule="auto"/>
        <w:ind w:left="714" w:hanging="357"/>
        <w:jc w:val="both"/>
        <w:rPr>
          <w:rFonts w:ascii="Arial" w:eastAsia="SimSun" w:hAnsi="Arial" w:cs="Arial"/>
          <w:bCs/>
          <w:color w:val="000000"/>
          <w:sz w:val="24"/>
          <w:szCs w:val="24"/>
          <w:lang w:val="ro-RO"/>
        </w:rPr>
      </w:pPr>
      <w:r w:rsidRPr="002F5025">
        <w:rPr>
          <w:rFonts w:ascii="Arial" w:eastAsiaTheme="minorHAnsi" w:hAnsi="Arial" w:cs="Arial"/>
          <w:bCs/>
          <w:sz w:val="24"/>
          <w:szCs w:val="24"/>
          <w:lang w:val="ro-RO"/>
        </w:rPr>
        <w:t xml:space="preserve">Elaborarea de ghiduri de bune practici în domeniul forestier; </w:t>
      </w:r>
    </w:p>
    <w:p w:rsidR="002F5025" w:rsidRPr="002F5025" w:rsidRDefault="002F5025" w:rsidP="000A5EAD">
      <w:pPr>
        <w:numPr>
          <w:ilvl w:val="0"/>
          <w:numId w:val="29"/>
        </w:numPr>
        <w:autoSpaceDE w:val="0"/>
        <w:autoSpaceDN w:val="0"/>
        <w:adjustRightInd w:val="0"/>
        <w:spacing w:after="120" w:line="240" w:lineRule="auto"/>
        <w:ind w:left="714" w:hanging="357"/>
        <w:jc w:val="both"/>
        <w:rPr>
          <w:rFonts w:ascii="Arial" w:eastAsia="SimSun" w:hAnsi="Arial" w:cs="Arial"/>
          <w:bCs/>
          <w:color w:val="000000"/>
          <w:sz w:val="24"/>
          <w:szCs w:val="24"/>
          <w:lang w:val="ro-RO"/>
        </w:rPr>
      </w:pPr>
      <w:r w:rsidRPr="002F5025">
        <w:rPr>
          <w:rFonts w:ascii="Arial" w:eastAsiaTheme="minorHAnsi" w:hAnsi="Arial" w:cs="Arial"/>
          <w:bCs/>
          <w:sz w:val="24"/>
          <w:szCs w:val="24"/>
          <w:lang w:val="ro-RO"/>
        </w:rPr>
        <w:t xml:space="preserve">Constituirea Consiliului Naţional Forestier, entitate cu rol consultativ, în care să fie reprezentate instituţii şi organizaţii din domeniul forestier şi domeniile conexe;  </w:t>
      </w:r>
    </w:p>
    <w:p w:rsidR="002F5025" w:rsidRPr="002F5025" w:rsidRDefault="002F5025" w:rsidP="000A5EAD">
      <w:pPr>
        <w:numPr>
          <w:ilvl w:val="0"/>
          <w:numId w:val="34"/>
        </w:numPr>
        <w:autoSpaceDE w:val="0"/>
        <w:autoSpaceDN w:val="0"/>
        <w:adjustRightInd w:val="0"/>
        <w:spacing w:after="120" w:line="240" w:lineRule="auto"/>
        <w:rPr>
          <w:rFonts w:ascii="Arial" w:eastAsia="SimSun" w:hAnsi="Arial" w:cs="Arial"/>
          <w:b/>
          <w:color w:val="000000"/>
          <w:sz w:val="24"/>
          <w:szCs w:val="24"/>
          <w:lang w:val="ro-RO"/>
        </w:rPr>
      </w:pPr>
      <w:r w:rsidRPr="002F5025">
        <w:rPr>
          <w:rFonts w:ascii="Arial" w:eastAsia="SimSun" w:hAnsi="Arial" w:cs="Arial"/>
          <w:b/>
          <w:color w:val="000000"/>
          <w:sz w:val="24"/>
          <w:szCs w:val="24"/>
          <w:lang w:val="ro-RO"/>
        </w:rPr>
        <w:t>Gestionarea durabilă şi dezvoltarea resurselor forestiere;</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
          <w:color w:val="000000"/>
          <w:sz w:val="24"/>
          <w:szCs w:val="24"/>
          <w:lang w:val="ro-RO"/>
        </w:rPr>
      </w:pPr>
      <w:r w:rsidRPr="002F5025">
        <w:rPr>
          <w:rFonts w:ascii="Arial" w:eastAsia="SimSun" w:hAnsi="Arial" w:cs="Arial"/>
          <w:bCs/>
          <w:sz w:val="24"/>
          <w:szCs w:val="24"/>
          <w:lang w:val="ro-RO"/>
        </w:rPr>
        <w:t>Administrarea durabilă a fondului</w:t>
      </w:r>
      <w:r w:rsidRPr="002F5025">
        <w:rPr>
          <w:rFonts w:ascii="Arial" w:eastAsia="SimSun" w:hAnsi="Arial" w:cs="Arial"/>
          <w:b/>
          <w:bCs/>
          <w:sz w:val="24"/>
          <w:szCs w:val="24"/>
          <w:lang w:val="ro-RO"/>
        </w:rPr>
        <w:t xml:space="preserve"> </w:t>
      </w:r>
      <w:r w:rsidRPr="002F5025">
        <w:rPr>
          <w:rFonts w:ascii="Arial" w:eastAsia="SimSun" w:hAnsi="Arial" w:cs="Arial"/>
          <w:bCs/>
          <w:sz w:val="24"/>
          <w:szCs w:val="24"/>
          <w:lang w:val="ro-RO"/>
        </w:rPr>
        <w:t>forestier naţional;</w:t>
      </w:r>
    </w:p>
    <w:p w:rsidR="002F5025" w:rsidRPr="002F5025" w:rsidRDefault="002F5025" w:rsidP="000A5EAD">
      <w:pPr>
        <w:numPr>
          <w:ilvl w:val="0"/>
          <w:numId w:val="29"/>
        </w:numPr>
        <w:autoSpaceDE w:val="0"/>
        <w:autoSpaceDN w:val="0"/>
        <w:adjustRightInd w:val="0"/>
        <w:spacing w:after="120" w:line="240" w:lineRule="auto"/>
        <w:rPr>
          <w:rFonts w:ascii="Arial" w:eastAsiaTheme="minorHAnsi" w:hAnsi="Arial" w:cs="Arial"/>
          <w:bCs/>
          <w:sz w:val="24"/>
          <w:szCs w:val="24"/>
          <w:lang w:val="ro-RO"/>
        </w:rPr>
      </w:pPr>
      <w:r w:rsidRPr="002F5025">
        <w:rPr>
          <w:rFonts w:ascii="Arial" w:eastAsiaTheme="minorHAnsi" w:hAnsi="Arial" w:cs="Arial"/>
          <w:bCs/>
          <w:sz w:val="24"/>
          <w:szCs w:val="24"/>
          <w:lang w:val="ro-RO"/>
        </w:rPr>
        <w:t>Extinderea suprafeţei acoperite cu</w:t>
      </w:r>
      <w:r w:rsidRPr="002F5025">
        <w:rPr>
          <w:rFonts w:ascii="Arial" w:eastAsiaTheme="minorHAnsi" w:hAnsi="Arial" w:cs="Arial"/>
          <w:b/>
          <w:bCs/>
          <w:sz w:val="24"/>
          <w:szCs w:val="24"/>
          <w:lang w:val="ro-RO"/>
        </w:rPr>
        <w:t xml:space="preserve"> </w:t>
      </w:r>
      <w:r w:rsidRPr="002F5025">
        <w:rPr>
          <w:rFonts w:ascii="Arial" w:eastAsiaTheme="minorHAnsi" w:hAnsi="Arial" w:cs="Arial"/>
          <w:bCs/>
          <w:sz w:val="24"/>
          <w:szCs w:val="24"/>
          <w:lang w:val="ro-RO"/>
        </w:rPr>
        <w:t>păduri;</w:t>
      </w:r>
    </w:p>
    <w:p w:rsidR="002F5025" w:rsidRPr="002F5025" w:rsidRDefault="002F5025" w:rsidP="000A5EAD">
      <w:pPr>
        <w:numPr>
          <w:ilvl w:val="0"/>
          <w:numId w:val="29"/>
        </w:numPr>
        <w:autoSpaceDE w:val="0"/>
        <w:autoSpaceDN w:val="0"/>
        <w:adjustRightInd w:val="0"/>
        <w:spacing w:after="120" w:line="240" w:lineRule="auto"/>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 Accesibilizarea fondului forestier naţional;</w:t>
      </w:r>
    </w:p>
    <w:p w:rsidR="002F5025" w:rsidRPr="002F5025" w:rsidRDefault="002F5025" w:rsidP="000A5EAD">
      <w:pPr>
        <w:numPr>
          <w:ilvl w:val="0"/>
          <w:numId w:val="29"/>
        </w:numPr>
        <w:autoSpaceDE w:val="0"/>
        <w:autoSpaceDN w:val="0"/>
        <w:adjustRightInd w:val="0"/>
        <w:spacing w:after="120" w:line="240" w:lineRule="auto"/>
        <w:rPr>
          <w:rFonts w:ascii="Arial" w:eastAsiaTheme="minorHAnsi" w:hAnsi="Arial" w:cs="Arial"/>
          <w:sz w:val="24"/>
          <w:szCs w:val="24"/>
          <w:lang w:val="ro-RO"/>
        </w:rPr>
      </w:pPr>
      <w:r w:rsidRPr="002F5025">
        <w:rPr>
          <w:rFonts w:ascii="Arial" w:eastAsiaTheme="minorHAnsi" w:hAnsi="Arial" w:cs="Arial"/>
          <w:bCs/>
          <w:sz w:val="24"/>
          <w:szCs w:val="24"/>
          <w:lang w:val="ro-RO"/>
        </w:rPr>
        <w:t xml:space="preserve"> Sprijinirea proprietarilor care deţin păduri cu suprafeţe mici</w:t>
      </w:r>
      <w:r w:rsidRPr="002F5025">
        <w:rPr>
          <w:rFonts w:ascii="Arial" w:eastAsiaTheme="minorHAnsi" w:hAnsi="Arial" w:cs="Arial"/>
          <w:sz w:val="24"/>
          <w:szCs w:val="24"/>
          <w:lang w:val="ro-RO"/>
        </w:rPr>
        <w:t>;</w:t>
      </w:r>
    </w:p>
    <w:p w:rsidR="002F5025" w:rsidRPr="002F5025" w:rsidRDefault="002F5025" w:rsidP="000A5EAD">
      <w:pPr>
        <w:numPr>
          <w:ilvl w:val="0"/>
          <w:numId w:val="29"/>
        </w:numPr>
        <w:autoSpaceDE w:val="0"/>
        <w:autoSpaceDN w:val="0"/>
        <w:adjustRightInd w:val="0"/>
        <w:spacing w:after="120" w:line="240" w:lineRule="auto"/>
        <w:rPr>
          <w:rFonts w:ascii="Arial" w:eastAsiaTheme="minorHAnsi" w:hAnsi="Arial" w:cs="Arial"/>
          <w:bCs/>
          <w:sz w:val="24"/>
          <w:szCs w:val="24"/>
          <w:lang w:val="ro-RO"/>
        </w:rPr>
      </w:pPr>
      <w:r w:rsidRPr="002F5025">
        <w:rPr>
          <w:rFonts w:ascii="Arial" w:eastAsiaTheme="minorHAnsi" w:hAnsi="Arial" w:cs="Arial"/>
          <w:sz w:val="24"/>
          <w:szCs w:val="24"/>
          <w:lang w:val="ro-RO"/>
        </w:rPr>
        <w:t xml:space="preserve"> Asigurarea stabilităţii şi creşterea eficacităţii funcţionale a ecosistemelor forestiere;</w:t>
      </w:r>
    </w:p>
    <w:p w:rsidR="002F5025" w:rsidRPr="002F5025" w:rsidRDefault="002F5025" w:rsidP="000A5EAD">
      <w:pPr>
        <w:numPr>
          <w:ilvl w:val="0"/>
          <w:numId w:val="29"/>
        </w:numPr>
        <w:autoSpaceDE w:val="0"/>
        <w:autoSpaceDN w:val="0"/>
        <w:adjustRightInd w:val="0"/>
        <w:spacing w:after="120" w:line="240" w:lineRule="auto"/>
        <w:rPr>
          <w:rFonts w:ascii="Arial" w:eastAsiaTheme="minorHAnsi" w:hAnsi="Arial" w:cs="Arial"/>
          <w:bCs/>
          <w:sz w:val="24"/>
          <w:szCs w:val="24"/>
          <w:lang w:val="ro-RO"/>
        </w:rPr>
      </w:pPr>
      <w:r w:rsidRPr="002F5025">
        <w:rPr>
          <w:rFonts w:ascii="Arial" w:eastAsiaTheme="minorHAnsi" w:hAnsi="Arial" w:cs="Arial"/>
          <w:sz w:val="24"/>
          <w:szCs w:val="24"/>
          <w:lang w:val="ro-RO"/>
        </w:rPr>
        <w:t xml:space="preserve"> </w:t>
      </w:r>
      <w:r w:rsidRPr="002F5025">
        <w:rPr>
          <w:rFonts w:ascii="Arial" w:eastAsiaTheme="minorHAnsi" w:hAnsi="Arial" w:cs="Arial"/>
          <w:bCs/>
          <w:sz w:val="24"/>
          <w:szCs w:val="24"/>
          <w:lang w:val="ro-RO"/>
        </w:rPr>
        <w:t>Contribuţia pădurilor la atenuarea efectelor schimbărilor climatice. Adaptarea pădurilor la schimbarile climatice;</w:t>
      </w:r>
    </w:p>
    <w:p w:rsidR="002F5025" w:rsidRPr="002F5025" w:rsidRDefault="002F5025" w:rsidP="000A5EAD">
      <w:pPr>
        <w:numPr>
          <w:ilvl w:val="0"/>
          <w:numId w:val="29"/>
        </w:numPr>
        <w:autoSpaceDE w:val="0"/>
        <w:autoSpaceDN w:val="0"/>
        <w:adjustRightInd w:val="0"/>
        <w:spacing w:after="120" w:line="240" w:lineRule="auto"/>
        <w:rPr>
          <w:rFonts w:ascii="Arial" w:eastAsiaTheme="minorHAnsi" w:hAnsi="Arial" w:cs="Arial"/>
          <w:bCs/>
          <w:sz w:val="24"/>
          <w:szCs w:val="24"/>
          <w:lang w:val="ro-RO"/>
        </w:rPr>
      </w:pPr>
      <w:r w:rsidRPr="002F5025">
        <w:rPr>
          <w:rFonts w:ascii="Arial" w:eastAsiaTheme="minorHAnsi" w:hAnsi="Arial" w:cs="Arial"/>
          <w:bCs/>
          <w:sz w:val="24"/>
          <w:szCs w:val="24"/>
          <w:lang w:val="ro-RO"/>
        </w:rPr>
        <w:t xml:space="preserve"> Ocrotirea şi ameliorarea biodiversităţii;</w:t>
      </w:r>
    </w:p>
    <w:p w:rsidR="002F5025" w:rsidRPr="002F5025" w:rsidRDefault="002F5025" w:rsidP="002F5025">
      <w:pPr>
        <w:autoSpaceDE w:val="0"/>
        <w:autoSpaceDN w:val="0"/>
        <w:adjustRightInd w:val="0"/>
        <w:spacing w:after="120" w:line="240" w:lineRule="auto"/>
        <w:rPr>
          <w:rFonts w:ascii="Arial" w:eastAsiaTheme="minorHAnsi" w:hAnsi="Arial" w:cs="Arial"/>
          <w:b/>
          <w:color w:val="000000"/>
          <w:sz w:val="24"/>
          <w:szCs w:val="24"/>
          <w:lang w:val="ro-RO"/>
        </w:rPr>
      </w:pPr>
      <w:r w:rsidRPr="002F5025">
        <w:rPr>
          <w:rFonts w:ascii="Arial" w:eastAsiaTheme="minorHAnsi" w:hAnsi="Arial" w:cs="Arial"/>
          <w:b/>
          <w:color w:val="000000"/>
          <w:sz w:val="24"/>
          <w:szCs w:val="24"/>
          <w:lang w:val="ro-RO"/>
        </w:rPr>
        <w:t>3. Planificarea forestieră</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Amenajarea fondului forestier naţional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Cadastrul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Evaluarea resurselor forestiere prin Inventarul Forestier Naţional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Sistemul informaţional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Criterii şi indicatori pentru gestionarea durabilă a pădurilor din România </w:t>
      </w:r>
    </w:p>
    <w:p w:rsidR="002F5025" w:rsidRPr="002F5025" w:rsidRDefault="002F5025" w:rsidP="002F5025">
      <w:pPr>
        <w:autoSpaceDE w:val="0"/>
        <w:autoSpaceDN w:val="0"/>
        <w:adjustRightInd w:val="0"/>
        <w:spacing w:after="120" w:line="240" w:lineRule="auto"/>
        <w:rPr>
          <w:rFonts w:ascii="Arial" w:eastAsiaTheme="minorHAnsi" w:hAnsi="Arial" w:cs="Arial"/>
          <w:sz w:val="24"/>
          <w:szCs w:val="24"/>
          <w:lang w:val="ro-RO"/>
        </w:rPr>
      </w:pPr>
      <w:r w:rsidRPr="002F5025">
        <w:rPr>
          <w:rFonts w:ascii="Arial" w:eastAsiaTheme="minorHAnsi" w:hAnsi="Arial" w:cs="Arial"/>
          <w:b/>
          <w:bCs/>
          <w:color w:val="000000"/>
          <w:sz w:val="24"/>
          <w:szCs w:val="24"/>
          <w:lang w:val="ro-RO"/>
        </w:rPr>
        <w:t xml:space="preserve"> 4. Piaţa produselor si serviciilor forestiere</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Valorificarea superioară a produselor forestiere;</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Ridicarea nivelului de înzestrare tehnică a agenţilor economici cu activitate de exploatare si procesare în domeniul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Actualizarea informaţiilor despre piaţa lemnului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Perfecţionarea sistemului de urmărire a trasabilităţii lemnului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Reglementarea compensaţiilor pentru serviciile ecosistemice </w:t>
      </w:r>
    </w:p>
    <w:p w:rsidR="002F5025" w:rsidRPr="002F5025" w:rsidRDefault="002F5025" w:rsidP="002F5025">
      <w:pPr>
        <w:autoSpaceDE w:val="0"/>
        <w:autoSpaceDN w:val="0"/>
        <w:adjustRightInd w:val="0"/>
        <w:spacing w:after="120" w:line="240" w:lineRule="auto"/>
        <w:rPr>
          <w:rFonts w:ascii="Arial" w:eastAsiaTheme="minorHAnsi" w:hAnsi="Arial" w:cs="Arial"/>
          <w:b/>
          <w:color w:val="000000"/>
          <w:sz w:val="24"/>
          <w:szCs w:val="24"/>
          <w:lang w:val="ro-RO"/>
        </w:rPr>
      </w:pPr>
      <w:r w:rsidRPr="002F5025">
        <w:rPr>
          <w:rFonts w:ascii="Arial" w:eastAsiaTheme="minorHAnsi" w:hAnsi="Arial" w:cs="Arial"/>
          <w:b/>
          <w:color w:val="000000"/>
          <w:sz w:val="24"/>
          <w:szCs w:val="24"/>
          <w:lang w:val="ro-RO"/>
        </w:rPr>
        <w:t>5. Dezvoltarea dialogului intersectorial şi a comunicării strategice în domeniul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Reducerea decalajului între percepţie şi realitate cu privire la domeniul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Dezvoltarea colaborării intersectoriale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lastRenderedPageBreak/>
        <w:t xml:space="preserve">Eficientizarea comunicării interne domeniul forestier </w:t>
      </w:r>
    </w:p>
    <w:p w:rsidR="002F5025" w:rsidRPr="002F5025" w:rsidRDefault="002F5025" w:rsidP="002F5025">
      <w:pPr>
        <w:autoSpaceDE w:val="0"/>
        <w:autoSpaceDN w:val="0"/>
        <w:adjustRightInd w:val="0"/>
        <w:spacing w:after="120" w:line="240" w:lineRule="auto"/>
        <w:rPr>
          <w:rFonts w:ascii="Arial" w:eastAsiaTheme="minorHAnsi" w:hAnsi="Arial" w:cs="Arial"/>
          <w:b/>
          <w:color w:val="000000"/>
          <w:sz w:val="24"/>
          <w:szCs w:val="24"/>
          <w:lang w:val="ro-RO"/>
        </w:rPr>
      </w:pPr>
      <w:r w:rsidRPr="002F5025">
        <w:rPr>
          <w:rFonts w:ascii="Arial" w:eastAsiaTheme="minorHAnsi" w:hAnsi="Arial" w:cs="Arial"/>
          <w:b/>
          <w:color w:val="000000"/>
          <w:sz w:val="24"/>
          <w:szCs w:val="24"/>
          <w:lang w:val="ro-RO"/>
        </w:rPr>
        <w:t xml:space="preserve">6. Dezvoltarea cercetării ştiinţifice şi a învăţământului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Consolidarea şi dezvoltarea cercetării ştiinţifice forestiere în cadrul instituţionalizat şi creşterea contribuţiei acesteia la dezvoltarea sectorului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Adaptarea învăţământului preuniversitar şi universitar de specialitate la cerinţele dezvoltării sectorului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 Creşterea competitivităţii sectorului forestier românesc prin cercetare şi învăţământ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Extinderea cooperării internaţionale</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Creşterea calităţii vieţii prin produsele şi serviciile oferite de sectorul forestier </w:t>
      </w:r>
    </w:p>
    <w:p w:rsidR="002F5025" w:rsidRPr="002F5025" w:rsidRDefault="002F5025" w:rsidP="000A5EAD">
      <w:pPr>
        <w:numPr>
          <w:ilvl w:val="0"/>
          <w:numId w:val="29"/>
        </w:numPr>
        <w:autoSpaceDE w:val="0"/>
        <w:autoSpaceDN w:val="0"/>
        <w:adjustRightInd w:val="0"/>
        <w:spacing w:after="120" w:line="240" w:lineRule="auto"/>
        <w:rPr>
          <w:rFonts w:ascii="Arial" w:eastAsia="SimSun" w:hAnsi="Arial" w:cs="Arial"/>
          <w:bCs/>
          <w:sz w:val="24"/>
          <w:szCs w:val="24"/>
          <w:lang w:val="ro-RO"/>
        </w:rPr>
      </w:pPr>
      <w:r w:rsidRPr="002F5025">
        <w:rPr>
          <w:rFonts w:ascii="Arial" w:eastAsia="SimSun" w:hAnsi="Arial" w:cs="Arial"/>
          <w:bCs/>
          <w:sz w:val="24"/>
          <w:szCs w:val="24"/>
          <w:lang w:val="ro-RO"/>
        </w:rPr>
        <w:t xml:space="preserve">Facilitarea formării continue a resursei umane din sectorul forestier </w:t>
      </w:r>
    </w:p>
    <w:p w:rsidR="002F5025" w:rsidRPr="002F5025" w:rsidRDefault="002F5025" w:rsidP="002F5025">
      <w:pPr>
        <w:autoSpaceDE w:val="0"/>
        <w:autoSpaceDN w:val="0"/>
        <w:adjustRightInd w:val="0"/>
        <w:spacing w:after="120" w:line="240" w:lineRule="auto"/>
        <w:jc w:val="both"/>
        <w:rPr>
          <w:rFonts w:ascii="Arial" w:eastAsiaTheme="minorHAnsi" w:hAnsi="Arial" w:cs="Arial"/>
          <w:color w:val="000000"/>
          <w:sz w:val="24"/>
          <w:szCs w:val="24"/>
          <w:lang w:val="ro-RO"/>
        </w:rPr>
      </w:pP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Deoarece la nivel global, deci inclusiv în ţara noastră, biodiversitatea este ameninţată de o serie de factori precum poluarea, schimbările climatice, reducerea continuă a suprafeţelor împădurite, extinderea spaţiului locuit în detrimentul cadrului natural, intensivizarea agriculturii, abandonul practicilor agricole extensive, etc., Programul Naţional de Dezvoltare Rurală pentru perioada 2014-2020 are în vedere creşterea durabilă care pune accent pe scăderea emisiilor de carbon şi sprijinirea practicilor agricole prietenoase cu mediul.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Pentru contracararea acestor ameninţări România va implementa măsuri de conservare a biodiversităţii pe terenuri agricole şi forestiere, de menţinere a practicilor agricole tradiţionale, extensive, bazate pe o utilizare redusă a inputurilor, de stimulare în vederea continuării activităţilor agricole în zonele care se confruntă cu constrângeri naturale sau cu alte constrângeri specifice, de sprijinire a agriculturii ecologice, precum şi de conservare a diversităţii genetice.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Protocolul încheiat în decembrie 2011 între Ministerul Mediului şi Pădurilor şi WWF- România prevede colaborarea în vederea identificării, cartării şi protecţiei </w:t>
      </w:r>
      <w:r w:rsidRPr="002F5025">
        <w:rPr>
          <w:rFonts w:ascii="Arial" w:eastAsiaTheme="minorHAnsi" w:hAnsi="Arial" w:cs="Arial"/>
          <w:b/>
          <w:sz w:val="24"/>
          <w:szCs w:val="24"/>
          <w:lang w:val="ro-RO"/>
        </w:rPr>
        <w:t>pădurilor virgine</w:t>
      </w:r>
      <w:r w:rsidRPr="002F5025">
        <w:rPr>
          <w:rFonts w:ascii="Arial" w:eastAsiaTheme="minorHAnsi" w:hAnsi="Arial" w:cs="Arial"/>
          <w:sz w:val="24"/>
          <w:szCs w:val="24"/>
          <w:lang w:val="ro-RO"/>
        </w:rPr>
        <w:t xml:space="preserve"> din România, aşa cum sunt ele definite de comun acord. Pentru soluţionarea problemei compensaţiilor acordate proprietarilor de păduri virgine pe termen mediu şi lung, Ministerul Mediului şi Schimbărilor Climatice şi WWF-România îşi propun să înainteze o propunere Comisiei Europene, cu privire la includerea pădurilor virgine în plăţile compensatorii pentru păduri în perioada de programare 2014 - 2020. Pe termen scurt, Ministerul Mediului şi WWF- România vor identifica mecanisme financiare alternative pentru compensarea proprietarilor de păduri virgine.</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Este cunoscut faptul ca pădurile /ecosistemele forestiere, îndeplinesc pe lângă un rol economic şi anumite funcţii ecologice, sociale şi culturale oferite prin valorile structurale şi funcţionale caracteristice. Acolo unde aceste valori sunt considerate a fi de o importanţă exceptională sau critică valabile într-un anumit context ecologic, social sau cultural, pădurea poate fi definită ca o </w:t>
      </w:r>
      <w:r w:rsidRPr="002F5025">
        <w:rPr>
          <w:rFonts w:ascii="Arial" w:eastAsiaTheme="minorHAnsi" w:hAnsi="Arial" w:cs="Arial"/>
          <w:b/>
          <w:sz w:val="24"/>
          <w:szCs w:val="24"/>
          <w:lang w:val="ro-RO"/>
        </w:rPr>
        <w:t>Pădure cu Valoare Ridicată de Conservare</w:t>
      </w:r>
      <w:r w:rsidRPr="002F5025">
        <w:rPr>
          <w:rFonts w:ascii="Arial" w:eastAsiaTheme="minorHAnsi" w:hAnsi="Arial" w:cs="Arial"/>
          <w:sz w:val="24"/>
          <w:szCs w:val="24"/>
          <w:lang w:val="ro-RO"/>
        </w:rPr>
        <w:t xml:space="preserve"> (PVRC). Procesul de certificare a PVRC-urilor este în plină desfăşurare la nivelul pădurilor din proprietatea statului român. </w:t>
      </w:r>
    </w:p>
    <w:p w:rsidR="002F5025" w:rsidRPr="002F5025" w:rsidRDefault="002F5025" w:rsidP="002F5025">
      <w:pPr>
        <w:spacing w:after="120" w:line="240" w:lineRule="auto"/>
        <w:jc w:val="both"/>
        <w:rPr>
          <w:rFonts w:ascii="Arial" w:eastAsiaTheme="minorHAnsi" w:hAnsi="Arial" w:cs="Arial"/>
          <w:sz w:val="24"/>
          <w:szCs w:val="24"/>
          <w:lang w:val="ro-RO"/>
        </w:rPr>
      </w:pPr>
      <w:r w:rsidRPr="002F5025">
        <w:rPr>
          <w:rFonts w:ascii="Arial" w:eastAsiaTheme="minorHAnsi" w:hAnsi="Arial" w:cs="Arial"/>
          <w:sz w:val="24"/>
          <w:szCs w:val="24"/>
          <w:lang w:val="ro-RO"/>
        </w:rPr>
        <w:t xml:space="preserve">La nivelul judeţului Buzău, Direcţia Silvică Buzău a obţinut în anul 2013 certificarea FSC pentru o suprafaţă de 67.695 ha din total fond forestier administrat 68.713 ha. </w:t>
      </w:r>
    </w:p>
    <w:p w:rsidR="002F5025" w:rsidRPr="002F5025" w:rsidRDefault="002F5025" w:rsidP="002F5025">
      <w:pPr>
        <w:spacing w:after="120" w:line="240" w:lineRule="auto"/>
        <w:rPr>
          <w:rFonts w:ascii="Arial" w:eastAsiaTheme="minorHAnsi" w:hAnsi="Arial" w:cs="Arial"/>
          <w:sz w:val="24"/>
          <w:szCs w:val="24"/>
          <w:lang w:val="ro-RO"/>
        </w:rPr>
      </w:pPr>
    </w:p>
    <w:p w:rsidR="002F5025" w:rsidRPr="002F5025" w:rsidRDefault="002F5025" w:rsidP="002F5025">
      <w:pPr>
        <w:spacing w:after="120" w:line="240" w:lineRule="auto"/>
        <w:rPr>
          <w:rFonts w:ascii="Arial" w:eastAsiaTheme="minorHAnsi" w:hAnsi="Arial" w:cs="Arial"/>
          <w:sz w:val="24"/>
          <w:szCs w:val="24"/>
          <w:lang w:val="ro-RO"/>
        </w:rPr>
      </w:pPr>
    </w:p>
    <w:p w:rsidR="002F5025" w:rsidRPr="002F5025" w:rsidRDefault="002F5025" w:rsidP="002F5025">
      <w:pPr>
        <w:spacing w:after="120" w:line="240" w:lineRule="auto"/>
        <w:rPr>
          <w:rFonts w:ascii="Arial" w:eastAsiaTheme="minorHAnsi" w:hAnsi="Arial" w:cs="Arial"/>
          <w:sz w:val="24"/>
          <w:szCs w:val="24"/>
          <w:lang w:val="ro-RO"/>
        </w:rPr>
      </w:pPr>
      <w:r w:rsidRPr="002F5025">
        <w:rPr>
          <w:rFonts w:asciiTheme="minorHAnsi" w:eastAsiaTheme="minorHAnsi" w:hAnsiTheme="minorHAnsi" w:cstheme="minorBidi"/>
          <w:lang w:val="ro-RO"/>
        </w:rPr>
        <w:t xml:space="preserve"> </w:t>
      </w:r>
    </w:p>
    <w:p w:rsidR="00A42550" w:rsidRDefault="00A42550" w:rsidP="00232324">
      <w:pPr>
        <w:spacing w:before="120" w:line="60" w:lineRule="atLeast"/>
        <w:jc w:val="center"/>
        <w:outlineLvl w:val="0"/>
        <w:rPr>
          <w:rFonts w:ascii="Times New Roman" w:hAnsi="Times New Roman"/>
          <w:b/>
          <w:sz w:val="28"/>
          <w:szCs w:val="28"/>
          <w:lang w:val="ro-RO"/>
        </w:rPr>
        <w:sectPr w:rsidR="00A42550" w:rsidSect="00A42550">
          <w:pgSz w:w="11907" w:h="16839" w:code="9"/>
          <w:pgMar w:top="851" w:right="851" w:bottom="851" w:left="1418" w:header="0" w:footer="0" w:gutter="0"/>
          <w:cols w:space="720"/>
          <w:docGrid w:linePitch="360"/>
        </w:sectPr>
      </w:pPr>
    </w:p>
    <w:p w:rsidR="00A42550" w:rsidRPr="00A42550" w:rsidRDefault="00A42550" w:rsidP="00A42550">
      <w:pPr>
        <w:spacing w:after="0" w:line="240" w:lineRule="auto"/>
        <w:rPr>
          <w:rFonts w:ascii="Arial" w:eastAsia="Times New Roman" w:hAnsi="Arial" w:cs="Arial"/>
          <w:b/>
          <w:sz w:val="24"/>
          <w:szCs w:val="24"/>
          <w:lang w:val="ro-RO"/>
        </w:rPr>
      </w:pPr>
      <w:r w:rsidRPr="00A42550">
        <w:rPr>
          <w:rFonts w:ascii="Arial" w:eastAsia="Times New Roman" w:hAnsi="Arial" w:cs="Arial"/>
          <w:b/>
          <w:sz w:val="24"/>
          <w:szCs w:val="24"/>
        </w:rPr>
        <w:lastRenderedPageBreak/>
        <w:t xml:space="preserve">VII. RESURSELE MATERIALE </w:t>
      </w:r>
      <w:r w:rsidRPr="00A42550">
        <w:rPr>
          <w:rFonts w:ascii="Arial" w:eastAsia="Times New Roman" w:hAnsi="Arial" w:cs="Arial"/>
          <w:b/>
          <w:sz w:val="24"/>
          <w:szCs w:val="24"/>
          <w:lang w:val="ro-RO"/>
        </w:rPr>
        <w:t>ŞI DEŞEURILE</w:t>
      </w:r>
    </w:p>
    <w:p w:rsidR="00A42550" w:rsidRPr="00A42550" w:rsidRDefault="00A42550" w:rsidP="00A42550">
      <w:pPr>
        <w:spacing w:after="0" w:line="240" w:lineRule="auto"/>
        <w:rPr>
          <w:rFonts w:ascii="Arial" w:eastAsia="Times New Roman" w:hAnsi="Arial" w:cs="Arial"/>
          <w:b/>
          <w:sz w:val="24"/>
          <w:szCs w:val="24"/>
          <w:lang w:val="ro-RO"/>
        </w:rPr>
      </w:pPr>
    </w:p>
    <w:p w:rsidR="00A42550" w:rsidRPr="00A42550" w:rsidRDefault="00A42550" w:rsidP="00A42550">
      <w:pPr>
        <w:spacing w:after="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VII.1. Generarea şi gestionarea deşeurilor: tendinţe, impacturi şi prognoze</w:t>
      </w:r>
    </w:p>
    <w:p w:rsidR="00A42550" w:rsidRPr="00A42550" w:rsidRDefault="00A42550" w:rsidP="00A42550">
      <w:pPr>
        <w:spacing w:after="0" w:line="240" w:lineRule="auto"/>
        <w:rPr>
          <w:rFonts w:ascii="Arial" w:eastAsia="Times New Roman" w:hAnsi="Arial" w:cs="Arial"/>
          <w:b/>
          <w:sz w:val="24"/>
          <w:szCs w:val="24"/>
          <w:lang w:val="ro-RO"/>
        </w:rPr>
      </w:pPr>
    </w:p>
    <w:p w:rsidR="00A42550" w:rsidRPr="00A42550" w:rsidRDefault="00A42550" w:rsidP="00A42550">
      <w:pPr>
        <w:spacing w:after="0" w:line="240" w:lineRule="auto"/>
        <w:rPr>
          <w:rFonts w:ascii="Arial" w:eastAsia="Times New Roman" w:hAnsi="Arial" w:cs="Arial"/>
          <w:b/>
          <w:i/>
          <w:sz w:val="24"/>
          <w:szCs w:val="24"/>
          <w:lang w:val="ro-RO"/>
        </w:rPr>
      </w:pPr>
      <w:r w:rsidRPr="00A42550">
        <w:rPr>
          <w:rFonts w:ascii="Arial" w:eastAsia="Times New Roman" w:hAnsi="Arial" w:cs="Arial"/>
          <w:b/>
          <w:i/>
          <w:sz w:val="24"/>
          <w:szCs w:val="24"/>
          <w:lang w:val="ro-RO"/>
        </w:rPr>
        <w:t>VII.1.1. Generarea şi gestionarea deşeurilor municipale</w:t>
      </w:r>
    </w:p>
    <w:p w:rsidR="00A42550" w:rsidRPr="00A42550" w:rsidRDefault="00A42550" w:rsidP="00A42550">
      <w:pPr>
        <w:spacing w:after="0" w:line="240" w:lineRule="auto"/>
        <w:rPr>
          <w:rFonts w:ascii="Arial" w:eastAsia="Times New Roman" w:hAnsi="Arial" w:cs="Arial"/>
          <w:b/>
          <w:i/>
          <w:sz w:val="24"/>
          <w:szCs w:val="24"/>
          <w:lang w:val="ro-RO"/>
        </w:rPr>
      </w:pPr>
    </w:p>
    <w:p w:rsidR="00A42550" w:rsidRPr="00A42550" w:rsidRDefault="00A42550" w:rsidP="00A42550">
      <w:pPr>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În conformitate cu prevederile Strategiei Naţionale de Gestionare a Deşeurilor 2014-2020, “deşeurile municipale sunt reprezentate de totalitatea deşeurilor menajere şi similare acestora generate în mediul urban şi rural din gospodării, instituţii, unităţi comerciale şi de la operatori economici, deşeuri stradale colectate din spaţii publice, străzi, parcuri, spaţii verzi, la care se adaugă şi deşeuri din construcţii şi demolări rezultate din amenajări interioare ale locuinţelor colectate de operatorii de salubritate”.</w:t>
      </w:r>
    </w:p>
    <w:tbl>
      <w:tblPr>
        <w:tblW w:w="0" w:type="auto"/>
        <w:tblBorders>
          <w:top w:val="nil"/>
          <w:left w:val="nil"/>
          <w:bottom w:val="nil"/>
          <w:right w:val="nil"/>
        </w:tblBorders>
        <w:tblLayout w:type="fixed"/>
        <w:tblLook w:val="0000"/>
      </w:tblPr>
      <w:tblGrid>
        <w:gridCol w:w="9674"/>
      </w:tblGrid>
      <w:tr w:rsidR="00A42550" w:rsidRPr="00A42550" w:rsidTr="00A42550">
        <w:trPr>
          <w:trHeight w:val="1227"/>
        </w:trPr>
        <w:tc>
          <w:tcPr>
            <w:tcW w:w="9674" w:type="dxa"/>
          </w:tcPr>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 xml:space="preserve">Deşeurile reprezintă o pierdere uriaşă de resurse sub formă de materiale şi energie. Cantitatea deşeurilor generate poate fi privită ca un indicator a cât de eficienţi suntem noi ca societate, în special cu privire la utilizarea resurselor naturale şi la operaţiile de tratare a deşeurilor.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 xml:space="preserve">Deşeurile municipale sunt în prezent cel mai bun indicator disponibil pentru descrierea dezvoltării generale a generării şi tratării deşeurilor în România. Aceasta deoarece România dispune de o bază de date privind deşeurile municipale.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 xml:space="preserve">La nivelul anului 2012, cea mai mare parte din cantitatea de deşeuri municipale (exclusiv deşeurile din construcţii şi demolări), colectată de operatorii de salubrizare, a fost eliminată prin depozitare, ratele de reciclare şi valorificare a acestor tipuri de deşeuri fiind încă foarte reduse. Deşeurile municipale conţin multe materiale pentru care reciclarea este benefică mediului. </w:t>
            </w:r>
          </w:p>
        </w:tc>
      </w:tr>
    </w:tbl>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Deşeurile municipale şi asimilabile reprezintă totalitatea deşeurilor generate, în mediul urban şi în mediul rural, din gospodării, instituţii, unităţi comerciale şi prestatoare de servicii (deşeuri menajere), deşeuri stradale colectate din spaţii publice, străzi, parcuri, spaţii verzi, deşeuri din construcţii şi demolări, nămoluri de la epurarea apelor uzate orăşeneşti.</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 xml:space="preserve">Pentru anul 2012, conform datelor completate în baza de date SIM - Statistica deşeurilor  de către agenţii de salubritate, a fost colectată o cantitate de 100239,437  tone de deşeuri, atât de la populaţie şi agenţi economici, cât şi din serviciile publice. Faţă de evoluţia din anii anteriori, se observă că în anul 2012, cantitatea de deşeuri municipale colectată a fost aproximativ similară celei din 2011, dar mai mică decât în 2009 şi 2010, diferenţa provenind din cantitatea  mai mare de deşeuri din construcţii şi demolări colectată în cei 2 ani.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Din datele avute la dispoziţie, rezultă că în anul 2012  procentul populaţiei urbane care a beneficiat de servicii de salubritate, a fost de 61,18% iar cel al populaţiei rurale de 51,88%.</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 xml:space="preserve">De asemenea, ţinând cont de aceste procente şi de faptul că în zonele rurale nu prea există servicii specializate pentru colectarea şi transportul deşeurilor menajere, se poate estima cantitatea de deşeuri menajere necolectate în anul 2012 şi anume 44628,726 tone. Pentru calculul acestor cantităţi de deşeuri generate şi necolectate s-au folosit următorii indicatori de generare: 0,9 kg/loc/zi în mediul urban şi 0,4 kg/loc/zi în mediul rural.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 xml:space="preserve">Faţă de cantitatea de deşeuri municipale generată în anul 2011, în 2012 aceasta a înregistrat o scădere de aproximativ 4,6%. Pe fondul crizei economice, consumul mai redus a dus la generarea unei cantităţi mai mici de deşeuri atât de la populaţie cât şi din sectorul economic.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Din cantitatea totală de deşeuri municipale colectată în anul 2012, 76,3% este reprezentată de deşeurile menajere şi asimilabile.</w:t>
      </w: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lang w:val="ro-RO"/>
        </w:rPr>
      </w:pPr>
      <w:r w:rsidRPr="00A42550">
        <w:rPr>
          <w:rFonts w:ascii="Arial" w:eastAsia="Times New Roman" w:hAnsi="Arial" w:cs="Arial"/>
          <w:i/>
          <w:sz w:val="24"/>
          <w:lang w:val="ro-RO"/>
        </w:rPr>
        <w:t>Tabel VII.1.1.1. Cantităţi de deşeuri generate în perioada 2008-2012</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73"/>
        <w:gridCol w:w="1281"/>
        <w:gridCol w:w="1273"/>
        <w:gridCol w:w="1279"/>
        <w:gridCol w:w="1381"/>
      </w:tblGrid>
      <w:tr w:rsidR="00A42550" w:rsidRPr="00A42550" w:rsidTr="00A42550">
        <w:tc>
          <w:tcPr>
            <w:tcW w:w="2410"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Deşeuri municipale</w:t>
            </w:r>
          </w:p>
        </w:tc>
        <w:tc>
          <w:tcPr>
            <w:tcW w:w="1273"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2008</w:t>
            </w:r>
          </w:p>
        </w:tc>
        <w:tc>
          <w:tcPr>
            <w:tcW w:w="1281"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2009</w:t>
            </w:r>
          </w:p>
        </w:tc>
        <w:tc>
          <w:tcPr>
            <w:tcW w:w="1273"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2010</w:t>
            </w:r>
          </w:p>
        </w:tc>
        <w:tc>
          <w:tcPr>
            <w:tcW w:w="1279"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2011</w:t>
            </w:r>
          </w:p>
        </w:tc>
        <w:tc>
          <w:tcPr>
            <w:tcW w:w="1381"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2012</w:t>
            </w:r>
          </w:p>
        </w:tc>
      </w:tr>
      <w:tr w:rsidR="00A42550" w:rsidRPr="00A42550" w:rsidTr="00A42550">
        <w:tc>
          <w:tcPr>
            <w:tcW w:w="2410" w:type="dxa"/>
          </w:tcPr>
          <w:p w:rsidR="00A42550" w:rsidRPr="00A42550" w:rsidRDefault="00A42550" w:rsidP="000A5EAD">
            <w:pPr>
              <w:numPr>
                <w:ilvl w:val="0"/>
                <w:numId w:val="13"/>
              </w:numPr>
              <w:tabs>
                <w:tab w:val="left" w:pos="318"/>
              </w:tabs>
              <w:spacing w:after="120" w:line="240" w:lineRule="auto"/>
              <w:ind w:left="34" w:firstLine="0"/>
              <w:rPr>
                <w:rFonts w:ascii="Arial" w:eastAsia="Times New Roman" w:hAnsi="Arial" w:cs="Arial"/>
                <w:sz w:val="20"/>
                <w:szCs w:val="20"/>
                <w:lang w:val="ro-RO"/>
              </w:rPr>
            </w:pPr>
            <w:r w:rsidRPr="00A42550">
              <w:rPr>
                <w:rFonts w:ascii="Arial" w:eastAsia="Times New Roman" w:hAnsi="Arial" w:cs="Arial"/>
                <w:sz w:val="20"/>
                <w:szCs w:val="20"/>
                <w:lang w:val="ro-RO"/>
              </w:rPr>
              <w:t>Deşeuri menajere şi asimilabile colectate de operatorii de salubritate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80738,95</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88931,943</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89968,855</w:t>
            </w:r>
          </w:p>
        </w:tc>
        <w:tc>
          <w:tcPr>
            <w:tcW w:w="1279" w:type="dxa"/>
            <w:vAlign w:val="center"/>
          </w:tcPr>
          <w:p w:rsidR="00A42550" w:rsidRPr="00A42550" w:rsidRDefault="00A42550" w:rsidP="00A42550">
            <w:pPr>
              <w:tabs>
                <w:tab w:val="left" w:pos="807"/>
              </w:tabs>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88694,859</w:t>
            </w:r>
          </w:p>
        </w:tc>
        <w:tc>
          <w:tcPr>
            <w:tcW w:w="1381" w:type="dxa"/>
            <w:vAlign w:val="center"/>
          </w:tcPr>
          <w:p w:rsidR="00A42550" w:rsidRPr="00A42550" w:rsidRDefault="00A42550" w:rsidP="00A42550">
            <w:pPr>
              <w:tabs>
                <w:tab w:val="left" w:pos="807"/>
              </w:tabs>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76496,957</w:t>
            </w:r>
          </w:p>
        </w:tc>
      </w:tr>
      <w:tr w:rsidR="00A42550" w:rsidRPr="00A42550" w:rsidTr="00A42550">
        <w:tc>
          <w:tcPr>
            <w:tcW w:w="2410" w:type="dxa"/>
          </w:tcPr>
          <w:p w:rsidR="00A42550" w:rsidRPr="00A42550" w:rsidRDefault="00A42550" w:rsidP="00A42550">
            <w:pPr>
              <w:spacing w:after="120" w:line="240" w:lineRule="auto"/>
              <w:jc w:val="both"/>
              <w:rPr>
                <w:rFonts w:ascii="Arial" w:eastAsia="Times New Roman" w:hAnsi="Arial" w:cs="Arial"/>
                <w:sz w:val="20"/>
                <w:szCs w:val="20"/>
                <w:lang w:val="ro-RO"/>
              </w:rPr>
            </w:pPr>
            <w:r w:rsidRPr="00A42550">
              <w:rPr>
                <w:rFonts w:ascii="Arial" w:eastAsia="Times New Roman" w:hAnsi="Arial" w:cs="Arial"/>
                <w:sz w:val="20"/>
                <w:szCs w:val="20"/>
                <w:lang w:val="ro-RO"/>
              </w:rPr>
              <w:t>1.1. în amestec</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79269,41</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87733,95</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89125,090</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88589,99</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76416,11</w:t>
            </w:r>
          </w:p>
        </w:tc>
      </w:tr>
      <w:tr w:rsidR="00A42550" w:rsidRPr="00A42550" w:rsidTr="00A42550">
        <w:tc>
          <w:tcPr>
            <w:tcW w:w="2410" w:type="dxa"/>
          </w:tcPr>
          <w:p w:rsidR="00A42550" w:rsidRPr="00A42550" w:rsidRDefault="00A42550" w:rsidP="00A42550">
            <w:pPr>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1.2.selectiv</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1469,54</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1197,993</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843,765</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104,869</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80,847</w:t>
            </w:r>
          </w:p>
        </w:tc>
      </w:tr>
      <w:tr w:rsidR="00A42550" w:rsidRPr="00A42550" w:rsidTr="00A42550">
        <w:tc>
          <w:tcPr>
            <w:tcW w:w="2410" w:type="dxa"/>
          </w:tcPr>
          <w:p w:rsidR="00A42550" w:rsidRPr="00A42550" w:rsidRDefault="00A42550" w:rsidP="000A5EAD">
            <w:pPr>
              <w:numPr>
                <w:ilvl w:val="0"/>
                <w:numId w:val="13"/>
              </w:numPr>
              <w:tabs>
                <w:tab w:val="left" w:pos="318"/>
              </w:tabs>
              <w:spacing w:after="120" w:line="240" w:lineRule="auto"/>
              <w:ind w:left="34" w:firstLine="0"/>
              <w:rPr>
                <w:rFonts w:ascii="Arial" w:eastAsia="Times New Roman" w:hAnsi="Arial" w:cs="Arial"/>
                <w:sz w:val="20"/>
                <w:szCs w:val="20"/>
                <w:lang w:val="ro-RO"/>
              </w:rPr>
            </w:pPr>
            <w:r w:rsidRPr="00A42550">
              <w:rPr>
                <w:rFonts w:ascii="Arial" w:eastAsia="Times New Roman" w:hAnsi="Arial" w:cs="Arial"/>
                <w:sz w:val="20"/>
                <w:szCs w:val="20"/>
                <w:lang w:val="ro-RO"/>
              </w:rPr>
              <w:t>Deşeuri din servicii municipale (stradale, pieţe, grădini, parcuri şi spaţii verzi)</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50993,5</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57659</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52262</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26778,03</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19830,27</w:t>
            </w:r>
          </w:p>
        </w:tc>
      </w:tr>
      <w:tr w:rsidR="00A42550" w:rsidRPr="00A42550" w:rsidTr="00A42550">
        <w:tc>
          <w:tcPr>
            <w:tcW w:w="2410" w:type="dxa"/>
          </w:tcPr>
          <w:p w:rsidR="00A42550" w:rsidRPr="00A42550" w:rsidRDefault="00A42550" w:rsidP="000A5EAD">
            <w:pPr>
              <w:numPr>
                <w:ilvl w:val="0"/>
                <w:numId w:val="13"/>
              </w:numPr>
              <w:tabs>
                <w:tab w:val="left" w:pos="318"/>
              </w:tabs>
              <w:spacing w:after="120" w:line="240" w:lineRule="auto"/>
              <w:ind w:left="34" w:firstLine="0"/>
              <w:rPr>
                <w:rFonts w:ascii="Arial" w:eastAsia="Times New Roman" w:hAnsi="Arial" w:cs="Arial"/>
                <w:sz w:val="20"/>
                <w:szCs w:val="20"/>
                <w:lang w:val="ro-RO"/>
              </w:rPr>
            </w:pPr>
            <w:r w:rsidRPr="00A42550">
              <w:rPr>
                <w:rFonts w:ascii="Arial" w:eastAsia="Times New Roman" w:hAnsi="Arial" w:cs="Arial"/>
                <w:sz w:val="20"/>
                <w:szCs w:val="20"/>
                <w:lang w:val="ro-RO"/>
              </w:rPr>
              <w:t>Deşeuri din construcţii şi demolări</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0</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98790,25</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6688,79</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3274,15</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3912,21</w:t>
            </w:r>
          </w:p>
        </w:tc>
      </w:tr>
      <w:tr w:rsidR="00A42550" w:rsidRPr="00A42550" w:rsidTr="00A42550">
        <w:tc>
          <w:tcPr>
            <w:tcW w:w="2410" w:type="dxa"/>
          </w:tcPr>
          <w:p w:rsidR="00A42550" w:rsidRPr="00A42550" w:rsidRDefault="00A42550" w:rsidP="000A5EAD">
            <w:pPr>
              <w:numPr>
                <w:ilvl w:val="0"/>
                <w:numId w:val="13"/>
              </w:numPr>
              <w:tabs>
                <w:tab w:val="left" w:pos="318"/>
              </w:tabs>
              <w:spacing w:after="120" w:line="240" w:lineRule="auto"/>
              <w:ind w:left="34" w:firstLine="0"/>
              <w:rPr>
                <w:rFonts w:ascii="Arial" w:eastAsia="Times New Roman" w:hAnsi="Arial" w:cs="Arial"/>
                <w:sz w:val="20"/>
                <w:szCs w:val="20"/>
                <w:lang w:val="ro-RO"/>
              </w:rPr>
            </w:pPr>
            <w:r w:rsidRPr="00A42550">
              <w:rPr>
                <w:rFonts w:ascii="Arial" w:eastAsia="Times New Roman" w:hAnsi="Arial" w:cs="Arial"/>
                <w:sz w:val="20"/>
                <w:szCs w:val="20"/>
                <w:lang w:val="ro-RO"/>
              </w:rPr>
              <w:t>Total deşeuri municipale colectate (4=1+2+3)</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131732,45</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245381,193</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148919,645</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118747,039</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100239,437</w:t>
            </w:r>
          </w:p>
        </w:tc>
      </w:tr>
      <w:tr w:rsidR="00A42550" w:rsidRPr="00A42550" w:rsidTr="00A42550">
        <w:tc>
          <w:tcPr>
            <w:tcW w:w="2410" w:type="dxa"/>
          </w:tcPr>
          <w:p w:rsidR="00A42550" w:rsidRPr="00A42550" w:rsidRDefault="00A42550" w:rsidP="000A5EAD">
            <w:pPr>
              <w:numPr>
                <w:ilvl w:val="0"/>
                <w:numId w:val="13"/>
              </w:numPr>
              <w:tabs>
                <w:tab w:val="left" w:pos="318"/>
              </w:tabs>
              <w:spacing w:after="120" w:line="240" w:lineRule="auto"/>
              <w:ind w:left="34" w:firstLine="0"/>
              <w:rPr>
                <w:rFonts w:ascii="Arial" w:eastAsia="Times New Roman" w:hAnsi="Arial" w:cs="Arial"/>
                <w:sz w:val="20"/>
                <w:szCs w:val="20"/>
                <w:lang w:val="ro-RO"/>
              </w:rPr>
            </w:pPr>
            <w:r w:rsidRPr="00A42550">
              <w:rPr>
                <w:rFonts w:ascii="Arial" w:eastAsia="Times New Roman" w:hAnsi="Arial" w:cs="Arial"/>
                <w:sz w:val="20"/>
                <w:szCs w:val="20"/>
                <w:lang w:val="ro-RO"/>
              </w:rPr>
              <w:t>Deşeuri menajere generate şi necolectate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68629,636</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58221,694</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54687,037</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33038,376</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44628,726</w:t>
            </w:r>
          </w:p>
        </w:tc>
      </w:tr>
      <w:tr w:rsidR="00A42550" w:rsidRPr="00A42550" w:rsidTr="00A42550">
        <w:tc>
          <w:tcPr>
            <w:tcW w:w="2410" w:type="dxa"/>
          </w:tcPr>
          <w:p w:rsidR="00A42550" w:rsidRPr="00A42550" w:rsidRDefault="00A42550" w:rsidP="000A5EAD">
            <w:pPr>
              <w:numPr>
                <w:ilvl w:val="0"/>
                <w:numId w:val="13"/>
              </w:numPr>
              <w:tabs>
                <w:tab w:val="left" w:pos="318"/>
              </w:tabs>
              <w:spacing w:after="120" w:line="240" w:lineRule="auto"/>
              <w:ind w:left="34" w:firstLine="0"/>
              <w:rPr>
                <w:rFonts w:ascii="Arial" w:eastAsia="Times New Roman" w:hAnsi="Arial" w:cs="Arial"/>
                <w:sz w:val="20"/>
                <w:szCs w:val="20"/>
                <w:lang w:val="ro-RO"/>
              </w:rPr>
            </w:pPr>
            <w:r w:rsidRPr="00A42550">
              <w:rPr>
                <w:rFonts w:ascii="Arial" w:eastAsia="Times New Roman" w:hAnsi="Arial" w:cs="Arial"/>
                <w:sz w:val="20"/>
                <w:szCs w:val="20"/>
                <w:lang w:val="ro-RO"/>
              </w:rPr>
              <w:t>Total deşeuri municipale generate</w:t>
            </w:r>
          </w:p>
          <w:p w:rsidR="00A42550" w:rsidRPr="00A42550" w:rsidRDefault="00A42550" w:rsidP="00A42550">
            <w:pPr>
              <w:tabs>
                <w:tab w:val="left" w:pos="318"/>
              </w:tabs>
              <w:spacing w:after="120" w:line="240" w:lineRule="auto"/>
              <w:ind w:left="34"/>
              <w:jc w:val="both"/>
              <w:rPr>
                <w:rFonts w:ascii="Arial" w:eastAsia="Times New Roman" w:hAnsi="Arial" w:cs="Arial"/>
                <w:sz w:val="20"/>
                <w:szCs w:val="20"/>
                <w:lang w:val="ro-RO"/>
              </w:rPr>
            </w:pPr>
            <w:r w:rsidRPr="00A42550">
              <w:rPr>
                <w:rFonts w:ascii="Arial" w:eastAsia="Times New Roman" w:hAnsi="Arial" w:cs="Arial"/>
                <w:sz w:val="20"/>
                <w:szCs w:val="20"/>
                <w:lang w:val="ro-RO"/>
              </w:rPr>
              <w:t>(6=4+5)</w:t>
            </w:r>
          </w:p>
        </w:tc>
        <w:tc>
          <w:tcPr>
            <w:tcW w:w="1273" w:type="dxa"/>
            <w:vAlign w:val="center"/>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200362,086</w:t>
            </w:r>
          </w:p>
        </w:tc>
        <w:tc>
          <w:tcPr>
            <w:tcW w:w="1281"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303602,887</w:t>
            </w:r>
          </w:p>
        </w:tc>
        <w:tc>
          <w:tcPr>
            <w:tcW w:w="1273"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203606,682</w:t>
            </w:r>
          </w:p>
        </w:tc>
        <w:tc>
          <w:tcPr>
            <w:tcW w:w="1279"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151785,415</w:t>
            </w:r>
          </w:p>
        </w:tc>
        <w:tc>
          <w:tcPr>
            <w:tcW w:w="1381" w:type="dxa"/>
            <w:vAlign w:val="center"/>
          </w:tcPr>
          <w:p w:rsidR="00A42550" w:rsidRPr="00A42550" w:rsidRDefault="00A42550" w:rsidP="00A42550">
            <w:pPr>
              <w:spacing w:after="120" w:line="240" w:lineRule="auto"/>
              <w:jc w:val="center"/>
              <w:rPr>
                <w:rFonts w:ascii="Arial" w:eastAsia="Times New Roman" w:hAnsi="Arial" w:cs="Arial"/>
                <w:b/>
                <w:bCs/>
                <w:sz w:val="20"/>
                <w:szCs w:val="20"/>
                <w:lang w:val="ro-RO"/>
              </w:rPr>
            </w:pPr>
            <w:r w:rsidRPr="00A42550">
              <w:rPr>
                <w:rFonts w:ascii="Arial" w:eastAsia="Times New Roman" w:hAnsi="Arial" w:cs="Arial"/>
                <w:b/>
                <w:bCs/>
                <w:sz w:val="20"/>
                <w:szCs w:val="20"/>
                <w:lang w:val="ro-RO"/>
              </w:rPr>
              <w:t>144868,163</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before="120" w:after="120" w:line="240" w:lineRule="auto"/>
        <w:jc w:val="both"/>
        <w:rPr>
          <w:rFonts w:ascii="Arial" w:eastAsia="Times New Roman" w:hAnsi="Arial" w:cs="Arial"/>
          <w:sz w:val="24"/>
          <w:szCs w:val="24"/>
          <w:lang w:val="ro-RO"/>
        </w:rPr>
      </w:pPr>
      <w:r w:rsidRPr="00A42550">
        <w:rPr>
          <w:rFonts w:ascii="Arial" w:eastAsia="Times New Roman" w:hAnsi="Arial" w:cs="Arial"/>
          <w:sz w:val="24"/>
          <w:lang w:val="ro-RO"/>
        </w:rPr>
        <w:t>Obs: Deşeurile din construcţii şi demolări reprezinta cantităţile colectate de serviciile de salubritate, deşeurile primite în depozitul de deşeuri nepericuloase Galbinaşi de la diverşi operatori economici şi deşeurile colectate de SC URBIS SA Buzau - serviciu în cadrul Primăriei municipiului Buzău.</w:t>
      </w:r>
      <w:r w:rsidRPr="00A42550">
        <w:rPr>
          <w:rFonts w:ascii="Arial" w:eastAsia="Times New Roman" w:hAnsi="Arial" w:cs="Arial"/>
          <w:sz w:val="24"/>
          <w:szCs w:val="24"/>
          <w:lang w:val="ro-RO"/>
        </w:rPr>
        <w:t xml:space="preserve"> În ceea ce priveşte valorificarea deşeurilor din construcţii şi demolări, aceasta se realizează prin folosirea lor ca materiale de umplere (pentru aducerea la cote a terenurilor destinate construirii de obiective) sau ca straturi de acoperire în depozitul conform de deşeuri nepericuloase de la Gălbinaşi.</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lang w:val="ro-RO"/>
        </w:rPr>
        <w:t>Figura VII.1.1.1. Cantităţi de deşeuri generate/colectate în perioada 2008-2012</w:t>
      </w:r>
    </w:p>
    <w:p w:rsidR="00A42550" w:rsidRPr="00A42550" w:rsidRDefault="00A42550" w:rsidP="00A42550">
      <w:pPr>
        <w:spacing w:after="0" w:line="240" w:lineRule="auto"/>
        <w:rPr>
          <w:rFonts w:ascii="Arial" w:eastAsia="Times New Roman" w:hAnsi="Arial" w:cs="Arial"/>
          <w:sz w:val="24"/>
          <w:szCs w:val="24"/>
          <w:lang w:val="ro-RO"/>
        </w:rPr>
      </w:pPr>
      <w:r w:rsidRPr="00A42550">
        <w:rPr>
          <w:rFonts w:ascii="Arial" w:eastAsia="Times New Roman" w:hAnsi="Arial" w:cs="Arial"/>
          <w:noProof/>
          <w:sz w:val="24"/>
          <w:szCs w:val="24"/>
          <w:lang w:val="ro-RO" w:eastAsia="ro-RO"/>
        </w:rPr>
        <w:drawing>
          <wp:anchor distT="0" distB="0" distL="114300" distR="114300" simplePos="0" relativeHeight="251664384" behindDoc="0" locked="0" layoutInCell="1" allowOverlap="1">
            <wp:simplePos x="0" y="0"/>
            <wp:positionH relativeFrom="column">
              <wp:posOffset>-24130</wp:posOffset>
            </wp:positionH>
            <wp:positionV relativeFrom="paragraph">
              <wp:posOffset>95885</wp:posOffset>
            </wp:positionV>
            <wp:extent cx="5029200" cy="2495550"/>
            <wp:effectExtent l="19050" t="0" r="0" b="0"/>
            <wp:wrapSquare wrapText="bothSides"/>
            <wp:docPr id="14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anchor>
        </w:drawing>
      </w: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p>
    <w:p w:rsidR="00A42550" w:rsidRPr="00A42550" w:rsidRDefault="00A42550" w:rsidP="00A42550">
      <w:pPr>
        <w:spacing w:after="0" w:line="240" w:lineRule="auto"/>
        <w:jc w:val="both"/>
        <w:rPr>
          <w:rFonts w:ascii="Arial" w:eastAsia="Times New Roman" w:hAnsi="Arial" w:cs="Arial"/>
          <w:i/>
          <w:sz w:val="20"/>
          <w:szCs w:val="20"/>
          <w:lang w:val="ro-RO"/>
        </w:rPr>
      </w:pPr>
      <w:r w:rsidRPr="00A42550">
        <w:rPr>
          <w:rFonts w:ascii="Arial" w:eastAsia="Times New Roman" w:hAnsi="Arial" w:cs="Arial"/>
          <w:sz w:val="24"/>
          <w:lang w:val="ro-RO"/>
        </w:rPr>
        <w:t xml:space="preserve"> </w:t>
      </w:r>
      <w:r w:rsidRPr="00A42550">
        <w:rPr>
          <w:rFonts w:ascii="Arial" w:eastAsia="Times New Roman" w:hAnsi="Arial" w:cs="Arial"/>
          <w:i/>
          <w:sz w:val="20"/>
          <w:szCs w:val="20"/>
          <w:lang w:val="ro-RO"/>
        </w:rPr>
        <w:t>Sursa: Agenţia pentru Protecţia Mediului Buzău</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lastRenderedPageBreak/>
        <w:t>Tabel VII.1.1.2. Cantitaţile principalelor categorii de deşeuri generate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73"/>
        <w:gridCol w:w="1281"/>
        <w:gridCol w:w="1273"/>
        <w:gridCol w:w="1279"/>
        <w:gridCol w:w="1381"/>
      </w:tblGrid>
      <w:tr w:rsidR="00A42550" w:rsidRPr="00A42550" w:rsidTr="00A42550">
        <w:tc>
          <w:tcPr>
            <w:tcW w:w="2410"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 xml:space="preserve">Categorie deşeuri </w:t>
            </w:r>
          </w:p>
        </w:tc>
        <w:tc>
          <w:tcPr>
            <w:tcW w:w="1273"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2008</w:t>
            </w:r>
          </w:p>
        </w:tc>
        <w:tc>
          <w:tcPr>
            <w:tcW w:w="1281"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2009</w:t>
            </w:r>
          </w:p>
        </w:tc>
        <w:tc>
          <w:tcPr>
            <w:tcW w:w="1273"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2010</w:t>
            </w:r>
          </w:p>
        </w:tc>
        <w:tc>
          <w:tcPr>
            <w:tcW w:w="1279"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2011</w:t>
            </w:r>
          </w:p>
        </w:tc>
        <w:tc>
          <w:tcPr>
            <w:tcW w:w="1381"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2012</w:t>
            </w:r>
          </w:p>
        </w:tc>
      </w:tr>
      <w:tr w:rsidR="00A42550" w:rsidRPr="00A42550" w:rsidTr="00A42550">
        <w:trPr>
          <w:trHeight w:val="598"/>
        </w:trPr>
        <w:tc>
          <w:tcPr>
            <w:tcW w:w="2410" w:type="dxa"/>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menajere şi asimilabile colectate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80738,95</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88931,943</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89968,855</w:t>
            </w:r>
          </w:p>
        </w:tc>
        <w:tc>
          <w:tcPr>
            <w:tcW w:w="1279" w:type="dxa"/>
            <w:vAlign w:val="center"/>
          </w:tcPr>
          <w:p w:rsidR="00A42550" w:rsidRPr="00A42550" w:rsidRDefault="00A42550" w:rsidP="00A42550">
            <w:pPr>
              <w:tabs>
                <w:tab w:val="left" w:pos="807"/>
              </w:tabs>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88694,859</w:t>
            </w:r>
          </w:p>
        </w:tc>
        <w:tc>
          <w:tcPr>
            <w:tcW w:w="1381" w:type="dxa"/>
            <w:vAlign w:val="center"/>
          </w:tcPr>
          <w:p w:rsidR="00A42550" w:rsidRPr="00A42550" w:rsidRDefault="00A42550" w:rsidP="00A42550">
            <w:pPr>
              <w:tabs>
                <w:tab w:val="left" w:pos="807"/>
              </w:tabs>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76496,957</w:t>
            </w:r>
          </w:p>
        </w:tc>
      </w:tr>
      <w:tr w:rsidR="00A42550" w:rsidRPr="00A42550" w:rsidTr="00A42550">
        <w:tc>
          <w:tcPr>
            <w:tcW w:w="2410" w:type="dxa"/>
          </w:tcPr>
          <w:p w:rsidR="00A42550" w:rsidRPr="00A42550" w:rsidRDefault="00A42550" w:rsidP="00A42550">
            <w:pPr>
              <w:tabs>
                <w:tab w:val="left" w:pos="318"/>
              </w:tabs>
              <w:spacing w:after="120" w:line="240" w:lineRule="auto"/>
              <w:ind w:left="34"/>
              <w:rPr>
                <w:rFonts w:ascii="Arial" w:eastAsia="Times New Roman" w:hAnsi="Arial" w:cs="Arial"/>
                <w:sz w:val="20"/>
                <w:szCs w:val="20"/>
                <w:lang w:val="ro-RO"/>
              </w:rPr>
            </w:pPr>
            <w:r w:rsidRPr="00A42550">
              <w:rPr>
                <w:rFonts w:ascii="Arial" w:eastAsia="Times New Roman" w:hAnsi="Arial" w:cs="Arial"/>
                <w:sz w:val="20"/>
                <w:szCs w:val="20"/>
                <w:lang w:val="ro-RO"/>
              </w:rPr>
              <w:t>Deşeuri din servicii municipale (stradale, pieţe, grădini, parcuri şi spaţii verzi)</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50993,5</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57659</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52262</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26778,03</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19830,27</w:t>
            </w:r>
          </w:p>
        </w:tc>
      </w:tr>
      <w:tr w:rsidR="00A42550" w:rsidRPr="00A42550" w:rsidTr="00A42550">
        <w:tc>
          <w:tcPr>
            <w:tcW w:w="2410" w:type="dxa"/>
          </w:tcPr>
          <w:p w:rsidR="00A42550" w:rsidRPr="00A42550" w:rsidRDefault="00A42550" w:rsidP="00A42550">
            <w:pPr>
              <w:tabs>
                <w:tab w:val="left" w:pos="318"/>
              </w:tabs>
              <w:spacing w:after="120" w:line="240" w:lineRule="auto"/>
              <w:ind w:left="34"/>
              <w:rPr>
                <w:rFonts w:ascii="Arial" w:eastAsia="Times New Roman" w:hAnsi="Arial" w:cs="Arial"/>
                <w:sz w:val="20"/>
                <w:szCs w:val="20"/>
                <w:lang w:val="ro-RO"/>
              </w:rPr>
            </w:pPr>
            <w:r w:rsidRPr="00A42550">
              <w:rPr>
                <w:rFonts w:ascii="Arial" w:eastAsia="Times New Roman" w:hAnsi="Arial" w:cs="Arial"/>
                <w:sz w:val="20"/>
                <w:szCs w:val="20"/>
                <w:lang w:val="ro-RO"/>
              </w:rPr>
              <w:t>Deşeuri din construcţii şi demolări</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0</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98790,25</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6688,79</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3274,15</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3912,21</w:t>
            </w:r>
          </w:p>
        </w:tc>
      </w:tr>
      <w:tr w:rsidR="00A42550" w:rsidRPr="00A42550" w:rsidTr="00A42550">
        <w:tc>
          <w:tcPr>
            <w:tcW w:w="2410" w:type="dxa"/>
          </w:tcPr>
          <w:p w:rsidR="00A42550" w:rsidRPr="00A42550" w:rsidRDefault="00A42550" w:rsidP="00A42550">
            <w:pPr>
              <w:tabs>
                <w:tab w:val="left" w:pos="318"/>
              </w:tabs>
              <w:spacing w:after="120" w:line="240" w:lineRule="auto"/>
              <w:ind w:left="34"/>
              <w:rPr>
                <w:rFonts w:ascii="Arial" w:eastAsia="Times New Roman" w:hAnsi="Arial" w:cs="Arial"/>
                <w:sz w:val="20"/>
                <w:szCs w:val="20"/>
                <w:lang w:val="ro-RO"/>
              </w:rPr>
            </w:pPr>
            <w:r w:rsidRPr="00A42550">
              <w:rPr>
                <w:rFonts w:ascii="Arial" w:eastAsia="Times New Roman" w:hAnsi="Arial" w:cs="Arial"/>
                <w:sz w:val="20"/>
                <w:szCs w:val="20"/>
                <w:lang w:val="ro-RO"/>
              </w:rPr>
              <w:t>Deşeuri menajere generate şi necolectate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68629,636</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58221,694</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54687,037</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33038,376</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44628,726</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Figura VII.1.1.2. Structura procentuală a deşeurilor municipale generate în perioada 2008-2012</w:t>
      </w: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noProof/>
          <w:sz w:val="24"/>
          <w:szCs w:val="24"/>
          <w:lang w:val="ro-RO" w:eastAsia="ro-RO"/>
        </w:rPr>
        <w:drawing>
          <wp:anchor distT="0" distB="0" distL="114300" distR="114300" simplePos="0" relativeHeight="251666432" behindDoc="0" locked="0" layoutInCell="1" allowOverlap="1">
            <wp:simplePos x="0" y="0"/>
            <wp:positionH relativeFrom="column">
              <wp:posOffset>33020</wp:posOffset>
            </wp:positionH>
            <wp:positionV relativeFrom="paragraph">
              <wp:posOffset>73660</wp:posOffset>
            </wp:positionV>
            <wp:extent cx="5210175" cy="2600325"/>
            <wp:effectExtent l="19050" t="0" r="9525" b="0"/>
            <wp:wrapSquare wrapText="bothSides"/>
            <wp:docPr id="1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anchor>
        </w:drawing>
      </w: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br w:type="textWrapping" w:clear="all"/>
      </w: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Tabel VII.1.1.3. Ponderea procentuală a principalelor categorii de deşeuri municipale colectate de municipalităţi în anul 2012</w:t>
      </w:r>
    </w:p>
    <w:p w:rsidR="00A42550" w:rsidRPr="00A42550" w:rsidRDefault="00A42550" w:rsidP="00A42550">
      <w:pPr>
        <w:spacing w:after="0" w:line="240" w:lineRule="auto"/>
        <w:rPr>
          <w:rFonts w:ascii="Arial" w:eastAsia="Times New Roman" w:hAnsi="Arial" w:cs="Arial"/>
          <w:sz w:val="24"/>
          <w:szCs w:val="24"/>
          <w:lang w:val="ro-RO"/>
        </w:rPr>
      </w:pPr>
    </w:p>
    <w:tbl>
      <w:tblPr>
        <w:tblStyle w:val="TableGrid2"/>
        <w:tblW w:w="0" w:type="auto"/>
        <w:tblInd w:w="534" w:type="dxa"/>
        <w:tblLook w:val="04A0"/>
      </w:tblPr>
      <w:tblGrid>
        <w:gridCol w:w="3118"/>
        <w:gridCol w:w="2693"/>
        <w:gridCol w:w="2127"/>
      </w:tblGrid>
      <w:tr w:rsidR="00A42550" w:rsidRPr="00A42550" w:rsidTr="00A42550">
        <w:tc>
          <w:tcPr>
            <w:tcW w:w="3118" w:type="dxa"/>
            <w:shd w:val="clear" w:color="auto" w:fill="FFFF00"/>
          </w:tcPr>
          <w:p w:rsidR="00A42550" w:rsidRPr="00A42550" w:rsidRDefault="00A42550" w:rsidP="00A42550">
            <w:pPr>
              <w:spacing w:after="120" w:line="240" w:lineRule="auto"/>
              <w:jc w:val="center"/>
              <w:rPr>
                <w:rFonts w:ascii="Arial" w:hAnsi="Arial" w:cs="Arial"/>
                <w:b/>
                <w:sz w:val="20"/>
                <w:szCs w:val="20"/>
                <w:lang w:val="ro-RO"/>
              </w:rPr>
            </w:pPr>
            <w:r w:rsidRPr="00A42550">
              <w:rPr>
                <w:rFonts w:ascii="Arial" w:hAnsi="Arial" w:cs="Arial"/>
                <w:b/>
                <w:sz w:val="20"/>
                <w:szCs w:val="20"/>
                <w:lang w:val="ro-RO"/>
              </w:rPr>
              <w:t>Deşeuri colectate</w:t>
            </w:r>
          </w:p>
        </w:tc>
        <w:tc>
          <w:tcPr>
            <w:tcW w:w="2693" w:type="dxa"/>
            <w:shd w:val="clear" w:color="auto" w:fill="FFFF00"/>
          </w:tcPr>
          <w:p w:rsidR="00A42550" w:rsidRPr="00A42550" w:rsidRDefault="00A42550" w:rsidP="00A42550">
            <w:pPr>
              <w:spacing w:after="120" w:line="240" w:lineRule="auto"/>
              <w:jc w:val="center"/>
              <w:rPr>
                <w:rFonts w:ascii="Arial" w:hAnsi="Arial" w:cs="Arial"/>
                <w:b/>
                <w:sz w:val="20"/>
                <w:szCs w:val="20"/>
                <w:lang w:val="ro-RO"/>
              </w:rPr>
            </w:pPr>
            <w:r w:rsidRPr="00A42550">
              <w:rPr>
                <w:rFonts w:ascii="Arial" w:hAnsi="Arial" w:cs="Arial"/>
                <w:b/>
                <w:sz w:val="20"/>
                <w:szCs w:val="20"/>
                <w:lang w:val="ro-RO"/>
              </w:rPr>
              <w:t>Cantitate colectată (tone)</w:t>
            </w:r>
          </w:p>
        </w:tc>
        <w:tc>
          <w:tcPr>
            <w:tcW w:w="2127" w:type="dxa"/>
            <w:shd w:val="clear" w:color="auto" w:fill="FFFF00"/>
          </w:tcPr>
          <w:p w:rsidR="00A42550" w:rsidRPr="00A42550" w:rsidRDefault="00A42550" w:rsidP="00A42550">
            <w:pPr>
              <w:spacing w:after="120" w:line="240" w:lineRule="auto"/>
              <w:jc w:val="center"/>
              <w:rPr>
                <w:rFonts w:ascii="Arial" w:hAnsi="Arial" w:cs="Arial"/>
                <w:b/>
                <w:sz w:val="20"/>
                <w:szCs w:val="20"/>
                <w:lang w:val="ro-RO"/>
              </w:rPr>
            </w:pPr>
            <w:r w:rsidRPr="00A42550">
              <w:rPr>
                <w:rFonts w:ascii="Arial" w:hAnsi="Arial" w:cs="Arial"/>
                <w:b/>
                <w:sz w:val="20"/>
                <w:szCs w:val="20"/>
                <w:lang w:val="ro-RO"/>
              </w:rPr>
              <w:t>Procent (%)</w:t>
            </w:r>
          </w:p>
        </w:tc>
      </w:tr>
      <w:tr w:rsidR="00A42550" w:rsidRPr="00A42550" w:rsidTr="00A42550">
        <w:tc>
          <w:tcPr>
            <w:tcW w:w="3118" w:type="dxa"/>
          </w:tcPr>
          <w:p w:rsidR="00A42550" w:rsidRPr="00A42550" w:rsidRDefault="00A42550" w:rsidP="00A42550">
            <w:pPr>
              <w:spacing w:after="120" w:line="240" w:lineRule="auto"/>
              <w:rPr>
                <w:rFonts w:ascii="Arial" w:hAnsi="Arial" w:cs="Arial"/>
                <w:sz w:val="20"/>
                <w:szCs w:val="20"/>
                <w:lang w:val="ro-RO"/>
              </w:rPr>
            </w:pPr>
            <w:r w:rsidRPr="00A42550">
              <w:rPr>
                <w:rFonts w:ascii="Arial" w:hAnsi="Arial" w:cs="Arial"/>
                <w:sz w:val="20"/>
                <w:szCs w:val="20"/>
                <w:lang w:val="ro-RO"/>
              </w:rPr>
              <w:t>Deşeuri menajere şi asimilabile</w:t>
            </w:r>
          </w:p>
        </w:tc>
        <w:tc>
          <w:tcPr>
            <w:tcW w:w="2693"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76496,957</w:t>
            </w:r>
          </w:p>
        </w:tc>
        <w:tc>
          <w:tcPr>
            <w:tcW w:w="2127"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76,3</w:t>
            </w:r>
          </w:p>
        </w:tc>
      </w:tr>
      <w:tr w:rsidR="00A42550" w:rsidRPr="00A42550" w:rsidTr="00A42550">
        <w:tc>
          <w:tcPr>
            <w:tcW w:w="3118" w:type="dxa"/>
          </w:tcPr>
          <w:p w:rsidR="00A42550" w:rsidRPr="00A42550" w:rsidRDefault="00A42550" w:rsidP="00A42550">
            <w:pPr>
              <w:tabs>
                <w:tab w:val="left" w:pos="318"/>
              </w:tabs>
              <w:spacing w:after="120" w:line="240" w:lineRule="auto"/>
              <w:ind w:left="34"/>
              <w:rPr>
                <w:rFonts w:ascii="Arial" w:hAnsi="Arial" w:cs="Arial"/>
                <w:sz w:val="20"/>
                <w:szCs w:val="20"/>
                <w:lang w:val="ro-RO"/>
              </w:rPr>
            </w:pPr>
            <w:r w:rsidRPr="00A42550">
              <w:rPr>
                <w:rFonts w:ascii="Arial" w:hAnsi="Arial" w:cs="Arial"/>
                <w:sz w:val="20"/>
                <w:szCs w:val="20"/>
                <w:lang w:val="ro-RO"/>
              </w:rPr>
              <w:t>Deşeuri din servicii municipale</w:t>
            </w:r>
          </w:p>
        </w:tc>
        <w:tc>
          <w:tcPr>
            <w:tcW w:w="2693"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19830,27</w:t>
            </w:r>
          </w:p>
        </w:tc>
        <w:tc>
          <w:tcPr>
            <w:tcW w:w="2127"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19,8</w:t>
            </w:r>
          </w:p>
        </w:tc>
      </w:tr>
      <w:tr w:rsidR="00A42550" w:rsidRPr="00A42550" w:rsidTr="00A42550">
        <w:tc>
          <w:tcPr>
            <w:tcW w:w="3118" w:type="dxa"/>
          </w:tcPr>
          <w:p w:rsidR="00A42550" w:rsidRPr="00A42550" w:rsidRDefault="00A42550" w:rsidP="00A42550">
            <w:pPr>
              <w:tabs>
                <w:tab w:val="left" w:pos="318"/>
              </w:tabs>
              <w:spacing w:after="120" w:line="240" w:lineRule="auto"/>
              <w:ind w:left="34"/>
              <w:rPr>
                <w:rFonts w:ascii="Arial" w:hAnsi="Arial" w:cs="Arial"/>
                <w:sz w:val="20"/>
                <w:szCs w:val="20"/>
                <w:lang w:val="ro-RO"/>
              </w:rPr>
            </w:pPr>
            <w:r w:rsidRPr="00A42550">
              <w:rPr>
                <w:rFonts w:ascii="Arial" w:hAnsi="Arial" w:cs="Arial"/>
                <w:sz w:val="20"/>
                <w:szCs w:val="20"/>
                <w:lang w:val="ro-RO"/>
              </w:rPr>
              <w:t>Deşeuri din construcţii şi demolări</w:t>
            </w:r>
          </w:p>
        </w:tc>
        <w:tc>
          <w:tcPr>
            <w:tcW w:w="2693"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3912,21</w:t>
            </w:r>
          </w:p>
        </w:tc>
        <w:tc>
          <w:tcPr>
            <w:tcW w:w="2127"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3,90</w:t>
            </w:r>
          </w:p>
        </w:tc>
      </w:tr>
      <w:tr w:rsidR="00A42550" w:rsidRPr="00A42550" w:rsidTr="00A42550">
        <w:tc>
          <w:tcPr>
            <w:tcW w:w="3118" w:type="dxa"/>
          </w:tcPr>
          <w:p w:rsidR="00A42550" w:rsidRPr="00A42550" w:rsidRDefault="00A42550" w:rsidP="00A42550">
            <w:pPr>
              <w:tabs>
                <w:tab w:val="left" w:pos="318"/>
              </w:tabs>
              <w:spacing w:after="120" w:line="240" w:lineRule="auto"/>
              <w:ind w:left="34"/>
              <w:rPr>
                <w:rFonts w:ascii="Arial" w:hAnsi="Arial" w:cs="Arial"/>
                <w:b/>
                <w:sz w:val="20"/>
                <w:szCs w:val="20"/>
                <w:lang w:val="ro-RO"/>
              </w:rPr>
            </w:pPr>
            <w:r w:rsidRPr="00A42550">
              <w:rPr>
                <w:rFonts w:ascii="Arial" w:hAnsi="Arial" w:cs="Arial"/>
                <w:b/>
                <w:sz w:val="20"/>
                <w:szCs w:val="20"/>
                <w:lang w:val="ro-RO"/>
              </w:rPr>
              <w:t>Total</w:t>
            </w:r>
          </w:p>
        </w:tc>
        <w:tc>
          <w:tcPr>
            <w:tcW w:w="2693" w:type="dxa"/>
          </w:tcPr>
          <w:p w:rsidR="00A42550" w:rsidRPr="00A42550" w:rsidRDefault="00A42550" w:rsidP="00A42550">
            <w:pPr>
              <w:tabs>
                <w:tab w:val="left" w:pos="318"/>
              </w:tabs>
              <w:spacing w:after="120" w:line="240" w:lineRule="auto"/>
              <w:ind w:left="34"/>
              <w:jc w:val="center"/>
              <w:rPr>
                <w:rFonts w:ascii="Arial" w:hAnsi="Arial" w:cs="Arial"/>
                <w:b/>
                <w:sz w:val="20"/>
                <w:szCs w:val="20"/>
                <w:lang w:val="ro-RO"/>
              </w:rPr>
            </w:pPr>
            <w:r w:rsidRPr="00A42550">
              <w:rPr>
                <w:rFonts w:ascii="Arial" w:hAnsi="Arial" w:cs="Arial"/>
                <w:sz w:val="20"/>
                <w:szCs w:val="20"/>
                <w:lang w:val="ro-RO"/>
              </w:rPr>
              <w:t>100239,437</w:t>
            </w:r>
          </w:p>
        </w:tc>
        <w:tc>
          <w:tcPr>
            <w:tcW w:w="2127" w:type="dxa"/>
          </w:tcPr>
          <w:p w:rsidR="00A42550" w:rsidRPr="00A42550" w:rsidRDefault="00A42550" w:rsidP="00A42550">
            <w:pPr>
              <w:tabs>
                <w:tab w:val="left" w:pos="318"/>
              </w:tabs>
              <w:spacing w:after="120" w:line="240" w:lineRule="auto"/>
              <w:ind w:left="34"/>
              <w:jc w:val="center"/>
              <w:rPr>
                <w:rFonts w:ascii="Arial" w:hAnsi="Arial" w:cs="Arial"/>
                <w:b/>
                <w:sz w:val="20"/>
                <w:szCs w:val="20"/>
                <w:lang w:val="ro-RO"/>
              </w:rPr>
            </w:pPr>
            <w:r w:rsidRPr="00A42550">
              <w:rPr>
                <w:rFonts w:ascii="Arial" w:hAnsi="Arial" w:cs="Arial"/>
                <w:b/>
                <w:sz w:val="20"/>
                <w:szCs w:val="20"/>
                <w:lang w:val="ro-RO"/>
              </w:rPr>
              <w:t>100</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sz w:val="24"/>
          <w:szCs w:val="24"/>
          <w:lang w:val="ro-RO"/>
        </w:rPr>
        <w:t xml:space="preserve">       </w:t>
      </w: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lastRenderedPageBreak/>
        <w:t>Figura VII.1.1.3. Ponderea procentuală a principalelor categorii de deşeuri municipale colectate de municipalităţi în anul 2012</w:t>
      </w:r>
    </w:p>
    <w:p w:rsidR="00A42550" w:rsidRPr="00A42550" w:rsidRDefault="00A42550" w:rsidP="00A42550">
      <w:pPr>
        <w:spacing w:after="0" w:line="240" w:lineRule="auto"/>
        <w:rPr>
          <w:rFonts w:ascii="Arial" w:eastAsia="Times New Roman" w:hAnsi="Arial" w:cs="Arial"/>
          <w:sz w:val="24"/>
          <w:szCs w:val="24"/>
          <w:lang w:val="ro-RO"/>
        </w:rPr>
      </w:pPr>
      <w:r w:rsidRPr="00A42550">
        <w:rPr>
          <w:rFonts w:ascii="Arial" w:eastAsia="Times New Roman" w:hAnsi="Arial" w:cs="Arial"/>
          <w:noProof/>
          <w:sz w:val="24"/>
          <w:szCs w:val="24"/>
          <w:lang w:val="ro-RO" w:eastAsia="ro-RO"/>
        </w:rPr>
        <w:drawing>
          <wp:anchor distT="0" distB="0" distL="114300" distR="114300" simplePos="0" relativeHeight="251667456" behindDoc="0" locked="0" layoutInCell="1" allowOverlap="1">
            <wp:simplePos x="0" y="0"/>
            <wp:positionH relativeFrom="column">
              <wp:posOffset>356870</wp:posOffset>
            </wp:positionH>
            <wp:positionV relativeFrom="paragraph">
              <wp:posOffset>163830</wp:posOffset>
            </wp:positionV>
            <wp:extent cx="4495800" cy="2390775"/>
            <wp:effectExtent l="19050" t="0" r="19050" b="0"/>
            <wp:wrapSquare wrapText="bothSides"/>
            <wp:docPr id="1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anchor>
        </w:drawing>
      </w: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sz w:val="24"/>
          <w:szCs w:val="24"/>
          <w:lang w:val="ro-RO"/>
        </w:rPr>
      </w:pPr>
    </w:p>
    <w:p w:rsidR="00A42550" w:rsidRPr="00A42550" w:rsidRDefault="00A42550" w:rsidP="00A42550">
      <w:pPr>
        <w:spacing w:before="120" w:after="0" w:line="240" w:lineRule="auto"/>
        <w:jc w:val="both"/>
        <w:rPr>
          <w:rFonts w:ascii="Arial" w:eastAsia="Times New Roman" w:hAnsi="Arial" w:cs="Arial"/>
          <w:i/>
          <w:sz w:val="20"/>
          <w:szCs w:val="20"/>
          <w:lang w:val="ro-RO"/>
        </w:rPr>
      </w:pPr>
      <w:r w:rsidRPr="00A42550">
        <w:rPr>
          <w:rFonts w:ascii="Arial" w:eastAsia="Times New Roman" w:hAnsi="Arial" w:cs="Arial"/>
          <w:sz w:val="24"/>
          <w:szCs w:val="24"/>
          <w:lang w:val="ro-RO"/>
        </w:rPr>
        <w:br w:type="textWrapping" w:clear="all"/>
      </w:r>
      <w:r w:rsidRPr="00A42550">
        <w:rPr>
          <w:rFonts w:ascii="Arial" w:eastAsia="Times New Roman" w:hAnsi="Arial" w:cs="Arial"/>
          <w:i/>
          <w:sz w:val="20"/>
          <w:szCs w:val="20"/>
          <w:lang w:val="ro-RO"/>
        </w:rPr>
        <w:t xml:space="preserve">         Sursa: Agenţia pentru Protecţia Mediului Buzău</w:t>
      </w:r>
    </w:p>
    <w:p w:rsidR="00A42550" w:rsidRPr="00A42550" w:rsidRDefault="00A42550" w:rsidP="00A42550">
      <w:pPr>
        <w:spacing w:before="120" w:after="0" w:line="240" w:lineRule="auto"/>
        <w:jc w:val="both"/>
        <w:rPr>
          <w:rFonts w:ascii="Arial" w:eastAsia="Times New Roman" w:hAnsi="Arial" w:cs="Arial"/>
          <w:i/>
          <w:sz w:val="20"/>
          <w:szCs w:val="20"/>
          <w:lang w:val="ro-RO"/>
        </w:rPr>
      </w:pP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Tabelul VII.1.1.4.Compozitia procentuală a deşeurilor menajere colectate  în 2012</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2506"/>
      </w:tblGrid>
      <w:tr w:rsidR="00A42550" w:rsidRPr="00A42550" w:rsidTr="00A42550">
        <w:tc>
          <w:tcPr>
            <w:tcW w:w="3434" w:type="dxa"/>
            <w:shd w:val="clear" w:color="auto" w:fill="FFFF00"/>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Compoziţie</w:t>
            </w:r>
          </w:p>
        </w:tc>
        <w:tc>
          <w:tcPr>
            <w:tcW w:w="2506" w:type="dxa"/>
            <w:shd w:val="clear" w:color="auto" w:fill="FFFF00"/>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 xml:space="preserve">Procent </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Biodegradabil</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68,3%</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Hârtie şi carton</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9,84%</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Sticla</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2,85%</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metal</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1,92%</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Material plastic</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11,63%</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 xml:space="preserve">Inerte </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3,01%</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Lemn</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0,12%</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Altele</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2,62%</w:t>
            </w:r>
          </w:p>
        </w:tc>
      </w:tr>
      <w:tr w:rsidR="00A42550" w:rsidRPr="00A42550" w:rsidTr="00A42550">
        <w:tc>
          <w:tcPr>
            <w:tcW w:w="3434"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Total</w:t>
            </w:r>
          </w:p>
        </w:tc>
        <w:tc>
          <w:tcPr>
            <w:tcW w:w="2506" w:type="dxa"/>
          </w:tcPr>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t>100 %</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                       Sursa: Agenţia pentru Protecţia Mediului Buzău</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sz w:val="24"/>
          <w:szCs w:val="24"/>
          <w:lang w:val="ro-RO"/>
        </w:rPr>
        <w:br w:type="textWrapping" w:clear="all"/>
      </w:r>
      <w:r w:rsidRPr="00A42550">
        <w:rPr>
          <w:rFonts w:ascii="Arial" w:eastAsia="Times New Roman" w:hAnsi="Arial" w:cs="Arial"/>
          <w:i/>
          <w:sz w:val="24"/>
          <w:szCs w:val="24"/>
          <w:lang w:val="ro-RO"/>
        </w:rPr>
        <w:t xml:space="preserve">   Figura VII.1.1.4.Compozitia procentuală a deşeurilor menajere colectate  în 2012</w:t>
      </w:r>
    </w:p>
    <w:p w:rsidR="00A42550" w:rsidRPr="00A42550" w:rsidRDefault="00A42550" w:rsidP="00A42550">
      <w:pPr>
        <w:spacing w:after="0" w:line="240" w:lineRule="auto"/>
        <w:rPr>
          <w:rFonts w:ascii="Arial" w:eastAsia="Times New Roman" w:hAnsi="Arial" w:cs="Arial"/>
          <w:sz w:val="24"/>
          <w:szCs w:val="24"/>
          <w:lang w:val="ro-RO"/>
        </w:rPr>
      </w:pPr>
      <w:r w:rsidRPr="00A42550">
        <w:rPr>
          <w:rFonts w:ascii="Arial" w:eastAsia="Times New Roman" w:hAnsi="Arial" w:cs="Arial"/>
          <w:noProof/>
          <w:sz w:val="24"/>
          <w:szCs w:val="24"/>
          <w:lang w:val="ro-RO" w:eastAsia="ro-RO"/>
        </w:rPr>
        <w:drawing>
          <wp:anchor distT="0" distB="0" distL="114300" distR="114300" simplePos="0" relativeHeight="251668480" behindDoc="0" locked="0" layoutInCell="1" allowOverlap="1">
            <wp:simplePos x="0" y="0"/>
            <wp:positionH relativeFrom="column">
              <wp:posOffset>433070</wp:posOffset>
            </wp:positionH>
            <wp:positionV relativeFrom="paragraph">
              <wp:posOffset>62865</wp:posOffset>
            </wp:positionV>
            <wp:extent cx="4171950" cy="2801620"/>
            <wp:effectExtent l="19050" t="0" r="0" b="0"/>
            <wp:wrapTight wrapText="bothSides">
              <wp:wrapPolygon edited="0">
                <wp:start x="-99" y="0"/>
                <wp:lineTo x="-99" y="21443"/>
                <wp:lineTo x="21600" y="21443"/>
                <wp:lineTo x="21600" y="0"/>
                <wp:lineTo x="-99" y="0"/>
              </wp:wrapPolygon>
            </wp:wrapTight>
            <wp:docPr id="35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anchor>
        </w:drawing>
      </w: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lang w:val="ro-RO"/>
        </w:rPr>
      </w:pPr>
      <w:r w:rsidRPr="00A42550">
        <w:rPr>
          <w:rFonts w:ascii="Arial" w:eastAsia="Times New Roman" w:hAnsi="Arial" w:cs="Arial"/>
          <w:i/>
          <w:sz w:val="24"/>
          <w:lang w:val="ro-RO"/>
        </w:rPr>
        <w:lastRenderedPageBreak/>
        <w:t>Tabel VII.1.1.5. Informaţii specifice privind deşeurile municipale în perioada 2008-2012</w:t>
      </w:r>
    </w:p>
    <w:tbl>
      <w:tblPr>
        <w:tblStyle w:val="TableGrid2"/>
        <w:tblW w:w="0" w:type="auto"/>
        <w:tblLook w:val="04A0"/>
      </w:tblPr>
      <w:tblGrid>
        <w:gridCol w:w="2235"/>
        <w:gridCol w:w="1559"/>
        <w:gridCol w:w="1417"/>
        <w:gridCol w:w="1560"/>
        <w:gridCol w:w="1559"/>
        <w:gridCol w:w="1523"/>
      </w:tblGrid>
      <w:tr w:rsidR="00A42550" w:rsidRPr="00A42550" w:rsidTr="00A42550">
        <w:tc>
          <w:tcPr>
            <w:tcW w:w="2235" w:type="dxa"/>
            <w:shd w:val="clear" w:color="auto" w:fill="FFFF00"/>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p>
        </w:tc>
        <w:tc>
          <w:tcPr>
            <w:tcW w:w="1559" w:type="dxa"/>
            <w:shd w:val="clear" w:color="auto" w:fill="FFFF00"/>
            <w:vAlign w:val="center"/>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2008</w:t>
            </w:r>
          </w:p>
        </w:tc>
        <w:tc>
          <w:tcPr>
            <w:tcW w:w="1417" w:type="dxa"/>
            <w:shd w:val="clear" w:color="auto" w:fill="FFFF00"/>
            <w:vAlign w:val="center"/>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2009</w:t>
            </w:r>
          </w:p>
        </w:tc>
        <w:tc>
          <w:tcPr>
            <w:tcW w:w="1560" w:type="dxa"/>
            <w:shd w:val="clear" w:color="auto" w:fill="FFFF00"/>
            <w:vAlign w:val="center"/>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2010</w:t>
            </w:r>
          </w:p>
        </w:tc>
        <w:tc>
          <w:tcPr>
            <w:tcW w:w="1559" w:type="dxa"/>
            <w:shd w:val="clear" w:color="auto" w:fill="FFFF00"/>
            <w:vAlign w:val="center"/>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2011</w:t>
            </w:r>
          </w:p>
        </w:tc>
        <w:tc>
          <w:tcPr>
            <w:tcW w:w="1523" w:type="dxa"/>
            <w:shd w:val="clear" w:color="auto" w:fill="FFFF00"/>
            <w:vAlign w:val="center"/>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2012</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Gradul de conectare la serviciul de salubritate (%)</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26,59</w:t>
            </w:r>
          </w:p>
        </w:tc>
        <w:tc>
          <w:tcPr>
            <w:tcW w:w="1417"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37,67</w:t>
            </w:r>
          </w:p>
        </w:tc>
        <w:tc>
          <w:tcPr>
            <w:tcW w:w="1560"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45,51</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62,08</w:t>
            </w:r>
          </w:p>
        </w:tc>
        <w:tc>
          <w:tcPr>
            <w:tcW w:w="1523"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55,70</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jc w:val="both"/>
              <w:rPr>
                <w:rFonts w:ascii="Arial" w:hAnsi="Arial" w:cs="Arial"/>
                <w:sz w:val="20"/>
                <w:szCs w:val="20"/>
                <w:lang w:val="ro-RO"/>
              </w:rPr>
            </w:pPr>
            <w:r w:rsidRPr="00A42550">
              <w:rPr>
                <w:rFonts w:ascii="Arial" w:hAnsi="Arial" w:cs="Arial"/>
                <w:sz w:val="20"/>
                <w:szCs w:val="20"/>
                <w:lang w:val="ro-RO"/>
              </w:rPr>
              <w:t xml:space="preserve">  • mediul urban</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54,89</w:t>
            </w:r>
          </w:p>
        </w:tc>
        <w:tc>
          <w:tcPr>
            <w:tcW w:w="1417"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60,90</w:t>
            </w:r>
          </w:p>
        </w:tc>
        <w:tc>
          <w:tcPr>
            <w:tcW w:w="1560"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54,68</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69,46</w:t>
            </w:r>
          </w:p>
        </w:tc>
        <w:tc>
          <w:tcPr>
            <w:tcW w:w="1523"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61,18</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jc w:val="both"/>
              <w:rPr>
                <w:rFonts w:ascii="Arial" w:hAnsi="Arial" w:cs="Arial"/>
                <w:sz w:val="20"/>
                <w:szCs w:val="20"/>
                <w:lang w:val="ro-RO"/>
              </w:rPr>
            </w:pPr>
            <w:r w:rsidRPr="00A42550">
              <w:rPr>
                <w:rFonts w:ascii="Arial" w:hAnsi="Arial" w:cs="Arial"/>
                <w:sz w:val="20"/>
                <w:szCs w:val="20"/>
                <w:lang w:val="ro-RO"/>
              </w:rPr>
              <w:t xml:space="preserve">  • mediul rural</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6,77</w:t>
            </w:r>
          </w:p>
        </w:tc>
        <w:tc>
          <w:tcPr>
            <w:tcW w:w="1417"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21,49</w:t>
            </w:r>
          </w:p>
        </w:tc>
        <w:tc>
          <w:tcPr>
            <w:tcW w:w="1560"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39,12</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57,58</w:t>
            </w:r>
          </w:p>
        </w:tc>
        <w:tc>
          <w:tcPr>
            <w:tcW w:w="1523"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51,88</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Cantitatea de deşeuri municipale colectate selectiv (tone)</w:t>
            </w:r>
          </w:p>
        </w:tc>
        <w:tc>
          <w:tcPr>
            <w:tcW w:w="1559"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1469,54</w:t>
            </w:r>
          </w:p>
        </w:tc>
        <w:tc>
          <w:tcPr>
            <w:tcW w:w="1417"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1197,993</w:t>
            </w:r>
          </w:p>
        </w:tc>
        <w:tc>
          <w:tcPr>
            <w:tcW w:w="1560"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843,765</w:t>
            </w:r>
          </w:p>
        </w:tc>
        <w:tc>
          <w:tcPr>
            <w:tcW w:w="1559"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104,869</w:t>
            </w:r>
          </w:p>
        </w:tc>
        <w:tc>
          <w:tcPr>
            <w:tcW w:w="1523" w:type="dxa"/>
            <w:vAlign w:val="center"/>
          </w:tcPr>
          <w:p w:rsidR="00A42550" w:rsidRPr="00A42550" w:rsidRDefault="00A42550" w:rsidP="00A42550">
            <w:pPr>
              <w:spacing w:after="120" w:line="240" w:lineRule="auto"/>
              <w:jc w:val="center"/>
              <w:rPr>
                <w:rFonts w:ascii="Arial" w:hAnsi="Arial" w:cs="Arial"/>
                <w:sz w:val="20"/>
                <w:szCs w:val="20"/>
                <w:lang w:val="ro-RO"/>
              </w:rPr>
            </w:pPr>
            <w:r w:rsidRPr="00A42550">
              <w:rPr>
                <w:rFonts w:ascii="Arial" w:hAnsi="Arial" w:cs="Arial"/>
                <w:sz w:val="20"/>
                <w:szCs w:val="20"/>
                <w:lang w:val="ro-RO"/>
              </w:rPr>
              <w:t>80,847</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Cantitatea de deşeuri municipale reciclate (tone)</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1373,257</w:t>
            </w:r>
          </w:p>
        </w:tc>
        <w:tc>
          <w:tcPr>
            <w:tcW w:w="1417"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 xml:space="preserve">1289,688 </w:t>
            </w:r>
          </w:p>
        </w:tc>
        <w:tc>
          <w:tcPr>
            <w:tcW w:w="1560"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858,7133</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103,038</w:t>
            </w:r>
          </w:p>
        </w:tc>
        <w:tc>
          <w:tcPr>
            <w:tcW w:w="1523"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 xml:space="preserve">82,648 </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Cantitatea de deşeuri biodegradabile din deşeurile municipale depozitate (mii tone)</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111,289</w:t>
            </w:r>
          </w:p>
        </w:tc>
        <w:tc>
          <w:tcPr>
            <w:tcW w:w="1417"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89,693</w:t>
            </w:r>
          </w:p>
        </w:tc>
        <w:tc>
          <w:tcPr>
            <w:tcW w:w="1560"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95,804</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81,404</w:t>
            </w:r>
          </w:p>
        </w:tc>
        <w:tc>
          <w:tcPr>
            <w:tcW w:w="1523"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61,269</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Numărul de depozite municipale conforme în operare</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w:t>
            </w:r>
          </w:p>
        </w:tc>
        <w:tc>
          <w:tcPr>
            <w:tcW w:w="1417"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w:t>
            </w:r>
          </w:p>
        </w:tc>
        <w:tc>
          <w:tcPr>
            <w:tcW w:w="1560"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w:t>
            </w:r>
          </w:p>
        </w:tc>
        <w:tc>
          <w:tcPr>
            <w:tcW w:w="1523"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1</w:t>
            </w:r>
          </w:p>
        </w:tc>
      </w:tr>
      <w:tr w:rsidR="00A42550" w:rsidRPr="00A42550" w:rsidTr="00A42550">
        <w:tc>
          <w:tcPr>
            <w:tcW w:w="2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Numărul staţiilor de transfer şi/sau sortare existente</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0</w:t>
            </w:r>
          </w:p>
        </w:tc>
        <w:tc>
          <w:tcPr>
            <w:tcW w:w="1417"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0</w:t>
            </w:r>
          </w:p>
        </w:tc>
        <w:tc>
          <w:tcPr>
            <w:tcW w:w="1560"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0</w:t>
            </w:r>
          </w:p>
        </w:tc>
        <w:tc>
          <w:tcPr>
            <w:tcW w:w="1559"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2</w:t>
            </w:r>
          </w:p>
        </w:tc>
        <w:tc>
          <w:tcPr>
            <w:tcW w:w="1523" w:type="dxa"/>
            <w:vAlign w:val="center"/>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2</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Trebuie menţionat faptul că în judeţul Buzău colectarea deşeurilor municipale nu este generalizată. În figura de mai jos se prezintă evoluţia gradului de conectare la serviciul de salubrizare în perioada 2008-2012.</w:t>
      </w: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Figura VII.1.1.5.1.</w:t>
      </w:r>
      <w:r w:rsidRPr="00A42550">
        <w:rPr>
          <w:rFonts w:ascii="Arial" w:eastAsia="Times New Roman" w:hAnsi="Arial" w:cs="Arial"/>
          <w:sz w:val="24"/>
          <w:szCs w:val="24"/>
          <w:lang w:val="ro-RO"/>
        </w:rPr>
        <w:t xml:space="preserve"> </w:t>
      </w:r>
      <w:r w:rsidRPr="00A42550">
        <w:rPr>
          <w:rFonts w:ascii="Arial" w:eastAsia="Times New Roman" w:hAnsi="Arial" w:cs="Arial"/>
          <w:i/>
          <w:sz w:val="24"/>
          <w:szCs w:val="24"/>
          <w:lang w:val="ro-RO"/>
        </w:rPr>
        <w:t>Evoluţia gradului de conectare la serviciul de salubrizare în perioada 2008-2012.</w:t>
      </w: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r w:rsidRPr="00A42550">
        <w:rPr>
          <w:rFonts w:ascii="Arial" w:eastAsia="Times New Roman" w:hAnsi="Arial" w:cs="Arial"/>
          <w:noProof/>
          <w:sz w:val="24"/>
          <w:szCs w:val="24"/>
          <w:lang w:val="ro-RO" w:eastAsia="ro-RO"/>
        </w:rPr>
        <w:drawing>
          <wp:inline distT="0" distB="0" distL="0" distR="0">
            <wp:extent cx="4714875" cy="2447925"/>
            <wp:effectExtent l="19050" t="0" r="9525" b="0"/>
            <wp:docPr id="35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Din informaţiile de mai sus se observă o creştere a gradului de conectare la serviciul de salubrizare în mediul rural, în timp ce în mediul urban acesta nu are o evoluţie liniară. Fluctuaţiile gradului de conectare la servicii de salubrizare sunt generate atât de modificarea numărului de contracte individuale încheiate de operatorii serviciilor de </w:t>
      </w:r>
      <w:r w:rsidRPr="00A42550">
        <w:rPr>
          <w:rFonts w:ascii="Arial" w:eastAsia="Times New Roman" w:hAnsi="Arial" w:cs="Arial"/>
          <w:sz w:val="24"/>
          <w:szCs w:val="24"/>
          <w:lang w:val="ro-RO"/>
        </w:rPr>
        <w:lastRenderedPageBreak/>
        <w:t xml:space="preserve">salubrizare cu populaţia, cât şi de rezilierea unor contracte de concesionare a serviciilor publice de salubrizare.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lang w:val="ro-RO"/>
        </w:rPr>
        <w:t>În România, fracţia biodegradabilă din deşeurile municipale reprezintă o componentă importantă. În această categorie sunt cuprinse:</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sz w:val="24"/>
          <w:szCs w:val="24"/>
          <w:lang w:val="ro-RO"/>
        </w:rPr>
        <w:t xml:space="preserve">-  </w:t>
      </w:r>
      <w:r w:rsidRPr="00A42550">
        <w:rPr>
          <w:rFonts w:ascii="Arial" w:eastAsia="Times New Roman" w:hAnsi="Arial" w:cs="Arial"/>
          <w:sz w:val="24"/>
          <w:lang w:val="ro-RO"/>
        </w:rPr>
        <w:t>deşeuri biodegradabile rezultate în gospodării şi unităţi de alimentaţie publică;</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sz w:val="24"/>
          <w:szCs w:val="24"/>
          <w:lang w:val="ro-RO"/>
        </w:rPr>
        <w:t xml:space="preserve">-  </w:t>
      </w:r>
      <w:r w:rsidRPr="00A42550">
        <w:rPr>
          <w:rFonts w:ascii="Arial" w:eastAsia="Times New Roman" w:hAnsi="Arial" w:cs="Arial"/>
          <w:sz w:val="24"/>
          <w:lang w:val="ro-RO"/>
        </w:rPr>
        <w:t>deşeuri vegetale din parcuri, grădini;</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sz w:val="24"/>
          <w:szCs w:val="24"/>
          <w:lang w:val="ro-RO"/>
        </w:rPr>
        <w:t xml:space="preserve">-  </w:t>
      </w:r>
      <w:r w:rsidRPr="00A42550">
        <w:rPr>
          <w:rFonts w:ascii="Arial" w:eastAsia="Times New Roman" w:hAnsi="Arial" w:cs="Arial"/>
          <w:sz w:val="24"/>
          <w:lang w:val="ro-RO"/>
        </w:rPr>
        <w:t>deşeuri biodegradabile din pieţe;</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sz w:val="24"/>
          <w:szCs w:val="24"/>
          <w:lang w:val="ro-RO"/>
        </w:rPr>
        <w:t xml:space="preserve">-  </w:t>
      </w:r>
      <w:r w:rsidRPr="00A42550">
        <w:rPr>
          <w:rFonts w:ascii="Arial" w:eastAsia="Times New Roman" w:hAnsi="Arial" w:cs="Arial"/>
          <w:sz w:val="24"/>
          <w:lang w:val="ro-RO"/>
        </w:rPr>
        <w:t>componenta biodegradabilă din deşeurile stradale;</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sz w:val="24"/>
          <w:szCs w:val="24"/>
          <w:lang w:val="ro-RO"/>
        </w:rPr>
        <w:t xml:space="preserve">-  </w:t>
      </w:r>
      <w:r w:rsidRPr="00A42550">
        <w:rPr>
          <w:rFonts w:ascii="Arial" w:eastAsia="Times New Roman" w:hAnsi="Arial" w:cs="Arial"/>
          <w:sz w:val="24"/>
          <w:lang w:val="ro-RO"/>
        </w:rPr>
        <w:t>nămol de la epurarea apelor uzate orăşeneşti;</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hârtia, teoretic este biodegradabilă, dar din punctul de vedere al Planului Naţional de Gestionare a Deşeurilor, hârtia face parte din materialele reciclabile şi nu va fi inclusă în categoria biodegradabilelor, excepţie făcând hârtia de cea mai proastă calitate, cea care  nu poate fi reciclată.</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În judeţul Buzău nu există instalaţii de compostare a deşeurilor biodegradabile. Ca urmare, fracţiile biodegradabile din deşeurile municipale generate în zonele urbane sunt în totalitate eliminate prin depozitare. În multe localităţi din zona rurală se practică compostarea individuală a deşeurilor biodegradabile (în amestec cu gunoiul de grajd) însă aceste cantităţi nu pot fi estimate. În figura de mai jos este redată evoluţia cantităţii de deşeuri biodegradabile din deşeurile municipale depozitate.</w:t>
      </w: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Figura VII.1.1.5.2. Evoluţia cantităţii de deşeuri biodegradabile din deşeurile municipale </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depozitate</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noProof/>
          <w:sz w:val="24"/>
          <w:lang w:val="ro-RO" w:eastAsia="ro-RO"/>
        </w:rPr>
        <w:drawing>
          <wp:inline distT="0" distB="0" distL="0" distR="0">
            <wp:extent cx="4714875" cy="2371725"/>
            <wp:effectExtent l="19050" t="0" r="9525" b="0"/>
            <wp:docPr id="35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sz w:val="24"/>
          <w:lang w:val="ro-RO"/>
        </w:rPr>
        <w:t>Analizând datele prezentate în tabelul VII.1.1.6. şi graficele de mai sus se constată următoarele:</w:t>
      </w:r>
    </w:p>
    <w:p w:rsidR="00A42550" w:rsidRPr="00A42550" w:rsidRDefault="00A42550" w:rsidP="000A5EAD">
      <w:pPr>
        <w:numPr>
          <w:ilvl w:val="0"/>
          <w:numId w:val="15"/>
        </w:numPr>
        <w:tabs>
          <w:tab w:val="left" w:pos="142"/>
        </w:tabs>
        <w:spacing w:after="120" w:line="240" w:lineRule="auto"/>
        <w:ind w:left="0" w:firstLine="0"/>
        <w:jc w:val="both"/>
        <w:rPr>
          <w:rFonts w:ascii="Arial" w:eastAsia="Times New Roman" w:hAnsi="Arial" w:cs="Arial"/>
          <w:bCs/>
          <w:sz w:val="24"/>
          <w:szCs w:val="24"/>
          <w:lang w:val="ro-RO"/>
        </w:rPr>
      </w:pPr>
      <w:r w:rsidRPr="00A42550">
        <w:rPr>
          <w:rFonts w:ascii="Arial" w:eastAsia="Times New Roman" w:hAnsi="Arial" w:cs="Arial"/>
          <w:bCs/>
          <w:sz w:val="24"/>
          <w:szCs w:val="24"/>
          <w:lang w:val="ro-RO"/>
        </w:rPr>
        <w:t>Gradul de conectare la serviciile de salubritate a înregistrat o creştere anuală în perioada 2008-2011 şi o uşoară scădere în anul 2012 faţă de 2011. Acest lucru se datorează în mare parte faptului că, începând cu anul 2012 o parte din primării au reziliat contractele cu operatorii de salubritate şi şi-au înfiinţat propriile servicii. Perioada de câteva luni până la autorizarea serviciului de salubritate a ramas neacoperită, ceea ce a condus la scăderea populaţiei deservite din mediul rural. Se observă o tendinţă negativă faţă de ţintele stabilite în PJGD pentru anul 2012 (gradul de acoperire în mediul urban trebuia să fie de 100%, iar în mediul rural de 98%).</w:t>
      </w:r>
    </w:p>
    <w:p w:rsidR="00A42550" w:rsidRPr="00A42550" w:rsidRDefault="00A42550" w:rsidP="000A5EAD">
      <w:pPr>
        <w:numPr>
          <w:ilvl w:val="0"/>
          <w:numId w:val="14"/>
        </w:numPr>
        <w:tabs>
          <w:tab w:val="left" w:pos="142"/>
        </w:tabs>
        <w:autoSpaceDE w:val="0"/>
        <w:autoSpaceDN w:val="0"/>
        <w:adjustRightInd w:val="0"/>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 xml:space="preserve">Se constată o scădere an de an a  cantităţilor de deşeuri municipale colectate selectiv şi reciclate de către operatorii de salubritate. Această situaţie a apărut pe de o parte datorită faptului că deşeurile sunt luate din containerele amplasate pe domeniul public de diverse persoane fizice în scopul valorificării, iar pe de altă parte, primăriile preferă să predea contra cost deşeurile colectate selectiv către operatori autorizaţi pentru colectarea deşeurilor şi nu să le predea operatorului de salubritate care a amplasat containerele pe domeniul public. </w:t>
      </w:r>
    </w:p>
    <w:p w:rsidR="00A42550" w:rsidRPr="00A42550" w:rsidRDefault="00A42550" w:rsidP="000A5EAD">
      <w:pPr>
        <w:numPr>
          <w:ilvl w:val="0"/>
          <w:numId w:val="14"/>
        </w:numPr>
        <w:tabs>
          <w:tab w:val="left" w:pos="142"/>
        </w:tabs>
        <w:autoSpaceDE w:val="0"/>
        <w:autoSpaceDN w:val="0"/>
        <w:adjustRightInd w:val="0"/>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În prezent, în judeţ există 3 instalaţii de sortare a deşeurilor reciclabile din deşeurile menajere, două din anul 2011 (în cadrul staţiilor de transfer de la Beceni şi Cislău) şi una,  aparţinând SC Rer Ecologic Service SA (autorizată în decembrie 2014), ceea ce a dus la creşterea ratei de reciclare a deşeurilor în urma sortării. Acest lucru determină o scădere a cantităţii de deşeuri eliminate prin depozitare.</w:t>
      </w:r>
    </w:p>
    <w:p w:rsidR="00A42550" w:rsidRPr="00A42550" w:rsidRDefault="00A42550" w:rsidP="000A5EAD">
      <w:pPr>
        <w:numPr>
          <w:ilvl w:val="0"/>
          <w:numId w:val="14"/>
        </w:numPr>
        <w:tabs>
          <w:tab w:val="left" w:pos="142"/>
        </w:tabs>
        <w:spacing w:after="120" w:line="240" w:lineRule="auto"/>
        <w:ind w:left="0" w:firstLine="0"/>
        <w:jc w:val="both"/>
        <w:rPr>
          <w:rFonts w:ascii="Times New Roman" w:eastAsia="Times New Roman" w:hAnsi="Times New Roman"/>
          <w:sz w:val="24"/>
          <w:szCs w:val="24"/>
          <w:lang w:val="ro-RO"/>
        </w:rPr>
      </w:pPr>
      <w:r w:rsidRPr="00A42550">
        <w:rPr>
          <w:rFonts w:ascii="Arial" w:eastAsia="Times New Roman" w:hAnsi="Arial" w:cs="Arial"/>
          <w:sz w:val="24"/>
          <w:szCs w:val="24"/>
          <w:lang w:val="ro-RO"/>
        </w:rPr>
        <w:t>În judeţul Buzău, în prezent nu există nici o instalaţie pentru compostarea sau tratarea mecano - biologică a deşeurilor biodegradabile.</w:t>
      </w:r>
      <w:r w:rsidRPr="00A42550">
        <w:rPr>
          <w:rFonts w:ascii="Arial" w:eastAsia="Times New Roman" w:hAnsi="Arial" w:cs="Arial"/>
          <w:lang w:val="ro-RO"/>
        </w:rPr>
        <w:t xml:space="preserve"> C</w:t>
      </w:r>
      <w:r w:rsidRPr="00A42550">
        <w:rPr>
          <w:rFonts w:ascii="Arial" w:eastAsia="Times New Roman" w:hAnsi="Arial" w:cs="Arial"/>
          <w:sz w:val="24"/>
          <w:szCs w:val="24"/>
          <w:lang w:val="ro-RO"/>
        </w:rPr>
        <w:t>u excepţia compactării realizate în utilajele de transport (gunoiere, autocompactoare) deşeurile municipale nu sunt supuse niciunui proces de tratare prealabilă înaintea eliminării finale. Deşi în mediul rural se practică compostarea deşeurilor biodegradabile în gospodării, lipsindu-ne datele privind cantităţile genarate şi tratate, nu putem cuantifica cantitatea de astfel de deşeuri deviate de la depozitare. Dar, conform figurii VII.1.1.6</w:t>
      </w:r>
      <w:r w:rsidRPr="00A42550">
        <w:rPr>
          <w:rFonts w:ascii="Arial" w:eastAsia="Times New Roman" w:hAnsi="Arial" w:cs="Arial"/>
          <w:i/>
          <w:sz w:val="24"/>
          <w:szCs w:val="24"/>
          <w:lang w:val="ro-RO"/>
        </w:rPr>
        <w:t xml:space="preserve">. </w:t>
      </w:r>
      <w:r w:rsidRPr="00A42550">
        <w:rPr>
          <w:rFonts w:ascii="Arial" w:eastAsia="Times New Roman" w:hAnsi="Arial" w:cs="Arial"/>
          <w:sz w:val="24"/>
          <w:szCs w:val="24"/>
          <w:lang w:val="ro-RO"/>
        </w:rPr>
        <w:t>se poate observa o evoluţie descrescătoare a cantităţii de deşeuri biodegradabile depozitate.</w:t>
      </w:r>
      <w:r w:rsidRPr="00A42550">
        <w:rPr>
          <w:rFonts w:ascii="Times New Roman" w:eastAsia="Times New Roman" w:hAnsi="Times New Roman"/>
          <w:sz w:val="24"/>
          <w:szCs w:val="24"/>
          <w:lang w:val="ro-RO"/>
        </w:rPr>
        <w:t xml:space="preserve">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Soluţiile disponibile de recuperare/reciclare şi/sau de reducere cantităţilor de deşeuri biodegradabile sunt:</w:t>
      </w:r>
    </w:p>
    <w:p w:rsidR="00A42550" w:rsidRPr="00A42550" w:rsidRDefault="00A42550" w:rsidP="000A5EAD">
      <w:pPr>
        <w:numPr>
          <w:ilvl w:val="0"/>
          <w:numId w:val="10"/>
        </w:numPr>
        <w:autoSpaceDE w:val="0"/>
        <w:autoSpaceDN w:val="0"/>
        <w:adjustRightInd w:val="0"/>
        <w:spacing w:after="0" w:line="240" w:lineRule="auto"/>
        <w:ind w:left="357" w:hanging="357"/>
        <w:jc w:val="both"/>
        <w:rPr>
          <w:rFonts w:ascii="Arial" w:eastAsia="Times New Roman" w:hAnsi="Arial" w:cs="Arial"/>
          <w:sz w:val="24"/>
          <w:szCs w:val="24"/>
          <w:lang w:val="ro-RO"/>
        </w:rPr>
      </w:pPr>
      <w:r w:rsidRPr="00A42550">
        <w:rPr>
          <w:rFonts w:ascii="Arial" w:eastAsia="Times New Roman" w:hAnsi="Arial" w:cs="Arial"/>
          <w:sz w:val="24"/>
          <w:szCs w:val="24"/>
          <w:lang w:val="ro-RO"/>
        </w:rPr>
        <w:t>compostarea (degradare aerobă) – cu producere de compost utilizabil;</w:t>
      </w:r>
    </w:p>
    <w:p w:rsidR="00A42550" w:rsidRPr="00A42550" w:rsidRDefault="00A42550" w:rsidP="000A5EAD">
      <w:pPr>
        <w:numPr>
          <w:ilvl w:val="0"/>
          <w:numId w:val="10"/>
        </w:numPr>
        <w:autoSpaceDE w:val="0"/>
        <w:autoSpaceDN w:val="0"/>
        <w:adjustRightInd w:val="0"/>
        <w:spacing w:after="0" w:line="240" w:lineRule="auto"/>
        <w:ind w:left="357" w:hanging="357"/>
        <w:jc w:val="both"/>
        <w:rPr>
          <w:rFonts w:ascii="Arial" w:eastAsia="Times New Roman" w:hAnsi="Arial" w:cs="Arial"/>
          <w:sz w:val="24"/>
          <w:szCs w:val="24"/>
          <w:lang w:val="ro-RO"/>
        </w:rPr>
      </w:pPr>
      <w:r w:rsidRPr="00A42550">
        <w:rPr>
          <w:rFonts w:ascii="Arial" w:eastAsia="Times New Roman" w:hAnsi="Arial" w:cs="Arial"/>
          <w:sz w:val="24"/>
          <w:szCs w:val="24"/>
          <w:lang w:val="ro-RO"/>
        </w:rPr>
        <w:t>degradare anaerobă cu producere de gaz utilizabil,</w:t>
      </w:r>
    </w:p>
    <w:p w:rsidR="00A42550" w:rsidRPr="00A42550" w:rsidRDefault="00A42550" w:rsidP="000A5EAD">
      <w:pPr>
        <w:numPr>
          <w:ilvl w:val="0"/>
          <w:numId w:val="10"/>
        </w:numPr>
        <w:autoSpaceDE w:val="0"/>
        <w:autoSpaceDN w:val="0"/>
        <w:adjustRightInd w:val="0"/>
        <w:spacing w:after="120" w:line="240" w:lineRule="auto"/>
        <w:ind w:left="357" w:hanging="357"/>
        <w:jc w:val="both"/>
        <w:rPr>
          <w:rFonts w:ascii="Arial" w:eastAsia="Times New Roman" w:hAnsi="Arial" w:cs="Arial"/>
          <w:sz w:val="24"/>
          <w:szCs w:val="24"/>
          <w:lang w:val="ro-RO"/>
        </w:rPr>
      </w:pPr>
      <w:r w:rsidRPr="00A42550">
        <w:rPr>
          <w:rFonts w:ascii="Arial" w:eastAsia="Times New Roman" w:hAnsi="Arial" w:cs="Arial"/>
          <w:sz w:val="24"/>
          <w:szCs w:val="24"/>
          <w:lang w:val="ro-RO"/>
        </w:rPr>
        <w:t>tratare mecano - biologică (degradare aerobă) – cu producere de deşeuri stabilizate, depozitabile.</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Pentru a atinge ţintele pe termen scurt privind reducerea cantităţii de deşeuri biodegradabile (reducere cu 50% în 2013) cu implicarea unor investiţii minime, este necesară concentrarea asupra cantităţilor de deşeuri biodegradabile care pot fi colectate uşor şi tratate. Acestea includ în general hârtia, cartonul, lemnul şi ambalajele pentru reciclare, deşeurile din grădini şi parcuri şi deşeurile alimentare pentru compostare. Cantităţile de deşeuri biodegradabile care vor trebui colectate separat precum şi capacităţile necesare pentru tratarea şi prelucrarea  acestora au fost estimate în Planurile Judeţene şi Regionale pentru Gestionarea Deşeurilor.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Colectarea</w:t>
      </w:r>
      <w:r w:rsidRPr="00A42550">
        <w:rPr>
          <w:rFonts w:ascii="Arial" w:eastAsia="Times New Roman" w:hAnsi="Arial" w:cs="Arial"/>
          <w:sz w:val="24"/>
          <w:lang w:val="ro-RO"/>
        </w:rPr>
        <w:t xml:space="preserve"> separată a materiei biodegradabile poate fi realizată în toate regiunile în care populaţia locuieşte în „medii verzi”, gospodării cu grădini. Cel mai mare volum de deşeuri biodegradabile poate fi colectat în mediul rural  ş</w:t>
      </w:r>
      <w:r w:rsidRPr="00A42550">
        <w:rPr>
          <w:rFonts w:ascii="Arial" w:eastAsia="Times New Roman" w:hAnsi="Arial" w:cs="Arial"/>
          <w:sz w:val="24"/>
          <w:szCs w:val="24"/>
          <w:lang w:val="ro-RO"/>
        </w:rPr>
        <w:t>i este recomandabil ca în aceste zone să se realizeze compostarea individuală (reutilizarea materiilor biodegradabile în propriile gospodării).</w:t>
      </w:r>
    </w:p>
    <w:p w:rsidR="00A42550" w:rsidRPr="00A42550" w:rsidRDefault="00A42550" w:rsidP="00A42550">
      <w:pPr>
        <w:tabs>
          <w:tab w:val="left" w:pos="142"/>
        </w:tabs>
        <w:spacing w:after="120" w:line="240" w:lineRule="auto"/>
        <w:jc w:val="both"/>
        <w:rPr>
          <w:rFonts w:ascii="Arial" w:eastAsia="Times New Roman" w:hAnsi="Arial" w:cs="Arial"/>
          <w:b/>
          <w:sz w:val="24"/>
          <w:szCs w:val="24"/>
          <w:lang w:val="ro-RO"/>
        </w:rPr>
      </w:pPr>
      <w:r w:rsidRPr="00A42550">
        <w:rPr>
          <w:rFonts w:ascii="Arial" w:eastAsia="Times New Roman" w:hAnsi="Arial" w:cs="Arial"/>
          <w:b/>
          <w:sz w:val="24"/>
          <w:szCs w:val="24"/>
          <w:lang w:val="ro-RO"/>
        </w:rPr>
        <w:t>Gestionarea deşeurilor municipale</w:t>
      </w:r>
    </w:p>
    <w:p w:rsidR="00A42550" w:rsidRPr="00A42550" w:rsidRDefault="00A42550" w:rsidP="00A42550">
      <w:pPr>
        <w:widowControl w:val="0"/>
        <w:spacing w:after="120" w:line="240" w:lineRule="auto"/>
        <w:jc w:val="both"/>
        <w:rPr>
          <w:rFonts w:ascii="Arial" w:eastAsia="Times New Roman" w:hAnsi="Arial"/>
          <w:sz w:val="24"/>
          <w:szCs w:val="24"/>
          <w:lang w:val="ro-RO"/>
        </w:rPr>
      </w:pPr>
      <w:r w:rsidRPr="00A42550">
        <w:rPr>
          <w:rFonts w:ascii="Arial" w:eastAsia="Times New Roman" w:hAnsi="Arial"/>
          <w:sz w:val="24"/>
          <w:szCs w:val="24"/>
          <w:lang w:val="ro-RO"/>
        </w:rPr>
        <w:t>Gestionarea deşeurilor municipale presupune colectarea, transportul, valorificarea şi eliminarea acestora, inclusiv monitorizarea depozitelor de deşeuri după închidere.</w:t>
      </w:r>
    </w:p>
    <w:p w:rsidR="00A42550" w:rsidRPr="00A42550" w:rsidRDefault="00A42550" w:rsidP="00A42550">
      <w:pPr>
        <w:spacing w:after="120" w:line="240" w:lineRule="auto"/>
        <w:jc w:val="both"/>
        <w:rPr>
          <w:rFonts w:ascii="Arial" w:eastAsia="Times New Roman" w:hAnsi="Arial"/>
          <w:sz w:val="24"/>
          <w:szCs w:val="24"/>
          <w:lang w:val="ro-RO"/>
        </w:rPr>
      </w:pPr>
      <w:r w:rsidRPr="00A42550">
        <w:rPr>
          <w:rFonts w:ascii="Arial" w:eastAsia="Times New Roman" w:hAnsi="Arial"/>
          <w:sz w:val="24"/>
          <w:szCs w:val="24"/>
          <w:lang w:val="ro-RO"/>
        </w:rPr>
        <w:t>În România responsabilitatea pentru gestionarea deşeurilor municipale aparţine administraţiilor publice locale, care, în mod direct sau prin concesionarea serviciului de salubrizare către un operator economic autorizat, trebuie să asigure colectarea, colectarea selectivă, transportul, tratarea, valorificarea şi eliminarea finală a acestor deşeuri.</w:t>
      </w:r>
    </w:p>
    <w:p w:rsidR="00A42550" w:rsidRPr="00A42550" w:rsidRDefault="00A42550" w:rsidP="00A42550">
      <w:pPr>
        <w:spacing w:after="120" w:line="240" w:lineRule="auto"/>
        <w:jc w:val="both"/>
        <w:rPr>
          <w:rFonts w:ascii="Arial" w:eastAsia="Times New Roman" w:hAnsi="Arial"/>
          <w:sz w:val="24"/>
          <w:szCs w:val="24"/>
          <w:lang w:val="ro-RO"/>
        </w:rPr>
      </w:pPr>
      <w:r w:rsidRPr="00A42550">
        <w:rPr>
          <w:rFonts w:ascii="Arial" w:eastAsia="Times New Roman" w:hAnsi="Arial"/>
          <w:sz w:val="24"/>
          <w:szCs w:val="24"/>
          <w:lang w:val="ro-RO"/>
        </w:rPr>
        <w:t xml:space="preserve">La nivelul anului 2012, cca. 96% din cantitatea de deşeuri municipale colectată de operatorii de salubritate a fost eliminată prin depozitare, numai aprox. 4 % fiind valorificat prin reciclare materială sau valorificare energetică. </w:t>
      </w:r>
    </w:p>
    <w:p w:rsidR="00A42550" w:rsidRPr="00A42550" w:rsidRDefault="00A42550" w:rsidP="00A42550">
      <w:pPr>
        <w:spacing w:after="120" w:line="240" w:lineRule="auto"/>
        <w:jc w:val="both"/>
        <w:rPr>
          <w:rFonts w:ascii="Arial" w:eastAsia="Times New Roman" w:hAnsi="Arial"/>
          <w:sz w:val="24"/>
          <w:szCs w:val="24"/>
          <w:lang w:val="ro-RO"/>
        </w:rPr>
      </w:pPr>
      <w:r w:rsidRPr="00A42550">
        <w:rPr>
          <w:rFonts w:ascii="Arial" w:eastAsia="Times New Roman" w:hAnsi="Arial"/>
          <w:sz w:val="24"/>
          <w:szCs w:val="24"/>
          <w:lang w:val="ro-RO"/>
        </w:rPr>
        <w:lastRenderedPageBreak/>
        <w:t>Eliminarea deşeurilor municipale se realizează exclusiv prin depozitare. Până în prezent, în România nu au fost puse în funcţiune instalaţii pentru incinerarea deşeurilor municipale.</w:t>
      </w:r>
    </w:p>
    <w:p w:rsidR="00A42550" w:rsidRPr="00A42550" w:rsidRDefault="00A42550" w:rsidP="00A42550">
      <w:pPr>
        <w:spacing w:after="120" w:line="240" w:lineRule="auto"/>
        <w:jc w:val="both"/>
        <w:rPr>
          <w:rFonts w:ascii="Arial" w:eastAsia="Times New Roman" w:hAnsi="Arial"/>
          <w:sz w:val="24"/>
          <w:szCs w:val="24"/>
          <w:lang w:val="ro-RO"/>
        </w:rPr>
      </w:pPr>
      <w:r w:rsidRPr="00A42550">
        <w:rPr>
          <w:rFonts w:ascii="Arial" w:eastAsia="Times New Roman" w:hAnsi="Arial"/>
          <w:sz w:val="24"/>
          <w:szCs w:val="24"/>
          <w:lang w:val="ro-RO"/>
        </w:rPr>
        <w:t>În judeţul Buzău, depozitarea deşeurilor municipale se realizează atât în depozitul conform de deşeuri nepericuloase, operat de un operator privat, cât şi pe ultimul depozit neconform aflat în funcţiune, care va sista activitatea conform perioadelor de tranziţie negociate cu UE (prevăzute în H.G. nr. 349/2005 privind depozitarea deşeurilor).</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După sistarea depozitării deşeurilor menajere în depozite/spaţii neconforme (atât în zonele rurale cât şi urbane), deşeurile municipale în amestec colectate de către operatorii serviciilor de salubritate sunt eliminate în depozitul zonal de deşeuri nepericuloase de la Gălbinaşi, singurul depozit conform din judeţul Buzău şi în depozitul neconform Râmnicu Sărat.</w:t>
      </w:r>
    </w:p>
    <w:p w:rsidR="00A42550" w:rsidRPr="00A42550" w:rsidRDefault="00A42550" w:rsidP="00A42550">
      <w:pPr>
        <w:spacing w:after="120" w:line="240" w:lineRule="auto"/>
        <w:jc w:val="both"/>
        <w:rPr>
          <w:rFonts w:ascii="Arial" w:eastAsia="Times New Roman" w:hAnsi="Arial"/>
          <w:sz w:val="24"/>
          <w:szCs w:val="24"/>
          <w:lang w:val="en-GB"/>
        </w:rPr>
      </w:pPr>
      <w:r w:rsidRPr="00A42550">
        <w:rPr>
          <w:rFonts w:ascii="Arial" w:eastAsia="Times New Roman" w:hAnsi="Arial"/>
          <w:sz w:val="24"/>
          <w:szCs w:val="24"/>
          <w:lang w:val="en-GB"/>
        </w:rPr>
        <w:t>Până în acest moment, niciunul din depozitele municipale neconforme care au sistat activ</w:t>
      </w:r>
      <w:r w:rsidRPr="00A42550">
        <w:rPr>
          <w:rFonts w:ascii="Arial" w:eastAsia="Times New Roman" w:hAnsi="Arial"/>
          <w:sz w:val="24"/>
          <w:szCs w:val="24"/>
          <w:lang w:val="en-GB"/>
        </w:rPr>
        <w:t>i</w:t>
      </w:r>
      <w:r w:rsidRPr="00A42550">
        <w:rPr>
          <w:rFonts w:ascii="Arial" w:eastAsia="Times New Roman" w:hAnsi="Arial"/>
          <w:sz w:val="24"/>
          <w:szCs w:val="24"/>
          <w:lang w:val="en-GB"/>
        </w:rPr>
        <w:t>tatea nu a iniţiat închiderea conform unui proiect.</w:t>
      </w:r>
      <w:r w:rsidRPr="00A42550">
        <w:rPr>
          <w:rFonts w:ascii="Times New Roman" w:eastAsia="Times New Roman" w:hAnsi="Times New Roman"/>
          <w:sz w:val="24"/>
          <w:szCs w:val="24"/>
          <w:lang w:val="en-GB"/>
        </w:rPr>
        <w:t xml:space="preserve"> </w:t>
      </w:r>
    </w:p>
    <w:p w:rsidR="00A42550" w:rsidRPr="00A42550" w:rsidRDefault="00A42550" w:rsidP="00A42550">
      <w:pPr>
        <w:spacing w:after="120" w:line="240" w:lineRule="auto"/>
        <w:jc w:val="both"/>
        <w:rPr>
          <w:rFonts w:ascii="Arial" w:eastAsia="Times New Roman" w:hAnsi="Arial"/>
          <w:sz w:val="24"/>
          <w:szCs w:val="24"/>
          <w:lang w:val="ro-RO"/>
        </w:rPr>
      </w:pPr>
      <w:r w:rsidRPr="00A42550">
        <w:rPr>
          <w:rFonts w:ascii="Arial" w:eastAsia="Times New Roman" w:hAnsi="Arial"/>
          <w:sz w:val="24"/>
          <w:szCs w:val="24"/>
          <w:lang w:val="ro-RO"/>
        </w:rPr>
        <w:t xml:space="preserve">Dintre depozitele neconforme pentru deşeuri municipale, mai este în funcţiune doar depozitul Râmnicu Sărat, care va sista activitatea la 16.07.2017 şi care este operat de Primăria municipiului Râmnicu Sărat, prin Administraţia Domeniului Public. Deoarece Primăria municipiului Rm. Sărat nu a aderat la </w:t>
      </w:r>
      <w:r w:rsidRPr="00A42550">
        <w:rPr>
          <w:rFonts w:ascii="Arial" w:eastAsia="Times New Roman" w:hAnsi="Arial"/>
          <w:sz w:val="24"/>
          <w:szCs w:val="24"/>
          <w:lang w:val="en-GB"/>
        </w:rPr>
        <w:t>Asociaţia de Dezvoltare Intercomunitară de utilităţi publice pentru serviciul de salubrizare (ADI), beneficiară a proiectului ”Sistem de management integrat al deşeurilor în judeţul Buzău”</w:t>
      </w:r>
      <w:r w:rsidRPr="00A42550">
        <w:rPr>
          <w:rFonts w:ascii="Arial" w:eastAsia="Times New Roman" w:hAnsi="Arial"/>
          <w:sz w:val="24"/>
          <w:szCs w:val="24"/>
          <w:lang w:val="ro-RO"/>
        </w:rPr>
        <w:t>, închiderea conformă a acestui depozit va trebui să fie realizată individual prin eforturile autorităţii administraţiei publice locale.</w:t>
      </w:r>
    </w:p>
    <w:p w:rsidR="00A42550" w:rsidRPr="00A42550" w:rsidRDefault="00A42550" w:rsidP="00A42550">
      <w:pPr>
        <w:spacing w:after="120" w:line="240" w:lineRule="auto"/>
        <w:jc w:val="both"/>
        <w:rPr>
          <w:rFonts w:ascii="Arial" w:eastAsia="Times New Roman" w:hAnsi="Arial"/>
          <w:sz w:val="24"/>
          <w:szCs w:val="24"/>
          <w:lang w:val="ro-RO"/>
        </w:rPr>
      </w:pPr>
      <w:r w:rsidRPr="00A42550">
        <w:rPr>
          <w:rFonts w:ascii="Arial" w:eastAsia="Times New Roman" w:hAnsi="Arial"/>
          <w:sz w:val="24"/>
          <w:szCs w:val="24"/>
          <w:lang w:val="en-GB"/>
        </w:rPr>
        <w:t xml:space="preserve">Depozitul neconform care a deservit municipiul Buzău şi care  a sistat activitatea în anul 2003, nu a fost cuprins în HG nr. 349/2005. Deşi iniţial închiderea depozitului municipal neconform Buzău a fost inclusă în proiectul </w:t>
      </w:r>
      <w:r w:rsidRPr="00A42550">
        <w:rPr>
          <w:rFonts w:ascii="Arial" w:eastAsia="Times New Roman" w:hAnsi="Arial"/>
          <w:sz w:val="24"/>
          <w:szCs w:val="24"/>
          <w:lang w:val="ro-RO"/>
        </w:rPr>
        <w:t>“</w:t>
      </w:r>
      <w:r w:rsidRPr="00A42550">
        <w:rPr>
          <w:rFonts w:ascii="Arial" w:eastAsia="Times New Roman" w:hAnsi="Arial"/>
          <w:sz w:val="24"/>
          <w:szCs w:val="24"/>
          <w:lang w:val="en-GB"/>
        </w:rPr>
        <w:t>Sistem de management integrat al deşeurilor în judeţul Buzău”, datorită ieşirii Consiliul Local Municipal Buzău din ADI, închiderea ace</w:t>
      </w:r>
      <w:r w:rsidRPr="00A42550">
        <w:rPr>
          <w:rFonts w:ascii="Arial" w:eastAsia="Times New Roman" w:hAnsi="Arial"/>
          <w:sz w:val="24"/>
          <w:szCs w:val="24"/>
          <w:lang w:val="en-GB"/>
        </w:rPr>
        <w:t>s</w:t>
      </w:r>
      <w:r w:rsidRPr="00A42550">
        <w:rPr>
          <w:rFonts w:ascii="Arial" w:eastAsia="Times New Roman" w:hAnsi="Arial"/>
          <w:sz w:val="24"/>
          <w:szCs w:val="24"/>
          <w:lang w:val="en-GB"/>
        </w:rPr>
        <w:t xml:space="preserve">tuia va trebui să fie realizată de către </w:t>
      </w:r>
      <w:r w:rsidRPr="00A42550">
        <w:rPr>
          <w:rFonts w:ascii="Arial" w:eastAsia="Times New Roman" w:hAnsi="Arial"/>
          <w:sz w:val="24"/>
          <w:szCs w:val="24"/>
          <w:lang w:val="ro-RO"/>
        </w:rPr>
        <w:t>autoritatea administraţiei publice locale.</w:t>
      </w:r>
    </w:p>
    <w:p w:rsidR="00A42550" w:rsidRPr="00A42550" w:rsidRDefault="00A42550" w:rsidP="00A42550">
      <w:pPr>
        <w:spacing w:after="120" w:line="240" w:lineRule="auto"/>
        <w:jc w:val="both"/>
        <w:rPr>
          <w:rFonts w:ascii="Arial" w:eastAsia="Times New Roman" w:hAnsi="Arial"/>
          <w:sz w:val="24"/>
          <w:szCs w:val="24"/>
          <w:lang w:val="en-GB"/>
        </w:rPr>
      </w:pPr>
      <w:r w:rsidRPr="00A42550">
        <w:rPr>
          <w:rFonts w:ascii="Arial" w:eastAsia="Times New Roman" w:hAnsi="Arial"/>
          <w:sz w:val="24"/>
          <w:szCs w:val="24"/>
          <w:lang w:val="en-GB"/>
        </w:rPr>
        <w:t xml:space="preserve">Spre deosebire de depozitele premenţionate, depozitul neconform Nehoiu va fi închis prin proiectul </w:t>
      </w:r>
      <w:r w:rsidRPr="00A42550">
        <w:rPr>
          <w:rFonts w:ascii="Arial" w:eastAsia="Times New Roman" w:hAnsi="Arial"/>
          <w:sz w:val="24"/>
          <w:szCs w:val="24"/>
          <w:lang w:val="ro-RO"/>
        </w:rPr>
        <w:t>“</w:t>
      </w:r>
      <w:r w:rsidRPr="00A42550">
        <w:rPr>
          <w:rFonts w:ascii="Arial" w:eastAsia="Times New Roman" w:hAnsi="Arial"/>
          <w:sz w:val="24"/>
          <w:szCs w:val="24"/>
          <w:lang w:val="en-GB"/>
        </w:rPr>
        <w:t xml:space="preserve">Sistem de management integrat al deşeurilor în judeţul Buzău”. </w:t>
      </w:r>
    </w:p>
    <w:p w:rsidR="00A42550" w:rsidRPr="00A42550" w:rsidRDefault="00A42550" w:rsidP="00A42550">
      <w:pPr>
        <w:spacing w:after="120" w:line="240" w:lineRule="auto"/>
        <w:jc w:val="both"/>
        <w:rPr>
          <w:rFonts w:ascii="Arial" w:eastAsia="Times New Roman" w:hAnsi="Arial"/>
          <w:sz w:val="24"/>
          <w:szCs w:val="24"/>
        </w:rPr>
      </w:pPr>
      <w:r w:rsidRPr="00A42550">
        <w:rPr>
          <w:rFonts w:ascii="Arial" w:eastAsia="Times New Roman" w:hAnsi="Arial"/>
          <w:sz w:val="24"/>
          <w:szCs w:val="24"/>
          <w:lang w:val="ro-RO"/>
        </w:rPr>
        <w:t xml:space="preserve">În paralel, au fost realizate staţii de transfer şi sortare. La sfârşitul anului 2013 erau în funcţiune 3 staţii de transfer (Beceni, Cislău şi Râmnicu Sărat) şi 2 instalaţii de sortare în cadrul staţiilor de transfer Beceni şi Cislău. În anul 2014 a fost autorizată şi staţia de sortare aparţinând SC Rer Ecologic Service SA , amplasată în comuna Vadu Paşii, cu o capacitate de 40000 tone/an. Aceasta realizează sortarea deşeurilor municipale în amestec, a deşeurilor reciclabile colectate în amestec de la populaţia municipiului Buzău (proiectul pilot </w:t>
      </w:r>
      <w:r w:rsidRPr="00A42550">
        <w:rPr>
          <w:rFonts w:ascii="Arial" w:eastAsia="Times New Roman" w:hAnsi="Arial"/>
          <w:sz w:val="24"/>
          <w:szCs w:val="24"/>
        </w:rPr>
        <w:t>“</w:t>
      </w:r>
      <w:r w:rsidRPr="00A42550">
        <w:rPr>
          <w:rFonts w:ascii="Arial" w:eastAsia="Times New Roman" w:hAnsi="Arial"/>
          <w:sz w:val="24"/>
          <w:szCs w:val="24"/>
          <w:lang w:val="ro-RO"/>
        </w:rPr>
        <w:t>Sacul galben</w:t>
      </w:r>
      <w:r w:rsidRPr="00A42550">
        <w:rPr>
          <w:rFonts w:ascii="Arial" w:eastAsia="Times New Roman" w:hAnsi="Arial"/>
          <w:sz w:val="24"/>
          <w:szCs w:val="24"/>
        </w:rPr>
        <w:t>” ini</w:t>
      </w:r>
      <w:r w:rsidRPr="00A42550">
        <w:rPr>
          <w:rFonts w:ascii="Arial" w:eastAsia="Times New Roman" w:hAnsi="Arial"/>
          <w:sz w:val="24"/>
          <w:szCs w:val="24"/>
          <w:lang w:val="ro-RO"/>
        </w:rPr>
        <w:t>ţ</w:t>
      </w:r>
      <w:r w:rsidRPr="00A42550">
        <w:rPr>
          <w:rFonts w:ascii="Arial" w:eastAsia="Times New Roman" w:hAnsi="Arial"/>
          <w:sz w:val="24"/>
          <w:szCs w:val="24"/>
        </w:rPr>
        <w:t>iat în parteneriat cu primăria municipiului Buzău), respe</w:t>
      </w:r>
      <w:r w:rsidRPr="00A42550">
        <w:rPr>
          <w:rFonts w:ascii="Arial" w:eastAsia="Times New Roman" w:hAnsi="Arial"/>
          <w:sz w:val="24"/>
          <w:szCs w:val="24"/>
        </w:rPr>
        <w:t>c</w:t>
      </w:r>
      <w:r w:rsidRPr="00A42550">
        <w:rPr>
          <w:rFonts w:ascii="Arial" w:eastAsia="Times New Roman" w:hAnsi="Arial"/>
          <w:sz w:val="24"/>
          <w:szCs w:val="24"/>
        </w:rPr>
        <w:t>tive a fracţiilor de deşeuri municipale colectate selectiv.</w:t>
      </w:r>
    </w:p>
    <w:p w:rsidR="00A42550" w:rsidRPr="00A42550" w:rsidRDefault="00A42550" w:rsidP="00A42550">
      <w:pPr>
        <w:spacing w:after="120" w:line="240" w:lineRule="auto"/>
        <w:jc w:val="both"/>
        <w:outlineLvl w:val="0"/>
        <w:rPr>
          <w:rFonts w:ascii="Arial" w:eastAsia="Times New Roman" w:hAnsi="Arial"/>
          <w:sz w:val="24"/>
          <w:szCs w:val="24"/>
        </w:rPr>
      </w:pPr>
      <w:r w:rsidRPr="00A42550">
        <w:rPr>
          <w:rFonts w:ascii="Arial" w:eastAsia="Times New Roman" w:hAnsi="Arial"/>
          <w:sz w:val="24"/>
          <w:szCs w:val="24"/>
        </w:rPr>
        <w:t>În ceea ce priveşte proiectul „Sistem de management integrat al deşeurilor în judeţul Buzău”, pentru care s-a depus cerere de finanţare prin POS „MEDIU” 2007-2013, datorită numeroaselor modificări aduse variantei iniţiale şi problemelor survenite din punct de v</w:t>
      </w:r>
      <w:r w:rsidRPr="00A42550">
        <w:rPr>
          <w:rFonts w:ascii="Arial" w:eastAsia="Times New Roman" w:hAnsi="Arial"/>
          <w:sz w:val="24"/>
          <w:szCs w:val="24"/>
        </w:rPr>
        <w:t>e</w:t>
      </w:r>
      <w:r w:rsidRPr="00A42550">
        <w:rPr>
          <w:rFonts w:ascii="Arial" w:eastAsia="Times New Roman" w:hAnsi="Arial"/>
          <w:sz w:val="24"/>
          <w:szCs w:val="24"/>
        </w:rPr>
        <w:t>dere al proprietăţii terenurilor, se speră ca finanţarea să fie fazată pentru noua perioadă de finanţare, 2014-2020. În ceea ce priveşte stadiul reglementării din punct de vedere al protecţiei mediului, situaţia se prezintă astfel: în anul 2012 a fost emisă decizia pentru et</w:t>
      </w:r>
      <w:r w:rsidRPr="00A42550">
        <w:rPr>
          <w:rFonts w:ascii="Arial" w:eastAsia="Times New Roman" w:hAnsi="Arial"/>
          <w:sz w:val="24"/>
          <w:szCs w:val="24"/>
        </w:rPr>
        <w:t>a</w:t>
      </w:r>
      <w:r w:rsidRPr="00A42550">
        <w:rPr>
          <w:rFonts w:ascii="Arial" w:eastAsia="Times New Roman" w:hAnsi="Arial"/>
          <w:sz w:val="24"/>
          <w:szCs w:val="24"/>
        </w:rPr>
        <w:t>pa de evaluare iniţială, în anul 2013, decizia etapei de încadrare, a fost depus raportul la studiul privind impactul asupra mediului asupra căruia s-au solicitat modificări şi completări; pentru componentele proiectului amplasate în extravilanul localităţii Cochi</w:t>
      </w:r>
      <w:r w:rsidRPr="00A42550">
        <w:rPr>
          <w:rFonts w:ascii="Arial" w:eastAsia="Times New Roman" w:hAnsi="Arial"/>
          <w:sz w:val="24"/>
          <w:szCs w:val="24"/>
        </w:rPr>
        <w:t>r</w:t>
      </w:r>
      <w:r w:rsidRPr="00A42550">
        <w:rPr>
          <w:rFonts w:ascii="Arial" w:eastAsia="Times New Roman" w:hAnsi="Arial"/>
          <w:sz w:val="24"/>
          <w:szCs w:val="24"/>
        </w:rPr>
        <w:t>leanca, la începutul anului 2015, s-a finalizat procedura SEA prin emiterea avizului de m</w:t>
      </w:r>
      <w:r w:rsidRPr="00A42550">
        <w:rPr>
          <w:rFonts w:ascii="Arial" w:eastAsia="Times New Roman" w:hAnsi="Arial"/>
          <w:sz w:val="24"/>
          <w:szCs w:val="24"/>
        </w:rPr>
        <w:t>e</w:t>
      </w:r>
      <w:r w:rsidRPr="00A42550">
        <w:rPr>
          <w:rFonts w:ascii="Arial" w:eastAsia="Times New Roman" w:hAnsi="Arial"/>
          <w:sz w:val="24"/>
          <w:szCs w:val="24"/>
        </w:rPr>
        <w:t>diu pentru “Planul Urbanistic Zonal - Depozit ecologic pentru deşeuri menajere, staţie de tratare mecano-biologică, staţie de compostare şi staţie de sortare a deşeurilor, comuna Cochirleanca, judeţul Buzău”.</w:t>
      </w:r>
    </w:p>
    <w:p w:rsidR="00A42550" w:rsidRPr="00A42550" w:rsidRDefault="00A42550" w:rsidP="00A42550">
      <w:pPr>
        <w:spacing w:after="0" w:line="240" w:lineRule="auto"/>
        <w:rPr>
          <w:rFonts w:ascii="Times New Roman" w:eastAsia="Times New Roman" w:hAnsi="Times New Roman"/>
          <w:b/>
          <w:i/>
          <w:sz w:val="28"/>
          <w:szCs w:val="28"/>
          <w:u w:val="single"/>
          <w:lang w:val="en-GB"/>
        </w:rPr>
      </w:pPr>
      <w:r w:rsidRPr="00A42550">
        <w:rPr>
          <w:rFonts w:ascii="Times New Roman" w:eastAsia="Times New Roman" w:hAnsi="Times New Roman"/>
          <w:b/>
          <w:i/>
          <w:sz w:val="28"/>
          <w:szCs w:val="28"/>
          <w:u w:val="single"/>
          <w:lang w:val="en-GB"/>
        </w:rPr>
        <w:lastRenderedPageBreak/>
        <w:t>Indicatori de dezvoltare durabilă privind deşeurile municipale</w:t>
      </w:r>
    </w:p>
    <w:p w:rsidR="00A42550" w:rsidRPr="00A42550" w:rsidRDefault="00A42550" w:rsidP="00A42550">
      <w:pPr>
        <w:spacing w:after="0" w:line="240" w:lineRule="auto"/>
        <w:rPr>
          <w:rFonts w:ascii="Arial" w:eastAsia="Times New Roman" w:hAnsi="Arial" w:cs="Arial"/>
          <w:i/>
          <w:sz w:val="24"/>
          <w:szCs w:val="24"/>
          <w:lang w:val="ro-RO"/>
        </w:rPr>
      </w:pP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În conformitate cu recomandările EUROSTAT (</w:t>
      </w:r>
      <w:r w:rsidRPr="00A42550">
        <w:rPr>
          <w:rFonts w:ascii="Arial" w:eastAsia="Times New Roman" w:hAnsi="Arial" w:cs="Arial"/>
          <w:i/>
          <w:sz w:val="24"/>
          <w:szCs w:val="24"/>
          <w:lang w:val="en-GB"/>
        </w:rPr>
        <w:t>Ghidul privind colectarea datelor referitoare la deşeurile municipale</w:t>
      </w:r>
      <w:r w:rsidRPr="00A42550">
        <w:rPr>
          <w:rFonts w:ascii="Arial" w:eastAsia="Times New Roman" w:hAnsi="Arial" w:cs="Arial"/>
          <w:sz w:val="24"/>
          <w:szCs w:val="24"/>
          <w:lang w:val="en-GB"/>
        </w:rPr>
        <w:t>), deşeurile municipale reprezintă deşeuri menajere şi asimilabile, generate din gospodării, instituţii, unităţi comerciale şi de la operatori economici.</w:t>
      </w: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Sunt incluse:</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Deşeurile voluminoase (inclusiv DEEE provenite de la populaţie)</w:t>
      </w:r>
    </w:p>
    <w:p w:rsidR="00A42550" w:rsidRPr="00A42550" w:rsidRDefault="00A42550" w:rsidP="000A5EAD">
      <w:pPr>
        <w:numPr>
          <w:ilvl w:val="0"/>
          <w:numId w:val="19"/>
        </w:numPr>
        <w:tabs>
          <w:tab w:val="left" w:pos="284"/>
          <w:tab w:val="left" w:pos="567"/>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Deşeurile din parcuri, grădini şi de la curăţenia străzilor, inclusiv conţinutul coşurilor de</w:t>
      </w:r>
    </w:p>
    <w:p w:rsidR="00A42550" w:rsidRPr="00A42550" w:rsidRDefault="00A42550" w:rsidP="00A42550">
      <w:pPr>
        <w:tabs>
          <w:tab w:val="left" w:pos="284"/>
          <w:tab w:val="left" w:pos="567"/>
        </w:tabs>
        <w:spacing w:after="120" w:line="240" w:lineRule="auto"/>
        <w:contextualSpacing/>
        <w:jc w:val="both"/>
        <w:rPr>
          <w:rFonts w:ascii="Arial" w:eastAsia="Times New Roman" w:hAnsi="Arial" w:cs="Arial"/>
          <w:sz w:val="24"/>
          <w:szCs w:val="24"/>
        </w:rPr>
      </w:pPr>
      <w:r w:rsidRPr="00A42550">
        <w:rPr>
          <w:rFonts w:ascii="Arial" w:eastAsia="Times New Roman" w:hAnsi="Arial" w:cs="Arial"/>
          <w:sz w:val="24"/>
          <w:szCs w:val="24"/>
        </w:rPr>
        <w:t xml:space="preserve">     gunoi stradale</w:t>
      </w:r>
    </w:p>
    <w:p w:rsidR="00A42550" w:rsidRPr="00A42550" w:rsidRDefault="00A42550" w:rsidP="00A42550">
      <w:pPr>
        <w:spacing w:after="120" w:line="240" w:lineRule="auto"/>
        <w:contextualSpacing/>
        <w:rPr>
          <w:rFonts w:ascii="Arial" w:eastAsia="Times New Roman" w:hAnsi="Arial" w:cs="Arial"/>
          <w:sz w:val="24"/>
          <w:szCs w:val="24"/>
          <w:lang w:val="en-GB"/>
        </w:rPr>
      </w:pPr>
      <w:r w:rsidRPr="00A42550">
        <w:rPr>
          <w:rFonts w:ascii="Arial" w:eastAsia="Times New Roman" w:hAnsi="Arial" w:cs="Arial"/>
          <w:sz w:val="24"/>
          <w:szCs w:val="24"/>
          <w:lang w:val="en-GB"/>
        </w:rPr>
        <w:t>După modul de colectare, deşeurile municipale sunt:</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Colectate de sau în numele municipalităţilor;</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Colectate direct de operatori economici privaţi – valabil pentru DEEE şi alte tipuri de</w:t>
      </w:r>
    </w:p>
    <w:p w:rsidR="00A42550" w:rsidRPr="00A42550" w:rsidRDefault="00A42550" w:rsidP="00A42550">
      <w:pPr>
        <w:tabs>
          <w:tab w:val="left" w:pos="284"/>
        </w:tabs>
        <w:spacing w:after="120" w:line="240" w:lineRule="auto"/>
        <w:contextualSpacing/>
        <w:jc w:val="both"/>
        <w:rPr>
          <w:rFonts w:ascii="Arial" w:eastAsia="Times New Roman" w:hAnsi="Arial" w:cs="Arial"/>
          <w:sz w:val="24"/>
          <w:szCs w:val="24"/>
        </w:rPr>
      </w:pPr>
      <w:r w:rsidRPr="00A42550">
        <w:rPr>
          <w:rFonts w:ascii="Arial" w:eastAsia="Times New Roman" w:hAnsi="Arial" w:cs="Arial"/>
          <w:sz w:val="24"/>
          <w:szCs w:val="24"/>
        </w:rPr>
        <w:t xml:space="preserve">    deşeuri reciclabile;</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Generate şi necolectate printr-un operator de salubritate, ci gestionate direct de</w:t>
      </w:r>
    </w:p>
    <w:p w:rsidR="00A42550" w:rsidRPr="00A42550" w:rsidRDefault="00A42550" w:rsidP="00A42550">
      <w:pPr>
        <w:tabs>
          <w:tab w:val="left" w:pos="284"/>
        </w:tabs>
        <w:spacing w:after="120" w:line="240" w:lineRule="auto"/>
        <w:jc w:val="both"/>
        <w:rPr>
          <w:rFonts w:ascii="Arial" w:eastAsia="Times New Roman" w:hAnsi="Arial" w:cs="Arial"/>
          <w:sz w:val="24"/>
          <w:szCs w:val="24"/>
        </w:rPr>
      </w:pPr>
      <w:r w:rsidRPr="00A42550">
        <w:rPr>
          <w:rFonts w:ascii="Arial" w:eastAsia="Times New Roman" w:hAnsi="Arial" w:cs="Arial"/>
          <w:sz w:val="24"/>
          <w:szCs w:val="24"/>
        </w:rPr>
        <w:t xml:space="preserve">     generator;</w:t>
      </w:r>
    </w:p>
    <w:p w:rsidR="00A42550" w:rsidRPr="00A42550" w:rsidRDefault="00A42550" w:rsidP="00A42550">
      <w:pPr>
        <w:tabs>
          <w:tab w:val="left" w:pos="284"/>
        </w:tabs>
        <w:spacing w:after="120" w:line="240" w:lineRule="auto"/>
        <w:jc w:val="both"/>
        <w:rPr>
          <w:rFonts w:ascii="Arial" w:eastAsia="Times New Roman" w:hAnsi="Arial" w:cs="Arial"/>
          <w:sz w:val="24"/>
          <w:szCs w:val="24"/>
        </w:rPr>
      </w:pPr>
      <w:r w:rsidRPr="00A42550">
        <w:rPr>
          <w:rFonts w:ascii="Arial" w:eastAsia="Times New Roman" w:hAnsi="Arial" w:cs="Arial"/>
          <w:sz w:val="24"/>
          <w:szCs w:val="24"/>
        </w:rPr>
        <w:t>Sunt excluse:</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Nămolurile de la epurarea apelor uzate orăşeneşti;</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rPr>
      </w:pPr>
      <w:r w:rsidRPr="00A42550">
        <w:rPr>
          <w:rFonts w:ascii="Arial" w:eastAsia="Times New Roman" w:hAnsi="Arial" w:cs="Arial"/>
          <w:sz w:val="24"/>
          <w:szCs w:val="24"/>
        </w:rPr>
        <w:t>Deşeurile din construcţii şi demolări;</w:t>
      </w: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Indicatorii de dezvoltare durabilă privind deşeurile municipale se referă la:</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Deşeuri municipale generate</w:t>
      </w:r>
    </w:p>
    <w:p w:rsidR="00A42550" w:rsidRPr="00A42550" w:rsidRDefault="00A42550" w:rsidP="000A5EAD">
      <w:pPr>
        <w:numPr>
          <w:ilvl w:val="0"/>
          <w:numId w:val="19"/>
        </w:numPr>
        <w:tabs>
          <w:tab w:val="left" w:pos="284"/>
        </w:tabs>
        <w:spacing w:after="120" w:line="240" w:lineRule="auto"/>
        <w:ind w:left="0" w:firstLine="0"/>
        <w:contextualSpacing/>
        <w:jc w:val="both"/>
        <w:rPr>
          <w:rFonts w:ascii="Arial" w:eastAsia="Times New Roman" w:hAnsi="Arial" w:cs="Arial"/>
          <w:sz w:val="24"/>
          <w:szCs w:val="24"/>
        </w:rPr>
      </w:pPr>
      <w:r w:rsidRPr="00A42550">
        <w:rPr>
          <w:rFonts w:ascii="Arial" w:eastAsia="Times New Roman" w:hAnsi="Arial" w:cs="Arial"/>
          <w:sz w:val="24"/>
          <w:szCs w:val="24"/>
        </w:rPr>
        <w:t>Deşeuri municipale tratate prin:</w:t>
      </w:r>
    </w:p>
    <w:p w:rsidR="00A42550" w:rsidRPr="00A42550" w:rsidRDefault="00A42550" w:rsidP="000A5EAD">
      <w:pPr>
        <w:numPr>
          <w:ilvl w:val="1"/>
          <w:numId w:val="18"/>
        </w:numPr>
        <w:spacing w:after="0" w:line="240" w:lineRule="auto"/>
        <w:contextualSpacing/>
        <w:jc w:val="both"/>
        <w:rPr>
          <w:rFonts w:ascii="Arial" w:eastAsia="Times New Roman" w:hAnsi="Arial" w:cs="Arial"/>
          <w:sz w:val="24"/>
          <w:szCs w:val="24"/>
        </w:rPr>
      </w:pPr>
      <w:r w:rsidRPr="00A42550">
        <w:rPr>
          <w:rFonts w:ascii="Arial" w:eastAsia="Times New Roman" w:hAnsi="Arial" w:cs="Arial"/>
          <w:sz w:val="24"/>
          <w:szCs w:val="24"/>
        </w:rPr>
        <w:t>Incinerare</w:t>
      </w:r>
    </w:p>
    <w:p w:rsidR="00A42550" w:rsidRPr="00A42550" w:rsidRDefault="00A42550" w:rsidP="000A5EAD">
      <w:pPr>
        <w:numPr>
          <w:ilvl w:val="1"/>
          <w:numId w:val="18"/>
        </w:numPr>
        <w:spacing w:after="0" w:line="240" w:lineRule="auto"/>
        <w:contextualSpacing/>
        <w:jc w:val="both"/>
        <w:rPr>
          <w:rFonts w:ascii="Arial" w:eastAsia="Times New Roman" w:hAnsi="Arial" w:cs="Arial"/>
          <w:sz w:val="24"/>
          <w:szCs w:val="24"/>
        </w:rPr>
      </w:pPr>
      <w:r w:rsidRPr="00A42550">
        <w:rPr>
          <w:rFonts w:ascii="Arial" w:eastAsia="Times New Roman" w:hAnsi="Arial" w:cs="Arial"/>
          <w:sz w:val="24"/>
          <w:szCs w:val="24"/>
        </w:rPr>
        <w:t>Valorificare energetică</w:t>
      </w:r>
    </w:p>
    <w:p w:rsidR="00A42550" w:rsidRPr="00A42550" w:rsidRDefault="00A42550" w:rsidP="000A5EAD">
      <w:pPr>
        <w:numPr>
          <w:ilvl w:val="1"/>
          <w:numId w:val="18"/>
        </w:numPr>
        <w:spacing w:after="0" w:line="240" w:lineRule="auto"/>
        <w:contextualSpacing/>
        <w:jc w:val="both"/>
        <w:rPr>
          <w:rFonts w:ascii="Arial" w:eastAsia="Times New Roman" w:hAnsi="Arial" w:cs="Arial"/>
          <w:sz w:val="24"/>
          <w:szCs w:val="24"/>
        </w:rPr>
      </w:pPr>
      <w:r w:rsidRPr="00A42550">
        <w:rPr>
          <w:rFonts w:ascii="Arial" w:eastAsia="Times New Roman" w:hAnsi="Arial" w:cs="Arial"/>
          <w:sz w:val="24"/>
          <w:szCs w:val="24"/>
        </w:rPr>
        <w:t>Depozitare</w:t>
      </w:r>
    </w:p>
    <w:p w:rsidR="00A42550" w:rsidRPr="00A42550" w:rsidRDefault="00A42550" w:rsidP="000A5EAD">
      <w:pPr>
        <w:numPr>
          <w:ilvl w:val="1"/>
          <w:numId w:val="18"/>
        </w:numPr>
        <w:spacing w:after="0" w:line="240" w:lineRule="auto"/>
        <w:contextualSpacing/>
        <w:jc w:val="both"/>
        <w:rPr>
          <w:rFonts w:ascii="Arial" w:eastAsia="Times New Roman" w:hAnsi="Arial" w:cs="Arial"/>
          <w:sz w:val="24"/>
          <w:szCs w:val="24"/>
        </w:rPr>
      </w:pPr>
      <w:r w:rsidRPr="00A42550">
        <w:rPr>
          <w:rFonts w:ascii="Arial" w:eastAsia="Times New Roman" w:hAnsi="Arial" w:cs="Arial"/>
          <w:sz w:val="24"/>
          <w:szCs w:val="24"/>
        </w:rPr>
        <w:t>Reciclare (exclusiv compostare şi digestie anaerobă)</w:t>
      </w:r>
    </w:p>
    <w:p w:rsidR="00A42550" w:rsidRPr="00A42550" w:rsidRDefault="00A42550" w:rsidP="000A5EAD">
      <w:pPr>
        <w:numPr>
          <w:ilvl w:val="1"/>
          <w:numId w:val="18"/>
        </w:numPr>
        <w:spacing w:after="120" w:line="240" w:lineRule="auto"/>
        <w:contextualSpacing/>
        <w:jc w:val="both"/>
        <w:rPr>
          <w:rFonts w:ascii="Arial" w:eastAsia="Times New Roman" w:hAnsi="Arial" w:cs="Arial"/>
          <w:sz w:val="24"/>
          <w:szCs w:val="24"/>
        </w:rPr>
      </w:pPr>
      <w:r w:rsidRPr="00A42550">
        <w:rPr>
          <w:rFonts w:ascii="Arial" w:eastAsia="Times New Roman" w:hAnsi="Arial" w:cs="Arial"/>
          <w:sz w:val="24"/>
          <w:szCs w:val="24"/>
        </w:rPr>
        <w:t>Compostare</w:t>
      </w: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Conform recomandărilor ghidului EUROSTAT, fluxurile de deşeuri reciclabile (hârtie, pla</w:t>
      </w:r>
      <w:r w:rsidRPr="00A42550">
        <w:rPr>
          <w:rFonts w:ascii="Arial" w:eastAsia="Times New Roman" w:hAnsi="Arial" w:cs="Arial"/>
          <w:sz w:val="24"/>
          <w:szCs w:val="24"/>
          <w:lang w:val="en-GB"/>
        </w:rPr>
        <w:t>s</w:t>
      </w:r>
      <w:r w:rsidRPr="00A42550">
        <w:rPr>
          <w:rFonts w:ascii="Arial" w:eastAsia="Times New Roman" w:hAnsi="Arial" w:cs="Arial"/>
          <w:sz w:val="24"/>
          <w:szCs w:val="24"/>
          <w:lang w:val="en-GB"/>
        </w:rPr>
        <w:t>tic, metal etc.) care rezultă din instalaţiile de sortare şi care sunt ulterior trimise către inst</w:t>
      </w:r>
      <w:r w:rsidRPr="00A42550">
        <w:rPr>
          <w:rFonts w:ascii="Arial" w:eastAsia="Times New Roman" w:hAnsi="Arial" w:cs="Arial"/>
          <w:sz w:val="24"/>
          <w:szCs w:val="24"/>
          <w:lang w:val="en-GB"/>
        </w:rPr>
        <w:t>a</w:t>
      </w:r>
      <w:r w:rsidRPr="00A42550">
        <w:rPr>
          <w:rFonts w:ascii="Arial" w:eastAsia="Times New Roman" w:hAnsi="Arial" w:cs="Arial"/>
          <w:sz w:val="24"/>
          <w:szCs w:val="24"/>
          <w:lang w:val="en-GB"/>
        </w:rPr>
        <w:t>laţii de reciclare sunt luate în calcul ca fiind reciclate.</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en-GB"/>
        </w:rPr>
        <w:t>Având în vedere cele de mai sus, la nivelul judeţului Bu</w:t>
      </w:r>
      <w:r w:rsidRPr="00A42550">
        <w:rPr>
          <w:rFonts w:ascii="Arial" w:eastAsia="Times New Roman" w:hAnsi="Arial" w:cs="Arial"/>
          <w:sz w:val="24"/>
          <w:szCs w:val="24"/>
          <w:lang w:val="ro-RO"/>
        </w:rPr>
        <w:t>zău,</w:t>
      </w:r>
      <w:r w:rsidRPr="00A42550">
        <w:rPr>
          <w:rFonts w:ascii="Arial" w:eastAsia="Times New Roman" w:hAnsi="Arial" w:cs="Arial"/>
          <w:sz w:val="24"/>
          <w:szCs w:val="24"/>
          <w:lang w:val="en-GB"/>
        </w:rPr>
        <w:t xml:space="preserve"> au fost calculaţi următorii ind</w:t>
      </w:r>
      <w:r w:rsidRPr="00A42550">
        <w:rPr>
          <w:rFonts w:ascii="Arial" w:eastAsia="Times New Roman" w:hAnsi="Arial" w:cs="Arial"/>
          <w:sz w:val="24"/>
          <w:szCs w:val="24"/>
          <w:lang w:val="en-GB"/>
        </w:rPr>
        <w:t>i</w:t>
      </w:r>
      <w:r w:rsidRPr="00A42550">
        <w:rPr>
          <w:rFonts w:ascii="Arial" w:eastAsia="Times New Roman" w:hAnsi="Arial" w:cs="Arial"/>
          <w:sz w:val="24"/>
          <w:szCs w:val="24"/>
          <w:lang w:val="en-GB"/>
        </w:rPr>
        <w:t>catori privind deşeurile municipale</w:t>
      </w:r>
      <w:r w:rsidRPr="00A42550">
        <w:rPr>
          <w:rFonts w:ascii="Arial" w:eastAsia="Times New Roman" w:hAnsi="Arial" w:cs="Arial"/>
          <w:sz w:val="24"/>
          <w:szCs w:val="24"/>
          <w:lang w:val="ro-RO"/>
        </w:rPr>
        <w:t>:</w:t>
      </w:r>
    </w:p>
    <w:p w:rsidR="00A42550" w:rsidRPr="00A42550" w:rsidRDefault="00A42550" w:rsidP="000A5EAD">
      <w:pPr>
        <w:numPr>
          <w:ilvl w:val="0"/>
          <w:numId w:val="20"/>
        </w:numPr>
        <w:spacing w:after="120" w:line="240" w:lineRule="auto"/>
        <w:ind w:left="284" w:hanging="284"/>
        <w:contextualSpacing/>
        <w:jc w:val="both"/>
        <w:rPr>
          <w:rFonts w:ascii="Arial" w:eastAsia="Times New Roman" w:hAnsi="Arial" w:cs="Arial"/>
          <w:b/>
          <w:sz w:val="24"/>
          <w:szCs w:val="24"/>
          <w:u w:val="single"/>
        </w:rPr>
      </w:pPr>
      <w:r w:rsidRPr="00A42550">
        <w:rPr>
          <w:rFonts w:ascii="Arial" w:eastAsia="Times New Roman" w:hAnsi="Arial" w:cs="Arial"/>
          <w:b/>
          <w:sz w:val="24"/>
          <w:szCs w:val="24"/>
          <w:u w:val="single"/>
        </w:rPr>
        <w:t xml:space="preserve">Deşeuri municipale generate - kg/loc.an </w:t>
      </w:r>
    </w:p>
    <w:p w:rsidR="00A42550" w:rsidRPr="00A42550" w:rsidRDefault="00A42550" w:rsidP="00A42550">
      <w:pPr>
        <w:spacing w:after="0" w:line="240" w:lineRule="auto"/>
        <w:rPr>
          <w:rFonts w:ascii="Arial" w:eastAsia="Times New Roman" w:hAnsi="Arial" w:cs="Arial"/>
          <w:sz w:val="24"/>
          <w:szCs w:val="24"/>
          <w:lang w:val="en-GB"/>
        </w:rPr>
      </w:pPr>
      <w:r w:rsidRPr="00A42550">
        <w:rPr>
          <w:rFonts w:ascii="Arial" w:eastAsia="Times New Roman" w:hAnsi="Arial" w:cs="Arial"/>
          <w:sz w:val="24"/>
          <w:szCs w:val="24"/>
          <w:lang w:val="en-GB"/>
        </w:rPr>
        <w:t>Indicatorul privind generarea deşeurilor municipale (exprimat în kg/loc/an) s-a calculat ca raport între suma cantităţilor de deşeuri generate (exprimate în tone/an) şi numărul total de locuitori din judeţ, înmulţit cu 1000.</w:t>
      </w:r>
    </w:p>
    <w:p w:rsidR="00A42550" w:rsidRPr="00A42550" w:rsidRDefault="00A42550" w:rsidP="00A42550">
      <w:pPr>
        <w:spacing w:before="120"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Cantitatea de deşeuri generată a fost calculată prin însumarea cantităţilor generate pentru următoarele tipuri de deşeuri:</w:t>
      </w:r>
    </w:p>
    <w:p w:rsidR="00A42550" w:rsidRPr="00A42550" w:rsidRDefault="00A42550" w:rsidP="000A5EAD">
      <w:pPr>
        <w:numPr>
          <w:ilvl w:val="0"/>
          <w:numId w:val="18"/>
        </w:numPr>
        <w:spacing w:after="0" w:line="240" w:lineRule="auto"/>
        <w:ind w:left="1077" w:hanging="357"/>
        <w:contextualSpacing/>
        <w:jc w:val="both"/>
        <w:rPr>
          <w:rFonts w:ascii="Arial" w:eastAsia="Times New Roman" w:hAnsi="Arial" w:cs="Arial"/>
          <w:sz w:val="24"/>
          <w:szCs w:val="24"/>
          <w:lang w:val="en-GB"/>
        </w:rPr>
      </w:pPr>
      <w:r w:rsidRPr="00A42550">
        <w:rPr>
          <w:rFonts w:ascii="Arial" w:eastAsia="Times New Roman" w:hAnsi="Arial" w:cs="Arial"/>
          <w:sz w:val="24"/>
          <w:szCs w:val="24"/>
          <w:lang w:val="en-GB"/>
        </w:rPr>
        <w:t xml:space="preserve">deşeuri menajere şi asimilabile şi din servicii municipale colectate de operatorii de salubritate </w:t>
      </w:r>
    </w:p>
    <w:p w:rsidR="00A42550" w:rsidRPr="00A42550" w:rsidRDefault="00A42550" w:rsidP="000A5EAD">
      <w:pPr>
        <w:numPr>
          <w:ilvl w:val="0"/>
          <w:numId w:val="18"/>
        </w:numPr>
        <w:spacing w:after="0" w:line="240" w:lineRule="auto"/>
        <w:ind w:left="1077" w:hanging="357"/>
        <w:contextualSpacing/>
        <w:jc w:val="both"/>
        <w:rPr>
          <w:rFonts w:ascii="Arial" w:eastAsia="Times New Roman" w:hAnsi="Arial" w:cs="Arial"/>
          <w:sz w:val="24"/>
          <w:szCs w:val="24"/>
          <w:lang w:val="en-GB"/>
        </w:rPr>
      </w:pPr>
      <w:r w:rsidRPr="00A42550">
        <w:rPr>
          <w:rFonts w:ascii="Arial" w:eastAsia="Times New Roman" w:hAnsi="Arial" w:cs="Arial"/>
          <w:sz w:val="24"/>
          <w:szCs w:val="24"/>
          <w:lang w:val="en-GB"/>
        </w:rPr>
        <w:t>deşeuri menajere generate şi necolectate de operatorii de salubritate</w:t>
      </w:r>
    </w:p>
    <w:p w:rsidR="00A42550" w:rsidRPr="00A42550" w:rsidRDefault="00A42550" w:rsidP="000A5EAD">
      <w:pPr>
        <w:numPr>
          <w:ilvl w:val="0"/>
          <w:numId w:val="18"/>
        </w:numPr>
        <w:spacing w:after="0" w:line="240" w:lineRule="auto"/>
        <w:ind w:left="1077" w:hanging="357"/>
        <w:contextualSpacing/>
        <w:jc w:val="both"/>
        <w:rPr>
          <w:rFonts w:ascii="Arial" w:eastAsia="Times New Roman" w:hAnsi="Arial" w:cs="Arial"/>
          <w:sz w:val="24"/>
          <w:szCs w:val="24"/>
          <w:lang w:val="en-GB"/>
        </w:rPr>
      </w:pPr>
      <w:r w:rsidRPr="00A42550">
        <w:rPr>
          <w:rFonts w:ascii="Arial" w:eastAsia="Times New Roman" w:hAnsi="Arial" w:cs="Arial"/>
          <w:sz w:val="24"/>
          <w:szCs w:val="24"/>
          <w:lang w:val="en-GB"/>
        </w:rPr>
        <w:t>Deşeuri reciclabile provenite de la populaţie, colectate prin intermediul operat</w:t>
      </w:r>
      <w:r w:rsidRPr="00A42550">
        <w:rPr>
          <w:rFonts w:ascii="Arial" w:eastAsia="Times New Roman" w:hAnsi="Arial" w:cs="Arial"/>
          <w:sz w:val="24"/>
          <w:szCs w:val="24"/>
          <w:lang w:val="en-GB"/>
        </w:rPr>
        <w:t>o</w:t>
      </w:r>
      <w:r w:rsidRPr="00A42550">
        <w:rPr>
          <w:rFonts w:ascii="Arial" w:eastAsia="Times New Roman" w:hAnsi="Arial" w:cs="Arial"/>
          <w:sz w:val="24"/>
          <w:szCs w:val="24"/>
          <w:lang w:val="en-GB"/>
        </w:rPr>
        <w:t>rilor economici autotizaţi, alţii decât operatorii de salubritate (hârtie şi carton, metale, plastic, sticla, lemn, biodegradabil, textile, DEEE, deşeuri de baterii şi acumulatori)</w:t>
      </w:r>
    </w:p>
    <w:p w:rsidR="00A42550" w:rsidRPr="00A42550" w:rsidRDefault="00A42550" w:rsidP="00A42550">
      <w:pPr>
        <w:spacing w:after="0" w:line="240" w:lineRule="auto"/>
        <w:ind w:left="720"/>
        <w:contextualSpacing/>
        <w:rPr>
          <w:rFonts w:ascii="Arial" w:eastAsia="Times New Roman" w:hAnsi="Arial" w:cs="Arial"/>
          <w:sz w:val="24"/>
          <w:szCs w:val="24"/>
          <w:lang w:val="en-GB"/>
        </w:rPr>
      </w:pPr>
    </w:p>
    <w:p w:rsidR="00A42550" w:rsidRPr="00A42550" w:rsidRDefault="00A42550" w:rsidP="00A42550">
      <w:pPr>
        <w:spacing w:after="0" w:line="240" w:lineRule="auto"/>
        <w:ind w:left="360"/>
        <w:rPr>
          <w:rFonts w:ascii="Arial" w:eastAsia="Times New Roman" w:hAnsi="Arial" w:cs="Arial"/>
          <w:b/>
          <w:sz w:val="24"/>
          <w:szCs w:val="24"/>
          <w:lang w:val="ro-RO"/>
        </w:rPr>
      </w:pPr>
    </w:p>
    <w:p w:rsidR="00A42550" w:rsidRPr="00A42550" w:rsidRDefault="00A42550" w:rsidP="00A42550">
      <w:pPr>
        <w:spacing w:after="0" w:line="240" w:lineRule="auto"/>
        <w:ind w:left="360"/>
        <w:rPr>
          <w:rFonts w:ascii="Arial" w:eastAsia="Times New Roman" w:hAnsi="Arial" w:cs="Arial"/>
          <w:b/>
          <w:sz w:val="24"/>
          <w:szCs w:val="24"/>
          <w:lang w:val="ro-RO"/>
        </w:rPr>
      </w:pPr>
    </w:p>
    <w:p w:rsidR="00A42550" w:rsidRPr="00A42550" w:rsidRDefault="00A42550" w:rsidP="00A42550">
      <w:pPr>
        <w:spacing w:after="0" w:line="240" w:lineRule="auto"/>
        <w:ind w:left="360"/>
        <w:rPr>
          <w:rFonts w:ascii="Arial" w:eastAsia="Times New Roman" w:hAnsi="Arial" w:cs="Arial"/>
          <w:b/>
          <w:sz w:val="24"/>
          <w:szCs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lang w:val="ro-RO"/>
        </w:rPr>
      </w:pPr>
      <w:r w:rsidRPr="00A42550">
        <w:rPr>
          <w:rFonts w:ascii="Arial" w:eastAsia="Times New Roman" w:hAnsi="Arial" w:cs="Arial"/>
          <w:i/>
          <w:sz w:val="24"/>
          <w:lang w:val="ro-RO"/>
        </w:rPr>
        <w:lastRenderedPageBreak/>
        <w:t>Tabel 1.1. Cantităţi de deşeuri generate în perioada 2008-2012</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73"/>
        <w:gridCol w:w="1281"/>
        <w:gridCol w:w="1273"/>
        <w:gridCol w:w="1279"/>
        <w:gridCol w:w="1381"/>
      </w:tblGrid>
      <w:tr w:rsidR="00A42550" w:rsidRPr="00A42550" w:rsidTr="00A42550">
        <w:tc>
          <w:tcPr>
            <w:tcW w:w="2410" w:type="dxa"/>
            <w:shd w:val="clear" w:color="auto" w:fill="FFFF99"/>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Tip deşeu</w:t>
            </w:r>
          </w:p>
        </w:tc>
        <w:tc>
          <w:tcPr>
            <w:tcW w:w="1273"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2008</w:t>
            </w:r>
          </w:p>
        </w:tc>
        <w:tc>
          <w:tcPr>
            <w:tcW w:w="1281"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2009</w:t>
            </w:r>
          </w:p>
        </w:tc>
        <w:tc>
          <w:tcPr>
            <w:tcW w:w="1273"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2010</w:t>
            </w:r>
          </w:p>
        </w:tc>
        <w:tc>
          <w:tcPr>
            <w:tcW w:w="1279"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2011</w:t>
            </w:r>
          </w:p>
        </w:tc>
        <w:tc>
          <w:tcPr>
            <w:tcW w:w="1381"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2012</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menajere şi asimilabile colectate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80702,789</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88900,35</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87889,34</w:t>
            </w:r>
          </w:p>
        </w:tc>
        <w:tc>
          <w:tcPr>
            <w:tcW w:w="1279" w:type="dxa"/>
            <w:vAlign w:val="center"/>
          </w:tcPr>
          <w:p w:rsidR="00A42550" w:rsidRPr="00A42550" w:rsidRDefault="00A42550" w:rsidP="00A42550">
            <w:pPr>
              <w:tabs>
                <w:tab w:val="left" w:pos="807"/>
              </w:tabs>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86373,701</w:t>
            </w:r>
          </w:p>
        </w:tc>
        <w:tc>
          <w:tcPr>
            <w:tcW w:w="1381" w:type="dxa"/>
            <w:vAlign w:val="center"/>
          </w:tcPr>
          <w:p w:rsidR="00A42550" w:rsidRPr="00A42550" w:rsidRDefault="00A42550" w:rsidP="00A42550">
            <w:pPr>
              <w:tabs>
                <w:tab w:val="left" w:pos="807"/>
              </w:tabs>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74195,95</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de echipamente electrice şi electronice provenite de la populaţie flux specific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3849,04</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6291,29</w:t>
            </w:r>
          </w:p>
        </w:tc>
        <w:tc>
          <w:tcPr>
            <w:tcW w:w="1279" w:type="dxa"/>
            <w:vAlign w:val="center"/>
          </w:tcPr>
          <w:p w:rsidR="00A42550" w:rsidRPr="00A42550" w:rsidRDefault="00A42550" w:rsidP="00A42550">
            <w:pPr>
              <w:tabs>
                <w:tab w:val="left" w:pos="807"/>
              </w:tabs>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3272,77</w:t>
            </w:r>
          </w:p>
        </w:tc>
        <w:tc>
          <w:tcPr>
            <w:tcW w:w="1381" w:type="dxa"/>
            <w:vAlign w:val="center"/>
          </w:tcPr>
          <w:p w:rsidR="00A42550" w:rsidRPr="00A42550" w:rsidRDefault="00A42550" w:rsidP="00A42550">
            <w:pPr>
              <w:tabs>
                <w:tab w:val="left" w:pos="807"/>
              </w:tabs>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3109,23</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din servicii municipale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32019,5</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27994,0</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28281,0</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14440,56</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9019,74</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generate şi necolectate de la populaţie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68629,636</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58221,694</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54687,037</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33038,376</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44628,726</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provenite de la colectori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1499,331</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2116,194</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3075,769</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2517,425</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1223,692</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Total deşeuri generate</w:t>
            </w:r>
          </w:p>
        </w:tc>
        <w:tc>
          <w:tcPr>
            <w:tcW w:w="1273" w:type="dxa"/>
            <w:vAlign w:val="center"/>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182851,256</w:t>
            </w:r>
          </w:p>
        </w:tc>
        <w:tc>
          <w:tcPr>
            <w:tcW w:w="1281"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181081,278</w:t>
            </w:r>
          </w:p>
        </w:tc>
        <w:tc>
          <w:tcPr>
            <w:tcW w:w="1273"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180224,436</w:t>
            </w:r>
          </w:p>
        </w:tc>
        <w:tc>
          <w:tcPr>
            <w:tcW w:w="1279"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139642,832</w:t>
            </w:r>
          </w:p>
        </w:tc>
        <w:tc>
          <w:tcPr>
            <w:tcW w:w="1381" w:type="dxa"/>
            <w:vAlign w:val="center"/>
          </w:tcPr>
          <w:p w:rsidR="00A42550" w:rsidRPr="00A42550" w:rsidRDefault="00A42550" w:rsidP="00A42550">
            <w:pPr>
              <w:spacing w:after="120" w:line="240" w:lineRule="auto"/>
              <w:jc w:val="center"/>
              <w:rPr>
                <w:rFonts w:ascii="Arial" w:eastAsia="Times New Roman" w:hAnsi="Arial" w:cs="Arial"/>
                <w:b/>
                <w:bCs/>
                <w:sz w:val="20"/>
                <w:szCs w:val="20"/>
                <w:lang w:val="ro-RO"/>
              </w:rPr>
            </w:pPr>
            <w:r w:rsidRPr="00A42550">
              <w:rPr>
                <w:rFonts w:ascii="Arial" w:eastAsia="Times New Roman" w:hAnsi="Arial" w:cs="Arial"/>
                <w:b/>
                <w:bCs/>
                <w:sz w:val="20"/>
                <w:szCs w:val="20"/>
                <w:lang w:val="ro-RO"/>
              </w:rPr>
              <w:t>132177,338</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 Agenţia Naţională pentru Protecţia Mediului</w:t>
      </w:r>
    </w:p>
    <w:p w:rsidR="00A42550" w:rsidRPr="00A42550" w:rsidRDefault="00A42550" w:rsidP="00A42550">
      <w:pPr>
        <w:tabs>
          <w:tab w:val="left" w:pos="284"/>
          <w:tab w:val="left" w:pos="709"/>
        </w:tabs>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Cantităţile din tabelul de mai sus s-au calculat astfel:</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menajere şi asimilabile colectate – s-au luat în calcul cantităţile colectate de la populaţie şi de la operatorii economici (selectiv şi în amestec). Nu au fost incluse deşeurile inerte, deşeurile de echipamente electrice şi electronice raportate de operatorii de salubritate şi nici cele din construcţii şi demolări;</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de echipamente electrice şi electronice provenite de la populaţie – s-au luat în calcul cantităţile colectate de la populaţie şi operatorii economici generatori, din fluxul specific;</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din servicii municipale – s-a luat în calcul cantitatea colectată de municipalităţi fară a include deşeurile inerte;</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generate şi necolectate de la populaţie – cantitatea s-a calculat pentru pentru numărul de locuitori care nu au beneficiat de servicii de salubritate, folosind ca indici de generare 0,9 kg/loc/zi pentru mediul urban şi 0,4 kg/loc/an pentru mediul rural;</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provenite de la colectori – s-au luat în calcul cantităţile colectate de la populaţie pe câteva fluxuri de deşeuri (hârtie-carton, metale, plastic, sticlă, lemn, biodegradabil, textile), precum şi deşeurile de baterii provenite de la populaţie şi de la operatori economici generatori.</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Tabel 1. 2. Evoluţia indicatorului de generare a deşeurilor municipale în judeţul Buzău  în perioada 2008-2012 </w:t>
      </w:r>
    </w:p>
    <w:tbl>
      <w:tblPr>
        <w:tblStyle w:val="TableGrid2"/>
        <w:tblW w:w="0" w:type="auto"/>
        <w:tblInd w:w="532" w:type="dxa"/>
        <w:tblLook w:val="04A0"/>
      </w:tblPr>
      <w:tblGrid>
        <w:gridCol w:w="3258"/>
        <w:gridCol w:w="3120"/>
      </w:tblGrid>
      <w:tr w:rsidR="00A42550" w:rsidRPr="00A42550" w:rsidTr="00A42550">
        <w:tc>
          <w:tcPr>
            <w:tcW w:w="3258" w:type="dxa"/>
            <w:shd w:val="clear" w:color="auto" w:fill="FFFF00"/>
            <w:vAlign w:val="center"/>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Anul</w:t>
            </w:r>
          </w:p>
        </w:tc>
        <w:tc>
          <w:tcPr>
            <w:tcW w:w="3120" w:type="dxa"/>
            <w:shd w:val="clear" w:color="auto" w:fill="FFFF00"/>
            <w:vAlign w:val="center"/>
          </w:tcPr>
          <w:p w:rsidR="00A42550" w:rsidRPr="00A42550" w:rsidRDefault="00A42550" w:rsidP="00A42550">
            <w:pPr>
              <w:spacing w:after="0" w:line="240" w:lineRule="auto"/>
              <w:jc w:val="center"/>
              <w:rPr>
                <w:rFonts w:ascii="Arial" w:hAnsi="Arial" w:cs="Arial"/>
                <w:b/>
                <w:sz w:val="24"/>
                <w:szCs w:val="24"/>
              </w:rPr>
            </w:pPr>
            <w:r w:rsidRPr="00A42550">
              <w:rPr>
                <w:rFonts w:ascii="Arial" w:hAnsi="Arial" w:cs="Arial"/>
                <w:b/>
                <w:sz w:val="24"/>
                <w:szCs w:val="24"/>
                <w:lang w:val="ro-RO"/>
              </w:rPr>
              <w:t xml:space="preserve">Indicatorul de generare a deşeurilor municipale (kg/loc an) </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2008</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375,89</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2009</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374,14</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2010</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374,15</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2011</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323,21</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2012</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277,69</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      Sursa: Agenţia pentru Protecţia Mediului Buzău; INS</w:t>
      </w:r>
    </w:p>
    <w:p w:rsidR="00A42550" w:rsidRPr="00A42550" w:rsidRDefault="00A42550" w:rsidP="00A42550">
      <w:pPr>
        <w:spacing w:after="120" w:line="240" w:lineRule="auto"/>
        <w:rPr>
          <w:rFonts w:ascii="Arial" w:eastAsia="Times New Roman" w:hAnsi="Arial" w:cs="Arial"/>
          <w:i/>
          <w:sz w:val="24"/>
          <w:szCs w:val="24"/>
          <w:lang w:val="ro-RO"/>
        </w:rPr>
      </w:pPr>
    </w:p>
    <w:p w:rsidR="00A42550" w:rsidRPr="00A42550" w:rsidRDefault="00A42550" w:rsidP="00A42550">
      <w:pPr>
        <w:spacing w:after="120" w:line="240" w:lineRule="auto"/>
        <w:rPr>
          <w:rFonts w:ascii="Arial" w:eastAsia="Times New Roman" w:hAnsi="Arial" w:cs="Arial"/>
          <w:i/>
          <w:sz w:val="24"/>
          <w:szCs w:val="24"/>
          <w:lang w:val="ro-RO"/>
        </w:rPr>
      </w:pP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lastRenderedPageBreak/>
        <w:t xml:space="preserve">Figura 1.2. Evoluţia indicatorului de generare a deşeurilor municipale în judeţul Buzău  în perioada 2008-2012 </w:t>
      </w:r>
    </w:p>
    <w:p w:rsidR="00A42550" w:rsidRPr="00A42550" w:rsidRDefault="00A42550" w:rsidP="00A42550">
      <w:pPr>
        <w:spacing w:after="0" w:line="240" w:lineRule="auto"/>
        <w:rPr>
          <w:rFonts w:ascii="Arial" w:eastAsia="Times New Roman" w:hAnsi="Arial" w:cs="Arial"/>
          <w:sz w:val="24"/>
          <w:szCs w:val="24"/>
          <w:lang w:val="ro-RO"/>
        </w:rPr>
      </w:pPr>
      <w:r w:rsidRPr="00A42550">
        <w:rPr>
          <w:rFonts w:ascii="Arial" w:eastAsia="Times New Roman" w:hAnsi="Arial" w:cs="Arial"/>
          <w:noProof/>
          <w:sz w:val="24"/>
          <w:szCs w:val="24"/>
          <w:lang w:val="ro-RO" w:eastAsia="ro-RO"/>
        </w:rPr>
        <w:drawing>
          <wp:anchor distT="0" distB="0" distL="114300" distR="114300" simplePos="0" relativeHeight="251671552" behindDoc="0" locked="0" layoutInCell="1" allowOverlap="1">
            <wp:simplePos x="0" y="0"/>
            <wp:positionH relativeFrom="column">
              <wp:posOffset>33020</wp:posOffset>
            </wp:positionH>
            <wp:positionV relativeFrom="paragraph">
              <wp:posOffset>42545</wp:posOffset>
            </wp:positionV>
            <wp:extent cx="4600575" cy="2895600"/>
            <wp:effectExtent l="19050" t="0" r="9525" b="0"/>
            <wp:wrapSquare wrapText="bothSides"/>
            <wp:docPr id="35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anchor>
        </w:drawing>
      </w: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lang w:val="ro-RO"/>
        </w:rPr>
      </w:pPr>
      <w:r w:rsidRPr="00A42550">
        <w:rPr>
          <w:rFonts w:ascii="Arial" w:eastAsia="Times New Roman" w:hAnsi="Arial" w:cs="Arial"/>
          <w:sz w:val="24"/>
          <w:lang w:val="ro-RO"/>
        </w:rPr>
        <w:t xml:space="preserve"> </w:t>
      </w: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after="0" w:line="240" w:lineRule="auto"/>
        <w:rPr>
          <w:rFonts w:ascii="Arial" w:eastAsia="Times New Roman" w:hAnsi="Arial" w:cs="Arial"/>
          <w:sz w:val="24"/>
          <w:lang w:val="ro-RO"/>
        </w:rPr>
      </w:pP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    Sursa: Agenţia pentru Protecţia Mediului Buzău; INS</w:t>
      </w:r>
    </w:p>
    <w:p w:rsidR="00A42550" w:rsidRPr="00A42550" w:rsidRDefault="00A42550" w:rsidP="000A5EAD">
      <w:pPr>
        <w:numPr>
          <w:ilvl w:val="0"/>
          <w:numId w:val="20"/>
        </w:numPr>
        <w:tabs>
          <w:tab w:val="left" w:pos="284"/>
        </w:tabs>
        <w:spacing w:after="120" w:line="240" w:lineRule="auto"/>
        <w:ind w:left="0" w:firstLine="0"/>
        <w:jc w:val="both"/>
        <w:rPr>
          <w:rFonts w:ascii="Arial" w:eastAsia="Times New Roman" w:hAnsi="Arial" w:cs="Arial"/>
          <w:b/>
          <w:sz w:val="24"/>
          <w:szCs w:val="24"/>
          <w:lang w:val="ro-RO"/>
        </w:rPr>
      </w:pPr>
      <w:r w:rsidRPr="00A42550">
        <w:rPr>
          <w:rFonts w:ascii="Arial" w:eastAsia="Times New Roman" w:hAnsi="Arial" w:cs="Arial"/>
          <w:b/>
          <w:sz w:val="24"/>
          <w:szCs w:val="24"/>
          <w:lang w:val="ro-RO"/>
        </w:rPr>
        <w:t>Deşeuri municipale reciclate – kg/loc/an</w:t>
      </w:r>
    </w:p>
    <w:p w:rsidR="00A42550" w:rsidRPr="00A42550" w:rsidRDefault="00A42550" w:rsidP="00A42550">
      <w:pPr>
        <w:spacing w:after="0" w:line="240" w:lineRule="auto"/>
        <w:rPr>
          <w:rFonts w:ascii="Arial" w:eastAsia="Times New Roman" w:hAnsi="Arial" w:cs="Arial"/>
          <w:sz w:val="24"/>
          <w:szCs w:val="24"/>
          <w:lang w:val="en-GB"/>
        </w:rPr>
      </w:pPr>
      <w:r w:rsidRPr="00A42550">
        <w:rPr>
          <w:rFonts w:ascii="Arial" w:eastAsia="Times New Roman" w:hAnsi="Arial" w:cs="Arial"/>
          <w:sz w:val="24"/>
          <w:szCs w:val="24"/>
          <w:lang w:val="en-GB"/>
        </w:rPr>
        <w:t>Indicatorul privind reciclarea deşeurilor municipale (exprimat în kg/loc/an) s-a calculat ca raport între suma cantităţilor de deşeuri reciclate (exprimate în tone/an) şi numărul total de locuitori din judeţ, înmulţit cu 1000.</w:t>
      </w:r>
    </w:p>
    <w:p w:rsidR="00A42550" w:rsidRPr="00A42550" w:rsidRDefault="00A42550" w:rsidP="00A42550">
      <w:pPr>
        <w:spacing w:before="120"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ro-RO"/>
        </w:rPr>
        <w:t xml:space="preserve">Cantitatea de deşeuri municipale reciclate s-a calculat </w:t>
      </w:r>
      <w:r w:rsidRPr="00A42550">
        <w:rPr>
          <w:rFonts w:ascii="Arial" w:eastAsia="Times New Roman" w:hAnsi="Arial" w:cs="Arial"/>
          <w:sz w:val="24"/>
          <w:szCs w:val="24"/>
          <w:lang w:val="en-GB"/>
        </w:rPr>
        <w:t>prin însumarea cantităţilor reciclate pentru următoarele tipuri de deşeuri:</w:t>
      </w:r>
    </w:p>
    <w:p w:rsidR="00A42550" w:rsidRPr="00A42550" w:rsidRDefault="00A42550" w:rsidP="000A5EAD">
      <w:pPr>
        <w:numPr>
          <w:ilvl w:val="0"/>
          <w:numId w:val="18"/>
        </w:numPr>
        <w:tabs>
          <w:tab w:val="left" w:pos="284"/>
          <w:tab w:val="left" w:pos="426"/>
          <w:tab w:val="left" w:pos="851"/>
        </w:tabs>
        <w:spacing w:after="0" w:line="240" w:lineRule="auto"/>
        <w:ind w:left="426" w:hanging="142"/>
        <w:contextualSpacing/>
        <w:jc w:val="both"/>
        <w:rPr>
          <w:rFonts w:ascii="Arial" w:eastAsia="Times New Roman" w:hAnsi="Arial" w:cs="Arial"/>
          <w:sz w:val="24"/>
          <w:szCs w:val="24"/>
          <w:lang w:val="en-GB"/>
        </w:rPr>
      </w:pPr>
      <w:r w:rsidRPr="00A42550">
        <w:rPr>
          <w:rFonts w:ascii="Arial" w:eastAsia="Times New Roman" w:hAnsi="Arial" w:cs="Arial"/>
          <w:sz w:val="24"/>
          <w:szCs w:val="24"/>
          <w:lang w:val="en-GB"/>
        </w:rPr>
        <w:t xml:space="preserve">deşeuri menajere şi asimilabile colectate de operatorii de salubritate. </w:t>
      </w:r>
      <w:r w:rsidRPr="00A42550">
        <w:rPr>
          <w:rFonts w:ascii="Arial" w:eastAsia="Times New Roman" w:hAnsi="Arial" w:cs="Arial"/>
          <w:sz w:val="24"/>
          <w:szCs w:val="24"/>
          <w:lang w:val="ro-RO"/>
        </w:rPr>
        <w:t>Nu au fost incluse  deşeurile de echipamente electrice şi electronice raportate de operatorii de salubritate</w:t>
      </w:r>
      <w:r w:rsidRPr="00A42550">
        <w:rPr>
          <w:rFonts w:ascii="Arial" w:eastAsia="Times New Roman" w:hAnsi="Arial" w:cs="Arial"/>
          <w:sz w:val="24"/>
          <w:szCs w:val="24"/>
          <w:lang w:val="en-GB"/>
        </w:rPr>
        <w:t xml:space="preserve"> </w:t>
      </w:r>
    </w:p>
    <w:p w:rsidR="00A42550" w:rsidRPr="00A42550" w:rsidRDefault="00A42550" w:rsidP="000A5EAD">
      <w:pPr>
        <w:numPr>
          <w:ilvl w:val="0"/>
          <w:numId w:val="18"/>
        </w:numPr>
        <w:tabs>
          <w:tab w:val="left" w:pos="284"/>
          <w:tab w:val="left" w:pos="426"/>
          <w:tab w:val="left" w:pos="851"/>
        </w:tabs>
        <w:spacing w:after="0" w:line="240" w:lineRule="auto"/>
        <w:ind w:left="426" w:hanging="142"/>
        <w:contextualSpacing/>
        <w:jc w:val="both"/>
        <w:rPr>
          <w:rFonts w:ascii="Arial" w:eastAsia="Times New Roman" w:hAnsi="Arial" w:cs="Arial"/>
          <w:sz w:val="24"/>
          <w:szCs w:val="24"/>
          <w:lang w:val="en-GB"/>
        </w:rPr>
      </w:pPr>
      <w:r w:rsidRPr="00A42550">
        <w:rPr>
          <w:rFonts w:ascii="Arial" w:eastAsia="Times New Roman" w:hAnsi="Arial" w:cs="Arial"/>
          <w:sz w:val="24"/>
          <w:szCs w:val="24"/>
          <w:lang w:val="en-GB"/>
        </w:rPr>
        <w:t>deşeuri menajere generate şi necolectate de operatorii de salubritate</w:t>
      </w:r>
    </w:p>
    <w:p w:rsidR="00A42550" w:rsidRPr="00A42550" w:rsidRDefault="00A42550" w:rsidP="000A5EAD">
      <w:pPr>
        <w:numPr>
          <w:ilvl w:val="0"/>
          <w:numId w:val="18"/>
        </w:numPr>
        <w:spacing w:after="120" w:line="240" w:lineRule="auto"/>
        <w:ind w:left="426" w:hanging="142"/>
        <w:contextualSpacing/>
        <w:jc w:val="both"/>
        <w:rPr>
          <w:rFonts w:ascii="Arial" w:eastAsia="Times New Roman" w:hAnsi="Arial" w:cs="Arial"/>
          <w:sz w:val="24"/>
          <w:szCs w:val="24"/>
          <w:lang w:val="en-GB"/>
        </w:rPr>
      </w:pPr>
      <w:r w:rsidRPr="00A42550">
        <w:rPr>
          <w:rFonts w:ascii="Arial" w:eastAsia="Times New Roman" w:hAnsi="Arial" w:cs="Arial"/>
          <w:sz w:val="24"/>
          <w:szCs w:val="24"/>
          <w:lang w:val="en-GB"/>
        </w:rPr>
        <w:t>deşeuri reciclabile provenite de la populaţie, colectate prin intermediul operatorilor economici autotizaţi, alţii decât operatorii de salubritate (hârtie şi carton, metale, pla</w:t>
      </w:r>
      <w:r w:rsidRPr="00A42550">
        <w:rPr>
          <w:rFonts w:ascii="Arial" w:eastAsia="Times New Roman" w:hAnsi="Arial" w:cs="Arial"/>
          <w:sz w:val="24"/>
          <w:szCs w:val="24"/>
          <w:lang w:val="en-GB"/>
        </w:rPr>
        <w:t>s</w:t>
      </w:r>
      <w:r w:rsidRPr="00A42550">
        <w:rPr>
          <w:rFonts w:ascii="Arial" w:eastAsia="Times New Roman" w:hAnsi="Arial" w:cs="Arial"/>
          <w:sz w:val="24"/>
          <w:szCs w:val="24"/>
          <w:lang w:val="en-GB"/>
        </w:rPr>
        <w:t>tic, sticla, lemn, biodegradabil, textile, DEEE, deşeuri de baterii şi acumulatori)</w:t>
      </w: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lang w:val="ro-RO"/>
        </w:rPr>
      </w:pPr>
      <w:r w:rsidRPr="00A42550">
        <w:rPr>
          <w:rFonts w:ascii="Arial" w:eastAsia="Times New Roman" w:hAnsi="Arial" w:cs="Arial"/>
          <w:i/>
          <w:sz w:val="24"/>
          <w:lang w:val="ro-RO"/>
        </w:rPr>
        <w:t>Tabel 2.1. Cantităţi de deşeuri reciclate în perioada 2008-2012</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273"/>
        <w:gridCol w:w="1281"/>
        <w:gridCol w:w="1273"/>
        <w:gridCol w:w="1279"/>
        <w:gridCol w:w="1381"/>
      </w:tblGrid>
      <w:tr w:rsidR="00A42550" w:rsidRPr="00A42550" w:rsidTr="00A42550">
        <w:tc>
          <w:tcPr>
            <w:tcW w:w="2410" w:type="dxa"/>
            <w:shd w:val="clear" w:color="auto" w:fill="FFFF99"/>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Tip deşeu</w:t>
            </w:r>
          </w:p>
        </w:tc>
        <w:tc>
          <w:tcPr>
            <w:tcW w:w="1273"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2008</w:t>
            </w:r>
          </w:p>
        </w:tc>
        <w:tc>
          <w:tcPr>
            <w:tcW w:w="1281"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2009</w:t>
            </w:r>
          </w:p>
        </w:tc>
        <w:tc>
          <w:tcPr>
            <w:tcW w:w="1273"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2010</w:t>
            </w:r>
          </w:p>
        </w:tc>
        <w:tc>
          <w:tcPr>
            <w:tcW w:w="1279" w:type="dxa"/>
            <w:shd w:val="clear" w:color="auto" w:fill="FFFF99"/>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2011</w:t>
            </w:r>
          </w:p>
        </w:tc>
        <w:tc>
          <w:tcPr>
            <w:tcW w:w="1381" w:type="dxa"/>
            <w:shd w:val="clear" w:color="auto" w:fill="FFFF99"/>
            <w:vAlign w:val="center"/>
          </w:tcPr>
          <w:p w:rsidR="00A42550" w:rsidRPr="00A42550" w:rsidRDefault="00A42550" w:rsidP="00A42550">
            <w:pPr>
              <w:spacing w:after="120" w:line="240" w:lineRule="auto"/>
              <w:jc w:val="center"/>
              <w:rPr>
                <w:rFonts w:ascii="Arial" w:eastAsia="Times New Roman" w:hAnsi="Arial" w:cs="Arial"/>
                <w:b/>
                <w:sz w:val="20"/>
                <w:szCs w:val="20"/>
                <w:lang w:val="ro-RO"/>
              </w:rPr>
            </w:pPr>
            <w:r w:rsidRPr="00A42550">
              <w:rPr>
                <w:rFonts w:ascii="Arial" w:eastAsia="Times New Roman" w:hAnsi="Arial" w:cs="Arial"/>
                <w:b/>
                <w:sz w:val="20"/>
                <w:szCs w:val="20"/>
                <w:lang w:val="ro-RO"/>
              </w:rPr>
              <w:t>2012</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menajere şi asimilabile - reciclate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1,774</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0</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0</w:t>
            </w:r>
          </w:p>
        </w:tc>
        <w:tc>
          <w:tcPr>
            <w:tcW w:w="1279" w:type="dxa"/>
            <w:vAlign w:val="center"/>
          </w:tcPr>
          <w:p w:rsidR="00A42550" w:rsidRPr="00A42550" w:rsidRDefault="00A42550" w:rsidP="00A42550">
            <w:pPr>
              <w:tabs>
                <w:tab w:val="left" w:pos="807"/>
              </w:tabs>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0</w:t>
            </w:r>
          </w:p>
        </w:tc>
        <w:tc>
          <w:tcPr>
            <w:tcW w:w="1381" w:type="dxa"/>
            <w:vAlign w:val="center"/>
          </w:tcPr>
          <w:p w:rsidR="00A42550" w:rsidRPr="00A42550" w:rsidRDefault="00A42550" w:rsidP="00A42550">
            <w:pPr>
              <w:tabs>
                <w:tab w:val="left" w:pos="807"/>
              </w:tabs>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0</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de echipamente electrice şi electronice provenite de la populaţie flux specific-  reciclate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5328,72</w:t>
            </w:r>
          </w:p>
        </w:tc>
        <w:tc>
          <w:tcPr>
            <w:tcW w:w="1279" w:type="dxa"/>
            <w:vAlign w:val="center"/>
          </w:tcPr>
          <w:p w:rsidR="00A42550" w:rsidRPr="00A42550" w:rsidRDefault="00A42550" w:rsidP="00A42550">
            <w:pPr>
              <w:tabs>
                <w:tab w:val="left" w:pos="807"/>
              </w:tabs>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2785,13</w:t>
            </w:r>
          </w:p>
        </w:tc>
        <w:tc>
          <w:tcPr>
            <w:tcW w:w="1381" w:type="dxa"/>
            <w:vAlign w:val="center"/>
          </w:tcPr>
          <w:p w:rsidR="00A42550" w:rsidRPr="00A42550" w:rsidRDefault="00A42550" w:rsidP="00A42550">
            <w:pPr>
              <w:tabs>
                <w:tab w:val="left" w:pos="807"/>
              </w:tabs>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2621,08</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generate şi necolectate de la populaţie - reciclate (tone)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34314,818</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29110,847</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27343,519</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16519,188</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22314,363</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Deşeuri provenite de la colectori - reciclate(tone)</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1073,814</w:t>
            </w:r>
          </w:p>
        </w:tc>
        <w:tc>
          <w:tcPr>
            <w:tcW w:w="1281"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1281,129</w:t>
            </w:r>
          </w:p>
        </w:tc>
        <w:tc>
          <w:tcPr>
            <w:tcW w:w="1273"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2001,706</w:t>
            </w:r>
          </w:p>
        </w:tc>
        <w:tc>
          <w:tcPr>
            <w:tcW w:w="1279" w:type="dxa"/>
            <w:vAlign w:val="center"/>
          </w:tcPr>
          <w:p w:rsidR="00A42550" w:rsidRPr="00A42550" w:rsidRDefault="00A42550" w:rsidP="00A42550">
            <w:pPr>
              <w:spacing w:after="120" w:line="240" w:lineRule="auto"/>
              <w:rPr>
                <w:rFonts w:ascii="Arial" w:eastAsia="Times New Roman" w:hAnsi="Arial" w:cs="Arial"/>
                <w:sz w:val="20"/>
                <w:szCs w:val="20"/>
                <w:lang w:val="ro-RO"/>
              </w:rPr>
            </w:pPr>
            <w:r w:rsidRPr="00A42550">
              <w:rPr>
                <w:rFonts w:ascii="Arial" w:eastAsia="Times New Roman" w:hAnsi="Arial" w:cs="Arial"/>
                <w:sz w:val="20"/>
                <w:szCs w:val="20"/>
                <w:lang w:val="ro-RO"/>
              </w:rPr>
              <w:t>928,967</w:t>
            </w:r>
          </w:p>
        </w:tc>
        <w:tc>
          <w:tcPr>
            <w:tcW w:w="1381" w:type="dxa"/>
            <w:vAlign w:val="center"/>
          </w:tcPr>
          <w:p w:rsidR="00A42550" w:rsidRPr="00A42550" w:rsidRDefault="00A42550" w:rsidP="00A42550">
            <w:pPr>
              <w:spacing w:after="120" w:line="240" w:lineRule="auto"/>
              <w:jc w:val="center"/>
              <w:rPr>
                <w:rFonts w:ascii="Arial" w:eastAsia="Times New Roman" w:hAnsi="Arial" w:cs="Arial"/>
                <w:sz w:val="20"/>
                <w:szCs w:val="20"/>
                <w:lang w:val="ro-RO"/>
              </w:rPr>
            </w:pPr>
            <w:r w:rsidRPr="00A42550">
              <w:rPr>
                <w:rFonts w:ascii="Arial" w:eastAsia="Times New Roman" w:hAnsi="Arial" w:cs="Arial"/>
                <w:sz w:val="20"/>
                <w:szCs w:val="20"/>
                <w:lang w:val="ro-RO"/>
              </w:rPr>
              <w:t>621,839</w:t>
            </w:r>
          </w:p>
        </w:tc>
      </w:tr>
      <w:tr w:rsidR="00A42550" w:rsidRPr="00A42550" w:rsidTr="00A42550">
        <w:tc>
          <w:tcPr>
            <w:tcW w:w="2410" w:type="dxa"/>
          </w:tcPr>
          <w:p w:rsidR="00A42550" w:rsidRPr="00A42550" w:rsidRDefault="00A42550" w:rsidP="00A42550">
            <w:pPr>
              <w:tabs>
                <w:tab w:val="left" w:pos="318"/>
              </w:tabs>
              <w:spacing w:after="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Total deşeuri reciclate</w:t>
            </w:r>
          </w:p>
        </w:tc>
        <w:tc>
          <w:tcPr>
            <w:tcW w:w="1273" w:type="dxa"/>
            <w:vAlign w:val="center"/>
          </w:tcPr>
          <w:p w:rsidR="00A42550" w:rsidRPr="00A42550" w:rsidRDefault="00A42550" w:rsidP="00A42550">
            <w:pPr>
              <w:spacing w:after="120" w:line="240" w:lineRule="auto"/>
              <w:rPr>
                <w:rFonts w:ascii="Arial" w:eastAsia="Times New Roman" w:hAnsi="Arial" w:cs="Arial"/>
                <w:b/>
                <w:sz w:val="20"/>
                <w:szCs w:val="20"/>
                <w:lang w:val="ro-RO"/>
              </w:rPr>
            </w:pPr>
            <w:r w:rsidRPr="00A42550">
              <w:rPr>
                <w:rFonts w:ascii="Arial" w:eastAsia="Times New Roman" w:hAnsi="Arial" w:cs="Arial"/>
                <w:b/>
                <w:sz w:val="20"/>
                <w:szCs w:val="20"/>
                <w:lang w:val="ro-RO"/>
              </w:rPr>
              <w:t>35390,406</w:t>
            </w:r>
          </w:p>
        </w:tc>
        <w:tc>
          <w:tcPr>
            <w:tcW w:w="1281"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30391,976</w:t>
            </w:r>
          </w:p>
        </w:tc>
        <w:tc>
          <w:tcPr>
            <w:tcW w:w="1273"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34673,945</w:t>
            </w:r>
          </w:p>
        </w:tc>
        <w:tc>
          <w:tcPr>
            <w:tcW w:w="1279" w:type="dxa"/>
            <w:vAlign w:val="center"/>
          </w:tcPr>
          <w:p w:rsidR="00A42550" w:rsidRPr="00A42550" w:rsidRDefault="00A42550" w:rsidP="00A42550">
            <w:pPr>
              <w:spacing w:after="120" w:line="240" w:lineRule="auto"/>
              <w:rPr>
                <w:rFonts w:ascii="Arial" w:eastAsia="Times New Roman" w:hAnsi="Arial" w:cs="Arial"/>
                <w:b/>
                <w:bCs/>
                <w:sz w:val="20"/>
                <w:szCs w:val="20"/>
                <w:lang w:val="ro-RO"/>
              </w:rPr>
            </w:pPr>
            <w:r w:rsidRPr="00A42550">
              <w:rPr>
                <w:rFonts w:ascii="Arial" w:eastAsia="Times New Roman" w:hAnsi="Arial" w:cs="Arial"/>
                <w:b/>
                <w:bCs/>
                <w:sz w:val="20"/>
                <w:szCs w:val="20"/>
                <w:lang w:val="ro-RO"/>
              </w:rPr>
              <w:t>20233,285</w:t>
            </w:r>
          </w:p>
        </w:tc>
        <w:tc>
          <w:tcPr>
            <w:tcW w:w="1381" w:type="dxa"/>
            <w:vAlign w:val="center"/>
          </w:tcPr>
          <w:p w:rsidR="00A42550" w:rsidRPr="00A42550" w:rsidRDefault="00A42550" w:rsidP="00A42550">
            <w:pPr>
              <w:spacing w:after="120" w:line="240" w:lineRule="auto"/>
              <w:jc w:val="center"/>
              <w:rPr>
                <w:rFonts w:ascii="Arial" w:eastAsia="Times New Roman" w:hAnsi="Arial" w:cs="Arial"/>
                <w:b/>
                <w:bCs/>
                <w:sz w:val="20"/>
                <w:szCs w:val="20"/>
                <w:lang w:val="ro-RO"/>
              </w:rPr>
            </w:pPr>
            <w:r w:rsidRPr="00A42550">
              <w:rPr>
                <w:rFonts w:ascii="Arial" w:eastAsia="Times New Roman" w:hAnsi="Arial" w:cs="Arial"/>
                <w:b/>
                <w:bCs/>
                <w:sz w:val="20"/>
                <w:szCs w:val="20"/>
                <w:lang w:val="ro-RO"/>
              </w:rPr>
              <w:t>25557,282</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 Agenţia Naţională pentru Protecţia Mediului</w:t>
      </w:r>
    </w:p>
    <w:p w:rsidR="00A42550" w:rsidRPr="00A42550" w:rsidRDefault="00A42550" w:rsidP="00A42550">
      <w:pPr>
        <w:tabs>
          <w:tab w:val="left" w:pos="284"/>
          <w:tab w:val="left" w:pos="709"/>
        </w:tabs>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Cantităţile din tabelul de mai sus s-au calculat astfel:</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menajere şi asimilabile reciclate – s-au luat în calcul cantităţile reciclate din deşeurile colectate selectiv de operatorii de salubritate, fără a include deşeurile de echipamente electrice şi electronice</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de echipamente electrice şi electronice provenite de la populaţie – s-au luat în calcul cantităţile din fluxul specific, colectate de la populaţie şi operatorii economici generatori cărora li s-au aplicat următoarele procente de reciclare: 84,7% în 2010; 85,1% în 2011 şi 84,3% în 2012.</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generate şi necolectate de la populaţie – s-a luat în calcul un procent de reciclare de 50% ( se consideră că se realizează compostare în gospodăriile particulare) ;</w:t>
      </w:r>
    </w:p>
    <w:p w:rsidR="00A42550" w:rsidRPr="00A42550" w:rsidRDefault="00A42550" w:rsidP="000A5EAD">
      <w:pPr>
        <w:numPr>
          <w:ilvl w:val="0"/>
          <w:numId w:val="18"/>
        </w:numPr>
        <w:tabs>
          <w:tab w:val="left" w:pos="284"/>
          <w:tab w:val="left" w:pos="709"/>
        </w:tabs>
        <w:spacing w:after="120" w:line="240" w:lineRule="auto"/>
        <w:ind w:left="0" w:firstLine="0"/>
        <w:jc w:val="both"/>
        <w:rPr>
          <w:rFonts w:ascii="Arial" w:eastAsia="Times New Roman" w:hAnsi="Arial" w:cs="Arial"/>
          <w:sz w:val="24"/>
          <w:szCs w:val="24"/>
          <w:lang w:val="ro-RO"/>
        </w:rPr>
      </w:pPr>
      <w:r w:rsidRPr="00A42550">
        <w:rPr>
          <w:rFonts w:ascii="Arial" w:eastAsia="Times New Roman" w:hAnsi="Arial" w:cs="Arial"/>
          <w:sz w:val="24"/>
          <w:szCs w:val="24"/>
          <w:lang w:val="ro-RO"/>
        </w:rPr>
        <w:t>Deşeuri provenite de la colectori – s-au luat în calcul cantităţile reciclate din cantităţile colectate  de la populaţie pe câteva fluxuri de deşeuri (hârtie-carton, metale, plastic, sticlă, lemn, biodegradabil, textile), precum şi deşeurile de baterii provenite de la populaţie şi de la operatori economici generatori.</w:t>
      </w: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Tabel 2.2. Indicatorul de reciclare a deşeurilor municipale în judeţul Buzău  în  perioada</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2008-2012 </w:t>
      </w:r>
    </w:p>
    <w:tbl>
      <w:tblPr>
        <w:tblStyle w:val="TableGrid2"/>
        <w:tblW w:w="0" w:type="auto"/>
        <w:tblInd w:w="532" w:type="dxa"/>
        <w:tblLook w:val="04A0"/>
      </w:tblPr>
      <w:tblGrid>
        <w:gridCol w:w="3258"/>
        <w:gridCol w:w="3120"/>
      </w:tblGrid>
      <w:tr w:rsidR="00A42550" w:rsidRPr="00A42550" w:rsidTr="00A42550">
        <w:tc>
          <w:tcPr>
            <w:tcW w:w="3258" w:type="dxa"/>
            <w:shd w:val="clear" w:color="auto" w:fill="FFFF00"/>
            <w:vAlign w:val="center"/>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Anul</w:t>
            </w:r>
          </w:p>
        </w:tc>
        <w:tc>
          <w:tcPr>
            <w:tcW w:w="3120" w:type="dxa"/>
            <w:shd w:val="clear" w:color="auto" w:fill="FFFF00"/>
            <w:vAlign w:val="center"/>
          </w:tcPr>
          <w:p w:rsidR="00A42550" w:rsidRPr="00A42550" w:rsidRDefault="00A42550" w:rsidP="00A42550">
            <w:pPr>
              <w:spacing w:after="0" w:line="240" w:lineRule="auto"/>
              <w:jc w:val="center"/>
              <w:rPr>
                <w:rFonts w:ascii="Arial" w:hAnsi="Arial" w:cs="Arial"/>
                <w:b/>
                <w:sz w:val="24"/>
                <w:szCs w:val="24"/>
              </w:rPr>
            </w:pPr>
            <w:r w:rsidRPr="00A42550">
              <w:rPr>
                <w:rFonts w:ascii="Arial" w:hAnsi="Arial" w:cs="Arial"/>
                <w:b/>
                <w:sz w:val="24"/>
                <w:szCs w:val="24"/>
                <w:lang w:val="ro-RO"/>
              </w:rPr>
              <w:t xml:space="preserve">Indicatorul de reciclare a deşeurilor municipale (kg/loc an) </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2008</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72,75</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2009</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62,79</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2010</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71,98</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2011</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46,83</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2012</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53,69</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Times New Roman" w:eastAsia="Times New Roman" w:hAnsi="Times New Roman"/>
          <w:sz w:val="24"/>
          <w:szCs w:val="24"/>
          <w:lang w:val="ro-RO"/>
        </w:rPr>
        <w:t xml:space="preserve">       </w:t>
      </w:r>
      <w:r w:rsidRPr="00A42550">
        <w:rPr>
          <w:rFonts w:ascii="Arial" w:eastAsia="Times New Roman" w:hAnsi="Arial" w:cs="Arial"/>
          <w:i/>
          <w:sz w:val="20"/>
          <w:szCs w:val="20"/>
          <w:lang w:val="ro-RO"/>
        </w:rPr>
        <w:t>Sursa: Agenţia pentru Protecţia Mediului Buzău; INS</w:t>
      </w: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Figura 2.2. Evoluţia indicatorului de reciclare a deşeurilor municipale în judeţul Buzău  în perioada 2008-2012 </w:t>
      </w:r>
    </w:p>
    <w:p w:rsidR="00A42550" w:rsidRPr="00A42550" w:rsidRDefault="00A42550" w:rsidP="00A42550">
      <w:pPr>
        <w:spacing w:after="0" w:line="240" w:lineRule="auto"/>
        <w:rPr>
          <w:rFonts w:ascii="Times New Roman" w:eastAsia="Times New Roman" w:hAnsi="Times New Roman"/>
          <w:sz w:val="24"/>
          <w:szCs w:val="24"/>
          <w:lang w:val="ro-RO"/>
        </w:rPr>
      </w:pPr>
      <w:r w:rsidRPr="00A42550">
        <w:rPr>
          <w:rFonts w:ascii="Times New Roman" w:eastAsia="Times New Roman" w:hAnsi="Times New Roman"/>
          <w:noProof/>
          <w:sz w:val="24"/>
          <w:szCs w:val="24"/>
          <w:lang w:val="ro-RO" w:eastAsia="ro-RO"/>
        </w:rPr>
        <w:drawing>
          <wp:anchor distT="0" distB="0" distL="114300" distR="114300" simplePos="0" relativeHeight="251672576" behindDoc="0" locked="0" layoutInCell="1" allowOverlap="1">
            <wp:simplePos x="0" y="0"/>
            <wp:positionH relativeFrom="column">
              <wp:align>left</wp:align>
            </wp:positionH>
            <wp:positionV relativeFrom="paragraph">
              <wp:posOffset>72390</wp:posOffset>
            </wp:positionV>
            <wp:extent cx="4972050" cy="2962275"/>
            <wp:effectExtent l="19050" t="0" r="19050" b="0"/>
            <wp:wrapSquare wrapText="bothSides"/>
            <wp:docPr id="3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anchor>
        </w:drawing>
      </w: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 INS</w:t>
      </w: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tabs>
          <w:tab w:val="left" w:pos="142"/>
          <w:tab w:val="left" w:pos="284"/>
        </w:tabs>
        <w:spacing w:after="120" w:line="240" w:lineRule="auto"/>
        <w:jc w:val="both"/>
        <w:rPr>
          <w:rFonts w:ascii="Arial" w:eastAsia="Times New Roman" w:hAnsi="Arial" w:cs="Arial"/>
          <w:b/>
          <w:sz w:val="24"/>
          <w:szCs w:val="24"/>
          <w:lang w:val="ro-RO"/>
        </w:rPr>
      </w:pPr>
    </w:p>
    <w:p w:rsidR="00A42550" w:rsidRPr="00A42550" w:rsidRDefault="00A42550" w:rsidP="00A42550">
      <w:pPr>
        <w:tabs>
          <w:tab w:val="left" w:pos="142"/>
          <w:tab w:val="left" w:pos="284"/>
        </w:tabs>
        <w:spacing w:after="120" w:line="240" w:lineRule="auto"/>
        <w:jc w:val="both"/>
        <w:rPr>
          <w:rFonts w:ascii="Arial" w:eastAsia="Times New Roman" w:hAnsi="Arial" w:cs="Arial"/>
          <w:b/>
          <w:sz w:val="24"/>
          <w:szCs w:val="24"/>
          <w:lang w:val="ro-RO"/>
        </w:rPr>
      </w:pPr>
    </w:p>
    <w:p w:rsidR="00A42550" w:rsidRPr="00A42550" w:rsidRDefault="00A42550" w:rsidP="000A5EAD">
      <w:pPr>
        <w:numPr>
          <w:ilvl w:val="0"/>
          <w:numId w:val="20"/>
        </w:numPr>
        <w:tabs>
          <w:tab w:val="left" w:pos="142"/>
          <w:tab w:val="left" w:pos="284"/>
        </w:tabs>
        <w:spacing w:after="120" w:line="240" w:lineRule="auto"/>
        <w:ind w:hanging="720"/>
        <w:jc w:val="both"/>
        <w:rPr>
          <w:rFonts w:ascii="Arial" w:eastAsia="Times New Roman" w:hAnsi="Arial" w:cs="Arial"/>
          <w:b/>
          <w:sz w:val="24"/>
          <w:szCs w:val="24"/>
          <w:lang w:val="ro-RO"/>
        </w:rPr>
      </w:pPr>
      <w:r w:rsidRPr="00A42550">
        <w:rPr>
          <w:rFonts w:ascii="Arial" w:eastAsia="Times New Roman" w:hAnsi="Arial" w:cs="Arial"/>
          <w:b/>
          <w:sz w:val="24"/>
          <w:szCs w:val="24"/>
          <w:lang w:val="ro-RO"/>
        </w:rPr>
        <w:lastRenderedPageBreak/>
        <w:t>Gradul reciclare (%)</w:t>
      </w:r>
    </w:p>
    <w:p w:rsidR="00A42550" w:rsidRPr="00A42550" w:rsidRDefault="00A42550" w:rsidP="00A42550">
      <w:pPr>
        <w:tabs>
          <w:tab w:val="left" w:pos="142"/>
          <w:tab w:val="left" w:pos="284"/>
        </w:tabs>
        <w:spacing w:after="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Acest indicator s-a calculat ca raport între cantitatea reciclată şi cantitatea generată.</w:t>
      </w:r>
    </w:p>
    <w:p w:rsidR="00A42550" w:rsidRPr="00A42550" w:rsidRDefault="00A42550" w:rsidP="00A42550">
      <w:pPr>
        <w:tabs>
          <w:tab w:val="left" w:pos="142"/>
          <w:tab w:val="left" w:pos="284"/>
        </w:tabs>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Tabel 3.1. Gradul de reciclare a deşeurilor municipale în judeţul Buzău  în  perioada</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2008-2012 </w:t>
      </w:r>
    </w:p>
    <w:tbl>
      <w:tblPr>
        <w:tblStyle w:val="TableGrid2"/>
        <w:tblW w:w="0" w:type="auto"/>
        <w:tblInd w:w="532" w:type="dxa"/>
        <w:tblLook w:val="04A0"/>
      </w:tblPr>
      <w:tblGrid>
        <w:gridCol w:w="3258"/>
        <w:gridCol w:w="3120"/>
      </w:tblGrid>
      <w:tr w:rsidR="00A42550" w:rsidRPr="00A42550" w:rsidTr="00A42550">
        <w:tc>
          <w:tcPr>
            <w:tcW w:w="3258" w:type="dxa"/>
            <w:shd w:val="clear" w:color="auto" w:fill="FFFF00"/>
            <w:vAlign w:val="center"/>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Anul</w:t>
            </w:r>
          </w:p>
        </w:tc>
        <w:tc>
          <w:tcPr>
            <w:tcW w:w="3120" w:type="dxa"/>
            <w:shd w:val="clear" w:color="auto" w:fill="FFFF00"/>
            <w:vAlign w:val="center"/>
          </w:tcPr>
          <w:p w:rsidR="00A42550" w:rsidRPr="00A42550" w:rsidRDefault="00A42550" w:rsidP="00A42550">
            <w:pPr>
              <w:spacing w:after="0" w:line="240" w:lineRule="auto"/>
              <w:jc w:val="center"/>
              <w:rPr>
                <w:rFonts w:ascii="Arial" w:hAnsi="Arial" w:cs="Arial"/>
                <w:b/>
                <w:sz w:val="24"/>
                <w:szCs w:val="24"/>
              </w:rPr>
            </w:pPr>
            <w:r w:rsidRPr="00A42550">
              <w:rPr>
                <w:rFonts w:ascii="Arial" w:hAnsi="Arial" w:cs="Arial"/>
                <w:b/>
                <w:sz w:val="24"/>
                <w:szCs w:val="24"/>
                <w:lang w:val="ro-RO"/>
              </w:rPr>
              <w:t xml:space="preserve">Gradul de reciclare a deşeurilor municipale (%) </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2008</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19,35</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2009</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16,78</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2010</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19,24</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2011</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14,49</w:t>
            </w:r>
          </w:p>
        </w:tc>
      </w:tr>
      <w:tr w:rsidR="00A42550" w:rsidRPr="00A42550" w:rsidTr="00A42550">
        <w:tc>
          <w:tcPr>
            <w:tcW w:w="3258"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2012</w:t>
            </w:r>
          </w:p>
        </w:tc>
        <w:tc>
          <w:tcPr>
            <w:tcW w:w="3120" w:type="dxa"/>
            <w:vAlign w:val="center"/>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19,34</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Times New Roman" w:eastAsia="Times New Roman" w:hAnsi="Times New Roman"/>
          <w:sz w:val="24"/>
          <w:szCs w:val="24"/>
          <w:lang w:val="ro-RO"/>
        </w:rPr>
        <w:t xml:space="preserve">       </w:t>
      </w: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0" w:line="240" w:lineRule="auto"/>
        <w:rPr>
          <w:rFonts w:ascii="Times New Roman" w:eastAsia="Times New Roman" w:hAnsi="Times New Roman"/>
          <w:sz w:val="24"/>
          <w:szCs w:val="24"/>
          <w:lang w:val="ro-RO"/>
        </w:rPr>
      </w:pPr>
    </w:p>
    <w:p w:rsidR="00A42550" w:rsidRPr="00A42550" w:rsidRDefault="00A42550" w:rsidP="00A42550">
      <w:pPr>
        <w:spacing w:after="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Figura 3.1. Evoluţia gradului de reciclare a deşeurilor municipale în judeţul Buzău  în </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perioada 2008-2012 </w:t>
      </w:r>
    </w:p>
    <w:p w:rsidR="00A42550" w:rsidRPr="00A42550" w:rsidRDefault="00A42550" w:rsidP="00A42550">
      <w:pPr>
        <w:spacing w:before="120" w:after="0" w:line="240" w:lineRule="auto"/>
        <w:rPr>
          <w:rFonts w:ascii="Arial" w:eastAsia="Times New Roman" w:hAnsi="Arial" w:cs="Arial"/>
          <w:i/>
          <w:sz w:val="20"/>
          <w:szCs w:val="20"/>
          <w:lang w:val="ro-RO"/>
        </w:rPr>
      </w:pPr>
      <w:r w:rsidRPr="00A42550">
        <w:rPr>
          <w:rFonts w:ascii="Times New Roman" w:eastAsia="Times New Roman" w:hAnsi="Times New Roman"/>
          <w:noProof/>
          <w:sz w:val="24"/>
          <w:szCs w:val="24"/>
          <w:lang w:val="ro-RO" w:eastAsia="ro-RO"/>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4495800" cy="2428875"/>
            <wp:effectExtent l="19050" t="0" r="19050" b="0"/>
            <wp:wrapSquare wrapText="bothSides"/>
            <wp:docPr id="3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r w:rsidRPr="00A42550">
        <w:rPr>
          <w:rFonts w:ascii="Times New Roman" w:eastAsia="Times New Roman" w:hAnsi="Times New Roman"/>
          <w:sz w:val="24"/>
          <w:szCs w:val="24"/>
          <w:lang w:val="ro-RO"/>
        </w:rPr>
        <w:br w:type="textWrapping" w:clear="all"/>
      </w:r>
    </w:p>
    <w:p w:rsidR="00A42550" w:rsidRPr="00A42550" w:rsidRDefault="00A42550" w:rsidP="00A42550">
      <w:pPr>
        <w:spacing w:after="0" w:line="240" w:lineRule="auto"/>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 Sursa: Agenţia pentru Protecţia Mediului Buzău</w:t>
      </w:r>
    </w:p>
    <w:p w:rsidR="00A42550" w:rsidRPr="00A42550" w:rsidRDefault="00A42550" w:rsidP="00A42550">
      <w:pPr>
        <w:spacing w:after="0" w:line="240" w:lineRule="auto"/>
        <w:rPr>
          <w:rFonts w:ascii="Arial" w:eastAsia="Times New Roman" w:hAnsi="Arial" w:cs="Arial"/>
          <w:b/>
          <w:i/>
          <w:sz w:val="24"/>
          <w:szCs w:val="24"/>
          <w:lang w:val="ro-RO"/>
        </w:rPr>
      </w:pPr>
    </w:p>
    <w:p w:rsidR="00A42550" w:rsidRPr="00A42550" w:rsidRDefault="00A42550" w:rsidP="00A42550">
      <w:pPr>
        <w:spacing w:after="0" w:line="240" w:lineRule="auto"/>
        <w:rPr>
          <w:rFonts w:ascii="Arial" w:eastAsia="Times New Roman" w:hAnsi="Arial" w:cs="Arial"/>
          <w:b/>
          <w:i/>
          <w:sz w:val="24"/>
          <w:szCs w:val="24"/>
          <w:lang w:val="ro-RO"/>
        </w:rPr>
      </w:pPr>
      <w:r w:rsidRPr="00A42550">
        <w:rPr>
          <w:rFonts w:ascii="Arial" w:eastAsia="Times New Roman" w:hAnsi="Arial" w:cs="Arial"/>
          <w:b/>
          <w:i/>
          <w:sz w:val="24"/>
          <w:szCs w:val="24"/>
          <w:lang w:val="ro-RO"/>
        </w:rPr>
        <w:t>VII.1.2. Generarea şi gestionarea deşeurilor industriale</w:t>
      </w:r>
    </w:p>
    <w:p w:rsidR="00A42550" w:rsidRPr="00A42550" w:rsidRDefault="00A42550" w:rsidP="00A42550">
      <w:pPr>
        <w:spacing w:after="0" w:line="240" w:lineRule="auto"/>
        <w:rPr>
          <w:rFonts w:ascii="Arial" w:eastAsia="Times New Roman" w:hAnsi="Arial" w:cs="Arial"/>
          <w:b/>
          <w:i/>
          <w:sz w:val="24"/>
          <w:szCs w:val="24"/>
          <w:lang w:val="ro-RO"/>
        </w:rPr>
      </w:pPr>
    </w:p>
    <w:p w:rsidR="00A42550" w:rsidRPr="00A42550" w:rsidRDefault="00A42550" w:rsidP="00A42550">
      <w:pPr>
        <w:autoSpaceDE w:val="0"/>
        <w:autoSpaceDN w:val="0"/>
        <w:adjustRightInd w:val="0"/>
        <w:spacing w:after="120" w:line="240" w:lineRule="auto"/>
        <w:rPr>
          <w:rFonts w:ascii="Arial" w:eastAsia="Times New Roman" w:hAnsi="Arial"/>
          <w:sz w:val="24"/>
          <w:szCs w:val="24"/>
        </w:rPr>
      </w:pPr>
      <w:r w:rsidRPr="00A42550">
        <w:rPr>
          <w:rFonts w:ascii="Arial" w:eastAsia="Times New Roman" w:hAnsi="Arial"/>
          <w:sz w:val="24"/>
          <w:szCs w:val="24"/>
        </w:rPr>
        <w:t xml:space="preserve">În cursul anului 2012, cantitatea de deşeuri generate de industria extractivă, energetică şi prelucrătoare a fost de cca. 164,890 mii tone, din care aprx. 12,5% sunt deşeuri rezultate din industria extractivă. </w:t>
      </w:r>
    </w:p>
    <w:p w:rsidR="00A42550" w:rsidRPr="00A42550" w:rsidRDefault="00A42550" w:rsidP="00A42550">
      <w:pPr>
        <w:spacing w:after="120" w:line="240" w:lineRule="auto"/>
        <w:jc w:val="both"/>
        <w:rPr>
          <w:rFonts w:ascii="Times New Roman" w:eastAsia="Times New Roman" w:hAnsi="Times New Roman"/>
          <w:sz w:val="24"/>
          <w:szCs w:val="24"/>
        </w:rPr>
      </w:pPr>
      <w:r w:rsidRPr="00A42550">
        <w:rPr>
          <w:rFonts w:ascii="Arial" w:eastAsia="Times New Roman" w:hAnsi="Arial"/>
          <w:sz w:val="24"/>
          <w:szCs w:val="24"/>
        </w:rPr>
        <w:t>Deşeurile nepericuloase generate pe principalele activităţi economice, cu excepţia indu</w:t>
      </w:r>
      <w:r w:rsidRPr="00A42550">
        <w:rPr>
          <w:rFonts w:ascii="Arial" w:eastAsia="Times New Roman" w:hAnsi="Arial"/>
          <w:sz w:val="24"/>
          <w:szCs w:val="24"/>
        </w:rPr>
        <w:t>s</w:t>
      </w:r>
      <w:r w:rsidRPr="00A42550">
        <w:rPr>
          <w:rFonts w:ascii="Arial" w:eastAsia="Times New Roman" w:hAnsi="Arial"/>
          <w:sz w:val="24"/>
          <w:szCs w:val="24"/>
        </w:rPr>
        <w:t>triei extractive, în perioada 2008-2012, sunt prezentate în tabelul VII.1.2.1.</w:t>
      </w:r>
    </w:p>
    <w:p w:rsidR="00A42550" w:rsidRPr="00A42550" w:rsidRDefault="00A42550" w:rsidP="00A42550">
      <w:pPr>
        <w:spacing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VII.1.2.1. Deşeuri industriale nepericuloase generate pe principalele activităţi economice (cu excepţia industriei extractive) 2008-2012</w:t>
      </w:r>
    </w:p>
    <w:tbl>
      <w:tblPr>
        <w:tblStyle w:val="TableGrid2"/>
        <w:tblW w:w="0" w:type="auto"/>
        <w:tblInd w:w="108" w:type="dxa"/>
        <w:tblLayout w:type="fixed"/>
        <w:tblLook w:val="04A0"/>
      </w:tblPr>
      <w:tblGrid>
        <w:gridCol w:w="2835"/>
        <w:gridCol w:w="1560"/>
        <w:gridCol w:w="1417"/>
        <w:gridCol w:w="1276"/>
        <w:gridCol w:w="1134"/>
        <w:gridCol w:w="1417"/>
      </w:tblGrid>
      <w:tr w:rsidR="00A42550" w:rsidRPr="00A42550" w:rsidTr="00A42550">
        <w:tc>
          <w:tcPr>
            <w:tcW w:w="2835"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Activitatea economică</w:t>
            </w:r>
          </w:p>
        </w:tc>
        <w:tc>
          <w:tcPr>
            <w:tcW w:w="1560"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2008</w:t>
            </w:r>
          </w:p>
        </w:tc>
        <w:tc>
          <w:tcPr>
            <w:tcW w:w="1417"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2009</w:t>
            </w:r>
          </w:p>
        </w:tc>
        <w:tc>
          <w:tcPr>
            <w:tcW w:w="1276"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2010</w:t>
            </w:r>
          </w:p>
        </w:tc>
        <w:tc>
          <w:tcPr>
            <w:tcW w:w="1134"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2011</w:t>
            </w:r>
          </w:p>
        </w:tc>
        <w:tc>
          <w:tcPr>
            <w:tcW w:w="1417"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2012</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Industria prelucrătoare (tone)</w:t>
            </w:r>
          </w:p>
        </w:tc>
        <w:tc>
          <w:tcPr>
            <w:tcW w:w="1560"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66295,55</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69612,685</w:t>
            </w:r>
          </w:p>
        </w:tc>
        <w:tc>
          <w:tcPr>
            <w:tcW w:w="1276"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119166,02</w:t>
            </w:r>
          </w:p>
        </w:tc>
        <w:tc>
          <w:tcPr>
            <w:tcW w:w="1134"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126457,62</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144288,18</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Producţia, transportul şi distribuţia de energie electrică şi termică, gaze şi apă (tone)</w:t>
            </w:r>
          </w:p>
        </w:tc>
        <w:tc>
          <w:tcPr>
            <w:tcW w:w="1560"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25,70</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20,226</w:t>
            </w:r>
          </w:p>
        </w:tc>
        <w:tc>
          <w:tcPr>
            <w:tcW w:w="1276"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41,873</w:t>
            </w:r>
          </w:p>
        </w:tc>
        <w:tc>
          <w:tcPr>
            <w:tcW w:w="1134"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63,97</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51,503</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 xml:space="preserve">Captarea, tratarea şi </w:t>
            </w:r>
            <w:r w:rsidRPr="00A42550">
              <w:rPr>
                <w:rFonts w:ascii="Arial" w:hAnsi="Arial" w:cs="Arial"/>
                <w:sz w:val="20"/>
                <w:szCs w:val="20"/>
                <w:lang w:val="ro-RO"/>
              </w:rPr>
              <w:lastRenderedPageBreak/>
              <w:t>distrubuţia apei (tone)</w:t>
            </w:r>
          </w:p>
        </w:tc>
        <w:tc>
          <w:tcPr>
            <w:tcW w:w="1560"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lastRenderedPageBreak/>
              <w:t>0</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62,48</w:t>
            </w:r>
          </w:p>
        </w:tc>
        <w:tc>
          <w:tcPr>
            <w:tcW w:w="1276"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33,08</w:t>
            </w:r>
          </w:p>
        </w:tc>
        <w:tc>
          <w:tcPr>
            <w:tcW w:w="1134"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194,76</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26,08</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lastRenderedPageBreak/>
              <w:t>Alte activităţi (tone)</w:t>
            </w:r>
          </w:p>
        </w:tc>
        <w:tc>
          <w:tcPr>
            <w:tcW w:w="1560"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4626,99</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39024,729</w:t>
            </w:r>
          </w:p>
        </w:tc>
        <w:tc>
          <w:tcPr>
            <w:tcW w:w="1276"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17061,60</w:t>
            </w:r>
          </w:p>
        </w:tc>
        <w:tc>
          <w:tcPr>
            <w:tcW w:w="1134"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31675,35</w:t>
            </w:r>
          </w:p>
        </w:tc>
        <w:tc>
          <w:tcPr>
            <w:tcW w:w="1417" w:type="dxa"/>
          </w:tcPr>
          <w:p w:rsidR="00A42550" w:rsidRPr="00A42550" w:rsidRDefault="00A42550" w:rsidP="00A42550">
            <w:pPr>
              <w:spacing w:after="0" w:line="240" w:lineRule="auto"/>
              <w:rPr>
                <w:rFonts w:ascii="Arial" w:hAnsi="Arial" w:cs="Arial"/>
                <w:sz w:val="20"/>
                <w:szCs w:val="20"/>
                <w:lang w:val="ro-RO"/>
              </w:rPr>
            </w:pPr>
            <w:r w:rsidRPr="00A42550">
              <w:rPr>
                <w:rFonts w:ascii="Arial" w:hAnsi="Arial" w:cs="Arial"/>
                <w:sz w:val="20"/>
                <w:szCs w:val="20"/>
                <w:lang w:val="ro-RO"/>
              </w:rPr>
              <w:t>6171,861</w:t>
            </w:r>
          </w:p>
        </w:tc>
      </w:tr>
      <w:tr w:rsidR="00A42550" w:rsidRPr="00A42550" w:rsidTr="00A42550">
        <w:tc>
          <w:tcPr>
            <w:tcW w:w="2835" w:type="dxa"/>
          </w:tcPr>
          <w:p w:rsidR="00A42550" w:rsidRPr="00A42550" w:rsidRDefault="00A42550" w:rsidP="00A42550">
            <w:pPr>
              <w:spacing w:after="0" w:line="240" w:lineRule="auto"/>
              <w:rPr>
                <w:rFonts w:ascii="Arial" w:hAnsi="Arial" w:cs="Arial"/>
                <w:b/>
                <w:sz w:val="20"/>
                <w:szCs w:val="20"/>
                <w:lang w:val="ro-RO"/>
              </w:rPr>
            </w:pPr>
            <w:r w:rsidRPr="00A42550">
              <w:rPr>
                <w:rFonts w:ascii="Arial" w:hAnsi="Arial" w:cs="Arial"/>
                <w:b/>
                <w:sz w:val="20"/>
                <w:szCs w:val="20"/>
                <w:lang w:val="ro-RO"/>
              </w:rPr>
              <w:t>Total</w:t>
            </w:r>
          </w:p>
        </w:tc>
        <w:tc>
          <w:tcPr>
            <w:tcW w:w="1560" w:type="dxa"/>
          </w:tcPr>
          <w:p w:rsidR="00A42550" w:rsidRPr="00A42550" w:rsidRDefault="00A42550" w:rsidP="00A42550">
            <w:pPr>
              <w:spacing w:after="0" w:line="240" w:lineRule="auto"/>
              <w:rPr>
                <w:rFonts w:ascii="Arial" w:hAnsi="Arial" w:cs="Arial"/>
                <w:b/>
                <w:sz w:val="20"/>
                <w:szCs w:val="20"/>
                <w:lang w:val="ro-RO"/>
              </w:rPr>
            </w:pPr>
            <w:r w:rsidRPr="00A42550">
              <w:rPr>
                <w:rFonts w:ascii="Arial" w:hAnsi="Arial" w:cs="Arial"/>
                <w:b/>
                <w:sz w:val="20"/>
                <w:szCs w:val="20"/>
                <w:lang w:val="ro-RO"/>
              </w:rPr>
              <w:t>70948,24</w:t>
            </w:r>
          </w:p>
        </w:tc>
        <w:tc>
          <w:tcPr>
            <w:tcW w:w="1417" w:type="dxa"/>
          </w:tcPr>
          <w:p w:rsidR="00A42550" w:rsidRPr="00A42550" w:rsidRDefault="00A42550" w:rsidP="00A42550">
            <w:pPr>
              <w:spacing w:after="0" w:line="240" w:lineRule="auto"/>
              <w:rPr>
                <w:rFonts w:ascii="Arial" w:hAnsi="Arial" w:cs="Arial"/>
                <w:b/>
                <w:sz w:val="20"/>
                <w:szCs w:val="20"/>
                <w:lang w:val="ro-RO"/>
              </w:rPr>
            </w:pPr>
            <w:r w:rsidRPr="00A42550">
              <w:rPr>
                <w:rFonts w:ascii="Arial" w:hAnsi="Arial" w:cs="Arial"/>
                <w:b/>
                <w:sz w:val="20"/>
                <w:szCs w:val="20"/>
                <w:lang w:val="ro-RO"/>
              </w:rPr>
              <w:t>108720,12</w:t>
            </w:r>
          </w:p>
        </w:tc>
        <w:tc>
          <w:tcPr>
            <w:tcW w:w="1276" w:type="dxa"/>
          </w:tcPr>
          <w:p w:rsidR="00A42550" w:rsidRPr="00A42550" w:rsidRDefault="00A42550" w:rsidP="00A42550">
            <w:pPr>
              <w:spacing w:after="0" w:line="240" w:lineRule="auto"/>
              <w:rPr>
                <w:rFonts w:ascii="Arial" w:hAnsi="Arial" w:cs="Arial"/>
                <w:b/>
                <w:sz w:val="20"/>
                <w:szCs w:val="20"/>
                <w:lang w:val="ro-RO"/>
              </w:rPr>
            </w:pPr>
            <w:r w:rsidRPr="00A42550">
              <w:rPr>
                <w:rFonts w:ascii="Arial" w:hAnsi="Arial" w:cs="Arial"/>
                <w:b/>
                <w:sz w:val="20"/>
                <w:szCs w:val="20"/>
                <w:lang w:val="ro-RO"/>
              </w:rPr>
              <w:t>136302,573</w:t>
            </w:r>
          </w:p>
        </w:tc>
        <w:tc>
          <w:tcPr>
            <w:tcW w:w="1134" w:type="dxa"/>
          </w:tcPr>
          <w:p w:rsidR="00A42550" w:rsidRPr="00A42550" w:rsidRDefault="00A42550" w:rsidP="00A42550">
            <w:pPr>
              <w:spacing w:after="0" w:line="240" w:lineRule="auto"/>
              <w:rPr>
                <w:rFonts w:ascii="Arial" w:hAnsi="Arial" w:cs="Arial"/>
                <w:b/>
                <w:sz w:val="20"/>
                <w:szCs w:val="20"/>
                <w:lang w:val="ro-RO"/>
              </w:rPr>
            </w:pPr>
            <w:r w:rsidRPr="00A42550">
              <w:rPr>
                <w:rFonts w:ascii="Arial" w:hAnsi="Arial" w:cs="Arial"/>
                <w:b/>
                <w:sz w:val="20"/>
                <w:szCs w:val="20"/>
                <w:lang w:val="ro-RO"/>
              </w:rPr>
              <w:t>158391,7</w:t>
            </w:r>
          </w:p>
        </w:tc>
        <w:tc>
          <w:tcPr>
            <w:tcW w:w="1417" w:type="dxa"/>
          </w:tcPr>
          <w:p w:rsidR="00A42550" w:rsidRPr="00A42550" w:rsidRDefault="00A42550" w:rsidP="00A42550">
            <w:pPr>
              <w:spacing w:after="0" w:line="240" w:lineRule="auto"/>
              <w:rPr>
                <w:rFonts w:ascii="Arial" w:hAnsi="Arial" w:cs="Arial"/>
                <w:b/>
                <w:sz w:val="20"/>
                <w:szCs w:val="20"/>
                <w:lang w:val="ro-RO"/>
              </w:rPr>
            </w:pPr>
            <w:r w:rsidRPr="00A42550">
              <w:rPr>
                <w:rFonts w:ascii="Arial" w:hAnsi="Arial" w:cs="Arial"/>
                <w:b/>
                <w:sz w:val="20"/>
                <w:szCs w:val="20"/>
                <w:lang w:val="ro-RO"/>
              </w:rPr>
              <w:t>150537,624</w:t>
            </w:r>
          </w:p>
        </w:tc>
      </w:tr>
    </w:tbl>
    <w:p w:rsidR="00A42550" w:rsidRPr="00A42550" w:rsidRDefault="00A42550" w:rsidP="00A42550">
      <w:pPr>
        <w:spacing w:before="120" w:after="120" w:line="240" w:lineRule="auto"/>
        <w:jc w:val="both"/>
        <w:rPr>
          <w:rFonts w:ascii="Arial" w:eastAsia="Times New Roman" w:hAnsi="Arial" w:cs="Arial"/>
          <w:i/>
          <w:sz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Deşeurile de producţie nepericuloase generate în anul 2012 au fost predate societăţilor</w:t>
      </w:r>
      <w:r w:rsidRPr="00A42550">
        <w:rPr>
          <w:rFonts w:ascii="Arial" w:eastAsia="Times New Roman" w:hAnsi="Arial" w:cs="Arial"/>
          <w:color w:val="FF0000"/>
          <w:sz w:val="24"/>
          <w:szCs w:val="24"/>
          <w:lang w:val="ro-RO"/>
        </w:rPr>
        <w:t xml:space="preserve"> </w:t>
      </w:r>
      <w:r w:rsidRPr="00A42550">
        <w:rPr>
          <w:rFonts w:ascii="Arial" w:eastAsia="Times New Roman" w:hAnsi="Arial" w:cs="Arial"/>
          <w:sz w:val="24"/>
          <w:szCs w:val="24"/>
          <w:lang w:val="ro-RO"/>
        </w:rPr>
        <w:t xml:space="preserve">autorizate în vederea valorificării sau eliminării, după caz. </w:t>
      </w:r>
    </w:p>
    <w:p w:rsidR="00A42550" w:rsidRPr="00A42550" w:rsidRDefault="00A42550" w:rsidP="00A42550">
      <w:pPr>
        <w:spacing w:after="120" w:line="240" w:lineRule="auto"/>
        <w:jc w:val="both"/>
        <w:rPr>
          <w:rFonts w:ascii="Arial" w:eastAsia="Times New Roman" w:hAnsi="Arial" w:cs="Arial"/>
          <w:sz w:val="24"/>
          <w:lang w:val="ro-RO"/>
        </w:rPr>
      </w:pPr>
      <w:r w:rsidRPr="00A42550">
        <w:rPr>
          <w:rFonts w:ascii="Arial" w:eastAsia="Times New Roman" w:hAnsi="Arial" w:cs="Arial"/>
          <w:sz w:val="24"/>
          <w:szCs w:val="24"/>
          <w:lang w:val="ro-RO"/>
        </w:rPr>
        <w:t xml:space="preserve">Dintre tipurile de deşeuri generate, cele mai reprezentative cantităţi </w:t>
      </w:r>
      <w:r w:rsidRPr="00A42550">
        <w:rPr>
          <w:rFonts w:ascii="Arial" w:eastAsia="Times New Roman" w:hAnsi="Arial" w:cs="Arial"/>
          <w:sz w:val="24"/>
          <w:lang w:val="ro-RO"/>
        </w:rPr>
        <w:t>valorificate în judeţ sau predate spre valorificare instalaţiilor din alte judeţe au fost pentru următoarele deşeuri:</w:t>
      </w:r>
    </w:p>
    <w:p w:rsidR="00A42550" w:rsidRPr="00A42550" w:rsidRDefault="00A42550" w:rsidP="00A42550">
      <w:pPr>
        <w:autoSpaceDE w:val="0"/>
        <w:autoSpaceDN w:val="0"/>
        <w:adjustRightInd w:val="0"/>
        <w:spacing w:after="0" w:line="240" w:lineRule="auto"/>
        <w:rPr>
          <w:rFonts w:ascii="Arial" w:eastAsia="Times New Roman" w:hAnsi="Arial" w:cs="Arial"/>
          <w:sz w:val="24"/>
          <w:lang w:val="ro-RO"/>
        </w:rPr>
      </w:pPr>
      <w:r w:rsidRPr="00A42550">
        <w:rPr>
          <w:rFonts w:ascii="Arial" w:eastAsia="Times New Roman" w:hAnsi="Arial" w:cs="Arial"/>
          <w:sz w:val="24"/>
          <w:lang w:val="ro-RO"/>
        </w:rPr>
        <w:t xml:space="preserve"> - deşeuri metalice, </w:t>
      </w:r>
    </w:p>
    <w:p w:rsidR="00A42550" w:rsidRPr="00A42550" w:rsidRDefault="00A42550" w:rsidP="00A42550">
      <w:pPr>
        <w:autoSpaceDE w:val="0"/>
        <w:autoSpaceDN w:val="0"/>
        <w:adjustRightInd w:val="0"/>
        <w:spacing w:after="0" w:line="240" w:lineRule="auto"/>
        <w:rPr>
          <w:rFonts w:ascii="Arial" w:eastAsia="Times New Roman" w:hAnsi="Arial" w:cs="Arial"/>
          <w:sz w:val="24"/>
          <w:lang w:val="ro-RO"/>
        </w:rPr>
      </w:pPr>
      <w:r w:rsidRPr="00A42550">
        <w:rPr>
          <w:rFonts w:ascii="Arial" w:eastAsia="Times New Roman" w:hAnsi="Arial" w:cs="Arial"/>
          <w:sz w:val="24"/>
          <w:lang w:val="ro-RO"/>
        </w:rPr>
        <w:t xml:space="preserve"> - deşeuri din materiale plastice ( PET, PE, PP, PVC), </w:t>
      </w:r>
    </w:p>
    <w:p w:rsidR="00A42550" w:rsidRPr="00A42550" w:rsidRDefault="00A42550" w:rsidP="00A42550">
      <w:pPr>
        <w:autoSpaceDE w:val="0"/>
        <w:autoSpaceDN w:val="0"/>
        <w:adjustRightInd w:val="0"/>
        <w:spacing w:after="0" w:line="240" w:lineRule="auto"/>
        <w:rPr>
          <w:rFonts w:ascii="Arial" w:eastAsia="Times New Roman" w:hAnsi="Arial" w:cs="Arial"/>
          <w:sz w:val="24"/>
          <w:lang w:val="ro-RO"/>
        </w:rPr>
      </w:pPr>
      <w:r w:rsidRPr="00A42550">
        <w:rPr>
          <w:rFonts w:ascii="Arial" w:eastAsia="Times New Roman" w:hAnsi="Arial" w:cs="Arial"/>
          <w:sz w:val="24"/>
          <w:lang w:val="ro-RO"/>
        </w:rPr>
        <w:t xml:space="preserve"> - deşeuri de hârtie şi carton,</w:t>
      </w:r>
    </w:p>
    <w:p w:rsidR="00A42550" w:rsidRPr="00A42550" w:rsidRDefault="00A42550" w:rsidP="00A42550">
      <w:pPr>
        <w:autoSpaceDE w:val="0"/>
        <w:autoSpaceDN w:val="0"/>
        <w:adjustRightInd w:val="0"/>
        <w:spacing w:after="0" w:line="240" w:lineRule="auto"/>
        <w:rPr>
          <w:rFonts w:ascii="Arial" w:eastAsia="Times New Roman" w:hAnsi="Arial" w:cs="Arial"/>
          <w:sz w:val="24"/>
          <w:lang w:val="ro-RO"/>
        </w:rPr>
      </w:pPr>
      <w:r w:rsidRPr="00A42550">
        <w:rPr>
          <w:rFonts w:ascii="Arial" w:eastAsia="Times New Roman" w:hAnsi="Arial" w:cs="Arial"/>
          <w:sz w:val="24"/>
          <w:lang w:val="ro-RO"/>
        </w:rPr>
        <w:t>-  uleiuri uzate,</w:t>
      </w:r>
    </w:p>
    <w:p w:rsidR="00A42550" w:rsidRPr="00A42550" w:rsidRDefault="00A42550" w:rsidP="00A42550">
      <w:pPr>
        <w:autoSpaceDE w:val="0"/>
        <w:autoSpaceDN w:val="0"/>
        <w:adjustRightInd w:val="0"/>
        <w:spacing w:after="120" w:line="240" w:lineRule="auto"/>
        <w:rPr>
          <w:rFonts w:ascii="Arial" w:eastAsia="Times New Roman" w:hAnsi="Arial" w:cs="Arial"/>
          <w:sz w:val="24"/>
          <w:lang w:val="ro-RO"/>
        </w:rPr>
      </w:pPr>
      <w:r w:rsidRPr="00A42550">
        <w:rPr>
          <w:rFonts w:ascii="Arial" w:eastAsia="Times New Roman" w:hAnsi="Arial" w:cs="Arial"/>
          <w:sz w:val="24"/>
          <w:lang w:val="ro-RO"/>
        </w:rPr>
        <w:t xml:space="preserve"> - deşeuri de lemn.</w:t>
      </w:r>
    </w:p>
    <w:p w:rsidR="00A42550" w:rsidRPr="00A42550" w:rsidRDefault="00A42550" w:rsidP="00A42550">
      <w:pPr>
        <w:autoSpaceDE w:val="0"/>
        <w:autoSpaceDN w:val="0"/>
        <w:adjustRightInd w:val="0"/>
        <w:spacing w:after="120" w:line="240" w:lineRule="auto"/>
        <w:jc w:val="both"/>
        <w:rPr>
          <w:rFonts w:ascii="Arial" w:eastAsia="Times New Roman" w:hAnsi="Arial"/>
          <w:sz w:val="24"/>
          <w:szCs w:val="24"/>
        </w:rPr>
      </w:pPr>
      <w:r w:rsidRPr="00A42550">
        <w:rPr>
          <w:rFonts w:ascii="Arial" w:eastAsia="Times New Roman" w:hAnsi="Arial"/>
          <w:sz w:val="24"/>
          <w:szCs w:val="24"/>
        </w:rPr>
        <w:t>Deşeurile periculoase, generate în anul 2012, în cantitate de 3363,952 tone, au repreze</w:t>
      </w:r>
      <w:r w:rsidRPr="00A42550">
        <w:rPr>
          <w:rFonts w:ascii="Arial" w:eastAsia="Times New Roman" w:hAnsi="Arial"/>
          <w:sz w:val="24"/>
          <w:szCs w:val="24"/>
        </w:rPr>
        <w:t>n</w:t>
      </w:r>
      <w:r w:rsidRPr="00A42550">
        <w:rPr>
          <w:rFonts w:ascii="Arial" w:eastAsia="Times New Roman" w:hAnsi="Arial"/>
          <w:sz w:val="24"/>
          <w:szCs w:val="24"/>
        </w:rPr>
        <w:t xml:space="preserve">tat circa 1,93% din totalul deşeurilor generate (inclusiv deşeuri din industria extractivă). </w:t>
      </w:r>
    </w:p>
    <w:p w:rsidR="00A42550" w:rsidRPr="00A42550" w:rsidRDefault="00A42550" w:rsidP="00A42550">
      <w:pPr>
        <w:spacing w:after="120" w:line="240" w:lineRule="auto"/>
        <w:jc w:val="both"/>
        <w:rPr>
          <w:rFonts w:ascii="Arial" w:eastAsia="Times New Roman" w:hAnsi="Arial"/>
          <w:sz w:val="24"/>
          <w:szCs w:val="24"/>
        </w:rPr>
      </w:pPr>
      <w:r w:rsidRPr="00A42550">
        <w:rPr>
          <w:rFonts w:ascii="Arial" w:eastAsia="Times New Roman" w:hAnsi="Arial"/>
          <w:sz w:val="24"/>
          <w:szCs w:val="24"/>
        </w:rPr>
        <w:t>Cantităţile de deşeuri periculoase generate de principalele activităţi industriale în perioada 2008 - 2012 sunt prezentate în tabelul următor.</w:t>
      </w:r>
    </w:p>
    <w:p w:rsidR="00A42550" w:rsidRPr="00A42550" w:rsidRDefault="00A42550" w:rsidP="00A42550">
      <w:pPr>
        <w:spacing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VII.1.2.2. Deşeuri industriale periculoase generate pe principalele activităţi economice în perioada 2008-2012</w:t>
      </w:r>
    </w:p>
    <w:tbl>
      <w:tblPr>
        <w:tblStyle w:val="TableGrid2"/>
        <w:tblW w:w="0" w:type="auto"/>
        <w:tblInd w:w="108" w:type="dxa"/>
        <w:tblLook w:val="04A0"/>
      </w:tblPr>
      <w:tblGrid>
        <w:gridCol w:w="2835"/>
        <w:gridCol w:w="1418"/>
        <w:gridCol w:w="1276"/>
        <w:gridCol w:w="1275"/>
        <w:gridCol w:w="1418"/>
        <w:gridCol w:w="1417"/>
      </w:tblGrid>
      <w:tr w:rsidR="00A42550" w:rsidRPr="00A42550" w:rsidTr="00A42550">
        <w:trPr>
          <w:trHeight w:val="123"/>
        </w:trPr>
        <w:tc>
          <w:tcPr>
            <w:tcW w:w="2835" w:type="dxa"/>
            <w:shd w:val="clear" w:color="auto" w:fill="FFFF00"/>
          </w:tcPr>
          <w:p w:rsidR="00A42550" w:rsidRPr="00A42550" w:rsidRDefault="00A42550" w:rsidP="00A42550">
            <w:pPr>
              <w:spacing w:after="0" w:line="240" w:lineRule="auto"/>
              <w:jc w:val="center"/>
              <w:rPr>
                <w:rFonts w:ascii="Arial" w:hAnsi="Arial" w:cs="Arial"/>
                <w:b/>
                <w:sz w:val="20"/>
              </w:rPr>
            </w:pPr>
            <w:r w:rsidRPr="00A42550">
              <w:rPr>
                <w:rFonts w:ascii="Arial" w:hAnsi="Arial" w:cs="Arial"/>
                <w:b/>
                <w:sz w:val="20"/>
              </w:rPr>
              <w:t>Activitatea economică</w:t>
            </w:r>
          </w:p>
        </w:tc>
        <w:tc>
          <w:tcPr>
            <w:tcW w:w="1418" w:type="dxa"/>
            <w:shd w:val="clear" w:color="auto" w:fill="FFFF00"/>
          </w:tcPr>
          <w:p w:rsidR="00A42550" w:rsidRPr="00A42550" w:rsidRDefault="00A42550" w:rsidP="00A42550">
            <w:pPr>
              <w:spacing w:after="0" w:line="240" w:lineRule="auto"/>
              <w:jc w:val="center"/>
              <w:rPr>
                <w:rFonts w:ascii="Arial" w:hAnsi="Arial" w:cs="Arial"/>
                <w:b/>
                <w:sz w:val="20"/>
              </w:rPr>
            </w:pPr>
            <w:r w:rsidRPr="00A42550">
              <w:rPr>
                <w:rFonts w:ascii="Arial" w:hAnsi="Arial" w:cs="Arial"/>
                <w:b/>
                <w:sz w:val="20"/>
              </w:rPr>
              <w:t>2008</w:t>
            </w:r>
          </w:p>
        </w:tc>
        <w:tc>
          <w:tcPr>
            <w:tcW w:w="1276" w:type="dxa"/>
            <w:shd w:val="clear" w:color="auto" w:fill="FFFF00"/>
          </w:tcPr>
          <w:p w:rsidR="00A42550" w:rsidRPr="00A42550" w:rsidRDefault="00A42550" w:rsidP="00A42550">
            <w:pPr>
              <w:spacing w:after="0" w:line="240" w:lineRule="auto"/>
              <w:jc w:val="center"/>
              <w:rPr>
                <w:rFonts w:ascii="Arial" w:hAnsi="Arial" w:cs="Arial"/>
                <w:b/>
                <w:sz w:val="20"/>
              </w:rPr>
            </w:pPr>
            <w:r w:rsidRPr="00A42550">
              <w:rPr>
                <w:rFonts w:ascii="Arial" w:hAnsi="Arial" w:cs="Arial"/>
                <w:b/>
                <w:sz w:val="20"/>
              </w:rPr>
              <w:t>2009</w:t>
            </w:r>
          </w:p>
        </w:tc>
        <w:tc>
          <w:tcPr>
            <w:tcW w:w="1275" w:type="dxa"/>
            <w:shd w:val="clear" w:color="auto" w:fill="FFFF00"/>
          </w:tcPr>
          <w:p w:rsidR="00A42550" w:rsidRPr="00A42550" w:rsidRDefault="00A42550" w:rsidP="00A42550">
            <w:pPr>
              <w:spacing w:after="0" w:line="240" w:lineRule="auto"/>
              <w:jc w:val="center"/>
              <w:rPr>
                <w:rFonts w:ascii="Arial" w:hAnsi="Arial" w:cs="Arial"/>
                <w:b/>
                <w:sz w:val="20"/>
              </w:rPr>
            </w:pPr>
            <w:r w:rsidRPr="00A42550">
              <w:rPr>
                <w:rFonts w:ascii="Arial" w:hAnsi="Arial" w:cs="Arial"/>
                <w:b/>
                <w:sz w:val="20"/>
              </w:rPr>
              <w:t>2010</w:t>
            </w:r>
          </w:p>
        </w:tc>
        <w:tc>
          <w:tcPr>
            <w:tcW w:w="1418" w:type="dxa"/>
            <w:shd w:val="clear" w:color="auto" w:fill="FFFF00"/>
          </w:tcPr>
          <w:p w:rsidR="00A42550" w:rsidRPr="00A42550" w:rsidRDefault="00A42550" w:rsidP="00A42550">
            <w:pPr>
              <w:spacing w:after="0" w:line="240" w:lineRule="auto"/>
              <w:jc w:val="center"/>
              <w:rPr>
                <w:rFonts w:ascii="Arial" w:hAnsi="Arial" w:cs="Arial"/>
                <w:b/>
                <w:sz w:val="20"/>
              </w:rPr>
            </w:pPr>
            <w:r w:rsidRPr="00A42550">
              <w:rPr>
                <w:rFonts w:ascii="Arial" w:hAnsi="Arial" w:cs="Arial"/>
                <w:b/>
                <w:sz w:val="20"/>
              </w:rPr>
              <w:t>2011</w:t>
            </w:r>
          </w:p>
        </w:tc>
        <w:tc>
          <w:tcPr>
            <w:tcW w:w="1417" w:type="dxa"/>
            <w:shd w:val="clear" w:color="auto" w:fill="FFFF00"/>
          </w:tcPr>
          <w:p w:rsidR="00A42550" w:rsidRPr="00A42550" w:rsidRDefault="00A42550" w:rsidP="00A42550">
            <w:pPr>
              <w:spacing w:after="0" w:line="240" w:lineRule="auto"/>
              <w:jc w:val="center"/>
              <w:rPr>
                <w:rFonts w:ascii="Arial" w:hAnsi="Arial" w:cs="Arial"/>
                <w:b/>
                <w:sz w:val="20"/>
              </w:rPr>
            </w:pPr>
            <w:r w:rsidRPr="00A42550">
              <w:rPr>
                <w:rFonts w:ascii="Arial" w:hAnsi="Arial" w:cs="Arial"/>
                <w:b/>
                <w:sz w:val="20"/>
              </w:rPr>
              <w:t>2012</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Industria extractivă</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772,59</w:t>
            </w:r>
          </w:p>
        </w:tc>
        <w:tc>
          <w:tcPr>
            <w:tcW w:w="1276"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2537,28</w:t>
            </w:r>
          </w:p>
        </w:tc>
        <w:tc>
          <w:tcPr>
            <w:tcW w:w="127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3012,722</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1506,89</w:t>
            </w:r>
          </w:p>
        </w:tc>
        <w:tc>
          <w:tcPr>
            <w:tcW w:w="1417"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2002,445</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Fabricarea substanţelor şi produselor chimice</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4,205</w:t>
            </w:r>
          </w:p>
        </w:tc>
        <w:tc>
          <w:tcPr>
            <w:tcW w:w="1276"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3,242</w:t>
            </w:r>
          </w:p>
        </w:tc>
        <w:tc>
          <w:tcPr>
            <w:tcW w:w="127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1,693</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9,434</w:t>
            </w:r>
          </w:p>
        </w:tc>
        <w:tc>
          <w:tcPr>
            <w:tcW w:w="1417"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3,121</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Industria metalurgică</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470,9</w:t>
            </w:r>
          </w:p>
        </w:tc>
        <w:tc>
          <w:tcPr>
            <w:tcW w:w="1276"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406,688</w:t>
            </w:r>
          </w:p>
        </w:tc>
        <w:tc>
          <w:tcPr>
            <w:tcW w:w="127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826,888</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757,575</w:t>
            </w:r>
          </w:p>
        </w:tc>
        <w:tc>
          <w:tcPr>
            <w:tcW w:w="1417"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681,915</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Indistria construcţiilor met</w:t>
            </w:r>
            <w:r w:rsidRPr="00A42550">
              <w:rPr>
                <w:rFonts w:ascii="Arial" w:hAnsi="Arial" w:cs="Arial"/>
                <w:sz w:val="20"/>
              </w:rPr>
              <w:t>a</w:t>
            </w:r>
            <w:r w:rsidRPr="00A42550">
              <w:rPr>
                <w:rFonts w:ascii="Arial" w:hAnsi="Arial" w:cs="Arial"/>
                <w:sz w:val="20"/>
              </w:rPr>
              <w:t>lice</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44,939</w:t>
            </w:r>
          </w:p>
        </w:tc>
        <w:tc>
          <w:tcPr>
            <w:tcW w:w="1276"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70,49</w:t>
            </w:r>
          </w:p>
        </w:tc>
        <w:tc>
          <w:tcPr>
            <w:tcW w:w="127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77,45</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102,675</w:t>
            </w:r>
          </w:p>
        </w:tc>
        <w:tc>
          <w:tcPr>
            <w:tcW w:w="1417"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103,229</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Fabricarea produselor din cauciuc şi mase plastic</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9,451</w:t>
            </w:r>
          </w:p>
        </w:tc>
        <w:tc>
          <w:tcPr>
            <w:tcW w:w="1276"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29,16</w:t>
            </w:r>
          </w:p>
        </w:tc>
        <w:tc>
          <w:tcPr>
            <w:tcW w:w="127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44,352</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90,01</w:t>
            </w:r>
          </w:p>
        </w:tc>
        <w:tc>
          <w:tcPr>
            <w:tcW w:w="1417"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77,687</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Industria de maşini şi ech</w:t>
            </w:r>
            <w:r w:rsidRPr="00A42550">
              <w:rPr>
                <w:rFonts w:ascii="Arial" w:hAnsi="Arial" w:cs="Arial"/>
                <w:sz w:val="20"/>
              </w:rPr>
              <w:t>i</w:t>
            </w:r>
            <w:r w:rsidRPr="00A42550">
              <w:rPr>
                <w:rFonts w:ascii="Arial" w:hAnsi="Arial" w:cs="Arial"/>
                <w:sz w:val="20"/>
              </w:rPr>
              <w:t>pamente</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19,73</w:t>
            </w:r>
          </w:p>
        </w:tc>
        <w:tc>
          <w:tcPr>
            <w:tcW w:w="1276"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31,28</w:t>
            </w:r>
          </w:p>
        </w:tc>
        <w:tc>
          <w:tcPr>
            <w:tcW w:w="127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26,216</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35,449</w:t>
            </w:r>
          </w:p>
        </w:tc>
        <w:tc>
          <w:tcPr>
            <w:tcW w:w="1417"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35,218</w:t>
            </w:r>
          </w:p>
        </w:tc>
      </w:tr>
      <w:tr w:rsidR="00A42550" w:rsidRPr="00A42550" w:rsidTr="00A42550">
        <w:tc>
          <w:tcPr>
            <w:tcW w:w="28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Alte activităţi</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396,295</w:t>
            </w:r>
          </w:p>
        </w:tc>
        <w:tc>
          <w:tcPr>
            <w:tcW w:w="1276"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69,875</w:t>
            </w:r>
          </w:p>
        </w:tc>
        <w:tc>
          <w:tcPr>
            <w:tcW w:w="127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366,324</w:t>
            </w:r>
          </w:p>
        </w:tc>
        <w:tc>
          <w:tcPr>
            <w:tcW w:w="1418"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870,165</w:t>
            </w:r>
          </w:p>
        </w:tc>
        <w:tc>
          <w:tcPr>
            <w:tcW w:w="1417"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463,458</w:t>
            </w:r>
          </w:p>
        </w:tc>
      </w:tr>
      <w:tr w:rsidR="00A42550" w:rsidRPr="00A42550" w:rsidTr="00A42550">
        <w:tc>
          <w:tcPr>
            <w:tcW w:w="2835" w:type="dxa"/>
          </w:tcPr>
          <w:p w:rsidR="00A42550" w:rsidRPr="00A42550" w:rsidRDefault="00A42550" w:rsidP="00A42550">
            <w:pPr>
              <w:spacing w:after="0" w:line="240" w:lineRule="auto"/>
              <w:rPr>
                <w:rFonts w:ascii="Arial" w:hAnsi="Arial" w:cs="Arial"/>
                <w:b/>
                <w:sz w:val="20"/>
              </w:rPr>
            </w:pPr>
            <w:r w:rsidRPr="00A42550">
              <w:rPr>
                <w:rFonts w:ascii="Arial" w:hAnsi="Arial" w:cs="Arial"/>
                <w:b/>
                <w:sz w:val="20"/>
              </w:rPr>
              <w:t>Total</w:t>
            </w:r>
          </w:p>
        </w:tc>
        <w:tc>
          <w:tcPr>
            <w:tcW w:w="1418" w:type="dxa"/>
          </w:tcPr>
          <w:p w:rsidR="00A42550" w:rsidRPr="00A42550" w:rsidRDefault="00A42550" w:rsidP="00A42550">
            <w:pPr>
              <w:spacing w:after="0" w:line="240" w:lineRule="auto"/>
              <w:rPr>
                <w:rFonts w:ascii="Arial" w:hAnsi="Arial" w:cs="Arial"/>
                <w:b/>
                <w:sz w:val="20"/>
              </w:rPr>
            </w:pPr>
            <w:r w:rsidRPr="00A42550">
              <w:rPr>
                <w:rFonts w:ascii="Arial" w:hAnsi="Arial" w:cs="Arial"/>
                <w:b/>
                <w:sz w:val="20"/>
              </w:rPr>
              <w:t>1718,11</w:t>
            </w:r>
          </w:p>
        </w:tc>
        <w:tc>
          <w:tcPr>
            <w:tcW w:w="1276" w:type="dxa"/>
          </w:tcPr>
          <w:p w:rsidR="00A42550" w:rsidRPr="00A42550" w:rsidRDefault="00A42550" w:rsidP="00A42550">
            <w:pPr>
              <w:spacing w:after="0" w:line="240" w:lineRule="auto"/>
              <w:rPr>
                <w:rFonts w:ascii="Arial" w:hAnsi="Arial" w:cs="Arial"/>
                <w:b/>
                <w:sz w:val="20"/>
              </w:rPr>
            </w:pPr>
            <w:r w:rsidRPr="00A42550">
              <w:rPr>
                <w:rFonts w:ascii="Arial" w:hAnsi="Arial" w:cs="Arial"/>
                <w:b/>
                <w:sz w:val="20"/>
              </w:rPr>
              <w:t>3148,015</w:t>
            </w:r>
          </w:p>
        </w:tc>
        <w:tc>
          <w:tcPr>
            <w:tcW w:w="1275" w:type="dxa"/>
          </w:tcPr>
          <w:p w:rsidR="00A42550" w:rsidRPr="00A42550" w:rsidRDefault="00A42550" w:rsidP="00A42550">
            <w:pPr>
              <w:spacing w:after="0" w:line="240" w:lineRule="auto"/>
              <w:rPr>
                <w:rFonts w:ascii="Arial" w:hAnsi="Arial" w:cs="Arial"/>
                <w:b/>
                <w:sz w:val="20"/>
              </w:rPr>
            </w:pPr>
            <w:r w:rsidRPr="00A42550">
              <w:rPr>
                <w:rFonts w:ascii="Arial" w:hAnsi="Arial" w:cs="Arial"/>
                <w:b/>
                <w:sz w:val="20"/>
              </w:rPr>
              <w:t>4355,645</w:t>
            </w:r>
          </w:p>
        </w:tc>
        <w:tc>
          <w:tcPr>
            <w:tcW w:w="1418" w:type="dxa"/>
          </w:tcPr>
          <w:p w:rsidR="00A42550" w:rsidRPr="00A42550" w:rsidRDefault="00A42550" w:rsidP="00A42550">
            <w:pPr>
              <w:spacing w:after="0" w:line="240" w:lineRule="auto"/>
              <w:rPr>
                <w:rFonts w:ascii="Arial" w:hAnsi="Arial" w:cs="Arial"/>
                <w:b/>
                <w:sz w:val="20"/>
              </w:rPr>
            </w:pPr>
            <w:r w:rsidRPr="00A42550">
              <w:rPr>
                <w:rFonts w:ascii="Arial" w:hAnsi="Arial" w:cs="Arial"/>
                <w:b/>
                <w:sz w:val="20"/>
              </w:rPr>
              <w:t>3372,188</w:t>
            </w:r>
          </w:p>
        </w:tc>
        <w:tc>
          <w:tcPr>
            <w:tcW w:w="1417" w:type="dxa"/>
          </w:tcPr>
          <w:p w:rsidR="00A42550" w:rsidRPr="00A42550" w:rsidRDefault="00A42550" w:rsidP="00A42550">
            <w:pPr>
              <w:spacing w:after="0" w:line="240" w:lineRule="auto"/>
              <w:rPr>
                <w:rFonts w:ascii="Arial" w:hAnsi="Arial" w:cs="Arial"/>
                <w:b/>
                <w:sz w:val="20"/>
              </w:rPr>
            </w:pPr>
            <w:r w:rsidRPr="00A42550">
              <w:rPr>
                <w:rFonts w:ascii="Arial" w:hAnsi="Arial" w:cs="Arial"/>
                <w:b/>
                <w:sz w:val="20"/>
              </w:rPr>
              <w:t>3363,952</w:t>
            </w:r>
          </w:p>
        </w:tc>
      </w:tr>
    </w:tbl>
    <w:p w:rsidR="00A42550" w:rsidRPr="00A42550" w:rsidRDefault="00A42550" w:rsidP="00A42550">
      <w:pPr>
        <w:spacing w:before="120" w:after="120" w:line="240" w:lineRule="auto"/>
        <w:jc w:val="both"/>
        <w:rPr>
          <w:rFonts w:ascii="Arial" w:eastAsia="Times New Roman" w:hAnsi="Arial" w:cs="Arial"/>
          <w:i/>
          <w:sz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Modul de gestionare al deşeurilor periculoase în anul 2013, a constat în principal în colectarea şi stocarea lor în spaţii special amenajate, predarea spre valorificare (acumulatori, uleiuri uzate, alte produse petroliere uzate), eliminare în depozite conforme de deşeuri periculoase şi evacuare în reţele de canalizare, după tratare (deşeuri lichide apoase cu conţinut de substanţe periculoase).</w:t>
      </w:r>
    </w:p>
    <w:p w:rsidR="00A42550" w:rsidRPr="00A42550" w:rsidRDefault="00A42550" w:rsidP="00A42550">
      <w:pPr>
        <w:spacing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Uleiurile minerale de motor, transmisie şi de ungere au fost valorificate prin unităţi autorizate.</w:t>
      </w:r>
    </w:p>
    <w:p w:rsidR="00A42550" w:rsidRPr="00A42550" w:rsidRDefault="00A42550" w:rsidP="00A42550">
      <w:pPr>
        <w:spacing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Nămolurile cu conţinut de substanţe periculoase generate de SC DUCTIL STEEL SA Buzău, au fost depozitate în depozitul propriu. </w:t>
      </w:r>
    </w:p>
    <w:p w:rsidR="00A42550" w:rsidRPr="00A42550" w:rsidRDefault="00A42550" w:rsidP="00A42550">
      <w:pPr>
        <w:spacing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Condensatorii cu conţinut de PCB, electroliţii colectaţi separat din baterii şi acumulatori au fost eliminaţi prin societaţi autorizate din ţară. </w:t>
      </w:r>
      <w:r w:rsidRPr="00A42550">
        <w:rPr>
          <w:rFonts w:ascii="Arial" w:eastAsia="Times New Roman" w:hAnsi="Arial" w:cs="Arial"/>
          <w:bCs/>
          <w:sz w:val="24"/>
          <w:szCs w:val="24"/>
          <w:lang w:val="ro-RO"/>
        </w:rPr>
        <w:t>Toate echipamentele electrice cu conţinut de PCB, sunt fie depozitate în spaţii care respectă prevederile HG nr. 173/2000, fie sunt în funcţiune urmând să fie eliminate conform Planurilor de eliminare.</w:t>
      </w:r>
    </w:p>
    <w:p w:rsidR="00A42550" w:rsidRPr="00A42550" w:rsidRDefault="00A42550" w:rsidP="00A42550">
      <w:pPr>
        <w:spacing w:after="120" w:line="240" w:lineRule="auto"/>
        <w:rPr>
          <w:rFonts w:ascii="Arial" w:eastAsia="Times New Roman" w:hAnsi="Arial" w:cs="Arial"/>
          <w:b/>
          <w:sz w:val="24"/>
          <w:szCs w:val="24"/>
          <w:lang w:val="ro-RO"/>
        </w:rPr>
      </w:pPr>
    </w:p>
    <w:p w:rsidR="00A42550" w:rsidRPr="00A42550" w:rsidRDefault="00A42550" w:rsidP="00A42550">
      <w:pPr>
        <w:spacing w:after="120" w:line="240" w:lineRule="auto"/>
        <w:rPr>
          <w:rFonts w:ascii="Arial" w:eastAsia="Times New Roman" w:hAnsi="Arial" w:cs="Arial"/>
          <w:b/>
          <w:sz w:val="24"/>
          <w:szCs w:val="24"/>
          <w:lang w:val="ro-RO"/>
        </w:rPr>
      </w:pPr>
    </w:p>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sz w:val="24"/>
          <w:szCs w:val="24"/>
          <w:lang w:val="ro-RO"/>
        </w:rPr>
        <w:lastRenderedPageBreak/>
        <w:t>Depozite de deşeuri industriale</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Tabel VII.1.2.3. Depozite industriale de deşeuri nepericuloase şi periculoase - 2008-2012</w:t>
      </w:r>
    </w:p>
    <w:tbl>
      <w:tblPr>
        <w:tblStyle w:val="TableGrid2"/>
        <w:tblW w:w="0" w:type="auto"/>
        <w:tblInd w:w="108" w:type="dxa"/>
        <w:tblLook w:val="04A0"/>
      </w:tblPr>
      <w:tblGrid>
        <w:gridCol w:w="3544"/>
        <w:gridCol w:w="1134"/>
        <w:gridCol w:w="1134"/>
        <w:gridCol w:w="1276"/>
        <w:gridCol w:w="1276"/>
        <w:gridCol w:w="1275"/>
      </w:tblGrid>
      <w:tr w:rsidR="00A42550" w:rsidRPr="00A42550" w:rsidTr="00A42550">
        <w:tc>
          <w:tcPr>
            <w:tcW w:w="3544" w:type="dxa"/>
            <w:shd w:val="clear" w:color="auto" w:fill="FFFF00"/>
          </w:tcPr>
          <w:p w:rsidR="00A42550" w:rsidRPr="00A42550" w:rsidRDefault="00A42550" w:rsidP="00A42550">
            <w:pPr>
              <w:spacing w:before="120" w:after="0" w:line="240" w:lineRule="auto"/>
              <w:jc w:val="center"/>
              <w:rPr>
                <w:rFonts w:ascii="Arial" w:hAnsi="Arial"/>
                <w:b/>
                <w:sz w:val="20"/>
              </w:rPr>
            </w:pPr>
          </w:p>
        </w:tc>
        <w:tc>
          <w:tcPr>
            <w:tcW w:w="1134" w:type="dxa"/>
            <w:shd w:val="clear" w:color="auto" w:fill="FFFF00"/>
          </w:tcPr>
          <w:p w:rsidR="00A42550" w:rsidRPr="00A42550" w:rsidRDefault="00A42550" w:rsidP="00A42550">
            <w:pPr>
              <w:spacing w:before="120" w:after="0" w:line="240" w:lineRule="auto"/>
              <w:jc w:val="center"/>
              <w:rPr>
                <w:rFonts w:ascii="Arial" w:hAnsi="Arial"/>
                <w:b/>
                <w:sz w:val="20"/>
              </w:rPr>
            </w:pPr>
            <w:r w:rsidRPr="00A42550">
              <w:rPr>
                <w:rFonts w:ascii="Arial" w:hAnsi="Arial"/>
                <w:b/>
                <w:sz w:val="20"/>
              </w:rPr>
              <w:t>2008</w:t>
            </w:r>
          </w:p>
        </w:tc>
        <w:tc>
          <w:tcPr>
            <w:tcW w:w="1134" w:type="dxa"/>
            <w:shd w:val="clear" w:color="auto" w:fill="FFFF00"/>
          </w:tcPr>
          <w:p w:rsidR="00A42550" w:rsidRPr="00A42550" w:rsidRDefault="00A42550" w:rsidP="00A42550">
            <w:pPr>
              <w:spacing w:before="120" w:after="0" w:line="240" w:lineRule="auto"/>
              <w:jc w:val="center"/>
              <w:rPr>
                <w:rFonts w:ascii="Arial" w:hAnsi="Arial"/>
                <w:b/>
                <w:sz w:val="20"/>
              </w:rPr>
            </w:pPr>
            <w:r w:rsidRPr="00A42550">
              <w:rPr>
                <w:rFonts w:ascii="Arial" w:hAnsi="Arial"/>
                <w:b/>
                <w:sz w:val="20"/>
              </w:rPr>
              <w:t>2009</w:t>
            </w:r>
          </w:p>
        </w:tc>
        <w:tc>
          <w:tcPr>
            <w:tcW w:w="1276" w:type="dxa"/>
            <w:shd w:val="clear" w:color="auto" w:fill="FFFF00"/>
          </w:tcPr>
          <w:p w:rsidR="00A42550" w:rsidRPr="00A42550" w:rsidRDefault="00A42550" w:rsidP="00A42550">
            <w:pPr>
              <w:spacing w:before="120" w:after="0" w:line="240" w:lineRule="auto"/>
              <w:jc w:val="center"/>
              <w:rPr>
                <w:rFonts w:ascii="Arial" w:hAnsi="Arial"/>
                <w:b/>
                <w:sz w:val="20"/>
              </w:rPr>
            </w:pPr>
            <w:r w:rsidRPr="00A42550">
              <w:rPr>
                <w:rFonts w:ascii="Arial" w:hAnsi="Arial"/>
                <w:b/>
                <w:sz w:val="20"/>
              </w:rPr>
              <w:t>2010</w:t>
            </w:r>
          </w:p>
        </w:tc>
        <w:tc>
          <w:tcPr>
            <w:tcW w:w="1276" w:type="dxa"/>
            <w:shd w:val="clear" w:color="auto" w:fill="FFFF00"/>
          </w:tcPr>
          <w:p w:rsidR="00A42550" w:rsidRPr="00A42550" w:rsidRDefault="00A42550" w:rsidP="00A42550">
            <w:pPr>
              <w:spacing w:before="120" w:after="0" w:line="240" w:lineRule="auto"/>
              <w:jc w:val="center"/>
              <w:rPr>
                <w:rFonts w:ascii="Arial" w:hAnsi="Arial"/>
                <w:b/>
                <w:sz w:val="20"/>
              </w:rPr>
            </w:pPr>
            <w:r w:rsidRPr="00A42550">
              <w:rPr>
                <w:rFonts w:ascii="Arial" w:hAnsi="Arial"/>
                <w:b/>
                <w:sz w:val="20"/>
              </w:rPr>
              <w:t>2011</w:t>
            </w:r>
          </w:p>
        </w:tc>
        <w:tc>
          <w:tcPr>
            <w:tcW w:w="1275" w:type="dxa"/>
            <w:shd w:val="clear" w:color="auto" w:fill="FFFF00"/>
          </w:tcPr>
          <w:p w:rsidR="00A42550" w:rsidRPr="00A42550" w:rsidRDefault="00A42550" w:rsidP="00A42550">
            <w:pPr>
              <w:spacing w:before="120" w:after="0" w:line="240" w:lineRule="auto"/>
              <w:jc w:val="center"/>
              <w:rPr>
                <w:rFonts w:ascii="Arial" w:hAnsi="Arial"/>
                <w:b/>
                <w:sz w:val="20"/>
              </w:rPr>
            </w:pPr>
            <w:r w:rsidRPr="00A42550">
              <w:rPr>
                <w:rFonts w:ascii="Arial" w:hAnsi="Arial"/>
                <w:b/>
                <w:sz w:val="20"/>
              </w:rPr>
              <w:t>2012</w:t>
            </w:r>
          </w:p>
        </w:tc>
      </w:tr>
      <w:tr w:rsidR="00A42550" w:rsidRPr="00A42550" w:rsidTr="00A42550">
        <w:tc>
          <w:tcPr>
            <w:tcW w:w="3544" w:type="dxa"/>
          </w:tcPr>
          <w:p w:rsidR="00A42550" w:rsidRPr="00A42550" w:rsidRDefault="00A42550" w:rsidP="00A42550">
            <w:pPr>
              <w:spacing w:before="120" w:after="0" w:line="240" w:lineRule="auto"/>
              <w:rPr>
                <w:rFonts w:ascii="Arial" w:hAnsi="Arial"/>
                <w:sz w:val="20"/>
              </w:rPr>
            </w:pPr>
            <w:r w:rsidRPr="00A42550">
              <w:rPr>
                <w:rFonts w:ascii="Arial" w:hAnsi="Arial"/>
                <w:sz w:val="20"/>
              </w:rPr>
              <w:t>Depozite de deşeuri industriale nep</w:t>
            </w:r>
            <w:r w:rsidRPr="00A42550">
              <w:rPr>
                <w:rFonts w:ascii="Arial" w:hAnsi="Arial"/>
                <w:sz w:val="20"/>
              </w:rPr>
              <w:t>e</w:t>
            </w:r>
            <w:r w:rsidRPr="00A42550">
              <w:rPr>
                <w:rFonts w:ascii="Arial" w:hAnsi="Arial"/>
                <w:sz w:val="20"/>
              </w:rPr>
              <w:t>riculoase din care:</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2</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2</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2</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2</w:t>
            </w:r>
          </w:p>
        </w:tc>
        <w:tc>
          <w:tcPr>
            <w:tcW w:w="1275"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2</w:t>
            </w:r>
          </w:p>
        </w:tc>
      </w:tr>
      <w:tr w:rsidR="00A42550" w:rsidRPr="00A42550" w:rsidTr="00A42550">
        <w:tc>
          <w:tcPr>
            <w:tcW w:w="3544" w:type="dxa"/>
          </w:tcPr>
          <w:p w:rsidR="00A42550" w:rsidRPr="00A42550" w:rsidRDefault="00A42550" w:rsidP="00A42550">
            <w:pPr>
              <w:spacing w:before="120" w:after="0" w:line="240" w:lineRule="auto"/>
              <w:rPr>
                <w:rFonts w:ascii="Arial" w:hAnsi="Arial"/>
                <w:sz w:val="20"/>
              </w:rPr>
            </w:pPr>
            <w:r w:rsidRPr="00A42550">
              <w:rPr>
                <w:rFonts w:ascii="Arial" w:hAnsi="Arial"/>
                <w:sz w:val="20"/>
              </w:rPr>
              <w:t>- conforme</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275"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r>
      <w:tr w:rsidR="00A42550" w:rsidRPr="00A42550" w:rsidTr="00A42550">
        <w:tc>
          <w:tcPr>
            <w:tcW w:w="3544" w:type="dxa"/>
          </w:tcPr>
          <w:p w:rsidR="00A42550" w:rsidRPr="00A42550" w:rsidRDefault="00A42550" w:rsidP="00A42550">
            <w:pPr>
              <w:spacing w:before="120" w:after="0" w:line="240" w:lineRule="auto"/>
              <w:rPr>
                <w:rFonts w:ascii="Arial" w:hAnsi="Arial"/>
                <w:sz w:val="20"/>
              </w:rPr>
            </w:pPr>
            <w:r w:rsidRPr="00A42550">
              <w:rPr>
                <w:rFonts w:ascii="Arial" w:hAnsi="Arial"/>
                <w:sz w:val="20"/>
              </w:rPr>
              <w:t>Depozite de deşeuri industriale per</w:t>
            </w:r>
            <w:r w:rsidRPr="00A42550">
              <w:rPr>
                <w:rFonts w:ascii="Arial" w:hAnsi="Arial"/>
                <w:sz w:val="20"/>
              </w:rPr>
              <w:t>i</w:t>
            </w:r>
            <w:r w:rsidRPr="00A42550">
              <w:rPr>
                <w:rFonts w:ascii="Arial" w:hAnsi="Arial"/>
                <w:sz w:val="20"/>
              </w:rPr>
              <w:t>culoase din care:</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5</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5</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5</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5</w:t>
            </w:r>
          </w:p>
        </w:tc>
        <w:tc>
          <w:tcPr>
            <w:tcW w:w="1275"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5</w:t>
            </w:r>
          </w:p>
        </w:tc>
      </w:tr>
      <w:tr w:rsidR="00A42550" w:rsidRPr="00A42550" w:rsidTr="00A42550">
        <w:tc>
          <w:tcPr>
            <w:tcW w:w="3544" w:type="dxa"/>
          </w:tcPr>
          <w:p w:rsidR="00A42550" w:rsidRPr="00A42550" w:rsidRDefault="00A42550" w:rsidP="00A42550">
            <w:pPr>
              <w:spacing w:before="120" w:after="0" w:line="240" w:lineRule="auto"/>
              <w:rPr>
                <w:rFonts w:ascii="Arial" w:hAnsi="Arial"/>
                <w:sz w:val="20"/>
              </w:rPr>
            </w:pPr>
            <w:r w:rsidRPr="00A42550">
              <w:rPr>
                <w:rFonts w:ascii="Arial" w:hAnsi="Arial"/>
                <w:sz w:val="20"/>
              </w:rPr>
              <w:t>- conforme</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134"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276"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c>
          <w:tcPr>
            <w:tcW w:w="1275" w:type="dxa"/>
          </w:tcPr>
          <w:p w:rsidR="00A42550" w:rsidRPr="00A42550" w:rsidRDefault="00A42550" w:rsidP="00A42550">
            <w:pPr>
              <w:spacing w:before="120" w:after="0" w:line="240" w:lineRule="auto"/>
              <w:jc w:val="center"/>
              <w:rPr>
                <w:rFonts w:ascii="Arial" w:hAnsi="Arial"/>
                <w:sz w:val="20"/>
              </w:rPr>
            </w:pPr>
            <w:r w:rsidRPr="00A42550">
              <w:rPr>
                <w:rFonts w:ascii="Arial" w:hAnsi="Arial"/>
                <w:sz w:val="20"/>
              </w:rPr>
              <w:t>1</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sz w:val="24"/>
          <w:szCs w:val="24"/>
          <w:lang w:val="ro-RO" w:eastAsia="ro-RO"/>
        </w:rPr>
      </w:pPr>
      <w:r w:rsidRPr="00A42550">
        <w:rPr>
          <w:rFonts w:ascii="Arial" w:eastAsia="Times New Roman" w:hAnsi="Arial" w:cs="Arial"/>
          <w:sz w:val="24"/>
          <w:szCs w:val="24"/>
          <w:lang w:val="ro-RO" w:eastAsia="ro-RO"/>
        </w:rPr>
        <w:t xml:space="preserve">După anul 2007, pentru eliminarea deşeurilor industriale nepericuloase au funcţionat, în comuna Gălbinaşi, 2 depozite, unul neconform (depozitul SC </w:t>
      </w:r>
      <w:r w:rsidRPr="00A42550">
        <w:rPr>
          <w:rFonts w:ascii="Arial" w:eastAsia="Times New Roman" w:hAnsi="Arial" w:cs="Arial"/>
          <w:sz w:val="24"/>
          <w:szCs w:val="24"/>
          <w:lang w:val="ro-RO"/>
        </w:rPr>
        <w:t>HOEGANAES CORPORATION EUROPE SA Buzău)</w:t>
      </w:r>
      <w:r w:rsidRPr="00A42550">
        <w:rPr>
          <w:rFonts w:ascii="Arial" w:eastAsia="Times New Roman" w:hAnsi="Arial" w:cs="Arial"/>
          <w:sz w:val="24"/>
          <w:szCs w:val="24"/>
          <w:lang w:val="ro-RO" w:eastAsia="ro-RO"/>
        </w:rPr>
        <w:t xml:space="preserve"> şi unul conform (depozitul SC CORD SA Buzău).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eastAsia="ro-RO"/>
        </w:rPr>
        <w:t xml:space="preserve">Pentru cel neconform, administrat de </w:t>
      </w:r>
      <w:r w:rsidRPr="00A42550">
        <w:rPr>
          <w:rFonts w:ascii="Arial" w:eastAsia="Times New Roman" w:hAnsi="Arial" w:cs="Arial"/>
          <w:sz w:val="24"/>
          <w:szCs w:val="24"/>
          <w:lang w:val="ro-RO"/>
        </w:rPr>
        <w:t xml:space="preserve">SC HOEGANAES CORPORATION EUROPE SA Buzău, cu o suprafaţă de  </w:t>
      </w:r>
      <w:smartTag w:uri="urn:schemas-microsoft-com:office:smarttags" w:element="metricconverter">
        <w:smartTagPr>
          <w:attr w:name="ProductID" w:val="0,3 ha"/>
        </w:smartTagPr>
        <w:r w:rsidRPr="00A42550">
          <w:rPr>
            <w:rFonts w:ascii="Arial" w:eastAsia="Times New Roman" w:hAnsi="Arial" w:cs="Arial"/>
            <w:sz w:val="24"/>
            <w:szCs w:val="24"/>
            <w:lang w:val="ro-RO"/>
          </w:rPr>
          <w:t>0,3 ha</w:t>
        </w:r>
      </w:smartTag>
      <w:r w:rsidRPr="00A42550">
        <w:rPr>
          <w:rFonts w:ascii="Arial" w:eastAsia="Times New Roman" w:hAnsi="Arial" w:cs="Arial"/>
          <w:sz w:val="24"/>
          <w:szCs w:val="24"/>
          <w:lang w:val="ro-RO"/>
        </w:rPr>
        <w:t xml:space="preserve">, în care, până la sistarea activităţii în data de 16.07.2009, s-au eliminat deşeuri de zgură neprocesată, deşeuri de beton  refractar spinelic şi deşeuri de cărămizi magnezitice rezultate din procesele de elaborare a oţelului în cuptorul cu arc electric şi respectiv din demolarea şi refacerea căptuşelilor refractare, s-a optat pentru eliberarea amplasamentului de deşeuri prin procesarea, valorificarea şi/sau eliminarea acestora, după caz. În anul 2012 s-au finalizat operaţiile de eliminare a deşeurilor de pe amplasament, iar lucrările de remediere şi reconstrucţie ecologică au fost finalizate la finele anului 2013, în avans faţă de termenele stabilite în avizul pentru stabilirea obligaţiilor de mediu la încetarea activităţii. </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i/>
          <w:sz w:val="24"/>
          <w:szCs w:val="24"/>
        </w:rPr>
        <w:t xml:space="preserve">Fig. VII.1. </w:t>
      </w:r>
      <w:r w:rsidRPr="00A42550">
        <w:rPr>
          <w:rFonts w:ascii="Arial" w:eastAsia="Times New Roman" w:hAnsi="Arial" w:cs="Arial"/>
          <w:bCs/>
          <w:i/>
          <w:sz w:val="24"/>
          <w:szCs w:val="24"/>
          <w:lang w:val="ro-RO"/>
        </w:rPr>
        <w:t>Depozitul de deşeuri inertizate al SC CORD SA</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noProof/>
          <w:sz w:val="24"/>
          <w:szCs w:val="24"/>
          <w:lang w:val="ro-RO" w:eastAsia="ro-RO"/>
        </w:rPr>
        <w:drawing>
          <wp:anchor distT="0" distB="0" distL="114300" distR="114300" simplePos="0" relativeHeight="251669504" behindDoc="0" locked="0" layoutInCell="1" allowOverlap="1">
            <wp:simplePos x="0" y="0"/>
            <wp:positionH relativeFrom="column">
              <wp:posOffset>-24130</wp:posOffset>
            </wp:positionH>
            <wp:positionV relativeFrom="paragraph">
              <wp:posOffset>33020</wp:posOffset>
            </wp:positionV>
            <wp:extent cx="3633470" cy="2362200"/>
            <wp:effectExtent l="19050" t="0" r="5080" b="0"/>
            <wp:wrapSquare wrapText="right"/>
            <wp:docPr id="358" name="Picture 13" descr="D:\Documente\Viorica_D\STAREA MEDIULUI\SM 2006\Depozit Cord_16 feb 2007\DSC0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e\Viorica_D\STAREA MEDIULUI\SM 2006\Depozit Cord_16 feb 2007\DSC06609.JPG"/>
                    <pic:cNvPicPr>
                      <a:picLocks noChangeAspect="1" noChangeArrowheads="1"/>
                    </pic:cNvPicPr>
                  </pic:nvPicPr>
                  <pic:blipFill>
                    <a:blip r:embed="rId147" r:link="rId148" cstate="print"/>
                    <a:srcRect/>
                    <a:stretch>
                      <a:fillRect/>
                    </a:stretch>
                  </pic:blipFill>
                  <pic:spPr bwMode="auto">
                    <a:xfrm>
                      <a:off x="0" y="0"/>
                      <a:ext cx="3633470" cy="2362200"/>
                    </a:xfrm>
                    <a:prstGeom prst="rect">
                      <a:avLst/>
                    </a:prstGeom>
                    <a:noFill/>
                    <a:ln w="9525">
                      <a:noFill/>
                      <a:miter lim="800000"/>
                      <a:headEnd/>
                      <a:tailEnd/>
                    </a:ln>
                  </pic:spPr>
                </pic:pic>
              </a:graphicData>
            </a:graphic>
          </wp:anchor>
        </w:drawing>
      </w:r>
      <w:r w:rsidRPr="00A42550">
        <w:rPr>
          <w:rFonts w:ascii="Arial" w:eastAsia="Times New Roman" w:hAnsi="Arial" w:cs="Arial"/>
          <w:sz w:val="24"/>
          <w:szCs w:val="24"/>
          <w:lang w:val="ro-RO" w:eastAsia="ro-RO"/>
        </w:rPr>
        <w:t>În depozitul conform administrat de SC CORD SA Buzău, amplasat în comuna Gălbunaşi, pus în funcţiune în anul 2007 şi având</w:t>
      </w:r>
      <w:r w:rsidRPr="00A42550">
        <w:rPr>
          <w:rFonts w:ascii="Arial" w:eastAsia="Times New Roman" w:hAnsi="Arial" w:cs="Arial"/>
          <w:sz w:val="24"/>
          <w:szCs w:val="24"/>
          <w:lang w:val="ro-RO"/>
        </w:rPr>
        <w:t xml:space="preserve"> o suprafaţă de  </w:t>
      </w:r>
      <w:smartTag w:uri="urn:schemas-microsoft-com:office:smarttags" w:element="metricconverter">
        <w:smartTagPr>
          <w:attr w:name="ProductID" w:val="0,5 ha"/>
        </w:smartTagPr>
        <w:r w:rsidRPr="00A42550">
          <w:rPr>
            <w:rFonts w:ascii="Arial" w:eastAsia="Times New Roman" w:hAnsi="Arial" w:cs="Arial"/>
            <w:sz w:val="24"/>
            <w:szCs w:val="24"/>
            <w:lang w:val="ro-RO"/>
          </w:rPr>
          <w:t>0,5 ha</w:t>
        </w:r>
      </w:smartTag>
      <w:r w:rsidRPr="00A42550">
        <w:rPr>
          <w:rFonts w:ascii="Arial" w:eastAsia="Times New Roman" w:hAnsi="Arial" w:cs="Arial"/>
          <w:sz w:val="24"/>
          <w:szCs w:val="24"/>
          <w:lang w:val="ro-RO"/>
        </w:rPr>
        <w:t>,</w:t>
      </w:r>
      <w:r w:rsidRPr="00A42550">
        <w:rPr>
          <w:rFonts w:ascii="Arial" w:eastAsia="Times New Roman" w:hAnsi="Arial" w:cs="Arial"/>
          <w:sz w:val="24"/>
          <w:szCs w:val="24"/>
          <w:lang w:val="ro-RO" w:eastAsia="ro-RO"/>
        </w:rPr>
        <w:t xml:space="preserve"> au fost eliminate </w:t>
      </w:r>
      <w:r w:rsidRPr="00A42550">
        <w:rPr>
          <w:rFonts w:ascii="Arial" w:eastAsia="Times New Roman" w:hAnsi="Arial" w:cs="Arial"/>
          <w:sz w:val="24"/>
          <w:szCs w:val="24"/>
          <w:lang w:val="ro-RO"/>
        </w:rPr>
        <w:t>deşeuri nepericuloase (nămoluri inertizate) rezultate de la epurarea apelor uzate industriale. Începând cu anul 2012, odată cu intrarea în insolvenţă a societăţii, s-a sistat eliminarea deşeurilor în acest depozit, urmând să se stabilească obligaţiile de mediu la încetarea activităţii.</w:t>
      </w: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Începând cu anii </w:t>
      </w:r>
      <w:r w:rsidRPr="00A42550">
        <w:rPr>
          <w:rFonts w:ascii="Arial" w:eastAsia="Times New Roman" w:hAnsi="Arial" w:cs="Arial"/>
          <w:sz w:val="24"/>
          <w:szCs w:val="24"/>
        </w:rPr>
        <w:t xml:space="preserve">’70 </w:t>
      </w:r>
      <w:r w:rsidRPr="00A42550">
        <w:rPr>
          <w:rFonts w:ascii="Arial" w:eastAsia="Times New Roman" w:hAnsi="Arial" w:cs="Arial"/>
          <w:sz w:val="24"/>
          <w:szCs w:val="24"/>
          <w:lang w:val="ro-RO"/>
        </w:rPr>
        <w:t>şi până în prezent, au existat în judeţul Buzău depozite pentru o serie de deşeuri industriale periculoase, administrate de agenţii economici generatori de astfel de deşeuri.</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Până la 31.12.2006, anterior aderării la UE, s-a sistat depozitarea în toate cele patru depozite neconforme: 3 de deşeuri industriale periculoase şi unul de deşeuri din industria extractivă a petrolului. Situaţia actuală a acestor depozite se prezintă astfel:  </w:t>
      </w:r>
    </w:p>
    <w:p w:rsidR="00A42550" w:rsidRPr="00A42550" w:rsidRDefault="00A42550" w:rsidP="000A5EAD">
      <w:pPr>
        <w:numPr>
          <w:ilvl w:val="0"/>
          <w:numId w:val="1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 xml:space="preserve">depozitul neconform pentru deşeuri industriale periculoase (operat de DUCTIL STEEL S.A. şi CORD S.A. Buzău) - în cursul anului 2006, s-a  finalizat proiectul de închidere conformă, acum aflându-se în faza de monitorizare postînchidere; </w:t>
      </w:r>
    </w:p>
    <w:p w:rsidR="00A42550" w:rsidRPr="00A42550" w:rsidRDefault="00A42550" w:rsidP="000A5EAD">
      <w:pPr>
        <w:numPr>
          <w:ilvl w:val="0"/>
          <w:numId w:val="1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depozitul de deşeuri periculoase din industria extractivă (operat de OMV PETROM S.A.) - în perioada 2010-2012, s-a realizat procesarea şlamului, demolarea structurilor construite, iar în 2014, au fost finalizate lucrările de umplere,  reconstrucţie ecologică şi readucere la starea iniţială a amplasamentului;  </w:t>
      </w:r>
    </w:p>
    <w:p w:rsidR="00A42550" w:rsidRPr="00A42550" w:rsidRDefault="00A42550" w:rsidP="000A5EAD">
      <w:pPr>
        <w:numPr>
          <w:ilvl w:val="0"/>
          <w:numId w:val="1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depozitul de deşeuri industriale periculoase (operat de FERMIT S.A. Rm. Sărat) – deşi proiectul pentru închiderea conformă a depozitului a fost realizat şi avizat în anul 2008, acesta nu a fost încă implementat; în anul 2009, pentru evitarea antrenării eoliene a fibrelor de azbest, operatorul a realizat lucrări de restrângere a suprafeţei ocupate cu deşeuri, compactare, nivelare a corpului depozitului, acoperire cu un strat de pământ şi înierbare; în anul 2011, la solicitarea Primăriei municipiului Rm. Sărat, în calitate de proprietar al terenului pe care este amplasat depozitul, actul de reglementare a fost transferat către autoritatea administraţiei publice locale, care astfel şi-a asumat obligaţia realizării proiectului de închidere; începînd cu anul 2008, conform avizului pentru stabilirea obligaţiilor de mediu la încetarea activităţii, operatorul realizează monitorizarea calităţii factorilor de mediu;</w:t>
      </w:r>
    </w:p>
    <w:p w:rsidR="00A42550" w:rsidRPr="00A42550" w:rsidRDefault="00A42550" w:rsidP="000A5EAD">
      <w:pPr>
        <w:numPr>
          <w:ilvl w:val="0"/>
          <w:numId w:val="1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depozitul de deşeuri industriale periculoase (operat de RAFINĂRIA VENUS OILREG S.A. Rm. Sărat) – datorită faptului că în anul 2007, Garda Naţională de Mediu – Comisariatul Judeţean Buzău a emis dispoziţia de încetare a activităţii societăţii (pentru nerealizarea măsurilor din planul de acţiuni din autorizaţia integrată de mediu), acţionariatul societăţii nu a prezentat niciun interes pentru soluţionarea problemelor de mediu; ca urmare, de-abia după intrarea în insolvenţă, la finele anului 2014, lichidatorul judiciar a finalizat procedura de stabilire a obligaţiilor de mediu la încetarea activităţii; urmează ca lichidatorul juddiciar să  decidă dacă va opta pentru avizarea şi implementarea proiectelor de închidere şi ecologizare elaborate în anul 2011 de fosta conducere a societăţii, sau va propune alte soluţii, mai fezabile din punct de vedere financiar</w:t>
      </w:r>
      <w:r w:rsidRPr="00A42550">
        <w:rPr>
          <w:rFonts w:ascii="Times New Roman" w:eastAsia="Times New Roman" w:hAnsi="Times New Roman"/>
          <w:sz w:val="24"/>
          <w:szCs w:val="24"/>
          <w:lang w:val="ro-RO"/>
        </w:rPr>
        <w:t xml:space="preserve">.   </w:t>
      </w:r>
    </w:p>
    <w:p w:rsidR="00A42550" w:rsidRPr="00A42550" w:rsidRDefault="00A42550" w:rsidP="00A42550">
      <w:pPr>
        <w:spacing w:before="120" w:after="0" w:line="240" w:lineRule="auto"/>
        <w:rPr>
          <w:rFonts w:ascii="Arial" w:eastAsia="Times New Roman" w:hAnsi="Arial"/>
          <w:b/>
          <w:sz w:val="24"/>
          <w:szCs w:val="24"/>
        </w:rPr>
      </w:pPr>
      <w:r w:rsidRPr="00A42550">
        <w:rPr>
          <w:rFonts w:ascii="Arial" w:eastAsia="Times New Roman" w:hAnsi="Arial"/>
          <w:b/>
          <w:sz w:val="24"/>
          <w:szCs w:val="24"/>
        </w:rPr>
        <w:t>VII.1.3. Fluxuri speciale de deşeuri</w:t>
      </w:r>
    </w:p>
    <w:p w:rsidR="00A42550" w:rsidRPr="00A42550" w:rsidRDefault="00A42550" w:rsidP="00A42550">
      <w:pPr>
        <w:spacing w:before="120" w:after="0" w:line="240" w:lineRule="auto"/>
        <w:rPr>
          <w:rFonts w:ascii="Arial" w:eastAsia="Times New Roman" w:hAnsi="Arial"/>
          <w:b/>
          <w:i/>
          <w:sz w:val="24"/>
          <w:szCs w:val="24"/>
        </w:rPr>
      </w:pPr>
      <w:r w:rsidRPr="00A42550">
        <w:rPr>
          <w:rFonts w:ascii="Arial" w:eastAsia="Times New Roman" w:hAnsi="Arial"/>
          <w:b/>
          <w:i/>
          <w:sz w:val="24"/>
          <w:szCs w:val="24"/>
        </w:rPr>
        <w:t>VII.1.3.1. Deşeuri de echipamente electrice şi electronice (DEEE)</w:t>
      </w:r>
    </w:p>
    <w:p w:rsidR="00A42550" w:rsidRPr="00A42550" w:rsidRDefault="00A42550" w:rsidP="00A42550">
      <w:pPr>
        <w:autoSpaceDE w:val="0"/>
        <w:autoSpaceDN w:val="0"/>
        <w:adjustRightInd w:val="0"/>
        <w:spacing w:after="0" w:line="240" w:lineRule="auto"/>
        <w:rPr>
          <w:rFonts w:ascii="Arial" w:eastAsia="Times New Roman" w:hAnsi="Arial" w:cs="Arial"/>
          <w:sz w:val="24"/>
          <w:szCs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bCs/>
          <w:sz w:val="24"/>
          <w:szCs w:val="24"/>
          <w:lang w:val="ro-RO"/>
        </w:rPr>
      </w:pPr>
      <w:r w:rsidRPr="00A42550">
        <w:rPr>
          <w:rFonts w:ascii="Arial" w:eastAsia="Times New Roman" w:hAnsi="Arial" w:cs="Arial"/>
          <w:bCs/>
          <w:sz w:val="24"/>
          <w:szCs w:val="24"/>
          <w:lang w:val="ro-RO"/>
        </w:rPr>
        <w:t>Regimul de gestionare a deşeurilor de echipamente electrice şi electronice este reglementat prin OUG nr. 5/2015 care transpune directivele Uniunii Europene aplicabile acestui domeniu. În cursul anului 2012, Directiva 2002/96/CE</w:t>
      </w:r>
      <w:r w:rsidRPr="00A42550">
        <w:rPr>
          <w:rFonts w:ascii="Verdana" w:eastAsia="Times New Roman" w:hAnsi="Verdana"/>
          <w:sz w:val="20"/>
          <w:lang w:val="ro-RO"/>
        </w:rPr>
        <w:t xml:space="preserve"> </w:t>
      </w:r>
      <w:r w:rsidRPr="00A42550">
        <w:rPr>
          <w:rFonts w:ascii="Arial" w:eastAsia="Times New Roman" w:hAnsi="Arial" w:cs="Arial"/>
          <w:bCs/>
          <w:sz w:val="24"/>
          <w:szCs w:val="24"/>
          <w:lang w:val="ro-RO"/>
        </w:rPr>
        <w:t xml:space="preserve">a fost abrogată odată cu  intrarea în vigoare a Directivei 2012/19/UE a Parlamentului European şi a Consiliului din 4 iulie 2012 privind deşeurile de echipamente electrice şi electronice. Conform acestei noi directive, </w:t>
      </w:r>
      <w:r w:rsidRPr="00A42550">
        <w:rPr>
          <w:rFonts w:ascii="Arial" w:eastAsia="Times New Roman" w:hAnsi="Arial" w:cs="Arial"/>
          <w:bCs/>
          <w:sz w:val="24"/>
          <w:szCs w:val="24"/>
          <w:lang w:val="it-IT"/>
        </w:rPr>
        <w:t>p</w:t>
      </w:r>
      <w:r w:rsidRPr="00A42550">
        <w:rPr>
          <w:rFonts w:ascii="Arial" w:eastAsia="Times New Roman" w:hAnsi="Arial" w:cs="Arial"/>
          <w:sz w:val="24"/>
          <w:szCs w:val="24"/>
          <w:lang w:val="it-IT"/>
        </w:rPr>
        <w:t xml:space="preserve">ână la 31 decembrie 2015, continuă să se aplice o rată de colectare separată de cel puţin </w:t>
      </w:r>
      <w:smartTag w:uri="urn:schemas-microsoft-com:office:smarttags" w:element="metricconverter">
        <w:smartTagPr>
          <w:attr w:name="ProductID" w:val="4 kilograme"/>
        </w:smartTagPr>
        <w:r w:rsidRPr="00A42550">
          <w:rPr>
            <w:rFonts w:ascii="Arial" w:eastAsia="Times New Roman" w:hAnsi="Arial" w:cs="Arial"/>
            <w:sz w:val="24"/>
            <w:szCs w:val="24"/>
            <w:lang w:val="it-IT"/>
          </w:rPr>
          <w:t>4 kilograme</w:t>
        </w:r>
      </w:smartTag>
      <w:r w:rsidRPr="00A42550">
        <w:rPr>
          <w:rFonts w:ascii="Arial" w:eastAsia="Times New Roman" w:hAnsi="Arial" w:cs="Arial"/>
          <w:sz w:val="24"/>
          <w:szCs w:val="24"/>
          <w:lang w:val="it-IT"/>
        </w:rPr>
        <w:t xml:space="preserve"> în medie pe locuitor pe an de DEEE provenite din gospodării particulare sau aceeaşi cantitate de DEEE care a fost colectată în statul membru respectiv în medie în cei trei ani precedenţi, în funcţie de care valoare este mai mare.</w:t>
      </w:r>
      <w:r w:rsidRPr="00A42550">
        <w:rPr>
          <w:rFonts w:ascii="Arial" w:eastAsia="Times New Roman" w:hAnsi="Arial" w:cs="Arial"/>
          <w:bCs/>
          <w:sz w:val="24"/>
          <w:szCs w:val="24"/>
          <w:lang w:val="ro-RO"/>
        </w:rPr>
        <w:t xml:space="preserve">  Această nouă abordare a ţintelor care trebuie atinse de statele membre U.E. este mai echitabilă, ea ţinând cont şi de nivelul de trai; de exemplu, în ţara noastră, d</w:t>
      </w:r>
      <w:r w:rsidRPr="00A42550">
        <w:rPr>
          <w:rFonts w:ascii="Arial" w:eastAsia="Times New Roman" w:hAnsi="Arial" w:cs="Arial"/>
          <w:sz w:val="24"/>
          <w:szCs w:val="24"/>
          <w:lang w:val="ro-RO"/>
        </w:rPr>
        <w:t xml:space="preserve">in cauza nivelului scăzut de trai, echipamentele electrice şi electronice sunt utilizate cu mult peste durata medie indicată de producător, fiind imposibilă atingerea unei rate de colectare de 4 kg/an/locuitor.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Principalele obiective ale OUG nr. 5/2015 privind deşeurile de echipamente electrice şi electronice (DEEE) sunt: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 prevenirea apariţiei deşeurilor de echipamente electrice şi electronice şi reutilizarea, reciclarea şi alte forme de valorificare a acestor tipuri de deşeuri, pentru a reduce, în cea mai mare măsură, cantitatea de deşeuri eliminate;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 xml:space="preserve">- îmbunătăţirea performanţei de mediu a tuturor operatorilor implicaţi în ciclul de viaţă al EEE (producători, distribuitori şi consumatori) şi în mod special a agenţilor economici direct implicaţi în tratarea deşeurilor de echipamente electrice şi electronice.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Pot introduce pe piaţă echipamente electrice şi electronice numai producătorii înregistraţi în Registrul Producătorilor şi Importatorilor de echipamente electrice şi electronice, constituit la A.N.P.M.</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La sfârşitul anului 2014, 16 producatori din judeţul Buzău erau înregistraţi în Registrul producătorilor şi importatorilor de echipamente electrice şi electronice.</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La nivel de judeţ nu pot fi prezentate cantităţi de echipamente electrice şi electronice (EEE) puse pe piaţă, deoarece APM  nu dispune de astfel de informaţii. Raportările sunt facute de producători, care au sediul social într-un judeţ, dar EEE pe care le pun pe piaţă sunt distribuite de cele mai multe ori în toată ţara.</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Începând cu anul 2008, ţinta de colectare a DEEE este de cel puţin 4 kg /locuitor/an. Cu toate eforturile întreprinse de autorităţi şi operatorii economici responsabili, până în prezent nu a fost atinsă ţinta de colectare anuală de 4 kg/locuitor/an, cauza cea mai probabilă fiind rata redusă de schimbare a echipamentelor electrice şi electronice datorată slabei puteri de cumpărare a românilor. </w:t>
      </w:r>
    </w:p>
    <w:p w:rsidR="00A42550" w:rsidRPr="00A42550" w:rsidRDefault="00A42550" w:rsidP="00A42550">
      <w:pPr>
        <w:tabs>
          <w:tab w:val="left" w:pos="9000"/>
        </w:tabs>
        <w:spacing w:after="120" w:line="240" w:lineRule="auto"/>
        <w:jc w:val="both"/>
        <w:outlineLvl w:val="0"/>
        <w:rPr>
          <w:rFonts w:ascii="Arial" w:eastAsia="Times New Roman" w:hAnsi="Arial" w:cs="Arial"/>
          <w:sz w:val="24"/>
          <w:szCs w:val="24"/>
          <w:lang w:val="ro-RO"/>
        </w:rPr>
      </w:pPr>
      <w:r w:rsidRPr="00A42550">
        <w:rPr>
          <w:rFonts w:ascii="Arial" w:eastAsia="Times New Roman" w:hAnsi="Arial" w:cs="Arial"/>
          <w:sz w:val="24"/>
          <w:szCs w:val="24"/>
          <w:lang w:val="ro-RO"/>
        </w:rPr>
        <w:t>Până în anul 2014, în judeţul Buzău au funcţionat 3 puncte de colectare a deşeurilor de echipamente electrice şi electronice, administrate de operatorii cu care administraţiile publice locale au contracte: unul pentru judeţ, unul pentru municipiul Buzău şi unul pentru municipiul Râmnicu Sărat. În anul 2014, punctul de colectare administrat de SC RER Ecologic Service SA în municipiul Rm. Sărat a fost desfiinţat.</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În perioada 2009 – 2012, în judeţul Buzău a fost colectată de către operatorii economici autorizaţi o cantitate de 16522,33 tone DEEE, distribuţia acesteia pe ani fiind prezentată în tabelul de mai jos.</w:t>
      </w: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VII.1.3.1.1 Deşeuri de echipamente electrice şi electronice colectate în judeţul Buzău în perioada 2008-2012</w:t>
      </w:r>
    </w:p>
    <w:tbl>
      <w:tblPr>
        <w:tblStyle w:val="TableGrid2"/>
        <w:tblW w:w="0" w:type="auto"/>
        <w:tblLook w:val="04A0"/>
      </w:tblPr>
      <w:tblGrid>
        <w:gridCol w:w="2518"/>
        <w:gridCol w:w="1843"/>
        <w:gridCol w:w="1843"/>
        <w:gridCol w:w="1678"/>
        <w:gridCol w:w="1724"/>
      </w:tblGrid>
      <w:tr w:rsidR="00A42550" w:rsidRPr="00A42550" w:rsidTr="00A42550">
        <w:tc>
          <w:tcPr>
            <w:tcW w:w="2518" w:type="dxa"/>
            <w:shd w:val="clear" w:color="auto" w:fill="FFFF00"/>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p>
        </w:tc>
        <w:tc>
          <w:tcPr>
            <w:tcW w:w="1843" w:type="dxa"/>
            <w:shd w:val="clear" w:color="auto" w:fill="FFFF00"/>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2009</w:t>
            </w:r>
          </w:p>
        </w:tc>
        <w:tc>
          <w:tcPr>
            <w:tcW w:w="1843" w:type="dxa"/>
            <w:shd w:val="clear" w:color="auto" w:fill="FFFF00"/>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2010</w:t>
            </w:r>
          </w:p>
        </w:tc>
        <w:tc>
          <w:tcPr>
            <w:tcW w:w="1678" w:type="dxa"/>
            <w:shd w:val="clear" w:color="auto" w:fill="FFFF00"/>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2011</w:t>
            </w:r>
          </w:p>
        </w:tc>
        <w:tc>
          <w:tcPr>
            <w:tcW w:w="1724" w:type="dxa"/>
            <w:shd w:val="clear" w:color="auto" w:fill="FFFF00"/>
          </w:tcPr>
          <w:p w:rsidR="00A42550" w:rsidRPr="00A42550" w:rsidRDefault="00A42550" w:rsidP="00A42550">
            <w:pPr>
              <w:autoSpaceDE w:val="0"/>
              <w:autoSpaceDN w:val="0"/>
              <w:adjustRightInd w:val="0"/>
              <w:spacing w:after="120" w:line="240" w:lineRule="auto"/>
              <w:jc w:val="center"/>
              <w:rPr>
                <w:rFonts w:ascii="Arial" w:hAnsi="Arial" w:cs="Arial"/>
                <w:b/>
                <w:sz w:val="20"/>
                <w:szCs w:val="20"/>
                <w:lang w:val="ro-RO"/>
              </w:rPr>
            </w:pPr>
            <w:r w:rsidRPr="00A42550">
              <w:rPr>
                <w:rFonts w:ascii="Arial" w:hAnsi="Arial" w:cs="Arial"/>
                <w:b/>
                <w:sz w:val="20"/>
                <w:szCs w:val="20"/>
                <w:lang w:val="ro-RO"/>
              </w:rPr>
              <w:t>2012</w:t>
            </w:r>
          </w:p>
        </w:tc>
      </w:tr>
      <w:tr w:rsidR="00A42550" w:rsidRPr="00A42550" w:rsidTr="00A42550">
        <w:tc>
          <w:tcPr>
            <w:tcW w:w="2518" w:type="dxa"/>
          </w:tcPr>
          <w:p w:rsidR="00A42550" w:rsidRPr="00A42550" w:rsidRDefault="00A42550" w:rsidP="00A42550">
            <w:pPr>
              <w:autoSpaceDE w:val="0"/>
              <w:autoSpaceDN w:val="0"/>
              <w:adjustRightInd w:val="0"/>
              <w:spacing w:after="120" w:line="240" w:lineRule="auto"/>
              <w:rPr>
                <w:rFonts w:ascii="Arial" w:hAnsi="Arial" w:cs="Arial"/>
                <w:b/>
                <w:sz w:val="20"/>
                <w:szCs w:val="20"/>
                <w:lang w:val="ro-RO"/>
              </w:rPr>
            </w:pPr>
            <w:r w:rsidRPr="00A42550">
              <w:rPr>
                <w:rFonts w:ascii="Arial" w:hAnsi="Arial" w:cs="Arial"/>
                <w:b/>
                <w:sz w:val="20"/>
                <w:szCs w:val="20"/>
                <w:lang w:val="ro-RO"/>
              </w:rPr>
              <w:t>Cantitate colectată</w:t>
            </w:r>
          </w:p>
        </w:tc>
        <w:tc>
          <w:tcPr>
            <w:tcW w:w="1843" w:type="dxa"/>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3849,04</w:t>
            </w:r>
          </w:p>
        </w:tc>
        <w:tc>
          <w:tcPr>
            <w:tcW w:w="1843" w:type="dxa"/>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6291,29</w:t>
            </w:r>
          </w:p>
        </w:tc>
        <w:tc>
          <w:tcPr>
            <w:tcW w:w="1678" w:type="dxa"/>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3272,77</w:t>
            </w:r>
          </w:p>
        </w:tc>
        <w:tc>
          <w:tcPr>
            <w:tcW w:w="1724" w:type="dxa"/>
          </w:tcPr>
          <w:p w:rsidR="00A42550" w:rsidRPr="00A42550" w:rsidRDefault="00A42550" w:rsidP="00A42550">
            <w:pPr>
              <w:autoSpaceDE w:val="0"/>
              <w:autoSpaceDN w:val="0"/>
              <w:adjustRightInd w:val="0"/>
              <w:spacing w:after="120" w:line="240" w:lineRule="auto"/>
              <w:jc w:val="center"/>
              <w:rPr>
                <w:rFonts w:ascii="Arial" w:hAnsi="Arial" w:cs="Arial"/>
                <w:sz w:val="20"/>
                <w:szCs w:val="20"/>
                <w:lang w:val="ro-RO"/>
              </w:rPr>
            </w:pPr>
            <w:r w:rsidRPr="00A42550">
              <w:rPr>
                <w:rFonts w:ascii="Arial" w:hAnsi="Arial" w:cs="Arial"/>
                <w:sz w:val="20"/>
                <w:szCs w:val="20"/>
                <w:lang w:val="ro-RO"/>
              </w:rPr>
              <w:t>3109,23</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Naţională pentru Protecţia Mediului</w:t>
      </w: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4"/>
          <w:szCs w:val="24"/>
          <w:lang w:val="ro-RO"/>
        </w:rPr>
        <w:t>Figura VII.1.3.1.1 Deşeuri de echipamente electrice şi electronice colectate - 2008-2012</w:t>
      </w: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noProof/>
          <w:sz w:val="20"/>
          <w:szCs w:val="20"/>
          <w:lang w:val="ro-RO" w:eastAsia="ro-RO"/>
        </w:rPr>
        <w:drawing>
          <wp:anchor distT="0" distB="0" distL="114300" distR="114300" simplePos="0" relativeHeight="251665408" behindDoc="0" locked="0" layoutInCell="1" allowOverlap="1">
            <wp:simplePos x="0" y="0"/>
            <wp:positionH relativeFrom="column">
              <wp:posOffset>-24130</wp:posOffset>
            </wp:positionH>
            <wp:positionV relativeFrom="paragraph">
              <wp:posOffset>66040</wp:posOffset>
            </wp:positionV>
            <wp:extent cx="5486400" cy="1962150"/>
            <wp:effectExtent l="19050" t="0" r="19050" b="0"/>
            <wp:wrapSquare wrapText="bothSides"/>
            <wp:docPr id="35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anchor>
        </w:drawing>
      </w:r>
      <w:r w:rsidRPr="00A42550">
        <w:rPr>
          <w:rFonts w:ascii="Arial" w:eastAsia="Times New Roman" w:hAnsi="Arial" w:cs="Arial"/>
          <w:i/>
          <w:sz w:val="20"/>
          <w:szCs w:val="20"/>
          <w:lang w:val="ro-RO"/>
        </w:rPr>
        <w:t xml:space="preserve"> </w:t>
      </w:r>
    </w:p>
    <w:p w:rsidR="00A42550" w:rsidRPr="00A42550" w:rsidRDefault="00A42550" w:rsidP="00A42550">
      <w:pPr>
        <w:spacing w:before="120" w:after="0" w:line="240" w:lineRule="auto"/>
        <w:jc w:val="both"/>
        <w:rPr>
          <w:rFonts w:ascii="Arial" w:eastAsia="Times New Roman" w:hAnsi="Arial" w:cs="Arial"/>
          <w:i/>
          <w:sz w:val="20"/>
          <w:szCs w:val="20"/>
          <w:lang w:val="ro-RO"/>
        </w:rPr>
      </w:pPr>
      <w:r w:rsidRPr="00A42550">
        <w:rPr>
          <w:rFonts w:ascii="Arial" w:eastAsia="Times New Roman" w:hAnsi="Arial" w:cs="Arial"/>
          <w:sz w:val="24"/>
          <w:szCs w:val="24"/>
          <w:lang w:val="ro-RO"/>
        </w:rPr>
        <w:br w:type="textWrapping" w:clear="all"/>
      </w:r>
    </w:p>
    <w:p w:rsidR="00A42550" w:rsidRPr="00A42550" w:rsidRDefault="00A42550" w:rsidP="00A42550">
      <w:pPr>
        <w:spacing w:after="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Sursa: Agenţia Naţională pentru Protecţia Mediului </w:t>
      </w:r>
    </w:p>
    <w:p w:rsidR="00A42550" w:rsidRPr="00A42550" w:rsidRDefault="00A42550" w:rsidP="00A42550">
      <w:pPr>
        <w:autoSpaceDE w:val="0"/>
        <w:autoSpaceDN w:val="0"/>
        <w:adjustRightInd w:val="0"/>
        <w:spacing w:after="0" w:line="240" w:lineRule="auto"/>
        <w:jc w:val="both"/>
        <w:rPr>
          <w:rFonts w:ascii="Arial" w:eastAsia="Times New Roman" w:hAnsi="Arial" w:cs="Arial"/>
          <w:sz w:val="24"/>
          <w:szCs w:val="24"/>
          <w:lang w:val="ro-RO"/>
        </w:rPr>
      </w:pPr>
    </w:p>
    <w:p w:rsidR="00A42550" w:rsidRPr="00A42550" w:rsidRDefault="00A42550" w:rsidP="00A42550">
      <w:pPr>
        <w:spacing w:after="120" w:line="240" w:lineRule="auto"/>
        <w:jc w:val="both"/>
        <w:rPr>
          <w:rFonts w:ascii="Arial" w:eastAsia="Times New Roman" w:hAnsi="Arial" w:cs="Arial"/>
          <w:sz w:val="24"/>
          <w:szCs w:val="24"/>
          <w:lang w:val="ro-RO" w:eastAsia="pl-PL"/>
        </w:rPr>
      </w:pPr>
      <w:r w:rsidRPr="00A42550">
        <w:rPr>
          <w:rFonts w:ascii="Arial" w:eastAsia="Times New Roman" w:hAnsi="Arial" w:cs="Arial"/>
          <w:sz w:val="24"/>
          <w:szCs w:val="24"/>
          <w:lang w:val="ro-RO" w:eastAsia="pl-PL"/>
        </w:rPr>
        <w:t>Se poate constata o creştere considerabilă a cantităţii de DEEE colectate în anul 2010 faţă de ceilalţi ani, aceasta datorându-se  campaniilor naţionale de colectare organizate l</w:t>
      </w:r>
      <w:r w:rsidRPr="00A42550">
        <w:rPr>
          <w:rFonts w:ascii="Arial" w:eastAsia="Times New Roman" w:hAnsi="Arial" w:cs="Arial"/>
          <w:bCs/>
          <w:sz w:val="24"/>
          <w:szCs w:val="24"/>
          <w:lang w:val="ro-RO" w:eastAsia="pl-PL"/>
        </w:rPr>
        <w:t xml:space="preserve">a </w:t>
      </w:r>
      <w:r w:rsidRPr="00A42550">
        <w:rPr>
          <w:rFonts w:ascii="Arial" w:eastAsia="Times New Roman" w:hAnsi="Arial" w:cs="Arial"/>
          <w:bCs/>
          <w:sz w:val="24"/>
          <w:szCs w:val="24"/>
          <w:lang w:val="ro-RO" w:eastAsia="pl-PL"/>
        </w:rPr>
        <w:lastRenderedPageBreak/>
        <w:t>propunerea Ministerului Mediului şi Pădurilor,</w:t>
      </w:r>
      <w:r w:rsidRPr="00A42550">
        <w:rPr>
          <w:rFonts w:ascii="Arial" w:eastAsia="Times New Roman" w:hAnsi="Arial" w:cs="Arial"/>
          <w:sz w:val="24"/>
          <w:szCs w:val="24"/>
          <w:lang w:val="ro-RO" w:eastAsia="pl-PL"/>
        </w:rPr>
        <w:t xml:space="preserve"> care </w:t>
      </w:r>
      <w:r w:rsidRPr="00A42550">
        <w:rPr>
          <w:rFonts w:ascii="Arial" w:eastAsia="Times New Roman" w:hAnsi="Arial" w:cs="Arial"/>
          <w:bCs/>
          <w:sz w:val="24"/>
          <w:szCs w:val="24"/>
          <w:lang w:val="ro-RO" w:eastAsia="pl-PL"/>
        </w:rPr>
        <w:t>au avut  pe lângă municipiile Buzău şi Râmnicu Sărat şi o componentă rurală, pe trasee stabilite de societăţile colectoare.</w:t>
      </w:r>
      <w:r w:rsidRPr="00A42550">
        <w:rPr>
          <w:rFonts w:ascii="Arial" w:eastAsia="Times New Roman" w:hAnsi="Arial" w:cs="Arial"/>
          <w:sz w:val="24"/>
          <w:szCs w:val="24"/>
          <w:lang w:val="ro-RO" w:eastAsia="pl-PL"/>
        </w:rPr>
        <w:t xml:space="preserve"> </w:t>
      </w:r>
    </w:p>
    <w:p w:rsidR="00A42550" w:rsidRPr="00A42550" w:rsidRDefault="00A42550" w:rsidP="00A42550">
      <w:pPr>
        <w:spacing w:after="120" w:line="240" w:lineRule="auto"/>
        <w:jc w:val="both"/>
        <w:rPr>
          <w:rFonts w:ascii="Arial" w:eastAsia="Times New Roman" w:hAnsi="Arial" w:cs="Arial"/>
          <w:sz w:val="24"/>
          <w:szCs w:val="24"/>
          <w:lang w:val="ro-RO" w:eastAsia="pl-PL"/>
        </w:rPr>
      </w:pPr>
      <w:r w:rsidRPr="00A42550">
        <w:rPr>
          <w:rFonts w:ascii="Arial" w:eastAsia="Times New Roman" w:hAnsi="Arial" w:cs="Arial"/>
          <w:sz w:val="24"/>
          <w:szCs w:val="24"/>
          <w:lang w:val="ro-RO" w:eastAsia="pl-PL"/>
        </w:rPr>
        <w:t>La sfârşitul anului 2014, în judeţul Buzău erau autorizaţi pentru colectarea DEEE 26 de operatori economici, unii dintre ei având mai multe puncte de lucru. Situaţia acestora este prezentată în tabelul  VII.1.3.1.2.</w:t>
      </w: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VII.1.3.1.2. Operatori economici autorizaţi pentru colectarea DEEE în judeţul Buzău la 31.12.2014</w:t>
      </w:r>
    </w:p>
    <w:tbl>
      <w:tblPr>
        <w:tblStyle w:val="TableGrid2"/>
        <w:tblW w:w="0" w:type="auto"/>
        <w:tblInd w:w="108" w:type="dxa"/>
        <w:tblLook w:val="04A0"/>
      </w:tblPr>
      <w:tblGrid>
        <w:gridCol w:w="993"/>
        <w:gridCol w:w="3260"/>
        <w:gridCol w:w="5386"/>
      </w:tblGrid>
      <w:tr w:rsidR="00A42550" w:rsidRPr="00A42550" w:rsidTr="00A42550">
        <w:tc>
          <w:tcPr>
            <w:tcW w:w="993" w:type="dxa"/>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Nr. crt.</w:t>
            </w:r>
          </w:p>
        </w:tc>
        <w:tc>
          <w:tcPr>
            <w:tcW w:w="3260" w:type="dxa"/>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Operator economic</w:t>
            </w:r>
          </w:p>
        </w:tc>
        <w:tc>
          <w:tcPr>
            <w:tcW w:w="5386" w:type="dxa"/>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Punct de lucru</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RER ECOLOGIC SERVICE SA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Şoseaua Buzău-Vadu Paşii, incinta garaj</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2</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ADMINISTRATIA DOMENIULUI PUBLIC Rm. Sărat  </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Rm. Sărat, str. Armoniei, nr. 58 bis</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3</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REMATHOLDING CO SRL B</w:t>
            </w:r>
            <w:r w:rsidRPr="00A42550">
              <w:rPr>
                <w:rFonts w:ascii="Arial" w:hAnsi="Arial" w:cs="Arial"/>
                <w:sz w:val="20"/>
                <w:szCs w:val="20"/>
                <w:lang w:val="en-GB"/>
              </w:rPr>
              <w:t>u</w:t>
            </w:r>
            <w:r w:rsidRPr="00A42550">
              <w:rPr>
                <w:rFonts w:ascii="Arial" w:hAnsi="Arial" w:cs="Arial"/>
                <w:sz w:val="20"/>
                <w:szCs w:val="20"/>
                <w:lang w:val="en-GB"/>
              </w:rPr>
              <w:t>cureşti</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str. Izlazului, nr. 6</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4</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GREENTECH SA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Odaia Banului, comuna Ţinteşti</w:t>
            </w:r>
          </w:p>
        </w:tc>
      </w:tr>
      <w:tr w:rsidR="00A42550" w:rsidRPr="00A42550" w:rsidTr="00A42550">
        <w:tc>
          <w:tcPr>
            <w:tcW w:w="993" w:type="dxa"/>
            <w:vMerge w:val="restart"/>
            <w:vAlign w:val="center"/>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5</w:t>
            </w:r>
          </w:p>
        </w:tc>
        <w:tc>
          <w:tcPr>
            <w:tcW w:w="3260" w:type="dxa"/>
            <w:vMerge w:val="restart"/>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GREENWEEE INTERN</w:t>
            </w:r>
            <w:r w:rsidRPr="00A42550">
              <w:rPr>
                <w:rFonts w:ascii="Arial" w:hAnsi="Arial" w:cs="Arial"/>
                <w:sz w:val="20"/>
                <w:szCs w:val="20"/>
                <w:lang w:val="en-GB"/>
              </w:rPr>
              <w:t>A</w:t>
            </w:r>
            <w:r w:rsidRPr="00A42550">
              <w:rPr>
                <w:rFonts w:ascii="Arial" w:hAnsi="Arial" w:cs="Arial"/>
                <w:sz w:val="20"/>
                <w:szCs w:val="20"/>
                <w:lang w:val="en-GB"/>
              </w:rPr>
              <w:t>TIONAL SA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Odaia Banului, comuna Ţinteşti</w:t>
            </w:r>
          </w:p>
        </w:tc>
      </w:tr>
      <w:tr w:rsidR="00A42550" w:rsidRPr="00A42550" w:rsidTr="00A42550">
        <w:tc>
          <w:tcPr>
            <w:tcW w:w="993" w:type="dxa"/>
            <w:vMerge/>
            <w:vAlign w:val="center"/>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Cartier Micro XIV – Aleea Şcolilor, în vecinătatea liceelor „ Iolanda Balaş Soter” şi Grupul Şcolar Postliceal</w:t>
            </w:r>
          </w:p>
        </w:tc>
      </w:tr>
      <w:tr w:rsidR="00A42550" w:rsidRPr="00A42550" w:rsidTr="00A42550">
        <w:tc>
          <w:tcPr>
            <w:tcW w:w="993" w:type="dxa"/>
            <w:vMerge/>
            <w:vAlign w:val="center"/>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Cartier Dorobanţi II, st. Stadionului, în vecinătatea magazinului universal „ Le Big”</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Zona comercială str. Frăsinet, în vecinătatea superma</w:t>
            </w:r>
            <w:r w:rsidRPr="00A42550">
              <w:rPr>
                <w:rFonts w:ascii="Arial" w:hAnsi="Arial" w:cs="Arial"/>
                <w:sz w:val="20"/>
                <w:szCs w:val="20"/>
                <w:lang w:val="en-GB"/>
              </w:rPr>
              <w:t>r</w:t>
            </w:r>
            <w:r w:rsidRPr="00A42550">
              <w:rPr>
                <w:rFonts w:ascii="Arial" w:hAnsi="Arial" w:cs="Arial"/>
                <w:sz w:val="20"/>
                <w:szCs w:val="20"/>
                <w:lang w:val="en-GB"/>
              </w:rPr>
              <w:t>ket-urilor Kaufland şi Carrefour.</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6</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COMPANIA ROMPREST SERVICE SA Bucureşti</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Pleşeşti, comuna Berca</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7</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GREEN LAMP RECICLARE SRL Ferma Frasinu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Odaia Banului, comuna Ţinteşti</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8</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ROMRECYCLING SRL B</w:t>
            </w:r>
            <w:r w:rsidRPr="00A42550">
              <w:rPr>
                <w:rFonts w:ascii="Arial" w:hAnsi="Arial" w:cs="Arial"/>
                <w:sz w:val="20"/>
                <w:szCs w:val="20"/>
                <w:lang w:val="en-GB"/>
              </w:rPr>
              <w:t>u</w:t>
            </w:r>
            <w:r w:rsidRPr="00A42550">
              <w:rPr>
                <w:rFonts w:ascii="Arial" w:hAnsi="Arial" w:cs="Arial"/>
                <w:sz w:val="20"/>
                <w:szCs w:val="20"/>
                <w:lang w:val="en-GB"/>
              </w:rPr>
              <w:t xml:space="preserve">cureşti                                                                                                    </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Şos. Pogonele, Tarlaua 40, Parcela 715, DJ 230D</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9</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ROMCARBON SA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Buzau, str. Transilvaniei nr. 132</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10</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MOCANU RECOM SNC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 Sat Săpoca, com. Săpoca</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11</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COMAT BUZĂU SA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str. Transilvaniei nr.425 bis</w:t>
            </w:r>
          </w:p>
        </w:tc>
      </w:tr>
      <w:tr w:rsidR="00A42550" w:rsidRPr="00A42550" w:rsidTr="00A42550">
        <w:tc>
          <w:tcPr>
            <w:tcW w:w="993" w:type="dxa"/>
            <w:vMerge w:val="restart"/>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12</w:t>
            </w:r>
          </w:p>
          <w:p w:rsidR="00A42550" w:rsidRPr="00A42550" w:rsidRDefault="00A42550" w:rsidP="00A42550">
            <w:pPr>
              <w:spacing w:after="0" w:line="240" w:lineRule="auto"/>
              <w:jc w:val="center"/>
              <w:rPr>
                <w:rFonts w:ascii="Arial" w:hAnsi="Arial" w:cs="Arial"/>
                <w:sz w:val="20"/>
                <w:szCs w:val="20"/>
                <w:lang w:val="en-GB"/>
              </w:rPr>
            </w:pPr>
          </w:p>
        </w:tc>
        <w:tc>
          <w:tcPr>
            <w:tcW w:w="3260" w:type="dxa"/>
            <w:vMerge w:val="restart"/>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MSD COM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str. Transilvaniei nr.425 bis</w:t>
            </w:r>
          </w:p>
        </w:tc>
      </w:tr>
      <w:tr w:rsidR="00A42550" w:rsidRPr="00A42550" w:rsidTr="00A42550">
        <w:tc>
          <w:tcPr>
            <w:tcW w:w="993" w:type="dxa"/>
            <w:vMerge/>
            <w:vAlign w:val="center"/>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Buzău, str. Aleea Industrilor, zona industrială Sud </w:t>
            </w:r>
          </w:p>
        </w:tc>
      </w:tr>
      <w:tr w:rsidR="00A42550" w:rsidRPr="00A42550" w:rsidTr="00A42550">
        <w:tc>
          <w:tcPr>
            <w:tcW w:w="993" w:type="dxa"/>
            <w:vMerge/>
            <w:vAlign w:val="center"/>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Rm. Sărat, str. Focşani, nr.43</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Valea Nucului, com. Berca</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şos.Centura, tarlaua 31,parcela 343,344</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Oraş Nehoiu (în incinta SC CONCIFOR SA Nehoiu)</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Clondiru de Sus, com. Pietroasele</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Fundeni, comuna Zărneşti</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Pogoanele, str. N. Balcescu, nr. 85</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Săpoca, Ccmuna Săpoca</w:t>
            </w:r>
          </w:p>
        </w:tc>
      </w:tr>
      <w:tr w:rsidR="00A42550" w:rsidRPr="00A42550" w:rsidTr="00A42550">
        <w:tc>
          <w:tcPr>
            <w:tcW w:w="993" w:type="dxa"/>
            <w:vMerge/>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Str. Horticolei , nr.58</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13</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WOOLF IMPEX  SRL Rm. Sărat</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Rm. Sărat, Şoseaua Focşani, nr.7, parcela 2</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14</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SEA COMPLET SRL Zărneşti</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Fundeni, comuna Zărneşti</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15</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MATEI C F VIOREL INTR</w:t>
            </w:r>
            <w:r w:rsidRPr="00A42550">
              <w:rPr>
                <w:rFonts w:ascii="Arial" w:hAnsi="Arial" w:cs="Arial"/>
                <w:sz w:val="20"/>
                <w:szCs w:val="20"/>
                <w:lang w:val="en-GB"/>
              </w:rPr>
              <w:t>E</w:t>
            </w:r>
            <w:r w:rsidRPr="00A42550">
              <w:rPr>
                <w:rFonts w:ascii="Arial" w:hAnsi="Arial" w:cs="Arial"/>
                <w:sz w:val="20"/>
                <w:szCs w:val="20"/>
                <w:lang w:val="en-GB"/>
              </w:rPr>
              <w:t>PRINDERE INDIVIDUALĂ</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Sărata, com. Ulmeni, nr. 154</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16</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HADRIAN IMPEX SRL Rm. Sărat</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Rm. Sărat, str. C.I. Parhon nr. 2 </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17</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 si R Prod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Ramnicu Sarat, B-dul Digului –Bazar</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18</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TOTAL WASTE MANAG</w:t>
            </w:r>
            <w:r w:rsidRPr="00A42550">
              <w:rPr>
                <w:rFonts w:ascii="Arial" w:hAnsi="Arial" w:cs="Arial"/>
                <w:sz w:val="20"/>
                <w:szCs w:val="20"/>
                <w:lang w:val="en-GB"/>
              </w:rPr>
              <w:t>E</w:t>
            </w:r>
            <w:r w:rsidRPr="00A42550">
              <w:rPr>
                <w:rFonts w:ascii="Arial" w:hAnsi="Arial" w:cs="Arial"/>
                <w:sz w:val="20"/>
                <w:szCs w:val="20"/>
                <w:lang w:val="en-GB"/>
              </w:rPr>
              <w:t>MENT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str. Transilvaniei nr. 132</w:t>
            </w:r>
            <w:r w:rsidRPr="00A42550">
              <w:rPr>
                <w:rFonts w:ascii="Arial" w:hAnsi="Arial" w:cs="Arial"/>
                <w:color w:val="FF0000"/>
                <w:sz w:val="20"/>
                <w:szCs w:val="20"/>
                <w:lang w:val="en-GB"/>
              </w:rPr>
              <w:t xml:space="preserve"> </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19</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MAIA INTERMED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Com Vernesti, str. Principală nr. 147</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20</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TIBERIU DESEU COLECT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zona Dig Râu Buzău</w:t>
            </w:r>
          </w:p>
        </w:tc>
      </w:tr>
      <w:tr w:rsidR="00A42550" w:rsidRPr="00A42550" w:rsidTr="00A42550">
        <w:tc>
          <w:tcPr>
            <w:tcW w:w="993" w:type="dxa"/>
            <w:vMerge w:val="restart"/>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21</w:t>
            </w:r>
          </w:p>
          <w:p w:rsidR="00A42550" w:rsidRPr="00A42550" w:rsidRDefault="00A42550" w:rsidP="00A42550">
            <w:pPr>
              <w:spacing w:after="0" w:line="240" w:lineRule="auto"/>
              <w:jc w:val="center"/>
              <w:rPr>
                <w:rFonts w:ascii="Arial" w:hAnsi="Arial" w:cs="Arial"/>
                <w:sz w:val="20"/>
                <w:szCs w:val="20"/>
                <w:lang w:val="en-GB"/>
              </w:rPr>
            </w:pPr>
          </w:p>
        </w:tc>
        <w:tc>
          <w:tcPr>
            <w:tcW w:w="3260" w:type="dxa"/>
            <w:vMerge w:val="restart"/>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BEST CREDIT IFN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 Buzău, str.Răchitei, nr.37</w:t>
            </w:r>
          </w:p>
        </w:tc>
      </w:tr>
      <w:tr w:rsidR="00A42550" w:rsidRPr="00A42550" w:rsidTr="00A42550">
        <w:tc>
          <w:tcPr>
            <w:tcW w:w="993" w:type="dxa"/>
            <w:vMerge/>
            <w:vAlign w:val="center"/>
          </w:tcPr>
          <w:p w:rsidR="00A42550" w:rsidRPr="00A42550" w:rsidRDefault="00A42550" w:rsidP="00A42550">
            <w:pPr>
              <w:spacing w:after="0" w:line="240" w:lineRule="auto"/>
              <w:jc w:val="center"/>
              <w:rPr>
                <w:rFonts w:ascii="Arial" w:hAnsi="Arial" w:cs="Arial"/>
                <w:sz w:val="20"/>
                <w:szCs w:val="20"/>
                <w:lang w:val="en-GB"/>
              </w:rPr>
            </w:pPr>
          </w:p>
        </w:tc>
        <w:tc>
          <w:tcPr>
            <w:tcW w:w="3260" w:type="dxa"/>
            <w:vMerge/>
            <w:vAlign w:val="center"/>
          </w:tcPr>
          <w:p w:rsidR="00A42550" w:rsidRPr="00A42550" w:rsidRDefault="00A42550" w:rsidP="00A42550">
            <w:pPr>
              <w:spacing w:after="0" w:line="240" w:lineRule="auto"/>
              <w:rPr>
                <w:rFonts w:ascii="Arial" w:hAnsi="Arial" w:cs="Arial"/>
                <w:sz w:val="20"/>
                <w:szCs w:val="20"/>
                <w:lang w:val="en-GB"/>
              </w:rPr>
            </w:pP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Gălbinaşi, com. Gălbinaşi, tarlaua 8,  parcela 97</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22</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PICANT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Şos. Brailei, nr. 9</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lastRenderedPageBreak/>
              <w:t>23</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CRIS MAT SRL Pogoanele</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oraş Pogoanele, str. Tudor Vladimirescu, nr.18</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24</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DRAGAN NET CONSULTING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şos. Brăilei, km 7</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25</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DC ŞI DS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Rm. Sărat , str. Tractoriştilor, nr. 21</w:t>
            </w:r>
          </w:p>
        </w:tc>
      </w:tr>
      <w:tr w:rsidR="00A42550" w:rsidRPr="00A42550" w:rsidTr="00A42550">
        <w:tc>
          <w:tcPr>
            <w:tcW w:w="993" w:type="dxa"/>
          </w:tcPr>
          <w:p w:rsidR="00A42550" w:rsidRPr="00A42550" w:rsidRDefault="00A42550" w:rsidP="00A42550">
            <w:pPr>
              <w:spacing w:after="0" w:line="240" w:lineRule="auto"/>
              <w:jc w:val="center"/>
              <w:rPr>
                <w:rFonts w:ascii="Arial" w:hAnsi="Arial" w:cs="Arial"/>
                <w:sz w:val="20"/>
                <w:szCs w:val="20"/>
                <w:lang w:val="en-GB"/>
              </w:rPr>
            </w:pPr>
            <w:r w:rsidRPr="00A42550">
              <w:rPr>
                <w:rFonts w:ascii="Arial" w:hAnsi="Arial" w:cs="Arial"/>
                <w:sz w:val="20"/>
                <w:szCs w:val="20"/>
                <w:lang w:val="en-GB"/>
              </w:rPr>
              <w:t>26</w:t>
            </w:r>
          </w:p>
        </w:tc>
        <w:tc>
          <w:tcPr>
            <w:tcW w:w="3260"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GREEN PASTIC MANAG</w:t>
            </w:r>
            <w:r w:rsidRPr="00A42550">
              <w:rPr>
                <w:rFonts w:ascii="Arial" w:hAnsi="Arial" w:cs="Arial"/>
                <w:sz w:val="20"/>
                <w:szCs w:val="20"/>
                <w:lang w:val="en-GB"/>
              </w:rPr>
              <w:t>E</w:t>
            </w:r>
            <w:r w:rsidRPr="00A42550">
              <w:rPr>
                <w:rFonts w:ascii="Arial" w:hAnsi="Arial" w:cs="Arial"/>
                <w:sz w:val="20"/>
                <w:szCs w:val="20"/>
                <w:lang w:val="en-GB"/>
              </w:rPr>
              <w:t>MENT SRL Buzău</w:t>
            </w:r>
          </w:p>
        </w:tc>
        <w:tc>
          <w:tcPr>
            <w:tcW w:w="5386"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Şos. Spătarului, tarlaua 40, parcela 715</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before="120" w:after="0" w:line="240" w:lineRule="auto"/>
        <w:jc w:val="both"/>
        <w:rPr>
          <w:rFonts w:ascii="Arial" w:eastAsia="Times New Roman" w:hAnsi="Arial" w:cs="Arial"/>
          <w:sz w:val="24"/>
          <w:szCs w:val="24"/>
          <w:lang w:val="ro-RO" w:eastAsia="pl-PL"/>
        </w:rPr>
      </w:pPr>
      <w:r w:rsidRPr="00A42550">
        <w:rPr>
          <w:rFonts w:ascii="Arial" w:eastAsia="Times New Roman" w:hAnsi="Arial" w:cs="Arial"/>
          <w:sz w:val="24"/>
          <w:szCs w:val="24"/>
          <w:lang w:val="ro-RO" w:eastAsia="pl-PL"/>
        </w:rPr>
        <w:t xml:space="preserve">În ceea ce priveşte tratarea deşeurilor de echipamente electrice şi electronice, distribuţia pe judeţe a cantităţilor tratate nu este reprezentativă, ţinând cont de faptul că DEEE colectate într-un judeţ ajung la tratare în alt judeţ.  În plus, o parte din DEEE colectate în România sunt transportate în afara ţării în vederea tratării. </w:t>
      </w:r>
    </w:p>
    <w:p w:rsidR="00A42550" w:rsidRPr="00A42550" w:rsidRDefault="00A42550" w:rsidP="00A42550">
      <w:pPr>
        <w:spacing w:before="120" w:after="0" w:line="240" w:lineRule="auto"/>
        <w:jc w:val="both"/>
        <w:rPr>
          <w:rFonts w:ascii="Arial" w:eastAsia="Times New Roman" w:hAnsi="Arial" w:cs="Arial"/>
          <w:sz w:val="24"/>
          <w:szCs w:val="24"/>
          <w:lang w:val="ro-RO" w:eastAsia="pl-PL"/>
        </w:rPr>
      </w:pPr>
      <w:r w:rsidRPr="00A42550">
        <w:rPr>
          <w:rFonts w:ascii="Arial" w:eastAsia="Times New Roman" w:hAnsi="Arial" w:cs="Arial"/>
          <w:sz w:val="24"/>
          <w:szCs w:val="24"/>
          <w:lang w:val="ro-RO" w:eastAsia="pl-PL"/>
        </w:rPr>
        <w:t>Ca urmare, obiectivele de reciclare / valorificare, îndeplinite, luate în calcul sunt cele  la nivel naţional, conform tabelului de mai jos.</w:t>
      </w: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VII.1.3.1.3. Obiective de valorificare realizate pe categorii de  DEEE</w:t>
      </w:r>
    </w:p>
    <w:tbl>
      <w:tblPr>
        <w:tblW w:w="9886" w:type="dxa"/>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0"/>
        <w:gridCol w:w="1491"/>
        <w:gridCol w:w="1330"/>
        <w:gridCol w:w="1330"/>
        <w:gridCol w:w="1278"/>
        <w:gridCol w:w="1278"/>
        <w:gridCol w:w="1309"/>
      </w:tblGrid>
      <w:tr w:rsidR="00A42550" w:rsidRPr="00A42550" w:rsidTr="00A42550">
        <w:trPr>
          <w:trHeight w:val="1181"/>
          <w:jc w:val="center"/>
        </w:trPr>
        <w:tc>
          <w:tcPr>
            <w:tcW w:w="1871" w:type="dxa"/>
            <w:shd w:val="clear" w:color="auto" w:fill="FFFF00"/>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bookmarkStart w:id="9" w:name="OLE_LINK3"/>
            <w:r w:rsidRPr="00A42550">
              <w:rPr>
                <w:rFonts w:ascii="Arial" w:eastAsia="Times New Roman" w:hAnsi="Arial" w:cs="Arial"/>
                <w:sz w:val="20"/>
                <w:szCs w:val="20"/>
                <w:lang w:val="ro-RO" w:eastAsia="pl-PL"/>
              </w:rPr>
              <w:t>Categoria</w:t>
            </w:r>
            <w:bookmarkEnd w:id="9"/>
          </w:p>
        </w:tc>
        <w:tc>
          <w:tcPr>
            <w:tcW w:w="0" w:type="auto"/>
            <w:shd w:val="clear" w:color="auto" w:fill="FFFF00"/>
            <w:tcMar>
              <w:top w:w="0" w:type="dxa"/>
              <w:left w:w="108" w:type="dxa"/>
              <w:bottom w:w="0" w:type="dxa"/>
              <w:right w:w="108" w:type="dxa"/>
            </w:tcMa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Obiectiv de valorificare prevăzut de legislaţie</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w:t>
            </w:r>
          </w:p>
        </w:tc>
        <w:tc>
          <w:tcPr>
            <w:tcW w:w="0" w:type="auto"/>
            <w:shd w:val="clear" w:color="auto" w:fill="FFFF00"/>
            <w:tcMar>
              <w:top w:w="0" w:type="dxa"/>
              <w:left w:w="108" w:type="dxa"/>
              <w:bottom w:w="0" w:type="dxa"/>
              <w:right w:w="108" w:type="dxa"/>
            </w:tcMa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Obiectiv</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valorificare realizat în 2008</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w:t>
            </w:r>
          </w:p>
        </w:tc>
        <w:tc>
          <w:tcPr>
            <w:tcW w:w="0" w:type="auto"/>
            <w:shd w:val="clear" w:color="auto" w:fill="FFFF00"/>
            <w:tcMar>
              <w:top w:w="0" w:type="dxa"/>
              <w:left w:w="108" w:type="dxa"/>
              <w:bottom w:w="0" w:type="dxa"/>
              <w:right w:w="108" w:type="dxa"/>
            </w:tcMa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Obiectiv</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valorificare realizat în 2009</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w:t>
            </w:r>
          </w:p>
        </w:tc>
        <w:tc>
          <w:tcPr>
            <w:tcW w:w="0" w:type="auto"/>
            <w:shd w:val="clear" w:color="auto" w:fill="FFFF00"/>
            <w:tcMar>
              <w:top w:w="0" w:type="dxa"/>
              <w:left w:w="108" w:type="dxa"/>
              <w:bottom w:w="0" w:type="dxa"/>
              <w:right w:w="108" w:type="dxa"/>
            </w:tcMa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Obiectiv</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 xml:space="preserve">valorificare realizat în </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2010</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w:t>
            </w:r>
          </w:p>
        </w:tc>
        <w:tc>
          <w:tcPr>
            <w:tcW w:w="0" w:type="auto"/>
            <w:shd w:val="clear" w:color="auto" w:fill="FFFF00"/>
            <w:tcMar>
              <w:top w:w="0" w:type="dxa"/>
              <w:left w:w="108" w:type="dxa"/>
              <w:bottom w:w="0" w:type="dxa"/>
              <w:right w:w="108" w:type="dxa"/>
            </w:tcMa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Obiectiv</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 xml:space="preserve">valorificare realizat în </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2011</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w:t>
            </w:r>
          </w:p>
        </w:tc>
        <w:tc>
          <w:tcPr>
            <w:tcW w:w="0" w:type="auto"/>
            <w:shd w:val="clear" w:color="auto" w:fill="FFFF00"/>
            <w:tcMar>
              <w:top w:w="0" w:type="dxa"/>
              <w:left w:w="108" w:type="dxa"/>
              <w:bottom w:w="0" w:type="dxa"/>
              <w:right w:w="108" w:type="dxa"/>
            </w:tcMa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Obiectiv</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 xml:space="preserve">valorificare realizat în </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2012</w:t>
            </w:r>
          </w:p>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w:t>
            </w:r>
          </w:p>
        </w:tc>
      </w:tr>
      <w:tr w:rsidR="00A42550" w:rsidRPr="00A42550" w:rsidTr="00A42550">
        <w:trPr>
          <w:trHeight w:val="867"/>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1. Aparate de uz casnic de mari dimensiuni</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80</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84</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93</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93</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91</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89</w:t>
            </w:r>
          </w:p>
        </w:tc>
      </w:tr>
      <w:tr w:rsidR="00A42550" w:rsidRPr="00A42550" w:rsidTr="00A42550">
        <w:trPr>
          <w:trHeight w:val="867"/>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2. Aparate de uz casnic de mici dimensiuni</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70</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76</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84</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84</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89</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88</w:t>
            </w:r>
          </w:p>
        </w:tc>
      </w:tr>
      <w:tr w:rsidR="00A42550" w:rsidRPr="00A42550" w:rsidTr="00A42550">
        <w:trPr>
          <w:trHeight w:val="400"/>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3.Echipamente informatice şi de telecomunicaţii</w:t>
            </w:r>
          </w:p>
        </w:tc>
        <w:tc>
          <w:tcPr>
            <w:tcW w:w="0" w:type="auto"/>
            <w:tcMar>
              <w:top w:w="0" w:type="dxa"/>
              <w:left w:w="108" w:type="dxa"/>
              <w:bottom w:w="0" w:type="dxa"/>
              <w:right w:w="108" w:type="dxa"/>
            </w:tcMa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75</w:t>
            </w:r>
          </w:p>
        </w:tc>
        <w:tc>
          <w:tcPr>
            <w:tcW w:w="0" w:type="auto"/>
            <w:tcMar>
              <w:top w:w="0" w:type="dxa"/>
              <w:left w:w="108" w:type="dxa"/>
              <w:bottom w:w="0" w:type="dxa"/>
              <w:right w:w="108" w:type="dxa"/>
            </w:tcMa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77</w:t>
            </w:r>
          </w:p>
        </w:tc>
        <w:tc>
          <w:tcPr>
            <w:tcW w:w="0" w:type="auto"/>
            <w:tcMar>
              <w:top w:w="0" w:type="dxa"/>
              <w:left w:w="108" w:type="dxa"/>
              <w:bottom w:w="0" w:type="dxa"/>
              <w:right w:w="108" w:type="dxa"/>
            </w:tcMa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84</w:t>
            </w:r>
          </w:p>
        </w:tc>
        <w:tc>
          <w:tcPr>
            <w:tcW w:w="0" w:type="auto"/>
            <w:tcMar>
              <w:top w:w="0" w:type="dxa"/>
              <w:left w:w="108" w:type="dxa"/>
              <w:bottom w:w="0" w:type="dxa"/>
              <w:right w:w="108" w:type="dxa"/>
            </w:tcMa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86</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86</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86</w:t>
            </w:r>
          </w:p>
        </w:tc>
      </w:tr>
      <w:tr w:rsidR="00A42550" w:rsidRPr="00A42550" w:rsidTr="00A42550">
        <w:trPr>
          <w:trHeight w:val="569"/>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4. Echipamente de larg consum</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75</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88</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86</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89</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87</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87</w:t>
            </w:r>
          </w:p>
        </w:tc>
      </w:tr>
      <w:tr w:rsidR="00A42550" w:rsidRPr="00A42550" w:rsidTr="00A42550">
        <w:trPr>
          <w:trHeight w:val="583"/>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5. Echipamente de iluminat</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80</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63</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84</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88</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85</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84</w:t>
            </w:r>
          </w:p>
        </w:tc>
      </w:tr>
      <w:tr w:rsidR="00A42550" w:rsidRPr="00A42550" w:rsidTr="00A42550">
        <w:trPr>
          <w:trHeight w:val="583"/>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6. Unelte electrice şi electronice</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70</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75</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85</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87</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90</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89</w:t>
            </w:r>
          </w:p>
        </w:tc>
      </w:tr>
      <w:tr w:rsidR="00A42550" w:rsidRPr="00A42550" w:rsidTr="00A42550">
        <w:trPr>
          <w:trHeight w:val="867"/>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7.Jucării, echipamente sportive şi de agrement</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70</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68</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71</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73</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84</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83</w:t>
            </w:r>
          </w:p>
        </w:tc>
      </w:tr>
      <w:tr w:rsidR="00A42550" w:rsidRPr="00A42550" w:rsidTr="00A42550">
        <w:trPr>
          <w:trHeight w:val="583"/>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 Dispozitive medicale (cu excepţia tuturor produselor implantate şi infectate)</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neaplicabil</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neaplicabil</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neaplicabil</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neaplicabil</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neaplicabil</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neaplicabil </w:t>
            </w:r>
          </w:p>
        </w:tc>
      </w:tr>
      <w:tr w:rsidR="00A42550" w:rsidRPr="00A42550" w:rsidTr="00A42550">
        <w:trPr>
          <w:trHeight w:val="867"/>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 Instrumente de supraveghere şi control</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70</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77</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85</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85</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86</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86</w:t>
            </w:r>
          </w:p>
        </w:tc>
      </w:tr>
      <w:tr w:rsidR="00A42550" w:rsidRPr="00A42550" w:rsidTr="00A42550">
        <w:trPr>
          <w:trHeight w:val="583"/>
          <w:jc w:val="center"/>
        </w:trPr>
        <w:tc>
          <w:tcPr>
            <w:tcW w:w="1871" w:type="dxa"/>
            <w:tcMar>
              <w:top w:w="0" w:type="dxa"/>
              <w:left w:w="108" w:type="dxa"/>
              <w:bottom w:w="0" w:type="dxa"/>
              <w:right w:w="108" w:type="dxa"/>
            </w:tcMar>
            <w:hideMark/>
          </w:tcPr>
          <w:p w:rsidR="00A42550" w:rsidRPr="00A42550" w:rsidRDefault="00A42550" w:rsidP="00A42550">
            <w:pPr>
              <w:spacing w:after="0" w:line="264" w:lineRule="auto"/>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10. Distribuitoare automate</w:t>
            </w:r>
          </w:p>
        </w:tc>
        <w:tc>
          <w:tcPr>
            <w:tcW w:w="0" w:type="auto"/>
            <w:tcMar>
              <w:top w:w="0" w:type="dxa"/>
              <w:left w:w="108" w:type="dxa"/>
              <w:bottom w:w="0" w:type="dxa"/>
              <w:right w:w="108" w:type="dxa"/>
            </w:tcMar>
            <w:vAlign w:val="center"/>
            <w:hideMark/>
          </w:tcPr>
          <w:p w:rsidR="00A42550" w:rsidRPr="00A42550" w:rsidRDefault="00A42550" w:rsidP="00A42550">
            <w:pPr>
              <w:spacing w:before="60"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80</w:t>
            </w:r>
          </w:p>
        </w:tc>
        <w:tc>
          <w:tcPr>
            <w:tcW w:w="0" w:type="auto"/>
            <w:tcMar>
              <w:top w:w="0" w:type="dxa"/>
              <w:left w:w="108" w:type="dxa"/>
              <w:bottom w:w="0" w:type="dxa"/>
              <w:right w:w="108" w:type="dxa"/>
            </w:tcMar>
            <w:vAlign w:val="center"/>
            <w:hideMark/>
          </w:tcPr>
          <w:p w:rsidR="00A42550" w:rsidRPr="00A42550" w:rsidRDefault="00A42550" w:rsidP="00A42550">
            <w:pPr>
              <w:spacing w:after="0" w:line="264"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89</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90</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91</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91</w:t>
            </w:r>
          </w:p>
        </w:tc>
        <w:tc>
          <w:tcPr>
            <w:tcW w:w="0" w:type="auto"/>
            <w:tcMar>
              <w:top w:w="0" w:type="dxa"/>
              <w:left w:w="108" w:type="dxa"/>
              <w:bottom w:w="0" w:type="dxa"/>
              <w:right w:w="108" w:type="dxa"/>
            </w:tcMar>
            <w:vAlign w:val="center"/>
            <w:hideMark/>
          </w:tcPr>
          <w:p w:rsidR="00A42550" w:rsidRPr="00A42550" w:rsidRDefault="00A42550" w:rsidP="00A42550">
            <w:pPr>
              <w:spacing w:after="0" w:line="240" w:lineRule="auto"/>
              <w:jc w:val="center"/>
              <w:rPr>
                <w:rFonts w:ascii="Arial" w:eastAsia="Times New Roman" w:hAnsi="Arial" w:cs="Arial"/>
                <w:sz w:val="20"/>
                <w:szCs w:val="20"/>
                <w:lang w:val="ro-RO" w:eastAsia="pl-PL"/>
              </w:rPr>
            </w:pPr>
            <w:r w:rsidRPr="00A42550">
              <w:rPr>
                <w:rFonts w:ascii="Arial" w:eastAsia="Times New Roman" w:hAnsi="Arial" w:cs="Arial"/>
                <w:sz w:val="20"/>
                <w:szCs w:val="20"/>
                <w:lang w:val="ro-RO" w:eastAsia="pl-PL"/>
              </w:rPr>
              <w:t>90</w:t>
            </w:r>
          </w:p>
        </w:tc>
      </w:tr>
    </w:tbl>
    <w:p w:rsidR="00A42550" w:rsidRPr="00A42550" w:rsidRDefault="00A42550" w:rsidP="00A42550">
      <w:pPr>
        <w:tabs>
          <w:tab w:val="left" w:pos="0"/>
        </w:tabs>
        <w:spacing w:before="120" w:after="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Sursa: Agenţia Naţională pentru Protecţia Mediului; legislaţia naţională în vigoare în domeniul DEEE </w:t>
      </w:r>
    </w:p>
    <w:p w:rsidR="00A42550" w:rsidRPr="00A42550" w:rsidRDefault="00A42550" w:rsidP="00A42550">
      <w:pPr>
        <w:tabs>
          <w:tab w:val="left" w:pos="0"/>
        </w:tabs>
        <w:spacing w:before="120"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În judeţul Buzău, tratarea deşeurilor de echipamente electrice şi electronice se realiza la sfîrşitul anului 2014 prin 4 operatori economici conform tabelului de mai jos:</w:t>
      </w:r>
    </w:p>
    <w:p w:rsidR="00A42550" w:rsidRPr="00A42550" w:rsidRDefault="00A42550" w:rsidP="00A42550">
      <w:pPr>
        <w:autoSpaceDE w:val="0"/>
        <w:autoSpaceDN w:val="0"/>
        <w:adjustRightInd w:val="0"/>
        <w:spacing w:before="120" w:after="0" w:line="240" w:lineRule="auto"/>
        <w:jc w:val="both"/>
        <w:rPr>
          <w:rFonts w:ascii="Arial" w:eastAsia="Times New Roman" w:hAnsi="Arial" w:cs="Arial"/>
          <w:i/>
          <w:sz w:val="24"/>
          <w:szCs w:val="24"/>
          <w:lang w:val="ro-RO"/>
        </w:rPr>
      </w:pPr>
      <w:r w:rsidRPr="00A42550">
        <w:rPr>
          <w:rFonts w:ascii="Arial" w:eastAsia="Times New Roman" w:hAnsi="Arial" w:cs="Arial"/>
          <w:sz w:val="24"/>
          <w:szCs w:val="24"/>
          <w:lang w:val="ro-RO"/>
        </w:rPr>
        <w:t xml:space="preserve"> </w:t>
      </w:r>
      <w:r w:rsidRPr="00A42550">
        <w:rPr>
          <w:rFonts w:ascii="Arial" w:eastAsia="Times New Roman" w:hAnsi="Arial" w:cs="Arial"/>
          <w:i/>
          <w:sz w:val="24"/>
          <w:szCs w:val="24"/>
          <w:lang w:val="ro-RO"/>
        </w:rPr>
        <w:t>Tabel VII.1.3.1.4. Operatori economici autorizaţi pentru tratarea DEEE în judeţul Buzău la</w:t>
      </w:r>
    </w:p>
    <w:p w:rsidR="00A42550" w:rsidRPr="00A42550" w:rsidRDefault="00A42550" w:rsidP="00A42550">
      <w:pPr>
        <w:autoSpaceDE w:val="0"/>
        <w:autoSpaceDN w:val="0"/>
        <w:adjustRightInd w:val="0"/>
        <w:spacing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 xml:space="preserve">                             31.12.2014</w:t>
      </w:r>
    </w:p>
    <w:tbl>
      <w:tblPr>
        <w:tblStyle w:val="TableGrid2"/>
        <w:tblW w:w="0" w:type="auto"/>
        <w:tblInd w:w="108" w:type="dxa"/>
        <w:tblLook w:val="04A0"/>
      </w:tblPr>
      <w:tblGrid>
        <w:gridCol w:w="4818"/>
        <w:gridCol w:w="4927"/>
      </w:tblGrid>
      <w:tr w:rsidR="00A42550" w:rsidRPr="00A42550" w:rsidTr="00A42550">
        <w:tc>
          <w:tcPr>
            <w:tcW w:w="4818"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Operator economic</w:t>
            </w:r>
          </w:p>
        </w:tc>
        <w:tc>
          <w:tcPr>
            <w:tcW w:w="4927" w:type="dxa"/>
            <w:shd w:val="clear" w:color="auto" w:fill="FFFF00"/>
          </w:tcPr>
          <w:p w:rsidR="00A42550" w:rsidRPr="00A42550" w:rsidRDefault="00A42550" w:rsidP="00A42550">
            <w:pPr>
              <w:spacing w:after="0" w:line="240" w:lineRule="auto"/>
              <w:jc w:val="center"/>
              <w:rPr>
                <w:rFonts w:ascii="Arial" w:hAnsi="Arial" w:cs="Arial"/>
                <w:b/>
                <w:sz w:val="20"/>
                <w:szCs w:val="20"/>
                <w:lang w:val="ro-RO"/>
              </w:rPr>
            </w:pPr>
            <w:r w:rsidRPr="00A42550">
              <w:rPr>
                <w:rFonts w:ascii="Arial" w:hAnsi="Arial" w:cs="Arial"/>
                <w:b/>
                <w:sz w:val="20"/>
                <w:szCs w:val="20"/>
                <w:lang w:val="ro-RO"/>
              </w:rPr>
              <w:t>Punct de lucru</w:t>
            </w:r>
          </w:p>
        </w:tc>
      </w:tr>
      <w:tr w:rsidR="00A42550" w:rsidRPr="00A42550" w:rsidTr="00A42550">
        <w:tc>
          <w:tcPr>
            <w:tcW w:w="4818"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SC GREENWEEE INTERNATIONAL SA </w:t>
            </w:r>
          </w:p>
        </w:tc>
        <w:tc>
          <w:tcPr>
            <w:tcW w:w="4927"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Odaia Banului, comuna Ţinteşti</w:t>
            </w:r>
          </w:p>
        </w:tc>
      </w:tr>
      <w:tr w:rsidR="00A42550" w:rsidRPr="00A42550" w:rsidTr="00A42550">
        <w:tc>
          <w:tcPr>
            <w:tcW w:w="4818"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SC GREEN LAMP RECICLARE </w:t>
            </w:r>
          </w:p>
        </w:tc>
        <w:tc>
          <w:tcPr>
            <w:tcW w:w="4927"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sat Odaia Banului, comuna Ţinteşti</w:t>
            </w:r>
          </w:p>
        </w:tc>
      </w:tr>
      <w:tr w:rsidR="00A42550" w:rsidRPr="00A42550" w:rsidTr="00A42550">
        <w:tc>
          <w:tcPr>
            <w:tcW w:w="4818"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MSD COM   SRL</w:t>
            </w:r>
          </w:p>
        </w:tc>
        <w:tc>
          <w:tcPr>
            <w:tcW w:w="4927"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Buzău str. Transilvaniei nr.425 bis</w:t>
            </w:r>
          </w:p>
        </w:tc>
      </w:tr>
      <w:tr w:rsidR="00A42550" w:rsidRPr="00A42550" w:rsidTr="00A42550">
        <w:tc>
          <w:tcPr>
            <w:tcW w:w="4818"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SC BEST CREDIT IFN SRL</w:t>
            </w:r>
          </w:p>
        </w:tc>
        <w:tc>
          <w:tcPr>
            <w:tcW w:w="4927" w:type="dxa"/>
            <w:vAlign w:val="center"/>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 xml:space="preserve"> Buzău, str.Răchitei, nr.37</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Fig. VII.1.3.1.2. SC Greenweee International SA - Instalaţii tratare DEEE</w:t>
      </w:r>
    </w:p>
    <w:p w:rsidR="00A42550" w:rsidRPr="00A42550" w:rsidRDefault="00A42550" w:rsidP="00A42550">
      <w:pPr>
        <w:tabs>
          <w:tab w:val="left" w:pos="0"/>
        </w:tabs>
        <w:spacing w:before="120" w:after="0" w:line="240" w:lineRule="auto"/>
        <w:jc w:val="both"/>
        <w:rPr>
          <w:rFonts w:ascii="Arial" w:eastAsia="Times New Roman" w:hAnsi="Arial" w:cs="Arial"/>
          <w:i/>
          <w:sz w:val="20"/>
          <w:szCs w:val="20"/>
          <w:lang w:val="ro-RO"/>
        </w:rPr>
      </w:pPr>
      <w:r w:rsidRPr="00A42550">
        <w:rPr>
          <w:rFonts w:ascii="Arial" w:eastAsia="Times New Roman" w:hAnsi="Arial" w:cs="Arial"/>
          <w:noProof/>
          <w:sz w:val="24"/>
          <w:szCs w:val="24"/>
          <w:lang w:val="ro-RO" w:eastAsia="ro-RO"/>
        </w:rPr>
        <w:drawing>
          <wp:anchor distT="0" distB="0" distL="114300" distR="114300" simplePos="0" relativeHeight="251670528" behindDoc="0" locked="0" layoutInCell="1" allowOverlap="1">
            <wp:simplePos x="0" y="0"/>
            <wp:positionH relativeFrom="column">
              <wp:posOffset>21590</wp:posOffset>
            </wp:positionH>
            <wp:positionV relativeFrom="paragraph">
              <wp:posOffset>19685</wp:posOffset>
            </wp:positionV>
            <wp:extent cx="2943225" cy="1419225"/>
            <wp:effectExtent l="19050" t="0" r="9525" b="0"/>
            <wp:wrapSquare wrapText="bothSides"/>
            <wp:docPr id="360" name="Picture 7" descr="P107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648"/>
                    <pic:cNvPicPr>
                      <a:picLocks noChangeAspect="1" noChangeArrowheads="1"/>
                    </pic:cNvPicPr>
                  </pic:nvPicPr>
                  <pic:blipFill>
                    <a:blip r:embed="rId150" cstate="print"/>
                    <a:srcRect/>
                    <a:stretch>
                      <a:fillRect/>
                    </a:stretch>
                  </pic:blipFill>
                  <pic:spPr bwMode="auto">
                    <a:xfrm>
                      <a:off x="0" y="0"/>
                      <a:ext cx="2943225" cy="1419225"/>
                    </a:xfrm>
                    <a:prstGeom prst="rect">
                      <a:avLst/>
                    </a:prstGeom>
                    <a:noFill/>
                    <a:ln w="9525">
                      <a:noFill/>
                      <a:miter lim="800000"/>
                      <a:headEnd/>
                      <a:tailEnd/>
                    </a:ln>
                  </pic:spPr>
                </pic:pic>
              </a:graphicData>
            </a:graphic>
          </wp:anchor>
        </w:drawing>
      </w:r>
      <w:r w:rsidRPr="00A42550">
        <w:rPr>
          <w:rFonts w:ascii="Arial" w:eastAsia="Times New Roman" w:hAnsi="Arial" w:cs="Arial"/>
          <w:sz w:val="24"/>
          <w:szCs w:val="24"/>
          <w:lang w:val="ro-RO"/>
        </w:rPr>
        <w:t>Primii doi operatori economici deţin instalaţii performate pentru tratarea aproape a tuturor categoriilor de deşeuri de echipamente electrice şi electronice.</w:t>
      </w:r>
    </w:p>
    <w:p w:rsidR="00A42550" w:rsidRPr="00A42550" w:rsidRDefault="00A42550" w:rsidP="00A42550">
      <w:pPr>
        <w:tabs>
          <w:tab w:val="left" w:pos="0"/>
        </w:tabs>
        <w:spacing w:after="0" w:line="240" w:lineRule="auto"/>
        <w:rPr>
          <w:rFonts w:ascii="Arial" w:eastAsia="Times New Roman" w:hAnsi="Arial" w:cs="Arial"/>
          <w:sz w:val="24"/>
          <w:szCs w:val="24"/>
          <w:lang w:val="ro-RO"/>
        </w:rPr>
      </w:pPr>
    </w:p>
    <w:p w:rsidR="00A42550" w:rsidRPr="00A42550" w:rsidRDefault="00A42550" w:rsidP="00A42550">
      <w:pPr>
        <w:spacing w:before="120" w:after="120" w:line="240" w:lineRule="auto"/>
        <w:jc w:val="both"/>
        <w:rPr>
          <w:rFonts w:ascii="Arial" w:eastAsia="Times New Roman" w:hAnsi="Arial" w:cs="Arial"/>
          <w:i/>
          <w:sz w:val="20"/>
          <w:szCs w:val="20"/>
          <w:lang w:val="ro-RO"/>
        </w:rPr>
      </w:pPr>
    </w:p>
    <w:p w:rsidR="00A42550" w:rsidRPr="00A42550" w:rsidRDefault="00A42550" w:rsidP="00A42550">
      <w:pPr>
        <w:spacing w:before="120" w:after="120" w:line="240" w:lineRule="auto"/>
        <w:jc w:val="both"/>
        <w:rPr>
          <w:rFonts w:ascii="Arial" w:eastAsia="Times New Roman" w:hAnsi="Arial" w:cs="Arial"/>
          <w:i/>
          <w:sz w:val="20"/>
          <w:szCs w:val="20"/>
          <w:lang w:val="ro-RO"/>
        </w:rPr>
      </w:pPr>
    </w:p>
    <w:p w:rsidR="00A42550" w:rsidRPr="00A42550" w:rsidRDefault="00A42550" w:rsidP="00A42550">
      <w:pPr>
        <w:spacing w:before="120" w:after="120" w:line="240" w:lineRule="auto"/>
        <w:jc w:val="both"/>
        <w:rPr>
          <w:rFonts w:ascii="Arial" w:eastAsia="Times New Roman" w:hAnsi="Arial" w:cs="Arial"/>
          <w:i/>
          <w:sz w:val="20"/>
          <w:szCs w:val="20"/>
          <w:lang w:val="ro-RO"/>
        </w:rPr>
      </w:pP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sz w:val="24"/>
          <w:szCs w:val="24"/>
          <w:lang w:val="ro-RO" w:eastAsia="pl-PL"/>
        </w:rPr>
      </w:pPr>
      <w:r w:rsidRPr="00A42550">
        <w:rPr>
          <w:rFonts w:ascii="Arial" w:eastAsia="Times New Roman" w:hAnsi="Arial" w:cs="Arial"/>
          <w:sz w:val="24"/>
          <w:szCs w:val="24"/>
          <w:lang w:val="ro-RO" w:eastAsia="pl-PL"/>
        </w:rPr>
        <w:t>Întrucât în cele prezentate mai sus, se constată o creştere a cantităţii de DEEE colectate în perioada organizării campaniilor de colectare selectivă a deşeurilor de echipamente electrice şi electronice cu implicarea asociaţiilor colective (Ro-Rec, Ecotic, Reco-lamp) în colaborare cu unităţile administrativ-teritoriale din judeţul Buzău</w:t>
      </w:r>
      <w:r w:rsidRPr="00A42550">
        <w:rPr>
          <w:rFonts w:ascii="Times New Roman" w:eastAsia="Times New Roman" w:hAnsi="Times New Roman"/>
          <w:sz w:val="24"/>
          <w:szCs w:val="24"/>
          <w:lang w:val="ro-RO" w:eastAsia="pl-PL"/>
        </w:rPr>
        <w:t xml:space="preserve">, </w:t>
      </w:r>
      <w:r w:rsidRPr="00A42550">
        <w:rPr>
          <w:rFonts w:ascii="Arial" w:eastAsia="Times New Roman" w:hAnsi="Arial" w:cs="Arial"/>
          <w:bCs/>
          <w:sz w:val="24"/>
          <w:szCs w:val="24"/>
          <w:lang w:val="ro-RO" w:eastAsia="pl-PL"/>
        </w:rPr>
        <w:t>se consideră necesară intensificarea acţiunilor şi campaniilor de informare şi conştientizare a publicului cu privire la următoarele aspecte:</w:t>
      </w:r>
    </w:p>
    <w:p w:rsidR="00A42550" w:rsidRPr="00A42550" w:rsidRDefault="00A42550" w:rsidP="000A5EAD">
      <w:pPr>
        <w:numPr>
          <w:ilvl w:val="0"/>
          <w:numId w:val="11"/>
        </w:numPr>
        <w:spacing w:after="0" w:line="240" w:lineRule="auto"/>
        <w:jc w:val="both"/>
        <w:rPr>
          <w:rFonts w:ascii="Arial" w:eastAsia="Times New Roman" w:hAnsi="Arial" w:cs="Arial"/>
          <w:bCs/>
          <w:sz w:val="24"/>
          <w:szCs w:val="24"/>
          <w:lang w:val="ro-RO"/>
        </w:rPr>
      </w:pPr>
      <w:r w:rsidRPr="00A42550">
        <w:rPr>
          <w:rFonts w:ascii="Arial" w:eastAsia="Times New Roman" w:hAnsi="Arial" w:cs="Arial"/>
          <w:bCs/>
          <w:sz w:val="24"/>
          <w:szCs w:val="24"/>
          <w:lang w:val="ro-RO"/>
        </w:rPr>
        <w:t>obligaţia de a nu elimina DEEE odată cu deşeurile municipale nesortate şi de a le colecta separat;</w:t>
      </w:r>
    </w:p>
    <w:p w:rsidR="00A42550" w:rsidRPr="00A42550" w:rsidRDefault="00A42550" w:rsidP="000A5EAD">
      <w:pPr>
        <w:numPr>
          <w:ilvl w:val="0"/>
          <w:numId w:val="11"/>
        </w:numPr>
        <w:spacing w:after="0" w:line="240" w:lineRule="auto"/>
        <w:jc w:val="both"/>
        <w:rPr>
          <w:rFonts w:ascii="Arial" w:eastAsia="Times New Roman" w:hAnsi="Arial" w:cs="Arial"/>
          <w:bCs/>
          <w:sz w:val="24"/>
          <w:szCs w:val="24"/>
          <w:lang w:val="ro-RO"/>
        </w:rPr>
      </w:pPr>
      <w:r w:rsidRPr="00A42550">
        <w:rPr>
          <w:rFonts w:ascii="Arial" w:eastAsia="Times New Roman" w:hAnsi="Arial" w:cs="Arial"/>
          <w:bCs/>
          <w:sz w:val="24"/>
          <w:szCs w:val="24"/>
          <w:lang w:val="ro-RO"/>
        </w:rPr>
        <w:t>disponibilitatea sistemelor de returnare şi colectare a DEEE</w:t>
      </w:r>
    </w:p>
    <w:p w:rsidR="00A42550" w:rsidRPr="00A42550" w:rsidRDefault="00A42550" w:rsidP="000A5EAD">
      <w:pPr>
        <w:numPr>
          <w:ilvl w:val="0"/>
          <w:numId w:val="11"/>
        </w:numPr>
        <w:spacing w:after="0" w:line="240" w:lineRule="auto"/>
        <w:jc w:val="both"/>
        <w:rPr>
          <w:rFonts w:ascii="Arial" w:eastAsia="Times New Roman" w:hAnsi="Arial" w:cs="Arial"/>
          <w:bCs/>
          <w:sz w:val="24"/>
          <w:szCs w:val="24"/>
          <w:lang w:val="ro-RO"/>
        </w:rPr>
      </w:pPr>
      <w:r w:rsidRPr="00A42550">
        <w:rPr>
          <w:rFonts w:ascii="Arial" w:eastAsia="Times New Roman" w:hAnsi="Arial" w:cs="Arial"/>
          <w:bCs/>
          <w:sz w:val="24"/>
          <w:szCs w:val="24"/>
          <w:lang w:val="ro-RO"/>
        </w:rPr>
        <w:t>reutilizarea, reciclarea şi alte forme de valorificare a DEEE</w:t>
      </w:r>
    </w:p>
    <w:p w:rsidR="00A42550" w:rsidRPr="00A42550" w:rsidRDefault="00A42550" w:rsidP="000A5EAD">
      <w:pPr>
        <w:numPr>
          <w:ilvl w:val="0"/>
          <w:numId w:val="11"/>
        </w:numPr>
        <w:spacing w:after="0" w:line="240" w:lineRule="auto"/>
        <w:jc w:val="both"/>
        <w:rPr>
          <w:rFonts w:ascii="Arial" w:eastAsia="Times New Roman" w:hAnsi="Arial" w:cs="Arial"/>
          <w:bCs/>
          <w:sz w:val="24"/>
          <w:szCs w:val="24"/>
          <w:lang w:val="ro-RO"/>
        </w:rPr>
      </w:pPr>
      <w:r w:rsidRPr="00A42550">
        <w:rPr>
          <w:rFonts w:ascii="Arial" w:eastAsia="Times New Roman" w:hAnsi="Arial" w:cs="Arial"/>
          <w:bCs/>
          <w:sz w:val="24"/>
          <w:szCs w:val="24"/>
          <w:lang w:val="ro-RO"/>
        </w:rPr>
        <w:t>obligaţia de a utiliza sistemele de colectare selectivă pentru eliminarea DEEE</w:t>
      </w:r>
    </w:p>
    <w:p w:rsidR="00A42550" w:rsidRPr="00A42550" w:rsidRDefault="00A42550" w:rsidP="00A42550">
      <w:pPr>
        <w:tabs>
          <w:tab w:val="left" w:pos="9000"/>
        </w:tabs>
        <w:spacing w:after="0" w:line="240" w:lineRule="auto"/>
        <w:jc w:val="both"/>
        <w:outlineLvl w:val="0"/>
        <w:rPr>
          <w:rFonts w:ascii="Arial" w:eastAsia="Times New Roman" w:hAnsi="Arial" w:cs="Arial"/>
          <w:bCs/>
          <w:sz w:val="24"/>
          <w:szCs w:val="24"/>
          <w:lang w:val="ro-RO"/>
        </w:rPr>
      </w:pPr>
      <w:r w:rsidRPr="00A42550">
        <w:rPr>
          <w:rFonts w:ascii="Arial" w:eastAsia="Times New Roman" w:hAnsi="Arial" w:cs="Arial"/>
          <w:bCs/>
          <w:sz w:val="24"/>
          <w:szCs w:val="24"/>
          <w:lang w:val="ro-RO"/>
        </w:rPr>
        <w:t xml:space="preserve">      -  efectele potenţiale asupra mediului şi sănătăţii umane ca rezultat al prezenţei substanţelor periculoase în echipamentele electrice şi electronice.</w:t>
      </w:r>
    </w:p>
    <w:p w:rsidR="00A42550" w:rsidRPr="00A42550" w:rsidRDefault="00A42550" w:rsidP="00A42550">
      <w:pPr>
        <w:spacing w:after="0" w:line="240" w:lineRule="auto"/>
        <w:rPr>
          <w:rFonts w:ascii="Arial" w:eastAsia="Times New Roman" w:hAnsi="Arial" w:cs="Arial"/>
          <w:sz w:val="24"/>
          <w:szCs w:val="24"/>
          <w:lang w:val="ro-RO"/>
        </w:rPr>
      </w:pPr>
      <w:r w:rsidRPr="00A42550">
        <w:rPr>
          <w:rFonts w:ascii="Arial" w:eastAsia="Times New Roman" w:hAnsi="Arial" w:cs="Arial"/>
          <w:sz w:val="24"/>
          <w:szCs w:val="24"/>
          <w:lang w:val="ro-RO"/>
        </w:rPr>
        <w:t>Un aspect important pentru stimularea populaţiei de a colecta separat deşeurile de echipamente electrice şi electronice, îl constituie înfiinţarea de către SC GreenWeee International SA Buzău a 3 puncte de colectare amplasate în zone diferite ale municipiului, care funcţionează conform unui program stabilit.</w:t>
      </w: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before="120" w:after="0" w:line="240" w:lineRule="auto"/>
        <w:rPr>
          <w:rFonts w:ascii="Arial" w:eastAsia="Times New Roman" w:hAnsi="Arial"/>
          <w:b/>
          <w:i/>
          <w:sz w:val="24"/>
          <w:szCs w:val="24"/>
        </w:rPr>
      </w:pPr>
      <w:r w:rsidRPr="00A42550">
        <w:rPr>
          <w:rFonts w:ascii="Arial" w:eastAsia="Times New Roman" w:hAnsi="Arial"/>
          <w:b/>
          <w:i/>
          <w:sz w:val="24"/>
          <w:szCs w:val="24"/>
        </w:rPr>
        <w:t>VII.1.3.2. Deşeuri de ambalaje</w:t>
      </w: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Cantitatea de ambalaje utilizate se presupune că este egală cu cantitatea de deşeuri de ambalaje generată. Această presupunere se bazează pe durata scurtă de viaţă a ambalajelor.</w:t>
      </w: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Cantităţile de ambalaje introduse pe piaţă în judeţul Buzău nu se pot estima, deoarece  operatorii economici raportează datele în judeţul în care au înregistrat sediul social. </w:t>
      </w: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Totodata, operatorii economici care au predat responsabilitate organizaţiilor de transfer de responsabilitate (OTR), nu au obligaţie de raportare, raportările fiind realizate de către organizaţiile respective. </w:t>
      </w:r>
    </w:p>
    <w:p w:rsidR="00A42550" w:rsidRPr="00A42550" w:rsidRDefault="00A42550" w:rsidP="00A42550">
      <w:pPr>
        <w:autoSpaceDE w:val="0"/>
        <w:autoSpaceDN w:val="0"/>
        <w:adjustRightInd w:val="0"/>
        <w:spacing w:before="120"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 xml:space="preserve">În ceea ce priveşte evoluţia cantităţilor de ambalaje colectate la nivelul judeţului Buzău, acestea sunt  prezentate în tabelul VII.1.3.2.1.    </w:t>
      </w: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sectPr w:rsidR="00A42550" w:rsidRPr="00A42550" w:rsidSect="00A42550">
          <w:pgSz w:w="11906" w:h="16838"/>
          <w:pgMar w:top="851" w:right="851" w:bottom="851" w:left="1418" w:header="709" w:footer="709" w:gutter="0"/>
          <w:cols w:space="708"/>
          <w:docGrid w:linePitch="360"/>
        </w:sectPr>
      </w:pP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lastRenderedPageBreak/>
        <w:t>Tabel VII.1.3.2.1. Deşeuri de ambalaje colectate</w:t>
      </w:r>
    </w:p>
    <w:tbl>
      <w:tblPr>
        <w:tblStyle w:val="TableGrid2"/>
        <w:tblW w:w="15026" w:type="dxa"/>
        <w:tblInd w:w="108" w:type="dxa"/>
        <w:tblLook w:val="04A0"/>
      </w:tblPr>
      <w:tblGrid>
        <w:gridCol w:w="1920"/>
        <w:gridCol w:w="1205"/>
        <w:gridCol w:w="1469"/>
        <w:gridCol w:w="1214"/>
        <w:gridCol w:w="1328"/>
        <w:gridCol w:w="1213"/>
        <w:gridCol w:w="1328"/>
        <w:gridCol w:w="1263"/>
        <w:gridCol w:w="1411"/>
        <w:gridCol w:w="1347"/>
        <w:gridCol w:w="1328"/>
      </w:tblGrid>
      <w:tr w:rsidR="00A42550" w:rsidRPr="00A42550" w:rsidTr="00A42550">
        <w:tc>
          <w:tcPr>
            <w:tcW w:w="1985" w:type="dxa"/>
            <w:vMerge w:val="restart"/>
            <w:shd w:val="clear" w:color="auto" w:fill="FFFF00"/>
            <w:vAlign w:val="center"/>
          </w:tcPr>
          <w:p w:rsidR="00A42550" w:rsidRPr="00A42550" w:rsidRDefault="00A42550" w:rsidP="00A42550">
            <w:pPr>
              <w:spacing w:before="120" w:after="120" w:line="240" w:lineRule="auto"/>
              <w:jc w:val="center"/>
              <w:rPr>
                <w:rFonts w:ascii="Arial" w:hAnsi="Arial" w:cs="Arial"/>
                <w:b/>
                <w:sz w:val="20"/>
                <w:szCs w:val="20"/>
                <w:lang w:val="ro-RO"/>
              </w:rPr>
            </w:pPr>
            <w:r w:rsidRPr="00A42550">
              <w:rPr>
                <w:rFonts w:ascii="Arial" w:hAnsi="Arial" w:cs="Arial"/>
                <w:b/>
                <w:sz w:val="20"/>
                <w:szCs w:val="20"/>
                <w:lang w:val="ro-RO"/>
              </w:rPr>
              <w:t>Tip material</w:t>
            </w:r>
          </w:p>
        </w:tc>
        <w:tc>
          <w:tcPr>
            <w:tcW w:w="13041" w:type="dxa"/>
            <w:gridSpan w:val="10"/>
            <w:shd w:val="clear" w:color="auto" w:fill="FFFF00"/>
          </w:tcPr>
          <w:p w:rsidR="00A42550" w:rsidRPr="00A42550" w:rsidRDefault="00A42550" w:rsidP="00A42550">
            <w:pPr>
              <w:spacing w:before="120" w:after="120" w:line="240" w:lineRule="auto"/>
              <w:jc w:val="center"/>
              <w:rPr>
                <w:rFonts w:ascii="Arial" w:hAnsi="Arial" w:cs="Arial"/>
                <w:b/>
                <w:sz w:val="20"/>
                <w:szCs w:val="20"/>
                <w:lang w:val="ro-RO"/>
              </w:rPr>
            </w:pPr>
            <w:r w:rsidRPr="00A42550">
              <w:rPr>
                <w:rFonts w:ascii="Arial" w:hAnsi="Arial" w:cs="Arial"/>
                <w:b/>
                <w:sz w:val="20"/>
                <w:szCs w:val="20"/>
                <w:lang w:val="ro-RO"/>
              </w:rPr>
              <w:t>Cantitatea de deşeuri de ambalaje colectată</w:t>
            </w:r>
          </w:p>
        </w:tc>
      </w:tr>
      <w:tr w:rsidR="00A42550" w:rsidRPr="00A42550" w:rsidTr="00A42550">
        <w:tc>
          <w:tcPr>
            <w:tcW w:w="1985" w:type="dxa"/>
            <w:vMerge/>
            <w:shd w:val="clear" w:color="auto" w:fill="FFFF00"/>
          </w:tcPr>
          <w:p w:rsidR="00A42550" w:rsidRPr="00A42550" w:rsidRDefault="00A42550" w:rsidP="00A42550">
            <w:pPr>
              <w:spacing w:before="120" w:after="120" w:line="240" w:lineRule="auto"/>
              <w:jc w:val="center"/>
              <w:rPr>
                <w:rFonts w:ascii="Arial" w:hAnsi="Arial" w:cs="Arial"/>
                <w:sz w:val="20"/>
                <w:szCs w:val="20"/>
                <w:lang w:val="ro-RO"/>
              </w:rPr>
            </w:pPr>
          </w:p>
        </w:tc>
        <w:tc>
          <w:tcPr>
            <w:tcW w:w="2693" w:type="dxa"/>
            <w:gridSpan w:val="2"/>
            <w:shd w:val="clear" w:color="auto" w:fill="FFFF00"/>
          </w:tcPr>
          <w:p w:rsidR="00A42550" w:rsidRPr="00A42550" w:rsidRDefault="00A42550" w:rsidP="00A42550">
            <w:pPr>
              <w:spacing w:before="120" w:after="120" w:line="240" w:lineRule="auto"/>
              <w:jc w:val="center"/>
              <w:rPr>
                <w:rFonts w:ascii="Arial" w:hAnsi="Arial" w:cs="Arial"/>
                <w:b/>
                <w:sz w:val="20"/>
                <w:szCs w:val="20"/>
                <w:lang w:val="ro-RO"/>
              </w:rPr>
            </w:pPr>
            <w:r w:rsidRPr="00A42550">
              <w:rPr>
                <w:rFonts w:ascii="Arial" w:hAnsi="Arial" w:cs="Arial"/>
                <w:b/>
                <w:sz w:val="20"/>
                <w:szCs w:val="20"/>
                <w:lang w:val="ro-RO"/>
              </w:rPr>
              <w:t>2008</w:t>
            </w:r>
          </w:p>
        </w:tc>
        <w:tc>
          <w:tcPr>
            <w:tcW w:w="2552" w:type="dxa"/>
            <w:gridSpan w:val="2"/>
            <w:shd w:val="clear" w:color="auto" w:fill="FFFF00"/>
          </w:tcPr>
          <w:p w:rsidR="00A42550" w:rsidRPr="00A42550" w:rsidRDefault="00A42550" w:rsidP="00A42550">
            <w:pPr>
              <w:spacing w:before="120" w:after="120" w:line="240" w:lineRule="auto"/>
              <w:jc w:val="center"/>
              <w:rPr>
                <w:rFonts w:ascii="Arial" w:hAnsi="Arial" w:cs="Arial"/>
                <w:b/>
                <w:sz w:val="20"/>
                <w:szCs w:val="20"/>
                <w:lang w:val="ro-RO"/>
              </w:rPr>
            </w:pPr>
            <w:r w:rsidRPr="00A42550">
              <w:rPr>
                <w:rFonts w:ascii="Arial" w:hAnsi="Arial" w:cs="Arial"/>
                <w:b/>
                <w:sz w:val="20"/>
                <w:szCs w:val="20"/>
                <w:lang w:val="ro-RO"/>
              </w:rPr>
              <w:t>2009</w:t>
            </w:r>
          </w:p>
        </w:tc>
        <w:tc>
          <w:tcPr>
            <w:tcW w:w="2551" w:type="dxa"/>
            <w:gridSpan w:val="2"/>
            <w:shd w:val="clear" w:color="auto" w:fill="FFFF00"/>
          </w:tcPr>
          <w:p w:rsidR="00A42550" w:rsidRPr="00A42550" w:rsidRDefault="00A42550" w:rsidP="00A42550">
            <w:pPr>
              <w:spacing w:before="120" w:after="120" w:line="240" w:lineRule="auto"/>
              <w:jc w:val="center"/>
              <w:rPr>
                <w:rFonts w:ascii="Arial" w:hAnsi="Arial" w:cs="Arial"/>
                <w:b/>
                <w:sz w:val="20"/>
                <w:szCs w:val="20"/>
                <w:lang w:val="ro-RO"/>
              </w:rPr>
            </w:pPr>
            <w:r w:rsidRPr="00A42550">
              <w:rPr>
                <w:rFonts w:ascii="Arial" w:hAnsi="Arial" w:cs="Arial"/>
                <w:b/>
                <w:sz w:val="20"/>
                <w:szCs w:val="20"/>
                <w:lang w:val="ro-RO"/>
              </w:rPr>
              <w:t>2010</w:t>
            </w:r>
          </w:p>
        </w:tc>
        <w:tc>
          <w:tcPr>
            <w:tcW w:w="2693" w:type="dxa"/>
            <w:gridSpan w:val="2"/>
            <w:shd w:val="clear" w:color="auto" w:fill="FFFF00"/>
          </w:tcPr>
          <w:p w:rsidR="00A42550" w:rsidRPr="00A42550" w:rsidRDefault="00A42550" w:rsidP="00A42550">
            <w:pPr>
              <w:spacing w:before="120" w:after="120" w:line="240" w:lineRule="auto"/>
              <w:jc w:val="center"/>
              <w:rPr>
                <w:rFonts w:ascii="Arial" w:hAnsi="Arial" w:cs="Arial"/>
                <w:b/>
                <w:sz w:val="20"/>
                <w:szCs w:val="20"/>
                <w:lang w:val="ro-RO"/>
              </w:rPr>
            </w:pPr>
            <w:r w:rsidRPr="00A42550">
              <w:rPr>
                <w:rFonts w:ascii="Arial" w:hAnsi="Arial" w:cs="Arial"/>
                <w:b/>
                <w:sz w:val="20"/>
                <w:szCs w:val="20"/>
                <w:lang w:val="ro-RO"/>
              </w:rPr>
              <w:t>2011</w:t>
            </w:r>
          </w:p>
        </w:tc>
        <w:tc>
          <w:tcPr>
            <w:tcW w:w="2552" w:type="dxa"/>
            <w:gridSpan w:val="2"/>
            <w:shd w:val="clear" w:color="auto" w:fill="FFFF00"/>
          </w:tcPr>
          <w:p w:rsidR="00A42550" w:rsidRPr="00A42550" w:rsidRDefault="00A42550" w:rsidP="00A42550">
            <w:pPr>
              <w:spacing w:before="120" w:after="120" w:line="240" w:lineRule="auto"/>
              <w:jc w:val="center"/>
              <w:rPr>
                <w:rFonts w:ascii="Arial" w:hAnsi="Arial" w:cs="Arial"/>
                <w:b/>
                <w:sz w:val="20"/>
                <w:szCs w:val="20"/>
                <w:lang w:val="ro-RO"/>
              </w:rPr>
            </w:pPr>
            <w:r w:rsidRPr="00A42550">
              <w:rPr>
                <w:rFonts w:ascii="Arial" w:hAnsi="Arial" w:cs="Arial"/>
                <w:b/>
                <w:sz w:val="20"/>
                <w:szCs w:val="20"/>
                <w:lang w:val="ro-RO"/>
              </w:rPr>
              <w:t>2012</w:t>
            </w:r>
          </w:p>
        </w:tc>
      </w:tr>
      <w:tr w:rsidR="00A42550" w:rsidRPr="00A42550" w:rsidTr="00A42550">
        <w:tc>
          <w:tcPr>
            <w:tcW w:w="1985" w:type="dxa"/>
            <w:vMerge/>
            <w:shd w:val="clear" w:color="auto" w:fill="FFFF00"/>
          </w:tcPr>
          <w:p w:rsidR="00A42550" w:rsidRPr="00A42550" w:rsidRDefault="00A42550" w:rsidP="00A42550">
            <w:pPr>
              <w:spacing w:before="120" w:after="120" w:line="240" w:lineRule="auto"/>
              <w:jc w:val="both"/>
              <w:rPr>
                <w:rFonts w:ascii="Arial" w:hAnsi="Arial" w:cs="Arial"/>
                <w:sz w:val="20"/>
                <w:szCs w:val="20"/>
                <w:lang w:val="ro-RO"/>
              </w:rPr>
            </w:pPr>
          </w:p>
        </w:tc>
        <w:tc>
          <w:tcPr>
            <w:tcW w:w="1214" w:type="dxa"/>
            <w:shd w:val="clear" w:color="auto" w:fill="FFFF00"/>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Cantitate totală (tone)</w:t>
            </w:r>
          </w:p>
        </w:tc>
        <w:tc>
          <w:tcPr>
            <w:tcW w:w="1479" w:type="dxa"/>
            <w:shd w:val="clear" w:color="auto" w:fill="FFFF00"/>
          </w:tcPr>
          <w:p w:rsidR="00A42550" w:rsidRPr="00A42550" w:rsidRDefault="00A42550" w:rsidP="00A42550">
            <w:pPr>
              <w:spacing w:before="120" w:after="120" w:line="240" w:lineRule="auto"/>
              <w:rPr>
                <w:rFonts w:ascii="Arial" w:hAnsi="Arial" w:cs="Arial"/>
                <w:b/>
                <w:sz w:val="20"/>
                <w:szCs w:val="20"/>
                <w:lang w:val="ro-RO"/>
              </w:rPr>
            </w:pPr>
            <w:r w:rsidRPr="00A42550">
              <w:rPr>
                <w:rFonts w:ascii="Arial" w:hAnsi="Arial" w:cs="Arial"/>
                <w:b/>
                <w:sz w:val="20"/>
                <w:szCs w:val="20"/>
                <w:lang w:val="ro-RO"/>
              </w:rPr>
              <w:t xml:space="preserve">Din care cantitate periculoasă (tone) </w:t>
            </w:r>
          </w:p>
        </w:tc>
        <w:tc>
          <w:tcPr>
            <w:tcW w:w="1224" w:type="dxa"/>
            <w:shd w:val="clear" w:color="auto" w:fill="FFFF00"/>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Cantitate totală (tone)</w:t>
            </w:r>
          </w:p>
        </w:tc>
        <w:tc>
          <w:tcPr>
            <w:tcW w:w="1328" w:type="dxa"/>
            <w:shd w:val="clear" w:color="auto" w:fill="FFFF00"/>
          </w:tcPr>
          <w:p w:rsidR="00A42550" w:rsidRPr="00A42550" w:rsidRDefault="00A42550" w:rsidP="00A42550">
            <w:pPr>
              <w:spacing w:before="120" w:after="120" w:line="240" w:lineRule="auto"/>
              <w:rPr>
                <w:rFonts w:ascii="Arial" w:hAnsi="Arial" w:cs="Arial"/>
                <w:b/>
                <w:sz w:val="20"/>
                <w:szCs w:val="20"/>
                <w:lang w:val="ro-RO"/>
              </w:rPr>
            </w:pPr>
            <w:r w:rsidRPr="00A42550">
              <w:rPr>
                <w:rFonts w:ascii="Arial" w:hAnsi="Arial" w:cs="Arial"/>
                <w:b/>
                <w:sz w:val="20"/>
                <w:szCs w:val="20"/>
                <w:lang w:val="ro-RO"/>
              </w:rPr>
              <w:t xml:space="preserve">Din care cantitate periculoasă (tone) </w:t>
            </w:r>
          </w:p>
        </w:tc>
        <w:tc>
          <w:tcPr>
            <w:tcW w:w="1223" w:type="dxa"/>
            <w:shd w:val="clear" w:color="auto" w:fill="FFFF00"/>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Cantitate totală (tone)</w:t>
            </w:r>
          </w:p>
        </w:tc>
        <w:tc>
          <w:tcPr>
            <w:tcW w:w="1328" w:type="dxa"/>
            <w:shd w:val="clear" w:color="auto" w:fill="FFFF00"/>
          </w:tcPr>
          <w:p w:rsidR="00A42550" w:rsidRPr="00A42550" w:rsidRDefault="00A42550" w:rsidP="00A42550">
            <w:pPr>
              <w:spacing w:before="120" w:after="120" w:line="240" w:lineRule="auto"/>
              <w:rPr>
                <w:rFonts w:ascii="Arial" w:hAnsi="Arial" w:cs="Arial"/>
                <w:b/>
                <w:sz w:val="20"/>
                <w:szCs w:val="20"/>
                <w:lang w:val="ro-RO"/>
              </w:rPr>
            </w:pPr>
            <w:r w:rsidRPr="00A42550">
              <w:rPr>
                <w:rFonts w:ascii="Arial" w:hAnsi="Arial" w:cs="Arial"/>
                <w:b/>
                <w:sz w:val="20"/>
                <w:szCs w:val="20"/>
                <w:lang w:val="ro-RO"/>
              </w:rPr>
              <w:t xml:space="preserve">Din care cantitate periculoasă (tone) </w:t>
            </w:r>
          </w:p>
        </w:tc>
        <w:tc>
          <w:tcPr>
            <w:tcW w:w="1276" w:type="dxa"/>
            <w:shd w:val="clear" w:color="auto" w:fill="FFFF00"/>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Cantitate totală (tone)</w:t>
            </w:r>
          </w:p>
        </w:tc>
        <w:tc>
          <w:tcPr>
            <w:tcW w:w="1417" w:type="dxa"/>
            <w:shd w:val="clear" w:color="auto" w:fill="FFFF00"/>
          </w:tcPr>
          <w:p w:rsidR="00A42550" w:rsidRPr="00A42550" w:rsidRDefault="00A42550" w:rsidP="00A42550">
            <w:pPr>
              <w:spacing w:before="120" w:after="120" w:line="240" w:lineRule="auto"/>
              <w:rPr>
                <w:rFonts w:ascii="Arial" w:hAnsi="Arial" w:cs="Arial"/>
                <w:b/>
                <w:sz w:val="20"/>
                <w:szCs w:val="20"/>
                <w:lang w:val="ro-RO"/>
              </w:rPr>
            </w:pPr>
            <w:r w:rsidRPr="00A42550">
              <w:rPr>
                <w:rFonts w:ascii="Arial" w:hAnsi="Arial" w:cs="Arial"/>
                <w:b/>
                <w:sz w:val="20"/>
                <w:szCs w:val="20"/>
                <w:lang w:val="ro-RO"/>
              </w:rPr>
              <w:t xml:space="preserve">Din care cantitate periculoasă (tone) </w:t>
            </w:r>
          </w:p>
        </w:tc>
        <w:tc>
          <w:tcPr>
            <w:tcW w:w="1366" w:type="dxa"/>
            <w:shd w:val="clear" w:color="auto" w:fill="FFFF00"/>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Cantitate totală (tone)</w:t>
            </w:r>
          </w:p>
        </w:tc>
        <w:tc>
          <w:tcPr>
            <w:tcW w:w="1186" w:type="dxa"/>
            <w:shd w:val="clear" w:color="auto" w:fill="FFFF00"/>
          </w:tcPr>
          <w:p w:rsidR="00A42550" w:rsidRPr="00A42550" w:rsidRDefault="00A42550" w:rsidP="00A42550">
            <w:pPr>
              <w:spacing w:before="120" w:after="120" w:line="240" w:lineRule="auto"/>
              <w:rPr>
                <w:rFonts w:ascii="Arial" w:hAnsi="Arial" w:cs="Arial"/>
                <w:b/>
                <w:sz w:val="20"/>
                <w:szCs w:val="20"/>
                <w:lang w:val="ro-RO"/>
              </w:rPr>
            </w:pPr>
            <w:r w:rsidRPr="00A42550">
              <w:rPr>
                <w:rFonts w:ascii="Arial" w:hAnsi="Arial" w:cs="Arial"/>
                <w:b/>
                <w:sz w:val="20"/>
                <w:szCs w:val="20"/>
                <w:lang w:val="ro-RO"/>
              </w:rPr>
              <w:t xml:space="preserve">Din care cantitate periculoasă (tone) </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Sticlă</w:t>
            </w:r>
          </w:p>
        </w:tc>
        <w:tc>
          <w:tcPr>
            <w:tcW w:w="121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0</w:t>
            </w:r>
          </w:p>
        </w:tc>
        <w:tc>
          <w:tcPr>
            <w:tcW w:w="1479"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4,5</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22,22</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0</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1,568</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PET</w:t>
            </w:r>
          </w:p>
        </w:tc>
        <w:tc>
          <w:tcPr>
            <w:tcW w:w="1214" w:type="dxa"/>
          </w:tcPr>
          <w:p w:rsidR="00A42550" w:rsidRPr="00A42550" w:rsidRDefault="00A42550" w:rsidP="00A42550">
            <w:pPr>
              <w:spacing w:before="120" w:after="120" w:line="240" w:lineRule="auto"/>
              <w:jc w:val="both"/>
              <w:rPr>
                <w:rFonts w:ascii="Arial" w:hAnsi="Arial" w:cs="Arial"/>
                <w:sz w:val="20"/>
                <w:szCs w:val="20"/>
                <w:lang w:val="ro-RO"/>
              </w:rPr>
            </w:pP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sz w:val="20"/>
                <w:szCs w:val="20"/>
                <w:lang w:val="ro-RO"/>
              </w:rPr>
            </w:pP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sz w:val="20"/>
                <w:szCs w:val="20"/>
                <w:lang w:val="ro-RO"/>
              </w:rPr>
            </w:pP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sz w:val="20"/>
                <w:szCs w:val="20"/>
                <w:lang w:val="ro-RO"/>
              </w:rPr>
            </w:pP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654,028</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Alte plastice</w:t>
            </w:r>
          </w:p>
        </w:tc>
        <w:tc>
          <w:tcPr>
            <w:tcW w:w="1214" w:type="dxa"/>
          </w:tcPr>
          <w:p w:rsidR="00A42550" w:rsidRPr="00A42550" w:rsidRDefault="00A42550" w:rsidP="00A42550">
            <w:pPr>
              <w:spacing w:before="120" w:after="120" w:line="240" w:lineRule="auto"/>
              <w:jc w:val="both"/>
              <w:rPr>
                <w:rFonts w:ascii="Arial" w:hAnsi="Arial" w:cs="Arial"/>
                <w:sz w:val="20"/>
                <w:szCs w:val="20"/>
                <w:lang w:val="ro-RO"/>
              </w:rPr>
            </w:pP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sz w:val="20"/>
                <w:szCs w:val="20"/>
                <w:lang w:val="ro-RO"/>
              </w:rPr>
            </w:pP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sz w:val="20"/>
                <w:szCs w:val="20"/>
                <w:lang w:val="ro-RO"/>
              </w:rPr>
            </w:pP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sz w:val="20"/>
                <w:szCs w:val="20"/>
                <w:lang w:val="ro-RO"/>
              </w:rPr>
            </w:pP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553,739</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Total plastic</w:t>
            </w:r>
          </w:p>
        </w:tc>
        <w:tc>
          <w:tcPr>
            <w:tcW w:w="1214"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23480,49</w:t>
            </w: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24529,69</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29468,1</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34428,37</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1207,767</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Hartie şi carton</w:t>
            </w:r>
          </w:p>
        </w:tc>
        <w:tc>
          <w:tcPr>
            <w:tcW w:w="121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1854,82</w:t>
            </w: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1404,22</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1801,56</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2651,6</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2721,819</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Aluminiu</w:t>
            </w:r>
          </w:p>
        </w:tc>
        <w:tc>
          <w:tcPr>
            <w:tcW w:w="121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169,02</w:t>
            </w: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236,31</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168,52</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116,85</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35,799</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Oţel</w:t>
            </w:r>
          </w:p>
        </w:tc>
        <w:tc>
          <w:tcPr>
            <w:tcW w:w="121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0</w:t>
            </w: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0</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191,56</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390,42</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354,191</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Total metal</w:t>
            </w:r>
          </w:p>
        </w:tc>
        <w:tc>
          <w:tcPr>
            <w:tcW w:w="1214"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169,02</w:t>
            </w: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236,31</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360,08</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507,27</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389,99</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Lemn</w:t>
            </w:r>
          </w:p>
        </w:tc>
        <w:tc>
          <w:tcPr>
            <w:tcW w:w="121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93,93</w:t>
            </w: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118,38</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135,36</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60,55</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sz w:val="20"/>
                <w:szCs w:val="20"/>
                <w:lang w:val="ro-RO"/>
              </w:rPr>
            </w:pPr>
            <w:r w:rsidRPr="00A42550">
              <w:rPr>
                <w:rFonts w:ascii="Arial" w:hAnsi="Arial" w:cs="Arial"/>
                <w:sz w:val="20"/>
                <w:szCs w:val="20"/>
                <w:lang w:val="ro-RO"/>
              </w:rPr>
              <w:t>170,177</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r w:rsidR="00A42550" w:rsidRPr="00A42550" w:rsidTr="00A42550">
        <w:tc>
          <w:tcPr>
            <w:tcW w:w="1985"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Total general</w:t>
            </w:r>
          </w:p>
        </w:tc>
        <w:tc>
          <w:tcPr>
            <w:tcW w:w="1214"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25599,01</w:t>
            </w:r>
          </w:p>
        </w:tc>
        <w:tc>
          <w:tcPr>
            <w:tcW w:w="1479"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4"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26293,1</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23"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31787,32</w:t>
            </w:r>
          </w:p>
        </w:tc>
        <w:tc>
          <w:tcPr>
            <w:tcW w:w="1328"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276"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37647,79</w:t>
            </w:r>
          </w:p>
        </w:tc>
        <w:tc>
          <w:tcPr>
            <w:tcW w:w="1417"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c>
          <w:tcPr>
            <w:tcW w:w="1366" w:type="dxa"/>
          </w:tcPr>
          <w:p w:rsidR="00A42550" w:rsidRPr="00A42550" w:rsidRDefault="00A42550" w:rsidP="00A42550">
            <w:pPr>
              <w:spacing w:before="120" w:after="120" w:line="240" w:lineRule="auto"/>
              <w:jc w:val="both"/>
              <w:rPr>
                <w:rFonts w:ascii="Arial" w:hAnsi="Arial" w:cs="Arial"/>
                <w:b/>
                <w:sz w:val="20"/>
                <w:szCs w:val="20"/>
                <w:lang w:val="ro-RO"/>
              </w:rPr>
            </w:pPr>
            <w:r w:rsidRPr="00A42550">
              <w:rPr>
                <w:rFonts w:ascii="Arial" w:hAnsi="Arial" w:cs="Arial"/>
                <w:b/>
                <w:sz w:val="20"/>
                <w:szCs w:val="20"/>
                <w:lang w:val="ro-RO"/>
              </w:rPr>
              <w:t>4491,321</w:t>
            </w:r>
          </w:p>
        </w:tc>
        <w:tc>
          <w:tcPr>
            <w:tcW w:w="1186" w:type="dxa"/>
          </w:tcPr>
          <w:p w:rsidR="00A42550" w:rsidRPr="00A42550" w:rsidRDefault="00A42550" w:rsidP="00A42550">
            <w:pPr>
              <w:spacing w:before="120" w:after="120" w:line="240" w:lineRule="auto"/>
              <w:rPr>
                <w:sz w:val="24"/>
                <w:szCs w:val="24"/>
                <w:lang w:val="en-GB"/>
              </w:rPr>
            </w:pPr>
            <w:r w:rsidRPr="00A42550">
              <w:rPr>
                <w:rFonts w:ascii="Arial" w:hAnsi="Arial" w:cs="Arial"/>
                <w:sz w:val="20"/>
                <w:szCs w:val="20"/>
                <w:lang w:val="ro-RO"/>
              </w:rPr>
              <w:t>0</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 Agenţia Naţională pentru Protecţia Mediului</w:t>
      </w:r>
    </w:p>
    <w:p w:rsidR="00A42550" w:rsidRPr="00A42550" w:rsidRDefault="00A42550" w:rsidP="00A42550">
      <w:pPr>
        <w:spacing w:before="120" w:after="120" w:line="240" w:lineRule="auto"/>
        <w:jc w:val="both"/>
        <w:rPr>
          <w:rFonts w:ascii="Arial" w:eastAsia="Times New Roman" w:hAnsi="Arial" w:cs="Arial"/>
          <w:i/>
          <w:sz w:val="20"/>
          <w:szCs w:val="20"/>
          <w:lang w:val="ro-RO"/>
        </w:rPr>
        <w:sectPr w:rsidR="00A42550" w:rsidRPr="00A42550" w:rsidSect="00A42550">
          <w:pgSz w:w="16838" w:h="11906" w:orient="landscape"/>
          <w:pgMar w:top="1418" w:right="851" w:bottom="851" w:left="851" w:header="709" w:footer="709" w:gutter="0"/>
          <w:cols w:space="708"/>
          <w:docGrid w:linePitch="360"/>
        </w:sectPr>
      </w:pP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Se observă o diferenţă mare între anii 2008-2011 şi respectiv 2012. Aceasta se datorează faptului că în anul 2012 s-au luat în calcul numai deşeurile de ambalaje colectate de la populaţie şi generatori persoane juridice, fară a lua în calcul cantităţile preluate de la alţi colectori, pentru a nu se dubla datele.</w:t>
      </w: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În aplicaţia utilizată până în anul 2012, nu se preciza provenienţa deşeurilor, ca urmare datele din perioada 2008-2011 includ şi cantităţile colectate de la alţi colectori.</w:t>
      </w: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pPr>
      <w:r w:rsidRPr="00A42550">
        <w:rPr>
          <w:rFonts w:ascii="Arial" w:eastAsia="Times New Roman" w:hAnsi="Arial" w:cs="Arial"/>
          <w:sz w:val="24"/>
          <w:szCs w:val="24"/>
          <w:lang w:val="ro-RO"/>
        </w:rPr>
        <w:t>La sfârşitul anului 2014, în judeţul Buzău, erau autorizaţi pentru colectarea deşeurilor de ambalaje 109 operatori economici, care operau 138 puncte de lucru. Menţionăm faptul că aceşti operatori sunt autorizaţi pentru colectarea tuturor tipurilor de deşeuri reciclabile, inclusiv deşeuri de ambalaje. În anul 2012, numai 20 dintre aceştia au raportat că au colectat şi deşeuri de ambalaje colectate.</w:t>
      </w: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În ceea ce priveşte reciclarea deşeurilor de ambalaje, cantităţile raportate ca reciclate/valorificate într-un judeţ, nu sunt reprezentative deoarece nu în toate judeţele există reciclatori şi ca urmare, deşeurile de ambalaje generate în alte judeţe sunt comasate doar în câteva locaţii din ţară. </w:t>
      </w:r>
    </w:p>
    <w:p w:rsidR="00A42550" w:rsidRPr="00A42550" w:rsidRDefault="00A42550" w:rsidP="00A42550">
      <w:pPr>
        <w:spacing w:before="120"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eastAsia="pl-PL"/>
        </w:rPr>
        <w:t>În concluzie, obiectivele de reciclare / valorificare luate în calcul sunt cele  realizate la nivel naţional. Astfel, în anul 2012, la nivel naţional au fost îndeplinite ţintele de reciclare/valorificare, conform tabelului de mai jos, ceea ce înseamnă că şi pentru judeţul Buzău obiectivele au fost realizate.</w:t>
      </w: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VII.1.3.2.2. Obiective de valorificare/reciclare realizate în 2012 pe tip de material</w:t>
      </w:r>
    </w:p>
    <w:tbl>
      <w:tblPr>
        <w:tblStyle w:val="TableGrid2"/>
        <w:tblW w:w="0" w:type="auto"/>
        <w:tblInd w:w="392" w:type="dxa"/>
        <w:tblLayout w:type="fixed"/>
        <w:tblLook w:val="04A0"/>
      </w:tblPr>
      <w:tblGrid>
        <w:gridCol w:w="2126"/>
        <w:gridCol w:w="2410"/>
        <w:gridCol w:w="2268"/>
      </w:tblGrid>
      <w:tr w:rsidR="00A42550" w:rsidRPr="00A42550" w:rsidTr="00A42550">
        <w:tc>
          <w:tcPr>
            <w:tcW w:w="2126"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Tip material</w:t>
            </w:r>
          </w:p>
        </w:tc>
        <w:tc>
          <w:tcPr>
            <w:tcW w:w="2410" w:type="dxa"/>
            <w:shd w:val="clear" w:color="auto" w:fill="FFFF00"/>
          </w:tcPr>
          <w:p w:rsidR="00A42550" w:rsidRPr="00A42550" w:rsidRDefault="00A42550" w:rsidP="00A42550">
            <w:pPr>
              <w:spacing w:after="0" w:line="240" w:lineRule="auto"/>
              <w:rPr>
                <w:rFonts w:ascii="Arial" w:hAnsi="Arial" w:cs="Arial"/>
                <w:b/>
                <w:sz w:val="24"/>
                <w:szCs w:val="24"/>
                <w:lang w:val="ro-RO"/>
              </w:rPr>
            </w:pPr>
            <w:r w:rsidRPr="00A42550">
              <w:rPr>
                <w:rFonts w:ascii="Arial" w:hAnsi="Arial" w:cs="Arial"/>
                <w:b/>
                <w:sz w:val="24"/>
                <w:szCs w:val="24"/>
                <w:lang w:val="ro-RO"/>
              </w:rPr>
              <w:t>% reciclare</w:t>
            </w:r>
          </w:p>
        </w:tc>
        <w:tc>
          <w:tcPr>
            <w:tcW w:w="2268" w:type="dxa"/>
            <w:shd w:val="clear" w:color="auto" w:fill="FFFF00"/>
          </w:tcPr>
          <w:p w:rsidR="00A42550" w:rsidRPr="00A42550" w:rsidRDefault="00A42550" w:rsidP="00A42550">
            <w:pPr>
              <w:spacing w:after="0" w:line="240" w:lineRule="auto"/>
              <w:rPr>
                <w:rFonts w:ascii="Arial" w:hAnsi="Arial" w:cs="Arial"/>
                <w:b/>
                <w:sz w:val="24"/>
                <w:szCs w:val="24"/>
                <w:lang w:val="ro-RO"/>
              </w:rPr>
            </w:pPr>
            <w:r w:rsidRPr="00A42550">
              <w:rPr>
                <w:rFonts w:ascii="Arial" w:hAnsi="Arial" w:cs="Arial"/>
                <w:b/>
                <w:sz w:val="24"/>
                <w:szCs w:val="24"/>
                <w:lang w:val="ro-RO"/>
              </w:rPr>
              <w:t>% valorificare</w:t>
            </w:r>
          </w:p>
        </w:tc>
      </w:tr>
      <w:tr w:rsidR="00A42550" w:rsidRPr="00A42550" w:rsidTr="00A42550">
        <w:tc>
          <w:tcPr>
            <w:tcW w:w="2126" w:type="dxa"/>
          </w:tcPr>
          <w:p w:rsidR="00A42550" w:rsidRPr="00A42550" w:rsidRDefault="00A42550" w:rsidP="00A42550">
            <w:pPr>
              <w:spacing w:after="0" w:line="240" w:lineRule="auto"/>
              <w:rPr>
                <w:rFonts w:ascii="Arial" w:hAnsi="Arial" w:cs="Arial"/>
                <w:sz w:val="24"/>
                <w:szCs w:val="24"/>
                <w:lang w:val="ro-RO"/>
              </w:rPr>
            </w:pPr>
            <w:r w:rsidRPr="00A42550">
              <w:rPr>
                <w:rFonts w:ascii="Arial" w:hAnsi="Arial" w:cs="Arial"/>
                <w:sz w:val="24"/>
                <w:szCs w:val="24"/>
                <w:lang w:val="ro-RO"/>
              </w:rPr>
              <w:t>Sticlă</w:t>
            </w:r>
          </w:p>
        </w:tc>
        <w:tc>
          <w:tcPr>
            <w:tcW w:w="2410"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66,3</w:t>
            </w:r>
          </w:p>
        </w:tc>
        <w:tc>
          <w:tcPr>
            <w:tcW w:w="2268"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66,3</w:t>
            </w:r>
          </w:p>
        </w:tc>
      </w:tr>
      <w:tr w:rsidR="00A42550" w:rsidRPr="00A42550" w:rsidTr="00A42550">
        <w:tc>
          <w:tcPr>
            <w:tcW w:w="2126" w:type="dxa"/>
          </w:tcPr>
          <w:p w:rsidR="00A42550" w:rsidRPr="00A42550" w:rsidRDefault="00A42550" w:rsidP="00A42550">
            <w:pPr>
              <w:spacing w:after="0" w:line="240" w:lineRule="auto"/>
              <w:rPr>
                <w:rFonts w:ascii="Arial" w:hAnsi="Arial" w:cs="Arial"/>
                <w:sz w:val="24"/>
                <w:szCs w:val="24"/>
                <w:lang w:val="ro-RO"/>
              </w:rPr>
            </w:pPr>
            <w:r w:rsidRPr="00A42550">
              <w:rPr>
                <w:rFonts w:ascii="Arial" w:hAnsi="Arial" w:cs="Arial"/>
                <w:sz w:val="24"/>
                <w:szCs w:val="24"/>
                <w:lang w:val="ro-RO"/>
              </w:rPr>
              <w:t>Plastic</w:t>
            </w:r>
          </w:p>
        </w:tc>
        <w:tc>
          <w:tcPr>
            <w:tcW w:w="2410"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51,3</w:t>
            </w:r>
          </w:p>
        </w:tc>
        <w:tc>
          <w:tcPr>
            <w:tcW w:w="2268"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51,9</w:t>
            </w:r>
          </w:p>
        </w:tc>
      </w:tr>
      <w:tr w:rsidR="00A42550" w:rsidRPr="00A42550" w:rsidTr="00A42550">
        <w:tc>
          <w:tcPr>
            <w:tcW w:w="2126" w:type="dxa"/>
          </w:tcPr>
          <w:p w:rsidR="00A42550" w:rsidRPr="00A42550" w:rsidRDefault="00A42550" w:rsidP="00A42550">
            <w:pPr>
              <w:spacing w:after="0" w:line="240" w:lineRule="auto"/>
              <w:rPr>
                <w:rFonts w:ascii="Arial" w:hAnsi="Arial" w:cs="Arial"/>
                <w:sz w:val="24"/>
                <w:szCs w:val="24"/>
                <w:lang w:val="ro-RO"/>
              </w:rPr>
            </w:pPr>
            <w:r w:rsidRPr="00A42550">
              <w:rPr>
                <w:rFonts w:ascii="Arial" w:hAnsi="Arial" w:cs="Arial"/>
                <w:sz w:val="24"/>
                <w:szCs w:val="24"/>
                <w:lang w:val="ro-RO"/>
              </w:rPr>
              <w:t>Hârtie şi carton</w:t>
            </w:r>
          </w:p>
        </w:tc>
        <w:tc>
          <w:tcPr>
            <w:tcW w:w="2410"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69,8</w:t>
            </w:r>
          </w:p>
        </w:tc>
        <w:tc>
          <w:tcPr>
            <w:tcW w:w="2268"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70,2</w:t>
            </w:r>
          </w:p>
        </w:tc>
      </w:tr>
      <w:tr w:rsidR="00A42550" w:rsidRPr="00A42550" w:rsidTr="00A42550">
        <w:tc>
          <w:tcPr>
            <w:tcW w:w="2126" w:type="dxa"/>
          </w:tcPr>
          <w:p w:rsidR="00A42550" w:rsidRPr="00A42550" w:rsidRDefault="00A42550" w:rsidP="00A42550">
            <w:pPr>
              <w:spacing w:after="0" w:line="240" w:lineRule="auto"/>
              <w:rPr>
                <w:rFonts w:ascii="Arial" w:hAnsi="Arial" w:cs="Arial"/>
                <w:sz w:val="24"/>
                <w:szCs w:val="24"/>
                <w:lang w:val="ro-RO"/>
              </w:rPr>
            </w:pPr>
            <w:r w:rsidRPr="00A42550">
              <w:rPr>
                <w:rFonts w:ascii="Arial" w:hAnsi="Arial" w:cs="Arial"/>
                <w:sz w:val="24"/>
                <w:szCs w:val="24"/>
                <w:lang w:val="ro-RO"/>
              </w:rPr>
              <w:t>Metal - Total</w:t>
            </w:r>
          </w:p>
        </w:tc>
        <w:tc>
          <w:tcPr>
            <w:tcW w:w="2410"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55,5</w:t>
            </w:r>
          </w:p>
        </w:tc>
        <w:tc>
          <w:tcPr>
            <w:tcW w:w="2268"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55,5</w:t>
            </w:r>
          </w:p>
        </w:tc>
      </w:tr>
      <w:tr w:rsidR="00A42550" w:rsidRPr="00A42550" w:rsidTr="00A42550">
        <w:tc>
          <w:tcPr>
            <w:tcW w:w="2126" w:type="dxa"/>
          </w:tcPr>
          <w:p w:rsidR="00A42550" w:rsidRPr="00A42550" w:rsidRDefault="00A42550" w:rsidP="00A42550">
            <w:pPr>
              <w:spacing w:after="0" w:line="240" w:lineRule="auto"/>
              <w:rPr>
                <w:rFonts w:ascii="Arial" w:hAnsi="Arial" w:cs="Arial"/>
                <w:sz w:val="24"/>
                <w:szCs w:val="24"/>
                <w:lang w:val="ro-RO"/>
              </w:rPr>
            </w:pPr>
            <w:r w:rsidRPr="00A42550">
              <w:rPr>
                <w:rFonts w:ascii="Arial" w:hAnsi="Arial" w:cs="Arial"/>
                <w:sz w:val="24"/>
                <w:szCs w:val="24"/>
                <w:lang w:val="ro-RO"/>
              </w:rPr>
              <w:t>Lemn</w:t>
            </w:r>
          </w:p>
        </w:tc>
        <w:tc>
          <w:tcPr>
            <w:tcW w:w="2410"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41,1</w:t>
            </w:r>
          </w:p>
        </w:tc>
        <w:tc>
          <w:tcPr>
            <w:tcW w:w="2268"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42,8</w:t>
            </w:r>
          </w:p>
        </w:tc>
      </w:tr>
      <w:tr w:rsidR="00A42550" w:rsidRPr="00A42550" w:rsidTr="00A42550">
        <w:tc>
          <w:tcPr>
            <w:tcW w:w="2126" w:type="dxa"/>
          </w:tcPr>
          <w:p w:rsidR="00A42550" w:rsidRPr="00A42550" w:rsidRDefault="00A42550" w:rsidP="00A42550">
            <w:pPr>
              <w:spacing w:after="0" w:line="240" w:lineRule="auto"/>
              <w:rPr>
                <w:rFonts w:ascii="Arial" w:hAnsi="Arial" w:cs="Arial"/>
                <w:sz w:val="24"/>
                <w:szCs w:val="24"/>
                <w:lang w:val="ro-RO"/>
              </w:rPr>
            </w:pPr>
            <w:r w:rsidRPr="00A42550">
              <w:rPr>
                <w:rFonts w:ascii="Arial" w:hAnsi="Arial" w:cs="Arial"/>
                <w:sz w:val="24"/>
                <w:szCs w:val="24"/>
                <w:lang w:val="ro-RO"/>
              </w:rPr>
              <w:t>Altele</w:t>
            </w:r>
          </w:p>
        </w:tc>
        <w:tc>
          <w:tcPr>
            <w:tcW w:w="2410"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0,0</w:t>
            </w:r>
          </w:p>
        </w:tc>
        <w:tc>
          <w:tcPr>
            <w:tcW w:w="2268"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0,0</w:t>
            </w:r>
          </w:p>
        </w:tc>
      </w:tr>
      <w:tr w:rsidR="00A42550" w:rsidRPr="00A42550" w:rsidTr="00A42550">
        <w:tc>
          <w:tcPr>
            <w:tcW w:w="2126" w:type="dxa"/>
          </w:tcPr>
          <w:p w:rsidR="00A42550" w:rsidRPr="00A42550" w:rsidRDefault="00A42550" w:rsidP="00A42550">
            <w:pPr>
              <w:spacing w:after="0" w:line="240" w:lineRule="auto"/>
              <w:rPr>
                <w:rFonts w:ascii="Arial" w:hAnsi="Arial" w:cs="Arial"/>
                <w:b/>
                <w:sz w:val="24"/>
                <w:szCs w:val="24"/>
                <w:lang w:val="ro-RO"/>
              </w:rPr>
            </w:pPr>
            <w:r w:rsidRPr="00A42550">
              <w:rPr>
                <w:rFonts w:ascii="Arial" w:hAnsi="Arial" w:cs="Arial"/>
                <w:b/>
                <w:sz w:val="24"/>
                <w:szCs w:val="24"/>
                <w:lang w:val="ro-RO"/>
              </w:rPr>
              <w:t>Total General</w:t>
            </w:r>
          </w:p>
        </w:tc>
        <w:tc>
          <w:tcPr>
            <w:tcW w:w="2410" w:type="dxa"/>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56,8</w:t>
            </w:r>
          </w:p>
        </w:tc>
        <w:tc>
          <w:tcPr>
            <w:tcW w:w="2268" w:type="dxa"/>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57,4</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Naţională pentru Protecţia Mediului</w:t>
      </w:r>
    </w:p>
    <w:p w:rsidR="00A42550" w:rsidRPr="00A42550" w:rsidRDefault="00A42550" w:rsidP="00A42550">
      <w:pPr>
        <w:spacing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În judeţul Buzău, la finele anului 2014 erau autorizaţi pentru reciclarea deşeurilor de ambalaje 8 operatori economici, conform tabelului</w:t>
      </w:r>
      <w:r w:rsidRPr="00A42550">
        <w:rPr>
          <w:rFonts w:ascii="Arial" w:eastAsia="Times New Roman" w:hAnsi="Arial" w:cs="Arial"/>
          <w:iCs/>
          <w:sz w:val="24"/>
          <w:szCs w:val="24"/>
          <w:lang w:val="ro-RO"/>
        </w:rPr>
        <w:t xml:space="preserve"> </w:t>
      </w:r>
      <w:r w:rsidRPr="00A42550">
        <w:rPr>
          <w:rFonts w:ascii="Arial" w:eastAsia="Times New Roman" w:hAnsi="Arial" w:cs="Arial"/>
          <w:sz w:val="24"/>
          <w:szCs w:val="24"/>
          <w:lang w:val="ro-RO"/>
        </w:rPr>
        <w:t>de mai jos.</w:t>
      </w:r>
    </w:p>
    <w:p w:rsidR="00A42550" w:rsidRPr="00A42550" w:rsidRDefault="00A42550" w:rsidP="00A42550">
      <w:pPr>
        <w:autoSpaceDE w:val="0"/>
        <w:autoSpaceDN w:val="0"/>
        <w:adjustRightInd w:val="0"/>
        <w:spacing w:before="120"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VII.1.3.2.3. Operatori economici reciclatori de deşeuri de ambalaje în judeţul Buzău -2014</w:t>
      </w:r>
    </w:p>
    <w:tbl>
      <w:tblPr>
        <w:tblStyle w:val="TableGrid2"/>
        <w:tblW w:w="0" w:type="auto"/>
        <w:tblLook w:val="04A0"/>
      </w:tblPr>
      <w:tblGrid>
        <w:gridCol w:w="4077"/>
        <w:gridCol w:w="5670"/>
      </w:tblGrid>
      <w:tr w:rsidR="00A42550" w:rsidRPr="00A42550" w:rsidTr="00A42550">
        <w:tc>
          <w:tcPr>
            <w:tcW w:w="4077" w:type="dxa"/>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Operator economic</w:t>
            </w:r>
          </w:p>
        </w:tc>
        <w:tc>
          <w:tcPr>
            <w:tcW w:w="5670" w:type="dxa"/>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Punct de lucru</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SC GREENTECH SA</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Comuna Ţinteşti, Ferma Frasinu, jud. Buzău</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SC REPLASTICA HDPE SRL</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Buzău, Sos.Brăilei,km.7</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SC ROMCARBON SRL</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Buzău, str. Transilvaniei nr.132</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SC BENCOMP SRL</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Buzău, Aleea Industriilor, nr. 60B</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SC TITAN PLASTFORM SRL</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Buzău, sos. Spătarului, nr.5</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SC ASPOLYMER TRADE SRL</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Buzău, Aleea Industriilor nr. 1-3</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 xml:space="preserve">SC TOP GLASS FACTORY   SRL </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satul  Sătuc,com. Berca,str.Gării.2,judeţul Buzău</w:t>
            </w:r>
          </w:p>
        </w:tc>
      </w:tr>
      <w:tr w:rsidR="00A42550" w:rsidRPr="00A42550" w:rsidTr="00A42550">
        <w:tc>
          <w:tcPr>
            <w:tcW w:w="4077" w:type="dxa"/>
            <w:vAlign w:val="center"/>
          </w:tcPr>
          <w:p w:rsidR="00A42550" w:rsidRPr="00A42550" w:rsidRDefault="00A42550" w:rsidP="00A42550">
            <w:pPr>
              <w:spacing w:after="0" w:line="240" w:lineRule="auto"/>
              <w:jc w:val="center"/>
              <w:rPr>
                <w:rFonts w:ascii="Arial" w:hAnsi="Arial" w:cs="Arial"/>
                <w:bCs/>
                <w:sz w:val="24"/>
                <w:szCs w:val="24"/>
                <w:lang w:val="en-GB"/>
              </w:rPr>
            </w:pPr>
            <w:r w:rsidRPr="00A42550">
              <w:rPr>
                <w:rFonts w:ascii="Arial" w:hAnsi="Arial" w:cs="Arial"/>
                <w:bCs/>
                <w:sz w:val="24"/>
                <w:szCs w:val="24"/>
                <w:lang w:val="en-GB"/>
              </w:rPr>
              <w:t>SC GRAUR STIL GLASS   SRL</w:t>
            </w:r>
          </w:p>
        </w:tc>
        <w:tc>
          <w:tcPr>
            <w:tcW w:w="5670" w:type="dxa"/>
            <w:vAlign w:val="center"/>
          </w:tcPr>
          <w:p w:rsidR="00A42550" w:rsidRPr="00A42550" w:rsidRDefault="00A42550" w:rsidP="00A42550">
            <w:pPr>
              <w:spacing w:after="0" w:line="240" w:lineRule="auto"/>
              <w:rPr>
                <w:rFonts w:ascii="Arial" w:hAnsi="Arial" w:cs="Arial"/>
                <w:sz w:val="24"/>
                <w:szCs w:val="24"/>
                <w:lang w:val="en-GB"/>
              </w:rPr>
            </w:pPr>
            <w:r w:rsidRPr="00A42550">
              <w:rPr>
                <w:rFonts w:ascii="Arial" w:hAnsi="Arial" w:cs="Arial"/>
                <w:sz w:val="24"/>
                <w:szCs w:val="24"/>
                <w:lang w:val="en-GB"/>
              </w:rPr>
              <w:t>Buzău, str. Rachitei, nr. 6</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tabs>
          <w:tab w:val="left" w:pos="9000"/>
        </w:tabs>
        <w:spacing w:after="120" w:line="240" w:lineRule="auto"/>
        <w:jc w:val="both"/>
        <w:outlineLvl w:val="0"/>
        <w:rPr>
          <w:rFonts w:ascii="Arial" w:eastAsia="Times New Roman" w:hAnsi="Arial" w:cs="Arial"/>
          <w:b/>
          <w:bCs/>
          <w:sz w:val="24"/>
          <w:szCs w:val="24"/>
          <w:lang w:val="ro-RO"/>
        </w:rPr>
      </w:pPr>
    </w:p>
    <w:p w:rsidR="00A42550" w:rsidRPr="00A42550" w:rsidRDefault="00A42550" w:rsidP="00A42550">
      <w:pPr>
        <w:tabs>
          <w:tab w:val="left" w:pos="9000"/>
        </w:tabs>
        <w:spacing w:after="120" w:line="240" w:lineRule="auto"/>
        <w:jc w:val="both"/>
        <w:outlineLvl w:val="0"/>
        <w:rPr>
          <w:rFonts w:ascii="Arial" w:eastAsia="Times New Roman" w:hAnsi="Arial" w:cs="Arial"/>
          <w:b/>
          <w:bCs/>
          <w:sz w:val="24"/>
          <w:szCs w:val="24"/>
          <w:lang w:val="ro-RO"/>
        </w:rPr>
      </w:pPr>
      <w:r w:rsidRPr="00A42550">
        <w:rPr>
          <w:rFonts w:ascii="Arial" w:eastAsia="Times New Roman" w:hAnsi="Arial" w:cs="Arial"/>
          <w:b/>
          <w:bCs/>
          <w:sz w:val="24"/>
          <w:szCs w:val="24"/>
          <w:lang w:val="ro-RO"/>
        </w:rPr>
        <w:t>VII.1.3.3. Vehicule scoase din uz (VSU)</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Gestionarea acestui tip de deşeu se supune prevederilor H.G. nr. 2406/2004 completată şi modificată prin H.G. nr. 1313/2006 şi H.G. nr. 1699/2009 care reglementează măsurile de </w:t>
      </w:r>
      <w:r w:rsidRPr="00A42550">
        <w:rPr>
          <w:rFonts w:ascii="Arial" w:eastAsia="Times New Roman" w:hAnsi="Arial" w:cs="Arial"/>
          <w:sz w:val="24"/>
          <w:szCs w:val="24"/>
          <w:lang w:val="ro-RO"/>
        </w:rPr>
        <w:lastRenderedPageBreak/>
        <w:t>gestionare corespunzătoare a deşeurilor rezultate de la tratarea vehiculelor scoase din uz, punând accent pe reutilizarea, reciclarea, precum şi pe alte forme de valorificare a VSU şi a componentelor acestora, în vederea reducerii cantităţii de deşeuri destinate eliminării.</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Se ştie faptul că, începând cu anul 2007, România trebuie să asigure realizarea obiectivelor de reutilizare/reciclare a 80% din masa unui vehicul, ceea ce constituie primul pas pe calea spre o societate a reciclării. În măsura în care se va urma drumul necesar pentru creşterea procentului de reutilizare/valorificare până la 95% în 2015, vom putea afirma că VSU nu mai sunt deşeuri, ci piese de schimb, materii prime secundare, surse de energie alternativă.</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en-GB"/>
        </w:rPr>
        <w:t>Cea mai mare parte a vehiculelor scoase din uz  colectate provin din Programul de  stim</w:t>
      </w:r>
      <w:r w:rsidRPr="00A42550">
        <w:rPr>
          <w:rFonts w:ascii="Arial" w:eastAsia="Times New Roman" w:hAnsi="Arial" w:cs="Arial"/>
          <w:sz w:val="24"/>
          <w:szCs w:val="24"/>
          <w:lang w:val="en-GB"/>
        </w:rPr>
        <w:t>u</w:t>
      </w:r>
      <w:r w:rsidRPr="00A42550">
        <w:rPr>
          <w:rFonts w:ascii="Arial" w:eastAsia="Times New Roman" w:hAnsi="Arial" w:cs="Arial"/>
          <w:sz w:val="24"/>
          <w:szCs w:val="24"/>
          <w:lang w:val="en-GB"/>
        </w:rPr>
        <w:t>lare a înnoirii parcului auto naţional, derulat  de  Ministerul Mediului şi Schimbărilor Cl</w:t>
      </w:r>
      <w:r w:rsidRPr="00A42550">
        <w:rPr>
          <w:rFonts w:ascii="Arial" w:eastAsia="Times New Roman" w:hAnsi="Arial" w:cs="Arial"/>
          <w:sz w:val="24"/>
          <w:szCs w:val="24"/>
          <w:lang w:val="en-GB"/>
        </w:rPr>
        <w:t>i</w:t>
      </w:r>
      <w:r w:rsidRPr="00A42550">
        <w:rPr>
          <w:rFonts w:ascii="Arial" w:eastAsia="Times New Roman" w:hAnsi="Arial" w:cs="Arial"/>
          <w:sz w:val="24"/>
          <w:szCs w:val="24"/>
          <w:lang w:val="en-GB"/>
        </w:rPr>
        <w:t>matice prin Administraţia Fondului pentru Mediu.</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Numărul de VSU colectate variază de la an la an ca urmare a aplicării acestui program.</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Operatorii economici implicaţi în implementarea Directivei 2000/53/CE, transpusă în legislaţia naţională prin H.G. nr. 2406/2004 privind gestionarea vehiculelor scoase din uz, cu modificările şi completările ulterioare, sunt: producătorii, distribuitorii, colectorii, companiile de asigurări, precum şi operatorii care au ca obiect de activitate: tratarea, recuperarea, reciclarea vehiculelor scoase din uz, inclusiv a componentelor şi materialelor acestora.</w:t>
      </w:r>
    </w:p>
    <w:p w:rsidR="00A42550" w:rsidRPr="00A42550" w:rsidRDefault="00A42550" w:rsidP="00A42550">
      <w:pPr>
        <w:widowControl w:val="0"/>
        <w:autoSpaceDE w:val="0"/>
        <w:autoSpaceDN w:val="0"/>
        <w:adjustRightInd w:val="0"/>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 xml:space="preserve">Pe raza judeţului Buzău, la sfârşitul anului 2014, din categoriile enunţate mai sus, erau autorizate conform prevederilor legale, 25 puncte de lucru ce au ca obiect de activitate colectarea şi/sau dezmembrarea VSU, prezentate în tabelul </w:t>
      </w:r>
      <w:r w:rsidRPr="00A42550">
        <w:rPr>
          <w:rFonts w:ascii="Arial" w:eastAsia="Times New Roman" w:hAnsi="Arial" w:cs="Arial"/>
          <w:sz w:val="24"/>
          <w:szCs w:val="24"/>
          <w:lang w:val="ro-RO"/>
        </w:rPr>
        <w:t>VII.1.3.3.3..</w:t>
      </w:r>
    </w:p>
    <w:p w:rsidR="00A42550" w:rsidRPr="00A42550" w:rsidRDefault="00A42550" w:rsidP="00A42550">
      <w:pPr>
        <w:widowControl w:val="0"/>
        <w:autoSpaceDE w:val="0"/>
        <w:autoSpaceDN w:val="0"/>
        <w:adjustRightInd w:val="0"/>
        <w:spacing w:after="0" w:line="240" w:lineRule="auto"/>
        <w:jc w:val="both"/>
        <w:rPr>
          <w:rFonts w:ascii="Arial" w:eastAsia="Times New Roman" w:hAnsi="Arial" w:cs="Arial"/>
          <w:sz w:val="24"/>
          <w:szCs w:val="24"/>
          <w:lang w:val="ro-RO"/>
        </w:rPr>
      </w:pPr>
    </w:p>
    <w:p w:rsidR="00A42550" w:rsidRPr="00A42550" w:rsidRDefault="00A42550" w:rsidP="00A42550">
      <w:pPr>
        <w:widowControl w:val="0"/>
        <w:autoSpaceDE w:val="0"/>
        <w:autoSpaceDN w:val="0"/>
        <w:adjustRightInd w:val="0"/>
        <w:spacing w:after="120" w:line="240" w:lineRule="auto"/>
        <w:jc w:val="both"/>
        <w:rPr>
          <w:rFonts w:ascii="Arial" w:eastAsia="Times New Roman" w:hAnsi="Arial" w:cs="Arial"/>
          <w:i/>
          <w:sz w:val="24"/>
          <w:szCs w:val="24"/>
          <w:lang w:val="en-GB"/>
        </w:rPr>
      </w:pPr>
      <w:r w:rsidRPr="00A42550">
        <w:rPr>
          <w:rFonts w:ascii="Arial" w:eastAsia="Times New Roman" w:hAnsi="Arial" w:cs="Arial"/>
          <w:i/>
          <w:sz w:val="24"/>
          <w:szCs w:val="24"/>
          <w:lang w:val="ro-RO"/>
        </w:rPr>
        <w:t xml:space="preserve">Tabel VII.1.3.3.3. </w:t>
      </w:r>
      <w:r w:rsidRPr="00A42550">
        <w:rPr>
          <w:rFonts w:ascii="Arial" w:eastAsia="Times New Roman" w:hAnsi="Arial" w:cs="Arial"/>
          <w:i/>
          <w:sz w:val="24"/>
          <w:szCs w:val="24"/>
          <w:lang w:val="en-GB"/>
        </w:rPr>
        <w:t>Operatorii economici autorizaţi pentru desfăşurarea activităţilor de cole</w:t>
      </w:r>
      <w:r w:rsidRPr="00A42550">
        <w:rPr>
          <w:rFonts w:ascii="Arial" w:eastAsia="Times New Roman" w:hAnsi="Arial" w:cs="Arial"/>
          <w:i/>
          <w:sz w:val="24"/>
          <w:szCs w:val="24"/>
          <w:lang w:val="en-GB"/>
        </w:rPr>
        <w:t>c</w:t>
      </w:r>
      <w:r w:rsidRPr="00A42550">
        <w:rPr>
          <w:rFonts w:ascii="Arial" w:eastAsia="Times New Roman" w:hAnsi="Arial" w:cs="Arial"/>
          <w:i/>
          <w:sz w:val="24"/>
          <w:szCs w:val="24"/>
          <w:lang w:val="en-GB"/>
        </w:rPr>
        <w:t>tare/dezmembrare VSU din judeţul Buzău în anul 2014</w:t>
      </w:r>
    </w:p>
    <w:tbl>
      <w:tblPr>
        <w:tblW w:w="9721"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9"/>
        <w:gridCol w:w="3720"/>
        <w:gridCol w:w="5342"/>
      </w:tblGrid>
      <w:tr w:rsidR="00A42550" w:rsidRPr="00A42550" w:rsidTr="00A42550">
        <w:trPr>
          <w:tblHeader/>
          <w:jc w:val="center"/>
        </w:trPr>
        <w:tc>
          <w:tcPr>
            <w:tcW w:w="659" w:type="dxa"/>
            <w:vMerge w:val="restart"/>
            <w:shd w:val="clear" w:color="auto" w:fill="FFFF99"/>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b/>
                <w:sz w:val="20"/>
                <w:szCs w:val="24"/>
                <w:lang w:val="en-GB"/>
              </w:rPr>
            </w:pPr>
            <w:r w:rsidRPr="00A42550">
              <w:rPr>
                <w:rFonts w:ascii="Arial" w:eastAsia="Times New Roman" w:hAnsi="Arial" w:cs="Arial"/>
                <w:b/>
                <w:sz w:val="20"/>
                <w:szCs w:val="24"/>
                <w:lang w:val="en-GB"/>
              </w:rPr>
              <w:t xml:space="preserve">Nr. </w:t>
            </w:r>
          </w:p>
          <w:p w:rsidR="00A42550" w:rsidRPr="00A42550" w:rsidRDefault="00A42550" w:rsidP="00A42550">
            <w:pPr>
              <w:widowControl w:val="0"/>
              <w:spacing w:after="0" w:line="240" w:lineRule="auto"/>
              <w:jc w:val="center"/>
              <w:rPr>
                <w:rFonts w:ascii="Arial" w:eastAsia="Times New Roman" w:hAnsi="Arial" w:cs="Arial"/>
                <w:b/>
                <w:sz w:val="20"/>
                <w:szCs w:val="24"/>
                <w:lang w:val="en-GB"/>
              </w:rPr>
            </w:pPr>
            <w:r w:rsidRPr="00A42550">
              <w:rPr>
                <w:rFonts w:ascii="Arial" w:eastAsia="Times New Roman" w:hAnsi="Arial" w:cs="Arial"/>
                <w:b/>
                <w:sz w:val="20"/>
                <w:szCs w:val="24"/>
                <w:lang w:val="en-GB"/>
              </w:rPr>
              <w:t>crt.</w:t>
            </w:r>
          </w:p>
        </w:tc>
        <w:tc>
          <w:tcPr>
            <w:tcW w:w="9062" w:type="dxa"/>
            <w:gridSpan w:val="2"/>
            <w:shd w:val="clear" w:color="auto" w:fill="FFFF99"/>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b/>
                <w:lang w:val="en-GB"/>
              </w:rPr>
            </w:pPr>
            <w:r w:rsidRPr="00A42550">
              <w:rPr>
                <w:rFonts w:ascii="Arial" w:eastAsia="Times New Roman" w:hAnsi="Arial" w:cs="Arial"/>
                <w:b/>
                <w:bCs/>
                <w:lang w:val="en-GB"/>
              </w:rPr>
              <w:t>Operatori economici autorizaţi pentru colectare/dezmembrare VSU</w:t>
            </w:r>
          </w:p>
        </w:tc>
      </w:tr>
      <w:tr w:rsidR="00A42550" w:rsidRPr="00A42550" w:rsidTr="00A42550">
        <w:trPr>
          <w:tblHeader/>
          <w:jc w:val="center"/>
        </w:trPr>
        <w:tc>
          <w:tcPr>
            <w:tcW w:w="659" w:type="dxa"/>
            <w:vMerge/>
            <w:shd w:val="clear" w:color="auto" w:fill="FFFF99"/>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b/>
                <w:sz w:val="20"/>
                <w:szCs w:val="24"/>
                <w:lang w:val="en-GB"/>
              </w:rPr>
            </w:pPr>
          </w:p>
        </w:tc>
        <w:tc>
          <w:tcPr>
            <w:tcW w:w="3720" w:type="dxa"/>
            <w:shd w:val="clear" w:color="auto" w:fill="FFFF99"/>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b/>
                <w:lang w:val="en-GB"/>
              </w:rPr>
            </w:pPr>
            <w:r w:rsidRPr="00A42550">
              <w:rPr>
                <w:rFonts w:ascii="Arial" w:eastAsia="Times New Roman" w:hAnsi="Arial" w:cs="Arial"/>
                <w:b/>
                <w:bCs/>
                <w:lang w:val="en-GB"/>
              </w:rPr>
              <w:t>Denumire operator economic</w:t>
            </w:r>
          </w:p>
        </w:tc>
        <w:tc>
          <w:tcPr>
            <w:tcW w:w="5342" w:type="dxa"/>
            <w:shd w:val="clear" w:color="auto" w:fill="FFFF99"/>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b/>
                <w:lang w:val="en-GB"/>
              </w:rPr>
            </w:pPr>
            <w:r w:rsidRPr="00A42550">
              <w:rPr>
                <w:rFonts w:ascii="Arial" w:eastAsia="Times New Roman" w:hAnsi="Arial" w:cs="Arial"/>
                <w:b/>
                <w:bCs/>
                <w:lang w:val="en-GB"/>
              </w:rPr>
              <w:t>Puncte de lucru</w:t>
            </w:r>
          </w:p>
        </w:tc>
      </w:tr>
      <w:tr w:rsidR="00A42550" w:rsidRPr="00A42550" w:rsidTr="00A42550">
        <w:trPr>
          <w:trHeight w:val="274"/>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AUTO DENIS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sat Gura Câlnăului, com. Vadu Paşii,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2</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AUTOGLOBAL COMPACT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sat Zilişteanca, com. Poşta Câlnău,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3</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AUTOMAX EXPRESS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Buzău, Şos. Buzău-Ploieşti, DN2, km. 107,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4</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AUTO ROLLA SERVICE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com. Vadu Paşii, sat Gura Câlnăului,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5</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AUTO VALMI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sat Gura Câlnăului, com. Vadu Paşii, nr. Cadastral 4230,  judeţul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6</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CĂTĂLIN AUTOSERVICE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comuna Podgoria, DN-2, E-85,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7</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COMAT BUZĂU SA</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Buzău str. Transilvaniei nr.425 bis ,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8</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CRISMAT STEEL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oraş Pogoanele, str. Tudor Vladimirescu, nr.18,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9</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DOVI COMPACT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comuna Mărăcineni  str.Euro 85 nr.170, jud. Buzău</w:t>
            </w:r>
          </w:p>
        </w:tc>
      </w:tr>
      <w:tr w:rsidR="00A42550" w:rsidRPr="00A42550" w:rsidTr="00A42550">
        <w:trPr>
          <w:trHeight w:val="297"/>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10</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FRY YNNA AUTO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mun. Buzău, tarlaua 46,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11</w:t>
            </w:r>
          </w:p>
        </w:tc>
        <w:tc>
          <w:tcPr>
            <w:tcW w:w="3720"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FULL AUTO EXTREM SRL</w:t>
            </w:r>
          </w:p>
        </w:tc>
        <w:tc>
          <w:tcPr>
            <w:tcW w:w="5342" w:type="dxa"/>
            <w:shd w:val="clear" w:color="auto" w:fill="FFFFFF"/>
            <w:tcMar>
              <w:left w:w="28" w:type="dxa"/>
              <w:right w:w="28" w:type="dxa"/>
            </w:tcMar>
            <w:vAlign w:val="center"/>
          </w:tcPr>
          <w:p w:rsidR="00A42550" w:rsidRPr="00A42550" w:rsidRDefault="00A42550" w:rsidP="00A42550">
            <w:pPr>
              <w:widowControl w:val="0"/>
              <w:autoSpaceDE w:val="0"/>
              <w:autoSpaceDN w:val="0"/>
              <w:adjustRightInd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comuna Mărăcineni, sat Mărăcineni, str. EURO 85, nr. 174, jud.Buzău</w:t>
            </w:r>
          </w:p>
        </w:tc>
      </w:tr>
      <w:tr w:rsidR="00A42550" w:rsidRPr="00A42550" w:rsidTr="00A42550">
        <w:trPr>
          <w:trHeight w:val="70"/>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12</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GENERAL AUTOCOM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comuna Mărăcineni, sat Mărăcineni, str. E85, nr. 160, jud</w:t>
            </w:r>
            <w:r w:rsidRPr="00A42550">
              <w:rPr>
                <w:rFonts w:ascii="Arial" w:eastAsia="Times New Roman" w:hAnsi="Arial" w:cs="Arial"/>
                <w:sz w:val="20"/>
                <w:szCs w:val="24"/>
                <w:lang w:val="en-GB"/>
              </w:rPr>
              <w:t>e</w:t>
            </w:r>
            <w:r w:rsidRPr="00A42550">
              <w:rPr>
                <w:rFonts w:ascii="Arial" w:eastAsia="Times New Roman" w:hAnsi="Arial" w:cs="Arial"/>
                <w:sz w:val="20"/>
                <w:szCs w:val="24"/>
                <w:lang w:val="en-GB"/>
              </w:rPr>
              <w:t>ţul Buzău</w:t>
            </w:r>
          </w:p>
        </w:tc>
      </w:tr>
      <w:tr w:rsidR="00A42550" w:rsidRPr="00A42550" w:rsidTr="00A42550">
        <w:trPr>
          <w:trHeight w:val="70"/>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13</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MOCANU RECOM SOCIETATE ÎN NUME COLECTIV</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 xml:space="preserve">com. Săpoca, sat Săpoca, jud. Buzău </w:t>
            </w:r>
          </w:p>
        </w:tc>
      </w:tr>
      <w:tr w:rsidR="00A42550" w:rsidRPr="00A42550" w:rsidTr="00A42550">
        <w:trPr>
          <w:trHeight w:val="160"/>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14</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MOCANU RECOM SOCIETATE ÎN NUME COLECTIV</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 xml:space="preserve">Filiala 3 Vadu Paşii, Balastiera Vadu Paşii, jud. Buzău </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15</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MOCANU RECOM SOCIETATE ÎN NUME COLECTIV</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Buzău, Aleea Veteranilor, tarlaua 61 - Micro XIV, judeţul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16</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MSD COM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Buzău, str. Transilvaniei nr. 425 bis</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17</w:t>
            </w:r>
          </w:p>
        </w:tc>
        <w:tc>
          <w:tcPr>
            <w:tcW w:w="3720" w:type="dxa"/>
            <w:shd w:val="clear" w:color="auto" w:fill="FFFFFF"/>
            <w:tcMar>
              <w:left w:w="28" w:type="dxa"/>
              <w:right w:w="28" w:type="dxa"/>
            </w:tcMa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MSD COM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sat Fundeni comuna Zărneşti,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18</w:t>
            </w:r>
          </w:p>
        </w:tc>
        <w:tc>
          <w:tcPr>
            <w:tcW w:w="3720" w:type="dxa"/>
            <w:shd w:val="clear" w:color="auto" w:fill="FFFFFF"/>
            <w:tcMar>
              <w:left w:w="28" w:type="dxa"/>
              <w:right w:w="28" w:type="dxa"/>
            </w:tcMa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MSD COM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Rm.Sărat,  şos.Focşani nr.43,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19</w:t>
            </w:r>
          </w:p>
        </w:tc>
        <w:tc>
          <w:tcPr>
            <w:tcW w:w="3720" w:type="dxa"/>
            <w:shd w:val="clear" w:color="auto" w:fill="FFFFFF"/>
            <w:tcMar>
              <w:left w:w="28" w:type="dxa"/>
              <w:right w:w="28" w:type="dxa"/>
            </w:tcMa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MSD COM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Buzău, şos.Centură, tarlaua 31 parcela 343,344, nr.cadastral 3972,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20</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PICANT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mun. Buzău, şos. Brăilei, nr. 9,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lastRenderedPageBreak/>
              <w:t>21</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PUIU SERVICE 2000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Sat Podgoria, com. Podgoria, jud.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22</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REMATHOLDING CO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Buzău, str. Islazului nr.6</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23</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ROMRECYCLING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Buzău, şos. Pogonele, Tarlaua 40, parcela 715 DJ 230D</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24</w:t>
            </w:r>
          </w:p>
        </w:tc>
        <w:tc>
          <w:tcPr>
            <w:tcW w:w="3720" w:type="dxa"/>
            <w:shd w:val="clear" w:color="auto" w:fill="FFFFFF"/>
            <w:tcMar>
              <w:left w:w="28" w:type="dxa"/>
              <w:right w:w="28" w:type="dxa"/>
            </w:tcMar>
            <w:vAlign w:val="center"/>
          </w:tcPr>
          <w:p w:rsidR="00A42550" w:rsidRPr="00A42550" w:rsidRDefault="00A42550" w:rsidP="00A42550">
            <w:pPr>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SEA COMPLET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sat Fundeni comuna Zărneşti, imobil C 13, judeţul Buzău</w:t>
            </w:r>
          </w:p>
        </w:tc>
      </w:tr>
      <w:tr w:rsidR="00A42550" w:rsidRPr="00A42550" w:rsidTr="00A42550">
        <w:trPr>
          <w:jc w:val="center"/>
        </w:trPr>
        <w:tc>
          <w:tcPr>
            <w:tcW w:w="659" w:type="dxa"/>
            <w:shd w:val="clear" w:color="auto" w:fill="auto"/>
            <w:tcMar>
              <w:left w:w="28" w:type="dxa"/>
              <w:right w:w="28" w:type="dxa"/>
            </w:tcMar>
            <w:vAlign w:val="center"/>
          </w:tcPr>
          <w:p w:rsidR="00A42550" w:rsidRPr="00A42550" w:rsidRDefault="00A42550" w:rsidP="00A42550">
            <w:pPr>
              <w:widowControl w:val="0"/>
              <w:spacing w:after="0" w:line="240" w:lineRule="auto"/>
              <w:jc w:val="center"/>
              <w:rPr>
                <w:rFonts w:ascii="Arial" w:eastAsia="Times New Roman" w:hAnsi="Arial" w:cs="Arial"/>
                <w:sz w:val="20"/>
                <w:szCs w:val="24"/>
                <w:lang w:val="en-GB"/>
              </w:rPr>
            </w:pPr>
            <w:r w:rsidRPr="00A42550">
              <w:rPr>
                <w:rFonts w:ascii="Arial" w:eastAsia="Times New Roman" w:hAnsi="Arial" w:cs="Arial"/>
                <w:sz w:val="20"/>
                <w:szCs w:val="24"/>
                <w:lang w:val="en-GB"/>
              </w:rPr>
              <w:t>25</w:t>
            </w:r>
          </w:p>
        </w:tc>
        <w:tc>
          <w:tcPr>
            <w:tcW w:w="3720"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SC TOTAL AUTO SRL</w:t>
            </w:r>
          </w:p>
        </w:tc>
        <w:tc>
          <w:tcPr>
            <w:tcW w:w="5342" w:type="dxa"/>
            <w:shd w:val="clear" w:color="auto" w:fill="FFFFFF"/>
            <w:tcMar>
              <w:left w:w="28" w:type="dxa"/>
              <w:right w:w="28" w:type="dxa"/>
            </w:tcMar>
            <w:vAlign w:val="center"/>
          </w:tcPr>
          <w:p w:rsidR="00A42550" w:rsidRPr="00A42550" w:rsidRDefault="00A42550" w:rsidP="00A42550">
            <w:pPr>
              <w:widowControl w:val="0"/>
              <w:spacing w:after="0" w:line="240" w:lineRule="auto"/>
              <w:rPr>
                <w:rFonts w:ascii="Arial" w:eastAsia="Times New Roman" w:hAnsi="Arial" w:cs="Arial"/>
                <w:sz w:val="20"/>
                <w:szCs w:val="24"/>
                <w:lang w:val="en-GB"/>
              </w:rPr>
            </w:pPr>
            <w:r w:rsidRPr="00A42550">
              <w:rPr>
                <w:rFonts w:ascii="Arial" w:eastAsia="Times New Roman" w:hAnsi="Arial" w:cs="Arial"/>
                <w:sz w:val="20"/>
                <w:szCs w:val="24"/>
                <w:lang w:val="en-GB"/>
              </w:rPr>
              <w:t>sat Mărăcineni, nr. 172,  com. Mărăcineni, jud. Buzău</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Evoluţia numărului de vehicule scoase din uz colectate şi tratate în judeţul Buzău este prezentată în tabelul VII.1.3.3.1 şi în figura VII.1.3.3.1.</w:t>
      </w:r>
    </w:p>
    <w:p w:rsidR="00A42550" w:rsidRPr="00A42550" w:rsidRDefault="00A42550" w:rsidP="00A42550">
      <w:pPr>
        <w:spacing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Tabel VII.1.3.3.1. Numărul de vehicule scoase din uz colectate şi tratate, în judeţul Buzău, în perioada 2009-2012</w:t>
      </w:r>
    </w:p>
    <w:tbl>
      <w:tblPr>
        <w:tblStyle w:val="TableGrid2"/>
        <w:tblW w:w="0" w:type="auto"/>
        <w:tblInd w:w="108" w:type="dxa"/>
        <w:tblLook w:val="04A0"/>
      </w:tblPr>
      <w:tblGrid>
        <w:gridCol w:w="2127"/>
        <w:gridCol w:w="3543"/>
        <w:gridCol w:w="3402"/>
      </w:tblGrid>
      <w:tr w:rsidR="00A42550" w:rsidRPr="00A42550" w:rsidTr="00A42550">
        <w:tc>
          <w:tcPr>
            <w:tcW w:w="2127" w:type="dxa"/>
            <w:shd w:val="clear" w:color="auto" w:fill="FFFF00"/>
          </w:tcPr>
          <w:p w:rsidR="00A42550" w:rsidRPr="00A42550" w:rsidRDefault="00A42550" w:rsidP="00A42550">
            <w:pPr>
              <w:spacing w:after="120" w:line="240" w:lineRule="auto"/>
              <w:jc w:val="center"/>
              <w:rPr>
                <w:rFonts w:ascii="Arial" w:hAnsi="Arial" w:cs="Arial"/>
                <w:b/>
                <w:sz w:val="24"/>
                <w:szCs w:val="24"/>
                <w:lang w:val="ro-RO"/>
              </w:rPr>
            </w:pPr>
          </w:p>
        </w:tc>
        <w:tc>
          <w:tcPr>
            <w:tcW w:w="3543" w:type="dxa"/>
            <w:shd w:val="clear" w:color="auto" w:fill="FFFF00"/>
          </w:tcPr>
          <w:p w:rsidR="00A42550" w:rsidRPr="00A42550" w:rsidRDefault="00A42550" w:rsidP="00A42550">
            <w:pPr>
              <w:spacing w:after="120" w:line="240" w:lineRule="auto"/>
              <w:jc w:val="center"/>
              <w:rPr>
                <w:rFonts w:ascii="Arial" w:hAnsi="Arial" w:cs="Arial"/>
                <w:b/>
                <w:sz w:val="24"/>
                <w:szCs w:val="24"/>
                <w:lang w:val="ro-RO"/>
              </w:rPr>
            </w:pPr>
            <w:r w:rsidRPr="00A42550">
              <w:rPr>
                <w:rFonts w:ascii="Arial" w:hAnsi="Arial" w:cs="Arial"/>
                <w:b/>
                <w:sz w:val="24"/>
                <w:szCs w:val="24"/>
                <w:lang w:val="ro-RO"/>
              </w:rPr>
              <w:t>Colectate</w:t>
            </w:r>
          </w:p>
        </w:tc>
        <w:tc>
          <w:tcPr>
            <w:tcW w:w="3402" w:type="dxa"/>
            <w:shd w:val="clear" w:color="auto" w:fill="FFFF00"/>
          </w:tcPr>
          <w:p w:rsidR="00A42550" w:rsidRPr="00A42550" w:rsidRDefault="00A42550" w:rsidP="00A42550">
            <w:pPr>
              <w:spacing w:after="120" w:line="240" w:lineRule="auto"/>
              <w:jc w:val="center"/>
              <w:rPr>
                <w:rFonts w:ascii="Arial" w:hAnsi="Arial" w:cs="Arial"/>
                <w:b/>
                <w:sz w:val="24"/>
                <w:szCs w:val="24"/>
                <w:lang w:val="ro-RO"/>
              </w:rPr>
            </w:pPr>
            <w:r w:rsidRPr="00A42550">
              <w:rPr>
                <w:rFonts w:ascii="Arial" w:hAnsi="Arial" w:cs="Arial"/>
                <w:b/>
                <w:sz w:val="24"/>
                <w:szCs w:val="24"/>
                <w:lang w:val="ro-RO"/>
              </w:rPr>
              <w:t>Tratate</w:t>
            </w:r>
          </w:p>
        </w:tc>
      </w:tr>
      <w:tr w:rsidR="00A42550" w:rsidRPr="00A42550" w:rsidTr="00A42550">
        <w:tc>
          <w:tcPr>
            <w:tcW w:w="2127" w:type="dxa"/>
          </w:tcPr>
          <w:p w:rsidR="00A42550" w:rsidRPr="00A42550" w:rsidRDefault="00A42550" w:rsidP="00A42550">
            <w:pPr>
              <w:spacing w:after="120" w:line="240" w:lineRule="auto"/>
              <w:jc w:val="center"/>
              <w:rPr>
                <w:rFonts w:ascii="Arial" w:hAnsi="Arial" w:cs="Arial"/>
                <w:b/>
                <w:sz w:val="24"/>
                <w:szCs w:val="24"/>
                <w:lang w:val="ro-RO"/>
              </w:rPr>
            </w:pPr>
            <w:r w:rsidRPr="00A42550">
              <w:rPr>
                <w:rFonts w:ascii="Arial" w:hAnsi="Arial" w:cs="Arial"/>
                <w:b/>
                <w:sz w:val="24"/>
                <w:szCs w:val="24"/>
                <w:lang w:val="ro-RO"/>
              </w:rPr>
              <w:t>2008</w:t>
            </w:r>
          </w:p>
        </w:tc>
        <w:tc>
          <w:tcPr>
            <w:tcW w:w="3543"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1475</w:t>
            </w:r>
          </w:p>
        </w:tc>
        <w:tc>
          <w:tcPr>
            <w:tcW w:w="3402"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1275</w:t>
            </w:r>
          </w:p>
        </w:tc>
      </w:tr>
      <w:tr w:rsidR="00A42550" w:rsidRPr="00A42550" w:rsidTr="00A42550">
        <w:tc>
          <w:tcPr>
            <w:tcW w:w="2127" w:type="dxa"/>
          </w:tcPr>
          <w:p w:rsidR="00A42550" w:rsidRPr="00A42550" w:rsidRDefault="00A42550" w:rsidP="00A42550">
            <w:pPr>
              <w:spacing w:after="120" w:line="240" w:lineRule="auto"/>
              <w:jc w:val="center"/>
              <w:rPr>
                <w:rFonts w:ascii="Arial" w:hAnsi="Arial" w:cs="Arial"/>
                <w:b/>
                <w:sz w:val="24"/>
                <w:szCs w:val="24"/>
                <w:lang w:val="ro-RO"/>
              </w:rPr>
            </w:pPr>
            <w:r w:rsidRPr="00A42550">
              <w:rPr>
                <w:rFonts w:ascii="Arial" w:hAnsi="Arial" w:cs="Arial"/>
                <w:b/>
                <w:sz w:val="24"/>
                <w:szCs w:val="24"/>
                <w:lang w:val="ro-RO"/>
              </w:rPr>
              <w:t>2009</w:t>
            </w:r>
          </w:p>
        </w:tc>
        <w:tc>
          <w:tcPr>
            <w:tcW w:w="3543"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1454</w:t>
            </w:r>
          </w:p>
        </w:tc>
        <w:tc>
          <w:tcPr>
            <w:tcW w:w="3402"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1641</w:t>
            </w:r>
          </w:p>
        </w:tc>
      </w:tr>
      <w:tr w:rsidR="00A42550" w:rsidRPr="00A42550" w:rsidTr="00A42550">
        <w:tc>
          <w:tcPr>
            <w:tcW w:w="2127" w:type="dxa"/>
          </w:tcPr>
          <w:p w:rsidR="00A42550" w:rsidRPr="00A42550" w:rsidRDefault="00A42550" w:rsidP="00A42550">
            <w:pPr>
              <w:spacing w:after="120" w:line="240" w:lineRule="auto"/>
              <w:jc w:val="center"/>
              <w:rPr>
                <w:rFonts w:ascii="Arial" w:hAnsi="Arial" w:cs="Arial"/>
                <w:b/>
                <w:sz w:val="24"/>
                <w:szCs w:val="24"/>
                <w:lang w:val="ro-RO"/>
              </w:rPr>
            </w:pPr>
            <w:r w:rsidRPr="00A42550">
              <w:rPr>
                <w:rFonts w:ascii="Arial" w:hAnsi="Arial" w:cs="Arial"/>
                <w:b/>
                <w:sz w:val="24"/>
                <w:szCs w:val="24"/>
                <w:lang w:val="ro-RO"/>
              </w:rPr>
              <w:t>2010</w:t>
            </w:r>
          </w:p>
        </w:tc>
        <w:tc>
          <w:tcPr>
            <w:tcW w:w="3543"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6961</w:t>
            </w:r>
          </w:p>
        </w:tc>
        <w:tc>
          <w:tcPr>
            <w:tcW w:w="3402"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6725</w:t>
            </w:r>
          </w:p>
        </w:tc>
      </w:tr>
      <w:tr w:rsidR="00A42550" w:rsidRPr="00A42550" w:rsidTr="00A42550">
        <w:tc>
          <w:tcPr>
            <w:tcW w:w="2127" w:type="dxa"/>
          </w:tcPr>
          <w:p w:rsidR="00A42550" w:rsidRPr="00A42550" w:rsidRDefault="00A42550" w:rsidP="00A42550">
            <w:pPr>
              <w:spacing w:after="120" w:line="240" w:lineRule="auto"/>
              <w:jc w:val="center"/>
              <w:rPr>
                <w:rFonts w:ascii="Arial" w:hAnsi="Arial" w:cs="Arial"/>
                <w:b/>
                <w:sz w:val="24"/>
                <w:szCs w:val="24"/>
                <w:lang w:val="ro-RO"/>
              </w:rPr>
            </w:pPr>
            <w:r w:rsidRPr="00A42550">
              <w:rPr>
                <w:rFonts w:ascii="Arial" w:hAnsi="Arial" w:cs="Arial"/>
                <w:b/>
                <w:sz w:val="24"/>
                <w:szCs w:val="24"/>
                <w:lang w:val="ro-RO"/>
              </w:rPr>
              <w:t>2011</w:t>
            </w:r>
          </w:p>
        </w:tc>
        <w:tc>
          <w:tcPr>
            <w:tcW w:w="3543"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3996</w:t>
            </w:r>
          </w:p>
        </w:tc>
        <w:tc>
          <w:tcPr>
            <w:tcW w:w="3402"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3915</w:t>
            </w:r>
          </w:p>
        </w:tc>
      </w:tr>
      <w:tr w:rsidR="00A42550" w:rsidRPr="00A42550" w:rsidTr="00A42550">
        <w:tc>
          <w:tcPr>
            <w:tcW w:w="2127" w:type="dxa"/>
          </w:tcPr>
          <w:p w:rsidR="00A42550" w:rsidRPr="00A42550" w:rsidRDefault="00A42550" w:rsidP="00A42550">
            <w:pPr>
              <w:spacing w:after="120" w:line="240" w:lineRule="auto"/>
              <w:jc w:val="center"/>
              <w:rPr>
                <w:rFonts w:ascii="Arial" w:hAnsi="Arial" w:cs="Arial"/>
                <w:b/>
                <w:sz w:val="24"/>
                <w:szCs w:val="24"/>
                <w:lang w:val="ro-RO"/>
              </w:rPr>
            </w:pPr>
            <w:r w:rsidRPr="00A42550">
              <w:rPr>
                <w:rFonts w:ascii="Arial" w:hAnsi="Arial" w:cs="Arial"/>
                <w:b/>
                <w:sz w:val="24"/>
                <w:szCs w:val="24"/>
                <w:lang w:val="ro-RO"/>
              </w:rPr>
              <w:t>2012</w:t>
            </w:r>
          </w:p>
        </w:tc>
        <w:tc>
          <w:tcPr>
            <w:tcW w:w="3543"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2407</w:t>
            </w:r>
          </w:p>
        </w:tc>
        <w:tc>
          <w:tcPr>
            <w:tcW w:w="3402" w:type="dxa"/>
          </w:tcPr>
          <w:p w:rsidR="00A42550" w:rsidRPr="00A42550" w:rsidRDefault="00A42550" w:rsidP="00A42550">
            <w:pPr>
              <w:spacing w:after="120" w:line="240" w:lineRule="auto"/>
              <w:jc w:val="center"/>
              <w:rPr>
                <w:rFonts w:ascii="Arial" w:hAnsi="Arial" w:cs="Arial"/>
                <w:sz w:val="24"/>
                <w:szCs w:val="24"/>
                <w:lang w:val="ro-RO"/>
              </w:rPr>
            </w:pPr>
            <w:r w:rsidRPr="00A42550">
              <w:rPr>
                <w:rFonts w:ascii="Arial" w:hAnsi="Arial" w:cs="Arial"/>
                <w:sz w:val="24"/>
                <w:szCs w:val="24"/>
                <w:lang w:val="ro-RO"/>
              </w:rPr>
              <w:t>2218</w:t>
            </w:r>
          </w:p>
        </w:tc>
      </w:tr>
    </w:tbl>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i/>
          <w:sz w:val="24"/>
          <w:szCs w:val="24"/>
          <w:lang w:val="ro-RO"/>
        </w:rPr>
      </w:pPr>
      <w:r w:rsidRPr="00A42550">
        <w:rPr>
          <w:rFonts w:ascii="Arial" w:eastAsia="Times New Roman" w:hAnsi="Arial" w:cs="Arial"/>
          <w:i/>
          <w:sz w:val="24"/>
          <w:szCs w:val="24"/>
          <w:lang w:val="ro-RO"/>
        </w:rPr>
        <w:t>Figura VII.1.3.3.1. Numărul de vehicule scoase din uz colectate şi tratate în judeţul Buzău,  în perioada 2008 - 2012</w:t>
      </w:r>
    </w:p>
    <w:p w:rsidR="00A42550" w:rsidRPr="00A42550" w:rsidRDefault="00A42550" w:rsidP="00A42550">
      <w:pPr>
        <w:keepNext/>
        <w:spacing w:after="120" w:line="240" w:lineRule="auto"/>
        <w:jc w:val="both"/>
        <w:rPr>
          <w:rFonts w:ascii="Times New Roman" w:eastAsia="Times New Roman" w:hAnsi="Times New Roman"/>
          <w:sz w:val="24"/>
          <w:szCs w:val="24"/>
          <w:lang w:val="en-GB"/>
        </w:rPr>
      </w:pPr>
      <w:r w:rsidRPr="00A42550">
        <w:rPr>
          <w:rFonts w:ascii="Arial" w:eastAsia="Times New Roman" w:hAnsi="Arial" w:cs="Arial"/>
          <w:noProof/>
          <w:sz w:val="24"/>
          <w:szCs w:val="24"/>
          <w:lang w:val="ro-RO" w:eastAsia="ro-RO"/>
        </w:rPr>
        <w:drawing>
          <wp:inline distT="0" distB="0" distL="0" distR="0">
            <wp:extent cx="5753100" cy="2847975"/>
            <wp:effectExtent l="57150" t="0" r="57150" b="66675"/>
            <wp:docPr id="36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Sursa: Agenţia pentru Protecţia Mediului Buzău</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Începând cu data de 1 ianuarie 2007, operatorii economici sunt obligaţi să asigure, realizarea următoarelor obiective, luând în considerare masa medie la gol: </w:t>
      </w:r>
    </w:p>
    <w:p w:rsidR="00A42550" w:rsidRPr="00A42550" w:rsidRDefault="00A42550" w:rsidP="000A5EAD">
      <w:pPr>
        <w:numPr>
          <w:ilvl w:val="0"/>
          <w:numId w:val="16"/>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reutilizarea şi valorificarea a cel puţin 75% din masa medie pe vehicul şi an, a vehiculelor fabricate înainte de 01 ianuarie 1980; </w:t>
      </w:r>
    </w:p>
    <w:p w:rsidR="00A42550" w:rsidRPr="00A42550" w:rsidRDefault="00A42550" w:rsidP="000A5EAD">
      <w:pPr>
        <w:numPr>
          <w:ilvl w:val="0"/>
          <w:numId w:val="16"/>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reutilizarea şi valorificarea a cel puţin 85% din masa medie pe vehicul şi an, a vehiculelor fabricate după 01 ianuarie 1980; </w:t>
      </w:r>
    </w:p>
    <w:p w:rsidR="00A42550" w:rsidRPr="00A42550" w:rsidRDefault="00A42550" w:rsidP="000A5EAD">
      <w:pPr>
        <w:numPr>
          <w:ilvl w:val="0"/>
          <w:numId w:val="16"/>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 xml:space="preserve">reutilizarea şi reciclarea a 70% din masa medie pe vehicul şi an, a vehiculelor fabricate înainte de 01 ianuarie 1980; </w:t>
      </w:r>
    </w:p>
    <w:p w:rsidR="00A42550" w:rsidRPr="00A42550" w:rsidRDefault="00A42550" w:rsidP="000A5EAD">
      <w:pPr>
        <w:numPr>
          <w:ilvl w:val="0"/>
          <w:numId w:val="16"/>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reutilizarea şi reciclarea a 80% din masa medie pe vehicul şi an, a vehiculelor fabricate începând cu data de 01 ianuarie 1980.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Începând cu 1 ianuarie 2015, operatorii economici vor fi obligaţi să asigure realizarea următoarelor obiective, luând în considerare masa medie la gol: </w:t>
      </w:r>
    </w:p>
    <w:p w:rsidR="00A42550" w:rsidRPr="00A42550" w:rsidRDefault="00A42550" w:rsidP="000A5EAD">
      <w:pPr>
        <w:numPr>
          <w:ilvl w:val="0"/>
          <w:numId w:val="17"/>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reutilizarea şi valorificarea a cel puţin 95% din masa medie pe vehicul şi an, pentru toate vehiculele scoase din uz; </w:t>
      </w:r>
    </w:p>
    <w:p w:rsidR="00A42550" w:rsidRPr="00A42550" w:rsidRDefault="00A42550" w:rsidP="000A5EAD">
      <w:pPr>
        <w:numPr>
          <w:ilvl w:val="0"/>
          <w:numId w:val="17"/>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reutilizarea şi reciclarea a cel puţin 85% din masa medie pe vehicul şi an, pentru toate vehiculele scoase din uz.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În baza datelor raportate anual de operatorii economici care desfăşoară operaţiuni de colectare şi tratare a vehiculelor scoase din uz, au fost calculate la nivel naţional obiectivele de reutilizare şi reciclare, respectiv cele de reutilizare şi valorificare, care sunt prezentate în tabelul VII.1.3.3.2. şi în figura VII.1.3.3.2.</w:t>
      </w: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Tabelul  VII.1.3.3.2. Tendinţa ratelor de valorificare şi reciclare a VSU 2007-2012 (la nivel naţional)</w:t>
      </w:r>
    </w:p>
    <w:tbl>
      <w:tblPr>
        <w:tblStyle w:val="TableGrid2"/>
        <w:tblW w:w="0" w:type="auto"/>
        <w:jc w:val="center"/>
        <w:tblLook w:val="04A0"/>
      </w:tblPr>
      <w:tblGrid>
        <w:gridCol w:w="1951"/>
        <w:gridCol w:w="1134"/>
        <w:gridCol w:w="1171"/>
        <w:gridCol w:w="1399"/>
        <w:gridCol w:w="1399"/>
        <w:gridCol w:w="1399"/>
        <w:gridCol w:w="1153"/>
      </w:tblGrid>
      <w:tr w:rsidR="00A42550" w:rsidRPr="00A42550" w:rsidTr="00A42550">
        <w:trPr>
          <w:jc w:val="center"/>
        </w:trPr>
        <w:tc>
          <w:tcPr>
            <w:tcW w:w="1951"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p>
        </w:tc>
        <w:tc>
          <w:tcPr>
            <w:tcW w:w="1134"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2007</w:t>
            </w:r>
          </w:p>
        </w:tc>
        <w:tc>
          <w:tcPr>
            <w:tcW w:w="1171"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2008</w:t>
            </w:r>
          </w:p>
        </w:tc>
        <w:tc>
          <w:tcPr>
            <w:tcW w:w="1399"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2009</w:t>
            </w:r>
          </w:p>
        </w:tc>
        <w:tc>
          <w:tcPr>
            <w:tcW w:w="1399"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2010</w:t>
            </w:r>
          </w:p>
        </w:tc>
        <w:tc>
          <w:tcPr>
            <w:tcW w:w="1399"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2011</w:t>
            </w:r>
          </w:p>
        </w:tc>
        <w:tc>
          <w:tcPr>
            <w:tcW w:w="1153" w:type="dxa"/>
            <w:shd w:val="clear" w:color="auto" w:fill="FFFF00"/>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2012</w:t>
            </w:r>
          </w:p>
        </w:tc>
      </w:tr>
      <w:tr w:rsidR="00A42550" w:rsidRPr="00A42550" w:rsidTr="00A42550">
        <w:trPr>
          <w:jc w:val="center"/>
        </w:trPr>
        <w:tc>
          <w:tcPr>
            <w:tcW w:w="1951" w:type="dxa"/>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Obiectiv de reutilizare şi reciclare (X1/W1)%</w:t>
            </w:r>
          </w:p>
        </w:tc>
        <w:tc>
          <w:tcPr>
            <w:tcW w:w="1134"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83,69</w:t>
            </w:r>
          </w:p>
        </w:tc>
        <w:tc>
          <w:tcPr>
            <w:tcW w:w="1171"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83,7</w:t>
            </w:r>
          </w:p>
        </w:tc>
        <w:tc>
          <w:tcPr>
            <w:tcW w:w="1399"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80,5</w:t>
            </w:r>
          </w:p>
        </w:tc>
        <w:tc>
          <w:tcPr>
            <w:tcW w:w="1399"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80,9</w:t>
            </w:r>
          </w:p>
        </w:tc>
        <w:tc>
          <w:tcPr>
            <w:tcW w:w="1399"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82,9</w:t>
            </w:r>
          </w:p>
        </w:tc>
        <w:tc>
          <w:tcPr>
            <w:tcW w:w="1153"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83,81</w:t>
            </w:r>
          </w:p>
        </w:tc>
      </w:tr>
      <w:tr w:rsidR="00A42550" w:rsidRPr="00A42550" w:rsidTr="00A42550">
        <w:trPr>
          <w:jc w:val="center"/>
        </w:trPr>
        <w:tc>
          <w:tcPr>
            <w:tcW w:w="1951" w:type="dxa"/>
          </w:tcPr>
          <w:p w:rsidR="00A42550" w:rsidRPr="00A42550" w:rsidRDefault="00A42550" w:rsidP="00A42550">
            <w:pPr>
              <w:spacing w:after="0" w:line="240" w:lineRule="auto"/>
              <w:jc w:val="center"/>
              <w:rPr>
                <w:rFonts w:ascii="Arial" w:hAnsi="Arial" w:cs="Arial"/>
                <w:b/>
                <w:sz w:val="24"/>
                <w:szCs w:val="24"/>
                <w:lang w:val="ro-RO"/>
              </w:rPr>
            </w:pPr>
            <w:r w:rsidRPr="00A42550">
              <w:rPr>
                <w:rFonts w:ascii="Arial" w:hAnsi="Arial" w:cs="Arial"/>
                <w:b/>
                <w:sz w:val="24"/>
                <w:szCs w:val="24"/>
                <w:lang w:val="ro-RO"/>
              </w:rPr>
              <w:t>Obiectiv de reutilizare şi valorificare (X2/W1)%</w:t>
            </w:r>
          </w:p>
        </w:tc>
        <w:tc>
          <w:tcPr>
            <w:tcW w:w="1134"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85,69</w:t>
            </w:r>
          </w:p>
        </w:tc>
        <w:tc>
          <w:tcPr>
            <w:tcW w:w="1171"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86,45</w:t>
            </w:r>
          </w:p>
        </w:tc>
        <w:tc>
          <w:tcPr>
            <w:tcW w:w="1399"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85,29</w:t>
            </w:r>
          </w:p>
        </w:tc>
        <w:tc>
          <w:tcPr>
            <w:tcW w:w="1399"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85,5</w:t>
            </w:r>
          </w:p>
        </w:tc>
        <w:tc>
          <w:tcPr>
            <w:tcW w:w="1399"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86,8</w:t>
            </w:r>
          </w:p>
        </w:tc>
        <w:tc>
          <w:tcPr>
            <w:tcW w:w="1153" w:type="dxa"/>
          </w:tcPr>
          <w:p w:rsidR="00A42550" w:rsidRPr="00A42550" w:rsidRDefault="00A42550" w:rsidP="00A42550">
            <w:pPr>
              <w:spacing w:after="0" w:line="240" w:lineRule="auto"/>
              <w:jc w:val="center"/>
              <w:rPr>
                <w:rFonts w:ascii="Arial" w:hAnsi="Arial" w:cs="Arial"/>
                <w:sz w:val="24"/>
                <w:szCs w:val="24"/>
                <w:lang w:val="ro-RO"/>
              </w:rPr>
            </w:pPr>
            <w:r w:rsidRPr="00A42550">
              <w:rPr>
                <w:rFonts w:ascii="Arial" w:hAnsi="Arial" w:cs="Arial"/>
                <w:sz w:val="24"/>
                <w:szCs w:val="24"/>
                <w:lang w:val="ro-RO"/>
              </w:rPr>
              <w:t>86,26</w:t>
            </w:r>
          </w:p>
        </w:tc>
      </w:tr>
    </w:tbl>
    <w:p w:rsidR="00A42550" w:rsidRPr="00A42550" w:rsidRDefault="00A42550" w:rsidP="00A42550">
      <w:pPr>
        <w:spacing w:after="0" w:line="240" w:lineRule="auto"/>
        <w:rPr>
          <w:rFonts w:ascii="Arial" w:eastAsia="Times New Roman" w:hAnsi="Arial" w:cs="Arial"/>
          <w:i/>
          <w:sz w:val="16"/>
          <w:szCs w:val="16"/>
          <w:lang w:val="ro-RO"/>
        </w:rPr>
      </w:pPr>
    </w:p>
    <w:p w:rsidR="00A42550" w:rsidRPr="00A42550" w:rsidRDefault="00A42550" w:rsidP="00A42550">
      <w:pPr>
        <w:spacing w:after="0" w:line="240" w:lineRule="auto"/>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Sursa: ANPM – Agenţia Naţională pentru Protecţia Mediului </w:t>
      </w:r>
    </w:p>
    <w:p w:rsidR="00A42550" w:rsidRPr="00A42550" w:rsidRDefault="00A42550" w:rsidP="00A42550">
      <w:pPr>
        <w:spacing w:after="0" w:line="240" w:lineRule="auto"/>
        <w:rPr>
          <w:rFonts w:ascii="Arial" w:eastAsia="Times New Roman" w:hAnsi="Arial" w:cs="Arial"/>
          <w:sz w:val="24"/>
          <w:szCs w:val="24"/>
          <w:lang w:val="ro-RO"/>
        </w:rPr>
      </w:pPr>
    </w:p>
    <w:p w:rsidR="00A42550" w:rsidRPr="00A42550" w:rsidRDefault="00A42550" w:rsidP="00A42550">
      <w:pPr>
        <w:spacing w:after="120" w:line="240" w:lineRule="auto"/>
        <w:rPr>
          <w:rFonts w:ascii="Arial" w:eastAsia="Times New Roman" w:hAnsi="Arial" w:cs="Arial"/>
          <w:i/>
          <w:sz w:val="24"/>
          <w:szCs w:val="24"/>
          <w:lang w:val="ro-RO"/>
        </w:rPr>
      </w:pPr>
      <w:r w:rsidRPr="00A42550">
        <w:rPr>
          <w:rFonts w:ascii="Arial" w:eastAsia="Times New Roman" w:hAnsi="Arial" w:cs="Arial"/>
          <w:i/>
          <w:sz w:val="24"/>
          <w:szCs w:val="24"/>
          <w:lang w:val="ro-RO"/>
        </w:rPr>
        <w:t>Figura  VII.1.3.3.2. Tendinţa ratelor de valorificare şi reciclare a VSU 2007-2012 (la nivel naţional)</w:t>
      </w:r>
    </w:p>
    <w:p w:rsidR="00A42550" w:rsidRPr="00A42550" w:rsidRDefault="00A42550" w:rsidP="00A42550">
      <w:pPr>
        <w:spacing w:after="120" w:line="240" w:lineRule="auto"/>
        <w:rPr>
          <w:rFonts w:ascii="Arial" w:eastAsia="Times New Roman" w:hAnsi="Arial" w:cs="Arial"/>
          <w:b/>
          <w:sz w:val="24"/>
          <w:szCs w:val="24"/>
          <w:lang w:val="ro-RO"/>
        </w:rPr>
      </w:pPr>
      <w:r w:rsidRPr="00A42550">
        <w:rPr>
          <w:rFonts w:ascii="Arial" w:eastAsia="Times New Roman" w:hAnsi="Arial" w:cs="Arial"/>
          <w:b/>
          <w:noProof/>
          <w:sz w:val="24"/>
          <w:szCs w:val="24"/>
          <w:lang w:val="ro-RO" w:eastAsia="ro-RO"/>
        </w:rPr>
        <w:drawing>
          <wp:inline distT="0" distB="0" distL="0" distR="0">
            <wp:extent cx="5486400" cy="2238375"/>
            <wp:effectExtent l="19050" t="0" r="19050" b="0"/>
            <wp:docPr id="36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A42550" w:rsidRPr="00A42550" w:rsidRDefault="00A42550" w:rsidP="00A42550">
      <w:pPr>
        <w:spacing w:before="120" w:after="120" w:line="240" w:lineRule="auto"/>
        <w:jc w:val="both"/>
        <w:rPr>
          <w:rFonts w:ascii="Arial" w:eastAsia="Times New Roman" w:hAnsi="Arial" w:cs="Arial"/>
          <w:i/>
          <w:sz w:val="20"/>
          <w:szCs w:val="20"/>
          <w:lang w:val="ro-RO"/>
        </w:rPr>
      </w:pPr>
      <w:r w:rsidRPr="00A42550">
        <w:rPr>
          <w:rFonts w:ascii="Arial" w:eastAsia="Times New Roman" w:hAnsi="Arial" w:cs="Arial"/>
          <w:i/>
          <w:sz w:val="20"/>
          <w:szCs w:val="20"/>
          <w:lang w:val="ro-RO"/>
        </w:rPr>
        <w:t xml:space="preserve">Sursa: ANPM – Agenţia Naţională pentru Protecţia Mediului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Având în vedere faptul că nu în toate judeţele există instalaţii de tratare a vehiculelor scoase din uz, calculul obiectivelor de reciclare şi valorificare la nivel de judeţ nu sunt relevante. În aceste condiţii, se paote considera că fiecare judeţ a contribuit în anul 2012 la îndeplinirea, ţintelor la nivel naţional. </w:t>
      </w:r>
    </w:p>
    <w:p w:rsidR="00A42550" w:rsidRPr="00A42550" w:rsidRDefault="00A42550" w:rsidP="00A42550">
      <w:pPr>
        <w:spacing w:after="120" w:line="240" w:lineRule="auto"/>
        <w:jc w:val="both"/>
        <w:rPr>
          <w:rFonts w:ascii="Arial" w:eastAsia="Times New Roman" w:hAnsi="Arial" w:cs="Arial"/>
          <w:sz w:val="24"/>
          <w:szCs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b/>
          <w:sz w:val="24"/>
          <w:szCs w:val="24"/>
          <w:lang w:val="en-GB"/>
        </w:rPr>
      </w:pPr>
      <w:r w:rsidRPr="00A42550">
        <w:rPr>
          <w:rFonts w:ascii="Arial" w:eastAsia="Times New Roman" w:hAnsi="Arial" w:cs="Arial"/>
          <w:b/>
          <w:sz w:val="24"/>
          <w:szCs w:val="24"/>
          <w:lang w:val="en-GB"/>
        </w:rPr>
        <w:lastRenderedPageBreak/>
        <w:t>VII.1.4. Impacturi şi presiuni privind deşeurile</w:t>
      </w:r>
    </w:p>
    <w:p w:rsidR="00A42550" w:rsidRPr="00A42550" w:rsidRDefault="00A42550" w:rsidP="00A42550">
      <w:pPr>
        <w:spacing w:after="120" w:line="240" w:lineRule="auto"/>
        <w:jc w:val="both"/>
        <w:rPr>
          <w:rFonts w:ascii="Arial" w:eastAsia="Times New Roman" w:hAnsi="Arial" w:cs="Arial"/>
          <w:spacing w:val="-4"/>
          <w:sz w:val="24"/>
          <w:szCs w:val="24"/>
          <w:lang w:val="ro-RO" w:eastAsia="ro-RO"/>
        </w:rPr>
      </w:pPr>
      <w:r w:rsidRPr="00A42550">
        <w:rPr>
          <w:rFonts w:ascii="Arial" w:eastAsia="Times New Roman" w:hAnsi="Arial" w:cs="Arial"/>
          <w:spacing w:val="-4"/>
          <w:sz w:val="24"/>
          <w:szCs w:val="24"/>
          <w:lang w:val="ro-RO" w:eastAsia="ro-RO"/>
        </w:rPr>
        <w:t>Gestionarea deşeurilor este probabil una dintre cele mai importante probleme de mediu din spaţiile locuite. Cu cât aceste spaţii sunt mai mari, cu atât consumul de energie şi resurse este mai mare, şi implicit, şi cantitatea de deşeuri ce trebuie gestionată. Problema va persista şi se va agrava din cauza presiunii demografice, deşi datorită progreselor înregistrate în acest domeniu depozitele de deşeuri sunt de o calitate tehnologică superioară, având şi o securitate îmbunătăţită.</w:t>
      </w:r>
    </w:p>
    <w:p w:rsidR="00A42550" w:rsidRPr="00A42550" w:rsidRDefault="00A42550" w:rsidP="00A42550">
      <w:pPr>
        <w:spacing w:after="120" w:line="240" w:lineRule="auto"/>
        <w:jc w:val="both"/>
        <w:rPr>
          <w:rFonts w:ascii="Arial" w:eastAsia="Times New Roman" w:hAnsi="Arial" w:cs="Arial"/>
          <w:spacing w:val="-4"/>
          <w:sz w:val="24"/>
          <w:szCs w:val="24"/>
          <w:lang w:val="ro-RO" w:eastAsia="ro-RO"/>
        </w:rPr>
      </w:pPr>
      <w:r w:rsidRPr="00A42550">
        <w:rPr>
          <w:rFonts w:ascii="Arial" w:eastAsia="Times New Roman" w:hAnsi="Arial" w:cs="Arial"/>
          <w:spacing w:val="-4"/>
          <w:sz w:val="24"/>
          <w:szCs w:val="24"/>
          <w:lang w:val="ro-RO" w:eastAsia="ro-RO"/>
        </w:rPr>
        <w:t>Depozitarea deşeurilor este cea mai poluantă metodă de gestionare a deşeurilor, in ceea ce priveşte potenţialul de încălzire globală - GWP, potenţialul de acidifiere - PA şi potenţialul de eutrofizare, atât la nivel local, cât şi la nivel global, deoarece generează emisii de diferite tipuri: CH4, H2S, HCl, N şi P şi diferiţi compuşi anorganici.</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Amplasarea depozitelor neconforme de deşeuri municipale în municipiile Buzău, Rm. Sărat şi în oraşul Nehoiu a fost stabilită în anii 1970,1980 şi respectiv 1992.</w:t>
      </w:r>
      <w:r w:rsidRPr="00A42550">
        <w:rPr>
          <w:rFonts w:ascii="Arial" w:eastAsia="Times New Roman" w:hAnsi="Arial" w:cs="Arial"/>
          <w:spacing w:val="-4"/>
          <w:sz w:val="24"/>
          <w:szCs w:val="24"/>
        </w:rPr>
        <w:t xml:space="preserve"> Practica depozitării deşeurilor pe sol fără respectarea unor cerinţe minime, evacuarea în cursurile de apă şi arderea necontrolată a acestora reprezintă o serie de riscuri majore atât pentru mediul ambiant cât şi pentru sănătatea populaţiei.</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O reducere semnificativă a impactului asupra factorilor de mediu datorat eliminării deşeurilor municipale s-a realizat prin sistarea depozitării în majoritatea depozitelor neconforme din mediul urban şi, respectiv prin ecologizarea spaţiilor din mediul rural.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La finele anului 2003, o dată cu punerea în funcţiune a depozitul conform de deşeuri nepericuloase Gălbinaşi, s-a sistat depozitarea deşeurilor municipale în depozitul neconform care a deservit municipiul Buzău. Ulterior, conform termenelor stabilite prin Tratatul de aderare la U.E. şi prin HG nr. 349/2005 privind depozitarea deşeurilor, la 16 iulie 2009, s-a sistat depozitarea în depozitul neconform al oraşului Nehoiu, iar la 16 iulie 2017, urmează să se sisteze depozitarea şi în depozitul municipiului Rm. Sărat.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Până în acest moment, nu au fost executate lucrări de închidere conformă a celor două depozite de deşeuri municipale la care s-a sistat activitatea, fapt care concură la menţinerea impactului negativ asupra factorilor de mediu generat de aceste surse de poluare.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iCs/>
          <w:sz w:val="24"/>
          <w:szCs w:val="24"/>
          <w:lang w:val="ro-RO"/>
        </w:rPr>
        <w:t xml:space="preserve">În ceea ce priveşte spaţiile neconforme de depozitare a deşeurilor din zona rurală, înainte de 16 iulie 2009, la nivelul judeţului Buzău existau 315 astfel de amplasamente, care ocupau cca. </w:t>
      </w:r>
      <w:smartTag w:uri="urn:schemas-microsoft-com:office:smarttags" w:element="metricconverter">
        <w:smartTagPr>
          <w:attr w:name="ProductID" w:val="160,94 ha"/>
        </w:smartTagPr>
        <w:r w:rsidRPr="00A42550">
          <w:rPr>
            <w:rFonts w:ascii="Arial" w:eastAsia="Times New Roman" w:hAnsi="Arial" w:cs="Arial"/>
            <w:iCs/>
            <w:sz w:val="24"/>
            <w:szCs w:val="24"/>
            <w:lang w:val="ro-RO"/>
          </w:rPr>
          <w:t>160,94 ha</w:t>
        </w:r>
      </w:smartTag>
      <w:r w:rsidRPr="00A42550">
        <w:rPr>
          <w:rFonts w:ascii="Arial" w:eastAsia="Times New Roman" w:hAnsi="Arial" w:cs="Arial"/>
          <w:iCs/>
          <w:sz w:val="24"/>
          <w:szCs w:val="24"/>
          <w:lang w:val="ro-RO"/>
        </w:rPr>
        <w:t xml:space="preserve">. Pănă la finele anului 2009 au fost finalizate lucrările de închidere şi ecologizare a tuturor amplasamentelor, fapt ce a condus la reducerea semnificativă a impactului asupra mediului şi sănătăţii populaţiei. Totuşi, pentru localităţile din zona rurală nedeservite de un serviciu de salubritate, problema a devenit din punctuală difuză, deoarece neavând la îndemână o alternativă populaţia a fost recurs la </w:t>
      </w:r>
      <w:r w:rsidRPr="00A42550">
        <w:rPr>
          <w:rFonts w:ascii="Arial" w:eastAsia="Times New Roman" w:hAnsi="Arial" w:cs="Arial"/>
          <w:sz w:val="24"/>
          <w:szCs w:val="24"/>
          <w:lang w:val="ro-RO"/>
        </w:rPr>
        <w:t>depozitarea necontrolată a deşeurilor (în locuri nepermise, cum ar fi malurile râurilor, poduri şi podeţe, terenuri cu alte destinaţii etc.).</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Impactul şi presiunile asupra mediului datorate gestionării deşeurilor municipale se vor reduce considerabil în momentul în care proiectul Consiliului Judeţean Buzău  ”Sistemul de Management Integrat al Deşeurilor” va fi implementat. Acest proiect,  prevede închiderea depozitului neconform Nehoiu, precum şi construirea unui depozit, a unor staţii de sortare, de tratare mecano-biologică şi de compostare în localitatea Cochirleanca şi a unei staţii de transfer în localitatea Pârscov. </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Prin implementarea sistemului integrat de gestionare al deşeurilor, se aşteaptă să se atingă  următoarele obiective specifice:</w:t>
      </w:r>
    </w:p>
    <w:p w:rsidR="00A42550" w:rsidRPr="00A42550" w:rsidRDefault="00A42550" w:rsidP="000A5EAD">
      <w:pPr>
        <w:numPr>
          <w:ilvl w:val="0"/>
          <w:numId w:val="2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înfiinţarea punctelor de colectare selectivă a deşeurilor de la populaţie, a staţiilor de transfer şi a depozitelor conforme;</w:t>
      </w:r>
    </w:p>
    <w:p w:rsidR="00A42550" w:rsidRPr="00A42550" w:rsidRDefault="00A42550" w:rsidP="000A5EAD">
      <w:pPr>
        <w:numPr>
          <w:ilvl w:val="0"/>
          <w:numId w:val="2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lastRenderedPageBreak/>
        <w:t>eliminarea depozitărilor necontrolate de deşeuri;</w:t>
      </w:r>
    </w:p>
    <w:p w:rsidR="00A42550" w:rsidRPr="00A42550" w:rsidRDefault="00A42550" w:rsidP="000A5EAD">
      <w:pPr>
        <w:numPr>
          <w:ilvl w:val="0"/>
          <w:numId w:val="2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extinderea ratei de acoperire cu servicii de salubrizare; </w:t>
      </w:r>
    </w:p>
    <w:p w:rsidR="00A42550" w:rsidRPr="00A42550" w:rsidRDefault="00A42550" w:rsidP="000A5EAD">
      <w:pPr>
        <w:numPr>
          <w:ilvl w:val="0"/>
          <w:numId w:val="2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extinderea colectării selective a deşeurilor reciclabile din deşeurile menajere provenite de la populaţie; </w:t>
      </w:r>
    </w:p>
    <w:p w:rsidR="00A42550" w:rsidRPr="00A42550" w:rsidRDefault="00A42550" w:rsidP="000A5EAD">
      <w:pPr>
        <w:numPr>
          <w:ilvl w:val="0"/>
          <w:numId w:val="2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creşterea gradului de reciclare al deşeurilor; </w:t>
      </w:r>
    </w:p>
    <w:p w:rsidR="00A42550" w:rsidRPr="00A42550" w:rsidRDefault="00A42550" w:rsidP="000A5EAD">
      <w:pPr>
        <w:numPr>
          <w:ilvl w:val="0"/>
          <w:numId w:val="2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reducerea cantităţilor de deşeuri industriale eliminate la depozitele orăşeneşti de către agenţii economici industriali. </w:t>
      </w:r>
    </w:p>
    <w:p w:rsidR="00A42550" w:rsidRPr="00A42550" w:rsidRDefault="00A42550" w:rsidP="000A5EAD">
      <w:pPr>
        <w:numPr>
          <w:ilvl w:val="0"/>
          <w:numId w:val="22"/>
        </w:num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reducerea cantităţilor de deşeuri biodegradabile eliminate în depozite.</w:t>
      </w:r>
    </w:p>
    <w:p w:rsidR="00A42550" w:rsidRPr="00A42550" w:rsidRDefault="00A42550" w:rsidP="00A42550">
      <w:pPr>
        <w:spacing w:after="120" w:line="240" w:lineRule="auto"/>
        <w:ind w:left="720"/>
        <w:jc w:val="both"/>
        <w:rPr>
          <w:rFonts w:ascii="Arial" w:eastAsia="Times New Roman" w:hAnsi="Arial" w:cs="Arial"/>
          <w:sz w:val="24"/>
          <w:szCs w:val="24"/>
          <w:lang w:val="ro-RO"/>
        </w:rPr>
      </w:pPr>
    </w:p>
    <w:p w:rsidR="00A42550" w:rsidRPr="00A42550" w:rsidRDefault="00A42550" w:rsidP="00A42550">
      <w:pPr>
        <w:autoSpaceDE w:val="0"/>
        <w:autoSpaceDN w:val="0"/>
        <w:adjustRightInd w:val="0"/>
        <w:spacing w:after="120" w:line="240" w:lineRule="auto"/>
        <w:jc w:val="both"/>
        <w:rPr>
          <w:rFonts w:ascii="Arial" w:eastAsia="Times New Roman" w:hAnsi="Arial" w:cs="Arial"/>
          <w:b/>
          <w:sz w:val="24"/>
          <w:szCs w:val="24"/>
          <w:lang w:val="en-GB"/>
        </w:rPr>
      </w:pPr>
      <w:r w:rsidRPr="00A42550">
        <w:rPr>
          <w:rFonts w:ascii="Arial" w:eastAsia="Times New Roman" w:hAnsi="Arial" w:cs="Arial"/>
          <w:b/>
          <w:sz w:val="24"/>
          <w:szCs w:val="24"/>
          <w:lang w:val="en-GB"/>
        </w:rPr>
        <w:t>VII.1.5. Tendinţe şi prognoze privind generarea deşeurilor</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 xml:space="preserve">Ca urmare a dezvoltării şi progreselor înregistrate în toate domeniile vieţii economice şi sociale, omul a ajuns astăzi să consume neraţional cantităţi imense de resurse naturale regenerabile şi neregenerabile, exploatând tot mai intens factorii de mediu şi modificând iremediabil cadrul natural. În asemenea împrejurări apare tot mai necesară elaborarea şi adoptarea unei politici economice de largă perspectivă, bazată pe conceptul de dezvoltare durabilă, garantându-se astfel asigurarea  necesităţilor prezentului, fără a compromite posibilitatea generaţiilor viitoare de a-şi satisface propriile necesităţi. </w:t>
      </w:r>
    </w:p>
    <w:p w:rsidR="00A42550" w:rsidRPr="00A42550" w:rsidRDefault="00A42550" w:rsidP="00A42550">
      <w:pPr>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Pe fondul scăderii/alterării continue a resurselor naturale precum şi a necesităţii conse</w:t>
      </w:r>
      <w:r w:rsidRPr="00A42550">
        <w:rPr>
          <w:rFonts w:ascii="Arial" w:eastAsia="Times New Roman" w:hAnsi="Arial" w:cs="Arial"/>
          <w:sz w:val="24"/>
          <w:szCs w:val="24"/>
          <w:lang w:val="en-GB"/>
        </w:rPr>
        <w:t>r</w:t>
      </w:r>
      <w:r w:rsidRPr="00A42550">
        <w:rPr>
          <w:rFonts w:ascii="Arial" w:eastAsia="Times New Roman" w:hAnsi="Arial" w:cs="Arial"/>
          <w:sz w:val="24"/>
          <w:szCs w:val="24"/>
          <w:lang w:val="en-GB"/>
        </w:rPr>
        <w:t>vării acestora (în principal a celor de natură biologică) este necesar să re-evaluăm opţ</w:t>
      </w:r>
      <w:r w:rsidRPr="00A42550">
        <w:rPr>
          <w:rFonts w:ascii="Arial" w:eastAsia="Times New Roman" w:hAnsi="Arial" w:cs="Arial"/>
          <w:sz w:val="24"/>
          <w:szCs w:val="24"/>
          <w:lang w:val="en-GB"/>
        </w:rPr>
        <w:t>i</w:t>
      </w:r>
      <w:r w:rsidRPr="00A42550">
        <w:rPr>
          <w:rFonts w:ascii="Arial" w:eastAsia="Times New Roman" w:hAnsi="Arial" w:cs="Arial"/>
          <w:sz w:val="24"/>
          <w:szCs w:val="24"/>
          <w:lang w:val="en-GB"/>
        </w:rPr>
        <w:t>unile privind gestionarea deşeurilor de origine antropică, în sensul creşterii gradului de valorificare a acestora şi de reducere drastică a cantităţilor care necesită eliminare. În acest sens, trebuie aplicată ierarhia deşeurilor cu accent pe prevenire generării deşeurilor, pregătirea pentru reutilizare, reciclarea şi valorificarea în timp ce depozitarea deşeurilor trebuie interpretată ca ultimă opţiune disponibilă care corespunde celui mai ridicat nivel de pierdere şi alterare a resurselor.</w:t>
      </w:r>
    </w:p>
    <w:p w:rsidR="00A42550" w:rsidRPr="00A42550" w:rsidRDefault="00A42550" w:rsidP="00A42550">
      <w:pPr>
        <w:spacing w:after="120" w:line="240" w:lineRule="auto"/>
        <w:jc w:val="both"/>
        <w:rPr>
          <w:rFonts w:ascii="Arial" w:eastAsia="Times New Roman" w:hAnsi="Arial" w:cs="Arial"/>
          <w:sz w:val="24"/>
          <w:szCs w:val="24"/>
          <w:lang w:val="en-GB" w:eastAsia="ro-RO"/>
        </w:rPr>
      </w:pPr>
      <w:r w:rsidRPr="00A42550">
        <w:rPr>
          <w:rFonts w:ascii="Arial" w:eastAsia="Times New Roman" w:hAnsi="Arial" w:cs="Arial"/>
          <w:sz w:val="24"/>
          <w:szCs w:val="24"/>
          <w:lang w:val="en-GB"/>
        </w:rPr>
        <w:t xml:space="preserve">În ţara noastră, instrumentele de bază prin care se asigură implementarea politicii Uniunii Europene din domeniul gestiunii deşeurilor sunt Strategia şi Planul Naţional de Gestionare a Deşeurilor. </w:t>
      </w:r>
    </w:p>
    <w:p w:rsidR="00A42550" w:rsidRPr="00A42550" w:rsidRDefault="00A42550" w:rsidP="00A42550">
      <w:pPr>
        <w:autoSpaceDE w:val="0"/>
        <w:autoSpaceDN w:val="0"/>
        <w:adjustRightInd w:val="0"/>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Strategia naţională de gestionare a deşeurilor pentru perioada 2014-2020, aprobată prin HG nr. 870/06.11.2013, îşi propune să îndrepte România către o ”societate a reciclării” prin:</w:t>
      </w:r>
    </w:p>
    <w:p w:rsidR="00A42550" w:rsidRPr="00A42550" w:rsidRDefault="00A42550" w:rsidP="000A5EAD">
      <w:pPr>
        <w:numPr>
          <w:ilvl w:val="0"/>
          <w:numId w:val="21"/>
        </w:numPr>
        <w:spacing w:before="120" w:after="120" w:line="240" w:lineRule="auto"/>
        <w:jc w:val="both"/>
        <w:rPr>
          <w:rFonts w:ascii="Arial" w:eastAsia="Times New Roman" w:hAnsi="Arial" w:cs="Arial"/>
          <w:b/>
          <w:sz w:val="24"/>
          <w:szCs w:val="24"/>
          <w:lang w:val="en-GB"/>
        </w:rPr>
      </w:pPr>
      <w:r w:rsidRPr="00A42550">
        <w:rPr>
          <w:rFonts w:ascii="Arial" w:eastAsia="Times New Roman" w:hAnsi="Arial" w:cs="Arial"/>
          <w:sz w:val="24"/>
          <w:szCs w:val="24"/>
          <w:lang w:val="en-GB"/>
        </w:rPr>
        <w:t>Prioritizarea eforturilor din domeniul gestionării deşeurilor, în conformitate cu ie</w:t>
      </w:r>
      <w:r w:rsidRPr="00A42550">
        <w:rPr>
          <w:rFonts w:ascii="Arial" w:eastAsia="Times New Roman" w:hAnsi="Arial" w:cs="Arial"/>
          <w:sz w:val="24"/>
          <w:szCs w:val="24"/>
          <w:lang w:val="en-GB"/>
        </w:rPr>
        <w:t>r</w:t>
      </w:r>
      <w:r w:rsidRPr="00A42550">
        <w:rPr>
          <w:rFonts w:ascii="Arial" w:eastAsia="Times New Roman" w:hAnsi="Arial" w:cs="Arial"/>
          <w:sz w:val="24"/>
          <w:szCs w:val="24"/>
          <w:lang w:val="en-GB"/>
        </w:rPr>
        <w:t>arhia deşeurilor;</w:t>
      </w:r>
    </w:p>
    <w:p w:rsidR="00A42550" w:rsidRPr="00A42550" w:rsidRDefault="00A42550" w:rsidP="000A5EAD">
      <w:pPr>
        <w:numPr>
          <w:ilvl w:val="0"/>
          <w:numId w:val="21"/>
        </w:numPr>
        <w:spacing w:before="120" w:after="120" w:line="240" w:lineRule="auto"/>
        <w:jc w:val="both"/>
        <w:rPr>
          <w:rFonts w:ascii="Arial" w:eastAsia="Times New Roman" w:hAnsi="Arial" w:cs="Arial"/>
          <w:b/>
          <w:sz w:val="24"/>
          <w:szCs w:val="24"/>
          <w:lang w:val="en-GB"/>
        </w:rPr>
      </w:pPr>
      <w:r w:rsidRPr="00A42550">
        <w:rPr>
          <w:rFonts w:ascii="Arial" w:eastAsia="Times New Roman" w:hAnsi="Arial" w:cs="Arial"/>
          <w:sz w:val="24"/>
          <w:szCs w:val="24"/>
          <w:lang w:val="en-GB"/>
        </w:rPr>
        <w:t>Încurajarea prevenirii generării deşeurilor şi reutilizarea pentru o mai mare eficienţă a resurselor;</w:t>
      </w:r>
    </w:p>
    <w:p w:rsidR="00A42550" w:rsidRPr="00A42550" w:rsidRDefault="00A42550" w:rsidP="000A5EAD">
      <w:pPr>
        <w:numPr>
          <w:ilvl w:val="0"/>
          <w:numId w:val="21"/>
        </w:numPr>
        <w:spacing w:before="120" w:after="120" w:line="240" w:lineRule="auto"/>
        <w:jc w:val="both"/>
        <w:rPr>
          <w:rFonts w:ascii="Arial" w:eastAsia="Times New Roman" w:hAnsi="Arial" w:cs="Arial"/>
          <w:b/>
          <w:sz w:val="24"/>
          <w:szCs w:val="24"/>
          <w:lang w:val="en-GB"/>
        </w:rPr>
      </w:pPr>
      <w:r w:rsidRPr="00A42550">
        <w:rPr>
          <w:rFonts w:ascii="Arial" w:eastAsia="Times New Roman" w:hAnsi="Arial" w:cs="Arial"/>
          <w:sz w:val="24"/>
          <w:szCs w:val="24"/>
          <w:lang w:val="en-GB"/>
        </w:rPr>
        <w:t>Dezvoltarea şi extinderea sistemelor de colectare separată a deşeurilor în vederea promovării unei reciclării de înaltă calitate;</w:t>
      </w:r>
    </w:p>
    <w:p w:rsidR="00A42550" w:rsidRPr="00A42550" w:rsidRDefault="00A42550" w:rsidP="000A5EAD">
      <w:pPr>
        <w:numPr>
          <w:ilvl w:val="0"/>
          <w:numId w:val="21"/>
        </w:numPr>
        <w:spacing w:before="120" w:after="120" w:line="240" w:lineRule="auto"/>
        <w:jc w:val="both"/>
        <w:rPr>
          <w:rFonts w:ascii="Arial" w:eastAsia="Times New Roman" w:hAnsi="Arial" w:cs="Arial"/>
          <w:b/>
          <w:sz w:val="24"/>
          <w:szCs w:val="24"/>
          <w:lang w:val="en-GB"/>
        </w:rPr>
      </w:pPr>
      <w:r w:rsidRPr="00A42550">
        <w:rPr>
          <w:rFonts w:ascii="Arial" w:eastAsia="Times New Roman" w:hAnsi="Arial" w:cs="Arial"/>
          <w:sz w:val="24"/>
          <w:szCs w:val="24"/>
          <w:lang w:val="en-GB"/>
        </w:rPr>
        <w:t>Dezvoltarea/implementarea tehnologiilor/instalaţiilor de reciclare şi/sau valorificare cu randament ridicat de extragere şi utilizare a materiei prime din deşeuri;</w:t>
      </w:r>
    </w:p>
    <w:p w:rsidR="00A42550" w:rsidRPr="00A42550" w:rsidRDefault="00A42550" w:rsidP="000A5EAD">
      <w:pPr>
        <w:numPr>
          <w:ilvl w:val="0"/>
          <w:numId w:val="21"/>
        </w:numPr>
        <w:spacing w:before="120" w:after="120" w:line="240" w:lineRule="auto"/>
        <w:jc w:val="both"/>
        <w:rPr>
          <w:rFonts w:ascii="Arial" w:eastAsia="Times New Roman" w:hAnsi="Arial" w:cs="Arial"/>
          <w:b/>
          <w:sz w:val="24"/>
          <w:szCs w:val="24"/>
          <w:lang w:val="en-GB"/>
        </w:rPr>
      </w:pPr>
      <w:r w:rsidRPr="00A42550">
        <w:rPr>
          <w:rFonts w:ascii="Arial" w:eastAsia="Times New Roman" w:hAnsi="Arial" w:cs="Arial"/>
          <w:sz w:val="24"/>
          <w:szCs w:val="24"/>
          <w:lang w:val="en-GB"/>
        </w:rPr>
        <w:t>Evitarea exporturilor şi încurajarea importurilor unor tipuri de deşeuri pentru care există tehnologii de reciclare/valorificare.</w:t>
      </w:r>
    </w:p>
    <w:p w:rsidR="00A42550" w:rsidRPr="00A42550" w:rsidRDefault="00A42550" w:rsidP="000A5EAD">
      <w:pPr>
        <w:numPr>
          <w:ilvl w:val="0"/>
          <w:numId w:val="21"/>
        </w:numPr>
        <w:spacing w:before="120" w:after="120" w:line="240" w:lineRule="auto"/>
        <w:jc w:val="both"/>
        <w:rPr>
          <w:rFonts w:ascii="Arial" w:eastAsia="Times New Roman" w:hAnsi="Arial" w:cs="Arial"/>
          <w:b/>
          <w:sz w:val="24"/>
          <w:szCs w:val="24"/>
          <w:lang w:val="en-GB"/>
        </w:rPr>
      </w:pPr>
      <w:r w:rsidRPr="00A42550">
        <w:rPr>
          <w:rFonts w:ascii="Arial" w:eastAsia="Times New Roman" w:hAnsi="Arial" w:cs="Arial"/>
          <w:sz w:val="24"/>
          <w:szCs w:val="24"/>
          <w:lang w:val="en-GB"/>
        </w:rPr>
        <w:t>Susţinerea recuperarii energiei din deşeuri, după caz</w:t>
      </w:r>
      <w:r w:rsidRPr="00A42550">
        <w:rPr>
          <w:rFonts w:ascii="Cambria Math" w:eastAsia="Times New Roman" w:hAnsi="Cambria Math" w:cs="Cambria Math"/>
          <w:sz w:val="24"/>
          <w:szCs w:val="24"/>
          <w:highlight w:val="green"/>
          <w:lang w:val="en-GB"/>
        </w:rPr>
        <w:t>​​</w:t>
      </w:r>
      <w:r w:rsidRPr="00A42550">
        <w:rPr>
          <w:rFonts w:ascii="Arial" w:eastAsia="Times New Roman" w:hAnsi="Arial" w:cs="Arial"/>
          <w:sz w:val="24"/>
          <w:szCs w:val="24"/>
          <w:lang w:val="en-GB"/>
        </w:rPr>
        <w:t>, pentru deşeurile care nu pot fi reciclate;</w:t>
      </w:r>
    </w:p>
    <w:p w:rsidR="00A42550" w:rsidRPr="00A42550" w:rsidRDefault="00A42550" w:rsidP="000A5EAD">
      <w:pPr>
        <w:numPr>
          <w:ilvl w:val="0"/>
          <w:numId w:val="21"/>
        </w:numPr>
        <w:spacing w:before="120" w:after="120" w:line="240" w:lineRule="auto"/>
        <w:jc w:val="both"/>
        <w:rPr>
          <w:rFonts w:ascii="Arial" w:eastAsia="Times New Roman" w:hAnsi="Arial" w:cs="Arial"/>
          <w:b/>
          <w:sz w:val="24"/>
          <w:szCs w:val="24"/>
          <w:lang w:val="en-GB"/>
        </w:rPr>
      </w:pPr>
      <w:r w:rsidRPr="00A42550">
        <w:rPr>
          <w:rFonts w:ascii="Arial" w:eastAsia="Times New Roman" w:hAnsi="Arial" w:cs="Arial"/>
          <w:sz w:val="24"/>
          <w:szCs w:val="24"/>
          <w:lang w:val="en-GB"/>
        </w:rPr>
        <w:t>Reducerea cantităţilor de deşeuri eliminate prin depozitare.</w:t>
      </w:r>
    </w:p>
    <w:p w:rsidR="00A42550" w:rsidRPr="00A42550" w:rsidRDefault="00A42550" w:rsidP="00A42550">
      <w:pPr>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lastRenderedPageBreak/>
        <w:t>Abordarea integrată a aspectelor de mediu în gestionarea deşeurilor este un mijloc pentru identificarea, cuantificarea şi evaluarea serviciile ecosistemice în vederea adoptării celor mai bune decizii privind prezervarea, conservarea şi gestionarea mediului, în acord cu principiile dezvoltării durabile.</w:t>
      </w:r>
    </w:p>
    <w:p w:rsidR="00A42550" w:rsidRPr="00A42550" w:rsidRDefault="00A42550" w:rsidP="00A42550">
      <w:pPr>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Pe baza datelor prezentate anterior au fost calculaţi indicatorii de dezvoltare durabilă privind deşeurile, a căror tendinţă este prezentată în tabelul VII.1.5.1.</w:t>
      </w:r>
    </w:p>
    <w:p w:rsidR="00A42550" w:rsidRPr="00A42550" w:rsidRDefault="00A42550" w:rsidP="00A42550">
      <w:pPr>
        <w:tabs>
          <w:tab w:val="left" w:pos="0"/>
          <w:tab w:val="left" w:pos="284"/>
          <w:tab w:val="left" w:pos="426"/>
        </w:tabs>
        <w:spacing w:after="120" w:line="240" w:lineRule="auto"/>
        <w:rPr>
          <w:rFonts w:ascii="Arial" w:eastAsia="Times New Roman" w:hAnsi="Arial" w:cs="Arial"/>
          <w:i/>
          <w:sz w:val="24"/>
          <w:szCs w:val="24"/>
          <w:lang w:val="en-GB"/>
        </w:rPr>
      </w:pPr>
    </w:p>
    <w:p w:rsidR="00A42550" w:rsidRPr="00A42550" w:rsidRDefault="00A42550" w:rsidP="00A42550">
      <w:pPr>
        <w:tabs>
          <w:tab w:val="left" w:pos="0"/>
          <w:tab w:val="left" w:pos="284"/>
          <w:tab w:val="left" w:pos="426"/>
        </w:tabs>
        <w:spacing w:after="120" w:line="240" w:lineRule="auto"/>
        <w:rPr>
          <w:rFonts w:ascii="Arial" w:eastAsia="Times New Roman" w:hAnsi="Arial" w:cs="Arial"/>
          <w:i/>
          <w:sz w:val="24"/>
          <w:szCs w:val="24"/>
          <w:lang w:val="en-GB"/>
        </w:rPr>
      </w:pPr>
      <w:r w:rsidRPr="00A42550">
        <w:rPr>
          <w:rFonts w:ascii="Arial" w:eastAsia="Times New Roman" w:hAnsi="Arial" w:cs="Arial"/>
          <w:i/>
          <w:sz w:val="24"/>
          <w:szCs w:val="24"/>
          <w:lang w:val="en-GB"/>
        </w:rPr>
        <w:t>Tabelul VII.1.5.1. Evoluţia indicatorilor privind generarea deşeurilor</w:t>
      </w:r>
    </w:p>
    <w:tbl>
      <w:tblPr>
        <w:tblStyle w:val="TableGrid2"/>
        <w:tblpPr w:leftFromText="180" w:rightFromText="180" w:vertAnchor="text" w:horzAnchor="margin" w:tblpY="7"/>
        <w:tblW w:w="0" w:type="auto"/>
        <w:tblLook w:val="04A0"/>
      </w:tblPr>
      <w:tblGrid>
        <w:gridCol w:w="2256"/>
        <w:gridCol w:w="1329"/>
        <w:gridCol w:w="1235"/>
        <w:gridCol w:w="1329"/>
        <w:gridCol w:w="1235"/>
        <w:gridCol w:w="1329"/>
        <w:gridCol w:w="1140"/>
      </w:tblGrid>
      <w:tr w:rsidR="00A42550" w:rsidRPr="00A42550" w:rsidTr="00A42550">
        <w:tc>
          <w:tcPr>
            <w:tcW w:w="2256" w:type="dxa"/>
            <w:shd w:val="clear" w:color="auto" w:fill="FFFF00"/>
          </w:tcPr>
          <w:p w:rsidR="00A42550" w:rsidRPr="00A42550" w:rsidRDefault="00A42550" w:rsidP="00A42550">
            <w:pPr>
              <w:spacing w:after="0" w:line="240" w:lineRule="auto"/>
              <w:jc w:val="center"/>
              <w:rPr>
                <w:rFonts w:ascii="Arial" w:hAnsi="Arial" w:cs="Arial"/>
                <w:b/>
                <w:sz w:val="20"/>
                <w:szCs w:val="20"/>
                <w:lang w:val="en-GB"/>
              </w:rPr>
            </w:pPr>
            <w:r w:rsidRPr="00A42550">
              <w:rPr>
                <w:rFonts w:ascii="Arial" w:hAnsi="Arial" w:cs="Arial"/>
                <w:b/>
                <w:sz w:val="20"/>
                <w:szCs w:val="20"/>
                <w:lang w:val="en-GB"/>
              </w:rPr>
              <w:t>Indicator</w:t>
            </w:r>
          </w:p>
        </w:tc>
        <w:tc>
          <w:tcPr>
            <w:tcW w:w="1329" w:type="dxa"/>
            <w:shd w:val="clear" w:color="auto" w:fill="FFFF00"/>
          </w:tcPr>
          <w:p w:rsidR="00A42550" w:rsidRPr="00A42550" w:rsidRDefault="00A42550" w:rsidP="00A42550">
            <w:pPr>
              <w:spacing w:after="0" w:line="240" w:lineRule="auto"/>
              <w:jc w:val="center"/>
              <w:rPr>
                <w:rFonts w:ascii="Arial" w:hAnsi="Arial" w:cs="Arial"/>
                <w:b/>
                <w:sz w:val="20"/>
                <w:szCs w:val="20"/>
                <w:lang w:val="en-GB"/>
              </w:rPr>
            </w:pPr>
            <w:r w:rsidRPr="00A42550">
              <w:rPr>
                <w:rFonts w:ascii="Arial" w:hAnsi="Arial" w:cs="Arial"/>
                <w:b/>
                <w:sz w:val="20"/>
                <w:szCs w:val="20"/>
                <w:lang w:val="en-GB"/>
              </w:rPr>
              <w:t>2008</w:t>
            </w:r>
          </w:p>
        </w:tc>
        <w:tc>
          <w:tcPr>
            <w:tcW w:w="1235" w:type="dxa"/>
            <w:shd w:val="clear" w:color="auto" w:fill="FFFF00"/>
          </w:tcPr>
          <w:p w:rsidR="00A42550" w:rsidRPr="00A42550" w:rsidRDefault="00A42550" w:rsidP="00A42550">
            <w:pPr>
              <w:spacing w:after="0" w:line="240" w:lineRule="auto"/>
              <w:jc w:val="center"/>
              <w:rPr>
                <w:rFonts w:ascii="Arial" w:hAnsi="Arial" w:cs="Arial"/>
                <w:b/>
                <w:sz w:val="20"/>
                <w:szCs w:val="20"/>
                <w:lang w:val="en-GB"/>
              </w:rPr>
            </w:pPr>
            <w:r w:rsidRPr="00A42550">
              <w:rPr>
                <w:rFonts w:ascii="Arial" w:hAnsi="Arial" w:cs="Arial"/>
                <w:b/>
                <w:sz w:val="20"/>
                <w:szCs w:val="20"/>
                <w:lang w:val="en-GB"/>
              </w:rPr>
              <w:t>2009</w:t>
            </w:r>
          </w:p>
        </w:tc>
        <w:tc>
          <w:tcPr>
            <w:tcW w:w="1329" w:type="dxa"/>
            <w:shd w:val="clear" w:color="auto" w:fill="FFFF00"/>
          </w:tcPr>
          <w:p w:rsidR="00A42550" w:rsidRPr="00A42550" w:rsidRDefault="00A42550" w:rsidP="00A42550">
            <w:pPr>
              <w:spacing w:after="0" w:line="240" w:lineRule="auto"/>
              <w:jc w:val="center"/>
              <w:rPr>
                <w:rFonts w:ascii="Arial" w:hAnsi="Arial" w:cs="Arial"/>
                <w:b/>
                <w:sz w:val="20"/>
                <w:szCs w:val="20"/>
                <w:lang w:val="en-GB"/>
              </w:rPr>
            </w:pPr>
            <w:r w:rsidRPr="00A42550">
              <w:rPr>
                <w:rFonts w:ascii="Arial" w:hAnsi="Arial" w:cs="Arial"/>
                <w:b/>
                <w:sz w:val="20"/>
                <w:szCs w:val="20"/>
                <w:lang w:val="en-GB"/>
              </w:rPr>
              <w:t>2010</w:t>
            </w:r>
          </w:p>
        </w:tc>
        <w:tc>
          <w:tcPr>
            <w:tcW w:w="1235" w:type="dxa"/>
            <w:shd w:val="clear" w:color="auto" w:fill="FFFF00"/>
          </w:tcPr>
          <w:p w:rsidR="00A42550" w:rsidRPr="00A42550" w:rsidRDefault="00A42550" w:rsidP="00A42550">
            <w:pPr>
              <w:spacing w:after="0" w:line="240" w:lineRule="auto"/>
              <w:jc w:val="center"/>
              <w:rPr>
                <w:rFonts w:ascii="Arial" w:hAnsi="Arial" w:cs="Arial"/>
                <w:b/>
                <w:sz w:val="20"/>
                <w:szCs w:val="20"/>
                <w:lang w:val="en-GB"/>
              </w:rPr>
            </w:pPr>
            <w:r w:rsidRPr="00A42550">
              <w:rPr>
                <w:rFonts w:ascii="Arial" w:hAnsi="Arial" w:cs="Arial"/>
                <w:b/>
                <w:sz w:val="20"/>
                <w:szCs w:val="20"/>
                <w:lang w:val="en-GB"/>
              </w:rPr>
              <w:t>2011</w:t>
            </w:r>
          </w:p>
        </w:tc>
        <w:tc>
          <w:tcPr>
            <w:tcW w:w="1329" w:type="dxa"/>
            <w:shd w:val="clear" w:color="auto" w:fill="FFFF00"/>
          </w:tcPr>
          <w:p w:rsidR="00A42550" w:rsidRPr="00A42550" w:rsidRDefault="00A42550" w:rsidP="00A42550">
            <w:pPr>
              <w:spacing w:after="0" w:line="240" w:lineRule="auto"/>
              <w:jc w:val="center"/>
              <w:rPr>
                <w:rFonts w:ascii="Arial" w:hAnsi="Arial" w:cs="Arial"/>
                <w:b/>
                <w:sz w:val="20"/>
                <w:szCs w:val="20"/>
                <w:lang w:val="en-GB"/>
              </w:rPr>
            </w:pPr>
            <w:r w:rsidRPr="00A42550">
              <w:rPr>
                <w:rFonts w:ascii="Arial" w:hAnsi="Arial" w:cs="Arial"/>
                <w:b/>
                <w:sz w:val="20"/>
                <w:szCs w:val="20"/>
                <w:lang w:val="en-GB"/>
              </w:rPr>
              <w:t>2012</w:t>
            </w:r>
          </w:p>
        </w:tc>
        <w:tc>
          <w:tcPr>
            <w:tcW w:w="1140" w:type="dxa"/>
            <w:shd w:val="clear" w:color="auto" w:fill="FFFF00"/>
          </w:tcPr>
          <w:p w:rsidR="00A42550" w:rsidRPr="00A42550" w:rsidRDefault="00A42550" w:rsidP="00A42550">
            <w:pPr>
              <w:spacing w:after="0" w:line="240" w:lineRule="auto"/>
              <w:jc w:val="center"/>
              <w:rPr>
                <w:rFonts w:ascii="Arial" w:hAnsi="Arial" w:cs="Arial"/>
                <w:b/>
                <w:sz w:val="20"/>
                <w:szCs w:val="20"/>
                <w:lang w:val="en-GB"/>
              </w:rPr>
            </w:pPr>
            <w:r w:rsidRPr="00A42550">
              <w:rPr>
                <w:rFonts w:ascii="Arial" w:hAnsi="Arial" w:cs="Arial"/>
                <w:b/>
                <w:sz w:val="20"/>
                <w:szCs w:val="20"/>
                <w:lang w:val="en-GB"/>
              </w:rPr>
              <w:t>Tendinţa</w:t>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Generarea deşeurilor municipale(kg/loc/an)</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375,89</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374,14</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374,15</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323,21</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277,69</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00FF00"/>
                <w:sz w:val="36"/>
                <w:szCs w:val="36"/>
                <w:lang w:val="en-GB"/>
              </w:rPr>
              <w:sym w:font="Wingdings" w:char="F04A"/>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Gradul de conectare la serviciul de salubritate</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26,59</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37,67</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45,51</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62,08</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55,7</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00FF00"/>
                <w:sz w:val="36"/>
                <w:szCs w:val="36"/>
                <w:lang w:val="en-GB"/>
              </w:rPr>
              <w:sym w:font="Wingdings" w:char="F04A"/>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Colectarea selectivă a deşeurilor munic</w:t>
            </w:r>
            <w:r w:rsidRPr="00A42550">
              <w:rPr>
                <w:rFonts w:ascii="Arial" w:hAnsi="Arial" w:cs="Arial"/>
                <w:sz w:val="20"/>
                <w:szCs w:val="20"/>
                <w:lang w:val="en-GB"/>
              </w:rPr>
              <w:t>i</w:t>
            </w:r>
            <w:r w:rsidRPr="00A42550">
              <w:rPr>
                <w:rFonts w:ascii="Arial" w:hAnsi="Arial" w:cs="Arial"/>
                <w:sz w:val="20"/>
                <w:szCs w:val="20"/>
                <w:lang w:val="en-GB"/>
              </w:rPr>
              <w:t>pale(tone)</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1469,54</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1197,993</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843,765</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104,869</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80,847</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FF0000"/>
                <w:sz w:val="36"/>
                <w:szCs w:val="36"/>
                <w:lang w:val="en-GB"/>
              </w:rPr>
              <w:sym w:font="Wingdings" w:char="F04C"/>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Reciclarea deşeurilor municipale(tone)</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35390,406</w:t>
            </w:r>
          </w:p>
        </w:tc>
        <w:tc>
          <w:tcPr>
            <w:tcW w:w="1235" w:type="dxa"/>
          </w:tcPr>
          <w:p w:rsidR="00A42550" w:rsidRPr="00A42550" w:rsidRDefault="00A42550" w:rsidP="00A42550">
            <w:pPr>
              <w:spacing w:after="120" w:line="240" w:lineRule="auto"/>
              <w:rPr>
                <w:rFonts w:ascii="Arial" w:hAnsi="Arial" w:cs="Arial"/>
                <w:bCs/>
                <w:sz w:val="20"/>
                <w:szCs w:val="20"/>
                <w:lang w:val="en-GB"/>
              </w:rPr>
            </w:pPr>
            <w:r w:rsidRPr="00A42550">
              <w:rPr>
                <w:rFonts w:ascii="Arial" w:hAnsi="Arial" w:cs="Arial"/>
                <w:bCs/>
                <w:sz w:val="20"/>
                <w:szCs w:val="20"/>
                <w:lang w:val="en-GB"/>
              </w:rPr>
              <w:t>30391,976</w:t>
            </w:r>
          </w:p>
        </w:tc>
        <w:tc>
          <w:tcPr>
            <w:tcW w:w="1329" w:type="dxa"/>
          </w:tcPr>
          <w:p w:rsidR="00A42550" w:rsidRPr="00A42550" w:rsidRDefault="00A42550" w:rsidP="00A42550">
            <w:pPr>
              <w:spacing w:after="120" w:line="240" w:lineRule="auto"/>
              <w:rPr>
                <w:rFonts w:ascii="Arial" w:hAnsi="Arial" w:cs="Arial"/>
                <w:bCs/>
                <w:sz w:val="20"/>
                <w:szCs w:val="20"/>
                <w:lang w:val="en-GB"/>
              </w:rPr>
            </w:pPr>
            <w:r w:rsidRPr="00A42550">
              <w:rPr>
                <w:rFonts w:ascii="Arial" w:hAnsi="Arial" w:cs="Arial"/>
                <w:bCs/>
                <w:sz w:val="20"/>
                <w:szCs w:val="20"/>
                <w:lang w:val="en-GB"/>
              </w:rPr>
              <w:t>34673,945</w:t>
            </w:r>
          </w:p>
        </w:tc>
        <w:tc>
          <w:tcPr>
            <w:tcW w:w="1235" w:type="dxa"/>
          </w:tcPr>
          <w:p w:rsidR="00A42550" w:rsidRPr="00A42550" w:rsidRDefault="00A42550" w:rsidP="00A42550">
            <w:pPr>
              <w:spacing w:after="120" w:line="240" w:lineRule="auto"/>
              <w:rPr>
                <w:rFonts w:ascii="Arial" w:hAnsi="Arial" w:cs="Arial"/>
                <w:bCs/>
                <w:sz w:val="20"/>
                <w:szCs w:val="20"/>
                <w:lang w:val="en-GB"/>
              </w:rPr>
            </w:pPr>
            <w:r w:rsidRPr="00A42550">
              <w:rPr>
                <w:rFonts w:ascii="Arial" w:hAnsi="Arial" w:cs="Arial"/>
                <w:bCs/>
                <w:sz w:val="20"/>
                <w:szCs w:val="20"/>
                <w:lang w:val="en-GB"/>
              </w:rPr>
              <w:t>20233,285</w:t>
            </w:r>
          </w:p>
        </w:tc>
        <w:tc>
          <w:tcPr>
            <w:tcW w:w="1329" w:type="dxa"/>
          </w:tcPr>
          <w:p w:rsidR="00A42550" w:rsidRPr="00A42550" w:rsidRDefault="00A42550" w:rsidP="00A42550">
            <w:pPr>
              <w:spacing w:after="120" w:line="240" w:lineRule="auto"/>
              <w:rPr>
                <w:rFonts w:ascii="Arial" w:hAnsi="Arial" w:cs="Arial"/>
                <w:bCs/>
                <w:sz w:val="20"/>
                <w:szCs w:val="20"/>
                <w:lang w:val="en-GB"/>
              </w:rPr>
            </w:pPr>
            <w:r w:rsidRPr="00A42550">
              <w:rPr>
                <w:rFonts w:ascii="Arial" w:hAnsi="Arial" w:cs="Arial"/>
                <w:bCs/>
                <w:sz w:val="20"/>
                <w:szCs w:val="20"/>
                <w:lang w:val="en-GB"/>
              </w:rPr>
              <w:t>25557,282</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FF0000"/>
                <w:sz w:val="36"/>
                <w:szCs w:val="36"/>
                <w:lang w:val="en-GB"/>
              </w:rPr>
              <w:sym w:font="Wingdings" w:char="F04C"/>
            </w:r>
          </w:p>
        </w:tc>
      </w:tr>
      <w:tr w:rsidR="00A42550" w:rsidRPr="00A42550" w:rsidTr="00A42550">
        <w:tc>
          <w:tcPr>
            <w:tcW w:w="2256"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Cantitatea de deşeuri biodegradabile din deşeurile municipale depozitate (mii tone)</w:t>
            </w:r>
          </w:p>
        </w:tc>
        <w:tc>
          <w:tcPr>
            <w:tcW w:w="1329"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111,289</w:t>
            </w:r>
          </w:p>
        </w:tc>
        <w:tc>
          <w:tcPr>
            <w:tcW w:w="1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89,693</w:t>
            </w:r>
          </w:p>
        </w:tc>
        <w:tc>
          <w:tcPr>
            <w:tcW w:w="1329"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95,804</w:t>
            </w:r>
          </w:p>
        </w:tc>
        <w:tc>
          <w:tcPr>
            <w:tcW w:w="1235"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81,404</w:t>
            </w:r>
          </w:p>
        </w:tc>
        <w:tc>
          <w:tcPr>
            <w:tcW w:w="1329" w:type="dxa"/>
          </w:tcPr>
          <w:p w:rsidR="00A42550" w:rsidRPr="00A42550" w:rsidRDefault="00A42550" w:rsidP="00A42550">
            <w:pPr>
              <w:autoSpaceDE w:val="0"/>
              <w:autoSpaceDN w:val="0"/>
              <w:adjustRightInd w:val="0"/>
              <w:spacing w:after="120" w:line="240" w:lineRule="auto"/>
              <w:rPr>
                <w:rFonts w:ascii="Arial" w:hAnsi="Arial" w:cs="Arial"/>
                <w:sz w:val="20"/>
                <w:szCs w:val="20"/>
                <w:lang w:val="ro-RO"/>
              </w:rPr>
            </w:pPr>
            <w:r w:rsidRPr="00A42550">
              <w:rPr>
                <w:rFonts w:ascii="Arial" w:hAnsi="Arial" w:cs="Arial"/>
                <w:sz w:val="20"/>
                <w:szCs w:val="20"/>
                <w:lang w:val="ro-RO"/>
              </w:rPr>
              <w:t>61,269</w:t>
            </w:r>
          </w:p>
        </w:tc>
        <w:tc>
          <w:tcPr>
            <w:tcW w:w="1140" w:type="dxa"/>
          </w:tcPr>
          <w:p w:rsidR="00A42550" w:rsidRPr="00A42550" w:rsidRDefault="00A42550" w:rsidP="00A42550">
            <w:pPr>
              <w:spacing w:after="0" w:line="240" w:lineRule="auto"/>
              <w:rPr>
                <w:rFonts w:ascii="Arial" w:hAnsi="Arial" w:cs="Arial"/>
                <w:b/>
                <w:color w:val="FF0000"/>
                <w:sz w:val="36"/>
                <w:szCs w:val="36"/>
                <w:lang w:val="en-GB"/>
              </w:rPr>
            </w:pPr>
            <w:r w:rsidRPr="00A42550">
              <w:rPr>
                <w:rFonts w:ascii="Arial" w:hAnsi="Arial" w:cs="Arial"/>
                <w:b/>
                <w:color w:val="00FF00"/>
                <w:sz w:val="36"/>
                <w:szCs w:val="36"/>
                <w:lang w:val="en-GB"/>
              </w:rPr>
              <w:sym w:font="Wingdings" w:char="F04A"/>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Numărul depozitelor municipale conforme în operare</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sz w:val="36"/>
                <w:szCs w:val="36"/>
                <w:lang w:val="en-GB"/>
              </w:rPr>
              <w:sym w:font="Wingdings" w:char="F04B"/>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Numar staţii de tran</w:t>
            </w:r>
            <w:r w:rsidRPr="00A42550">
              <w:rPr>
                <w:rFonts w:ascii="Arial" w:hAnsi="Arial" w:cs="Arial"/>
                <w:sz w:val="20"/>
                <w:szCs w:val="20"/>
                <w:lang w:val="en-GB"/>
              </w:rPr>
              <w:t>s</w:t>
            </w:r>
            <w:r w:rsidRPr="00A42550">
              <w:rPr>
                <w:rFonts w:ascii="Arial" w:hAnsi="Arial" w:cs="Arial"/>
                <w:sz w:val="20"/>
                <w:szCs w:val="20"/>
                <w:lang w:val="en-GB"/>
              </w:rPr>
              <w:t xml:space="preserve">fer ţi/sau sortare </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0</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0</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0</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2</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2</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00FF00"/>
                <w:sz w:val="36"/>
                <w:szCs w:val="36"/>
                <w:lang w:val="en-GB"/>
              </w:rPr>
              <w:sym w:font="Wingdings" w:char="F04A"/>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Generarea deşeurilor industriale neperic</w:t>
            </w:r>
            <w:r w:rsidRPr="00A42550">
              <w:rPr>
                <w:rFonts w:ascii="Arial" w:hAnsi="Arial" w:cs="Arial"/>
                <w:sz w:val="20"/>
                <w:szCs w:val="20"/>
                <w:lang w:val="en-GB"/>
              </w:rPr>
              <w:t>u</w:t>
            </w:r>
            <w:r w:rsidRPr="00A42550">
              <w:rPr>
                <w:rFonts w:ascii="Arial" w:hAnsi="Arial" w:cs="Arial"/>
                <w:sz w:val="20"/>
                <w:szCs w:val="20"/>
                <w:lang w:val="en-GB"/>
              </w:rPr>
              <w:t>loase (tone)</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70948,24</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108720,12</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136302,573</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158391,7</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150537,624</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FF0000"/>
                <w:sz w:val="36"/>
                <w:szCs w:val="36"/>
                <w:lang w:val="en-GB"/>
              </w:rPr>
              <w:sym w:font="Wingdings" w:char="F04C"/>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Generarea deşeurilor industriale periculoase (tone)</w:t>
            </w:r>
          </w:p>
        </w:tc>
        <w:tc>
          <w:tcPr>
            <w:tcW w:w="1329"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1718,11</w:t>
            </w:r>
          </w:p>
        </w:tc>
        <w:tc>
          <w:tcPr>
            <w:tcW w:w="12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3148,015</w:t>
            </w:r>
          </w:p>
        </w:tc>
        <w:tc>
          <w:tcPr>
            <w:tcW w:w="1329"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4355,645</w:t>
            </w:r>
          </w:p>
        </w:tc>
        <w:tc>
          <w:tcPr>
            <w:tcW w:w="1235"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3372,188</w:t>
            </w:r>
          </w:p>
        </w:tc>
        <w:tc>
          <w:tcPr>
            <w:tcW w:w="1329" w:type="dxa"/>
          </w:tcPr>
          <w:p w:rsidR="00A42550" w:rsidRPr="00A42550" w:rsidRDefault="00A42550" w:rsidP="00A42550">
            <w:pPr>
              <w:spacing w:after="0" w:line="240" w:lineRule="auto"/>
              <w:rPr>
                <w:rFonts w:ascii="Arial" w:hAnsi="Arial" w:cs="Arial"/>
                <w:sz w:val="20"/>
              </w:rPr>
            </w:pPr>
            <w:r w:rsidRPr="00A42550">
              <w:rPr>
                <w:rFonts w:ascii="Arial" w:hAnsi="Arial" w:cs="Arial"/>
                <w:sz w:val="20"/>
              </w:rPr>
              <w:t>3363,952</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sz w:val="36"/>
                <w:szCs w:val="36"/>
                <w:lang w:val="en-GB"/>
              </w:rPr>
              <w:sym w:font="Wingdings" w:char="F04B"/>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Rata de colectare a DEEE (tone)</w:t>
            </w:r>
          </w:p>
        </w:tc>
        <w:tc>
          <w:tcPr>
            <w:tcW w:w="1329" w:type="dxa"/>
          </w:tcPr>
          <w:p w:rsidR="00A42550" w:rsidRPr="00A42550" w:rsidRDefault="00A42550" w:rsidP="00A42550">
            <w:pPr>
              <w:spacing w:after="0" w:line="240" w:lineRule="auto"/>
              <w:rPr>
                <w:rFonts w:ascii="Arial" w:hAnsi="Arial" w:cs="Arial"/>
                <w:sz w:val="20"/>
                <w:szCs w:val="20"/>
                <w:lang w:val="en-GB"/>
              </w:rPr>
            </w:pPr>
          </w:p>
        </w:tc>
        <w:tc>
          <w:tcPr>
            <w:tcW w:w="1235" w:type="dxa"/>
          </w:tcPr>
          <w:p w:rsidR="00A42550" w:rsidRPr="00A42550" w:rsidRDefault="00A42550" w:rsidP="00A42550">
            <w:pPr>
              <w:autoSpaceDE w:val="0"/>
              <w:autoSpaceDN w:val="0"/>
              <w:adjustRightInd w:val="0"/>
              <w:spacing w:after="120" w:line="240" w:lineRule="auto"/>
              <w:rPr>
                <w:rFonts w:ascii="Arial" w:hAnsi="Arial" w:cs="Arial"/>
                <w:sz w:val="20"/>
                <w:szCs w:val="20"/>
                <w:lang w:val="en-GB"/>
              </w:rPr>
            </w:pPr>
            <w:r w:rsidRPr="00A42550">
              <w:rPr>
                <w:rFonts w:ascii="Arial" w:hAnsi="Arial" w:cs="Arial"/>
                <w:sz w:val="20"/>
                <w:szCs w:val="20"/>
                <w:lang w:val="en-GB"/>
              </w:rPr>
              <w:t>3849,04</w:t>
            </w:r>
          </w:p>
        </w:tc>
        <w:tc>
          <w:tcPr>
            <w:tcW w:w="1329" w:type="dxa"/>
          </w:tcPr>
          <w:p w:rsidR="00A42550" w:rsidRPr="00A42550" w:rsidRDefault="00A42550" w:rsidP="00A42550">
            <w:pPr>
              <w:autoSpaceDE w:val="0"/>
              <w:autoSpaceDN w:val="0"/>
              <w:adjustRightInd w:val="0"/>
              <w:spacing w:after="120" w:line="240" w:lineRule="auto"/>
              <w:rPr>
                <w:rFonts w:ascii="Arial" w:hAnsi="Arial" w:cs="Arial"/>
                <w:sz w:val="20"/>
                <w:szCs w:val="20"/>
                <w:lang w:val="en-GB"/>
              </w:rPr>
            </w:pPr>
            <w:r w:rsidRPr="00A42550">
              <w:rPr>
                <w:rFonts w:ascii="Arial" w:hAnsi="Arial" w:cs="Arial"/>
                <w:sz w:val="20"/>
                <w:szCs w:val="20"/>
                <w:lang w:val="en-GB"/>
              </w:rPr>
              <w:t>6291,29</w:t>
            </w:r>
          </w:p>
        </w:tc>
        <w:tc>
          <w:tcPr>
            <w:tcW w:w="1235" w:type="dxa"/>
          </w:tcPr>
          <w:p w:rsidR="00A42550" w:rsidRPr="00A42550" w:rsidRDefault="00A42550" w:rsidP="00A42550">
            <w:pPr>
              <w:autoSpaceDE w:val="0"/>
              <w:autoSpaceDN w:val="0"/>
              <w:adjustRightInd w:val="0"/>
              <w:spacing w:after="120" w:line="240" w:lineRule="auto"/>
              <w:rPr>
                <w:rFonts w:ascii="Arial" w:hAnsi="Arial" w:cs="Arial"/>
                <w:sz w:val="20"/>
                <w:szCs w:val="20"/>
                <w:lang w:val="en-GB"/>
              </w:rPr>
            </w:pPr>
            <w:r w:rsidRPr="00A42550">
              <w:rPr>
                <w:rFonts w:ascii="Arial" w:hAnsi="Arial" w:cs="Arial"/>
                <w:sz w:val="20"/>
                <w:szCs w:val="20"/>
                <w:lang w:val="en-GB"/>
              </w:rPr>
              <w:t>3272,77</w:t>
            </w:r>
          </w:p>
        </w:tc>
        <w:tc>
          <w:tcPr>
            <w:tcW w:w="1329" w:type="dxa"/>
          </w:tcPr>
          <w:p w:rsidR="00A42550" w:rsidRPr="00A42550" w:rsidRDefault="00A42550" w:rsidP="00A42550">
            <w:pPr>
              <w:autoSpaceDE w:val="0"/>
              <w:autoSpaceDN w:val="0"/>
              <w:adjustRightInd w:val="0"/>
              <w:spacing w:after="120" w:line="240" w:lineRule="auto"/>
              <w:rPr>
                <w:rFonts w:ascii="Arial" w:hAnsi="Arial" w:cs="Arial"/>
                <w:sz w:val="20"/>
                <w:szCs w:val="20"/>
                <w:lang w:val="en-GB"/>
              </w:rPr>
            </w:pPr>
            <w:r w:rsidRPr="00A42550">
              <w:rPr>
                <w:rFonts w:ascii="Arial" w:hAnsi="Arial" w:cs="Arial"/>
                <w:sz w:val="20"/>
                <w:szCs w:val="20"/>
                <w:lang w:val="en-GB"/>
              </w:rPr>
              <w:t>3109,23</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FF0000"/>
                <w:sz w:val="36"/>
                <w:szCs w:val="36"/>
                <w:lang w:val="en-GB"/>
              </w:rPr>
              <w:sym w:font="Wingdings" w:char="F04C"/>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Număr de VSU cole</w:t>
            </w:r>
            <w:r w:rsidRPr="00A42550">
              <w:rPr>
                <w:rFonts w:ascii="Arial" w:hAnsi="Arial" w:cs="Arial"/>
                <w:sz w:val="20"/>
                <w:szCs w:val="20"/>
                <w:lang w:val="en-GB"/>
              </w:rPr>
              <w:t>c</w:t>
            </w:r>
            <w:r w:rsidRPr="00A42550">
              <w:rPr>
                <w:rFonts w:ascii="Arial" w:hAnsi="Arial" w:cs="Arial"/>
                <w:sz w:val="20"/>
                <w:szCs w:val="20"/>
                <w:lang w:val="en-GB"/>
              </w:rPr>
              <w:t>tate</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1475</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1454</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6961</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3996</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2407</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FF0000"/>
                <w:sz w:val="36"/>
                <w:szCs w:val="36"/>
                <w:lang w:val="en-GB"/>
              </w:rPr>
              <w:sym w:font="Wingdings" w:char="F04C"/>
            </w:r>
          </w:p>
        </w:tc>
      </w:tr>
      <w:tr w:rsidR="00A42550" w:rsidRPr="00A42550" w:rsidTr="00A42550">
        <w:tc>
          <w:tcPr>
            <w:tcW w:w="2256"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Rata de rec</w:t>
            </w:r>
            <w:r w:rsidRPr="00A42550">
              <w:rPr>
                <w:rFonts w:ascii="Arial" w:hAnsi="Arial" w:cs="Arial"/>
                <w:sz w:val="20"/>
                <w:szCs w:val="20"/>
                <w:lang w:val="en-GB"/>
              </w:rPr>
              <w:t>i</w:t>
            </w:r>
            <w:r w:rsidRPr="00A42550">
              <w:rPr>
                <w:rFonts w:ascii="Arial" w:hAnsi="Arial" w:cs="Arial"/>
                <w:sz w:val="20"/>
                <w:szCs w:val="20"/>
                <w:lang w:val="en-GB"/>
              </w:rPr>
              <w:t>clare/valorificare a VSU</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83,69/85,69</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83,7/86,45</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80,5/85,29</w:t>
            </w:r>
          </w:p>
        </w:tc>
        <w:tc>
          <w:tcPr>
            <w:tcW w:w="1235"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80,9/85,5</w:t>
            </w:r>
          </w:p>
        </w:tc>
        <w:tc>
          <w:tcPr>
            <w:tcW w:w="1329"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sz w:val="20"/>
                <w:szCs w:val="20"/>
                <w:lang w:val="en-GB"/>
              </w:rPr>
              <w:t>83,81/86,26</w:t>
            </w:r>
          </w:p>
        </w:tc>
        <w:tc>
          <w:tcPr>
            <w:tcW w:w="1140" w:type="dxa"/>
          </w:tcPr>
          <w:p w:rsidR="00A42550" w:rsidRPr="00A42550" w:rsidRDefault="00A42550" w:rsidP="00A42550">
            <w:pPr>
              <w:spacing w:after="0" w:line="240" w:lineRule="auto"/>
              <w:rPr>
                <w:rFonts w:ascii="Arial" w:hAnsi="Arial" w:cs="Arial"/>
                <w:sz w:val="20"/>
                <w:szCs w:val="20"/>
                <w:lang w:val="en-GB"/>
              </w:rPr>
            </w:pPr>
            <w:r w:rsidRPr="00A42550">
              <w:rPr>
                <w:rFonts w:ascii="Arial" w:hAnsi="Arial" w:cs="Arial"/>
                <w:b/>
                <w:color w:val="00FF00"/>
                <w:sz w:val="36"/>
                <w:szCs w:val="36"/>
                <w:lang w:val="en-GB"/>
              </w:rPr>
              <w:sym w:font="Wingdings" w:char="F04A"/>
            </w:r>
          </w:p>
        </w:tc>
      </w:tr>
    </w:tbl>
    <w:p w:rsidR="00A42550" w:rsidRPr="00A42550" w:rsidRDefault="00A42550" w:rsidP="00A42550">
      <w:pPr>
        <w:spacing w:after="120" w:line="240" w:lineRule="auto"/>
        <w:jc w:val="both"/>
        <w:rPr>
          <w:rFonts w:ascii="Arial" w:eastAsia="Times New Roman" w:hAnsi="Arial" w:cs="Arial"/>
          <w:sz w:val="24"/>
          <w:szCs w:val="24"/>
          <w:lang w:val="en-GB"/>
        </w:rPr>
      </w:pP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Analizând datele prezentate în tabelul de mai sus, se pot trage următoarele concluzii:</w:t>
      </w: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 xml:space="preserve">► Se constată o tendinţă descrescătoare a indicatorului de generare a deşeurilor de către populaţie. </w:t>
      </w:r>
      <w:r w:rsidRPr="00A42550">
        <w:rPr>
          <w:rFonts w:ascii="Arial" w:eastAsia="Times New Roman" w:hAnsi="Arial" w:cs="Arial"/>
          <w:sz w:val="24"/>
          <w:szCs w:val="24"/>
          <w:lang w:val="ro-RO"/>
        </w:rPr>
        <w:t xml:space="preserve">Deşi numărul populaţiei deservite </w:t>
      </w:r>
      <w:r w:rsidRPr="00A42550">
        <w:rPr>
          <w:rFonts w:ascii="Arial" w:eastAsia="Times New Roman" w:hAnsi="Arial" w:cs="Arial"/>
          <w:sz w:val="24"/>
          <w:szCs w:val="24"/>
          <w:lang w:val="en-GB"/>
        </w:rPr>
        <w:t xml:space="preserve">cu servicii de salubritate  </w:t>
      </w:r>
      <w:r w:rsidRPr="00A42550">
        <w:rPr>
          <w:rFonts w:ascii="Arial" w:eastAsia="Times New Roman" w:hAnsi="Arial" w:cs="Arial"/>
          <w:sz w:val="24"/>
          <w:szCs w:val="24"/>
          <w:lang w:val="ro-RO"/>
        </w:rPr>
        <w:t xml:space="preserve">s-a mărit de la an la an, cantitatea de deşeuri municipale  generate a scăzut </w:t>
      </w:r>
      <w:r w:rsidRPr="00A42550">
        <w:rPr>
          <w:rFonts w:ascii="Arial" w:eastAsia="Times New Roman" w:hAnsi="Arial" w:cs="Arial"/>
          <w:sz w:val="24"/>
          <w:szCs w:val="24"/>
          <w:lang w:val="en-GB"/>
        </w:rPr>
        <w:t xml:space="preserve">până </w:t>
      </w:r>
      <w:r w:rsidRPr="00A42550">
        <w:rPr>
          <w:rFonts w:ascii="Arial" w:eastAsia="Times New Roman" w:hAnsi="Arial" w:cs="Arial"/>
          <w:sz w:val="24"/>
          <w:szCs w:val="24"/>
          <w:lang w:val="ro-RO"/>
        </w:rPr>
        <w:t>în anul 2012. Acest lucru poate fi explicat  prin cresterea cantităţilor de deşeuri colectate selectiv, prin implementarea sistemului de colectare selectivă într-un număr mai mare de localităţi rurale şi pe de altă parte prin scăderea puterii economice a populaţiei.</w:t>
      </w:r>
    </w:p>
    <w:p w:rsidR="00A42550" w:rsidRPr="00A42550" w:rsidRDefault="00A42550" w:rsidP="00A42550">
      <w:pPr>
        <w:tabs>
          <w:tab w:val="left" w:pos="142"/>
        </w:tabs>
        <w:spacing w:after="0" w:line="240" w:lineRule="auto"/>
        <w:jc w:val="both"/>
        <w:rPr>
          <w:rFonts w:ascii="Arial" w:eastAsia="Times New Roman" w:hAnsi="Arial" w:cs="Arial"/>
          <w:bCs/>
          <w:sz w:val="24"/>
          <w:szCs w:val="24"/>
          <w:lang w:val="ro-RO"/>
        </w:rPr>
      </w:pPr>
      <w:r w:rsidRPr="00A42550">
        <w:rPr>
          <w:rFonts w:ascii="Arial" w:eastAsia="Times New Roman" w:hAnsi="Arial" w:cs="Arial"/>
        </w:rPr>
        <w:t xml:space="preserve">► </w:t>
      </w:r>
      <w:r w:rsidRPr="00A42550">
        <w:rPr>
          <w:rFonts w:ascii="Arial" w:eastAsia="Times New Roman" w:hAnsi="Arial" w:cs="Arial"/>
          <w:bCs/>
          <w:sz w:val="24"/>
          <w:szCs w:val="24"/>
          <w:lang w:val="ro-RO"/>
        </w:rPr>
        <w:t xml:space="preserve">Gradul de conectare la serviciile de salubritate a înregistrat o creştere anuală în perioada 2008-2011 şi o uşoară scădere în anul 2012 faţă de 2011. Acest lucru se datorează în mare parte faptului că, începând cu anul 2012 o parte din primării au reziliat contractele cu operatorii de salubritate şi şi-au înfiinţat propriile servicii. Perioada de câteva luni până la autorizarea serviciului de salubritate a ramas neacoperită, ceea ce a condus la scăderea populaţiei deservite din mediul rural. Se observă o tendinţă negativă </w:t>
      </w:r>
      <w:r w:rsidRPr="00A42550">
        <w:rPr>
          <w:rFonts w:ascii="Arial" w:eastAsia="Times New Roman" w:hAnsi="Arial" w:cs="Arial"/>
          <w:bCs/>
          <w:sz w:val="24"/>
          <w:szCs w:val="24"/>
          <w:lang w:val="ro-RO"/>
        </w:rPr>
        <w:lastRenderedPageBreak/>
        <w:t>faţă de ţintele stabilite în PJGD pentru anul 2012 (gradul de acoperire în mediul urban trebuia să fie de 100%, iar în mediul rural de 98%).</w:t>
      </w:r>
    </w:p>
    <w:p w:rsidR="00A42550" w:rsidRPr="00A42550" w:rsidRDefault="00A42550" w:rsidP="00A42550">
      <w:pPr>
        <w:spacing w:after="0" w:line="240" w:lineRule="auto"/>
        <w:jc w:val="both"/>
        <w:rPr>
          <w:rFonts w:ascii="Arial" w:eastAsia="Times New Roman" w:hAnsi="Arial" w:cs="Arial"/>
          <w:bCs/>
          <w:sz w:val="24"/>
          <w:szCs w:val="24"/>
          <w:lang w:val="en-GB"/>
        </w:rPr>
      </w:pPr>
      <w:r w:rsidRPr="00A42550">
        <w:rPr>
          <w:rFonts w:ascii="Arial" w:eastAsia="Times New Roman" w:hAnsi="Arial" w:cs="Arial"/>
          <w:bCs/>
          <w:sz w:val="24"/>
          <w:szCs w:val="24"/>
          <w:lang w:val="ro-RO"/>
        </w:rPr>
        <w:t>În aceste condiţii, chiar dacă nu s-au atins ţintele prognozate, se poate afirma că s-au înregistrat progrese în implementarea legislaţiei în domeniul gestionării deşeurilor.</w:t>
      </w:r>
    </w:p>
    <w:p w:rsidR="00A42550" w:rsidRPr="00A42550" w:rsidRDefault="00A42550" w:rsidP="00A42550">
      <w:pPr>
        <w:tabs>
          <w:tab w:val="left" w:pos="142"/>
        </w:tabs>
        <w:autoSpaceDE w:val="0"/>
        <w:autoSpaceDN w:val="0"/>
        <w:adjustRightInd w:val="0"/>
        <w:spacing w:before="120" w:after="0" w:line="240" w:lineRule="auto"/>
        <w:jc w:val="both"/>
        <w:rPr>
          <w:rFonts w:ascii="Arial" w:eastAsia="Times New Roman" w:hAnsi="Arial" w:cs="Arial"/>
          <w:sz w:val="24"/>
          <w:szCs w:val="24"/>
          <w:lang w:val="ro-RO"/>
        </w:rPr>
      </w:pPr>
      <w:r w:rsidRPr="00A42550">
        <w:rPr>
          <w:rFonts w:ascii="Arial" w:eastAsia="Times New Roman" w:hAnsi="Arial" w:cs="Arial"/>
        </w:rPr>
        <w:t xml:space="preserve">► </w:t>
      </w:r>
      <w:r w:rsidRPr="00A42550">
        <w:rPr>
          <w:rFonts w:ascii="Arial" w:eastAsia="Times New Roman" w:hAnsi="Arial" w:cs="Arial"/>
          <w:sz w:val="24"/>
          <w:szCs w:val="24"/>
          <w:lang w:val="ro-RO"/>
        </w:rPr>
        <w:t xml:space="preserve">Se constată o scădere an de an a  cantităţilor de deşeuri municipale colectate selectiv şi reciclate de către operatorii de salubritate. Această situaţie a apărut pe de o parte datorită faptului că deşeurile sunt luate din containerele amplasate pe domeniul public de diverse persoane fizice în scopul valorificării, iar pe de altă parte, primăriile preferă să predea contra cost deşeurile colectate selectiv către operatori autorizaţi pentru colectarea deşeurilor şi nu să le predea operatorului de salubritate care a amplasat containerele pe domeniul public. </w:t>
      </w: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Deoarece până în anul 2012 în judeţ nu au existat instalaţii de sortare a deşeurilor rec</w:t>
      </w:r>
      <w:r w:rsidRPr="00A42550">
        <w:rPr>
          <w:rFonts w:ascii="Arial" w:eastAsia="Times New Roman" w:hAnsi="Arial" w:cs="Arial"/>
          <w:sz w:val="24"/>
          <w:szCs w:val="24"/>
          <w:lang w:val="en-GB"/>
        </w:rPr>
        <w:t>i</w:t>
      </w:r>
      <w:r w:rsidRPr="00A42550">
        <w:rPr>
          <w:rFonts w:ascii="Arial" w:eastAsia="Times New Roman" w:hAnsi="Arial" w:cs="Arial"/>
          <w:sz w:val="24"/>
          <w:szCs w:val="24"/>
          <w:lang w:val="en-GB"/>
        </w:rPr>
        <w:t>clabile din deşeurile menajere, posibilele resurse secundare (materiale şi energetice) nef</w:t>
      </w:r>
      <w:r w:rsidRPr="00A42550">
        <w:rPr>
          <w:rFonts w:ascii="Arial" w:eastAsia="Times New Roman" w:hAnsi="Arial" w:cs="Arial"/>
          <w:sz w:val="24"/>
          <w:szCs w:val="24"/>
          <w:lang w:val="en-GB"/>
        </w:rPr>
        <w:t>i</w:t>
      </w:r>
      <w:r w:rsidRPr="00A42550">
        <w:rPr>
          <w:rFonts w:ascii="Arial" w:eastAsia="Times New Roman" w:hAnsi="Arial" w:cs="Arial"/>
          <w:sz w:val="24"/>
          <w:szCs w:val="24"/>
          <w:lang w:val="en-GB"/>
        </w:rPr>
        <w:t>ind valorificate, rata de reciclare a fost foarte mică.</w:t>
      </w:r>
    </w:p>
    <w:p w:rsidR="00A42550" w:rsidRPr="00A42550" w:rsidRDefault="00A42550" w:rsidP="00A42550">
      <w:pPr>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 xml:space="preserve">► Se constată o scădere a cantităţii de deşeuri biodegradabile generate, determinată în primul rând de scăderea anuală a cantităţii de deşeuri generate de către populaţie.  </w:t>
      </w:r>
    </w:p>
    <w:p w:rsidR="00A42550" w:rsidRPr="00A42550" w:rsidRDefault="00A42550" w:rsidP="00A42550">
      <w:pPr>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ro-RO"/>
        </w:rPr>
        <w:t>În judeţul Buzău nu există instalaţii de compostare a deşeurilor biodegradabile. Ca urmare, fracţiile biodegradabile din deşeurile municipale generate în zonele urbane sunt în totalitate eliminate prin depozitare. În multe localităţi din zona rurală se practică compostarea individuală a deşeurilor biodegradabile (în amestec cu gunoiul de grajd) însă aceste cantităţi nu pot fi estimate.</w:t>
      </w:r>
    </w:p>
    <w:p w:rsidR="00A42550" w:rsidRPr="00A42550" w:rsidRDefault="00A42550" w:rsidP="00A42550">
      <w:pPr>
        <w:spacing w:after="12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ro-RO"/>
        </w:rPr>
        <w:t xml:space="preserve">Pentru a atinge ţintele pe termen scurt privind reducerea cantităţii de deşeuri biodegradabile (reducere cu 50% în 2013) cu implicarea unor investiţii minime, este necesară concentrarea asupra cantităţilor de deşeuri biodegradabile care pot fi colectate uşor şi tratate. Acestea includ în general hârtia, cartonul, lemnul şi ambalajele pentru reciclare, deşeurile din grădini şi parcuri şi deşeurile alimentare pentru compostare. Cantităţile de deşeuri biodegradabile care vor trebui colectate separat precum şi capacităţile necesare pentru tratarea şi prelucrarea  acestora au fost estimate în Planurile Judeţene şi Regionale pentru Gestionarea Deşeurilor. </w:t>
      </w:r>
    </w:p>
    <w:p w:rsidR="00A42550" w:rsidRPr="00A42550" w:rsidRDefault="00A42550" w:rsidP="00A42550">
      <w:pPr>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 xml:space="preserve">► Dacă în anul 2008 nu exista nicio staţie de transfer şi/sau sortare, în anul 2012 erau în funcţiune 2 staţii de transfer (la Cislău şi Beceni) şi 2 linii de sortare în cadrul acestor staţii. </w:t>
      </w:r>
    </w:p>
    <w:p w:rsidR="00A42550" w:rsidRPr="00A42550" w:rsidRDefault="00A42550" w:rsidP="00A42550">
      <w:pPr>
        <w:spacing w:after="12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Având în vedere faptul că în anul 2013 a mai fost pusă în funcţiune încă o staţie de tran</w:t>
      </w:r>
      <w:r w:rsidRPr="00A42550">
        <w:rPr>
          <w:rFonts w:ascii="Arial" w:eastAsia="Times New Roman" w:hAnsi="Arial" w:cs="Arial"/>
          <w:sz w:val="24"/>
          <w:szCs w:val="24"/>
          <w:lang w:val="en-GB"/>
        </w:rPr>
        <w:t>s</w:t>
      </w:r>
      <w:r w:rsidRPr="00A42550">
        <w:rPr>
          <w:rFonts w:ascii="Arial" w:eastAsia="Times New Roman" w:hAnsi="Arial" w:cs="Arial"/>
          <w:sz w:val="24"/>
          <w:szCs w:val="24"/>
          <w:lang w:val="en-GB"/>
        </w:rPr>
        <w:t>fer la  Râmnicu Sărat, iar în 2014  o staţie de sortare aparţinând SC Rer Ecologic Service SA , amplasată în comuna Vadu Paşii, estimăm că în anii următori se va reduce semnif</w:t>
      </w:r>
      <w:r w:rsidRPr="00A42550">
        <w:rPr>
          <w:rFonts w:ascii="Arial" w:eastAsia="Times New Roman" w:hAnsi="Arial" w:cs="Arial"/>
          <w:sz w:val="24"/>
          <w:szCs w:val="24"/>
          <w:lang w:val="en-GB"/>
        </w:rPr>
        <w:t>i</w:t>
      </w:r>
      <w:r w:rsidRPr="00A42550">
        <w:rPr>
          <w:rFonts w:ascii="Arial" w:eastAsia="Times New Roman" w:hAnsi="Arial" w:cs="Arial"/>
          <w:sz w:val="24"/>
          <w:szCs w:val="24"/>
          <w:lang w:val="en-GB"/>
        </w:rPr>
        <w:t>cativ cantitatea de deşeuri municipale eliminată prin depozitare.</w:t>
      </w:r>
    </w:p>
    <w:p w:rsidR="00A42550" w:rsidRPr="00A42550" w:rsidRDefault="00A42550" w:rsidP="00A42550">
      <w:pPr>
        <w:spacing w:after="0" w:line="240" w:lineRule="auto"/>
        <w:jc w:val="both"/>
        <w:rPr>
          <w:rFonts w:ascii="Arial" w:eastAsia="Times New Roman" w:hAnsi="Arial" w:cs="Arial"/>
          <w:sz w:val="24"/>
          <w:szCs w:val="24"/>
          <w:lang w:val="en-GB"/>
        </w:rPr>
      </w:pPr>
      <w:r w:rsidRPr="00A42550">
        <w:rPr>
          <w:rFonts w:ascii="Arial" w:eastAsia="Times New Roman" w:hAnsi="Arial" w:cs="Arial"/>
          <w:sz w:val="24"/>
          <w:szCs w:val="24"/>
          <w:lang w:val="en-GB"/>
        </w:rPr>
        <w:t>► În ceea ce priveşte indicatorul de generare a deşeurilor industriale periculoase şi n</w:t>
      </w:r>
      <w:r w:rsidRPr="00A42550">
        <w:rPr>
          <w:rFonts w:ascii="Arial" w:eastAsia="Times New Roman" w:hAnsi="Arial" w:cs="Arial"/>
          <w:sz w:val="24"/>
          <w:szCs w:val="24"/>
          <w:lang w:val="en-GB"/>
        </w:rPr>
        <w:t>e</w:t>
      </w:r>
      <w:r w:rsidRPr="00A42550">
        <w:rPr>
          <w:rFonts w:ascii="Arial" w:eastAsia="Times New Roman" w:hAnsi="Arial" w:cs="Arial"/>
          <w:sz w:val="24"/>
          <w:szCs w:val="24"/>
          <w:lang w:val="en-GB"/>
        </w:rPr>
        <w:t>periculoase, se constată o variaţie neuniformă a acestuia, pe de o parte datorită faptului că de la an la an, eşantionul de operatori economici chestionaţi a fost modificat şi completat cu noi operatori autorizaţi şi pe de altă parte datorită reducerii activităţii unora dintre s</w:t>
      </w:r>
      <w:r w:rsidRPr="00A42550">
        <w:rPr>
          <w:rFonts w:ascii="Arial" w:eastAsia="Times New Roman" w:hAnsi="Arial" w:cs="Arial"/>
          <w:sz w:val="24"/>
          <w:szCs w:val="24"/>
          <w:lang w:val="en-GB"/>
        </w:rPr>
        <w:t>o</w:t>
      </w:r>
      <w:r w:rsidRPr="00A42550">
        <w:rPr>
          <w:rFonts w:ascii="Arial" w:eastAsia="Times New Roman" w:hAnsi="Arial" w:cs="Arial"/>
          <w:sz w:val="24"/>
          <w:szCs w:val="24"/>
          <w:lang w:val="en-GB"/>
        </w:rPr>
        <w:t>cietăţi.</w:t>
      </w:r>
    </w:p>
    <w:p w:rsidR="00A42550" w:rsidRPr="00A42550" w:rsidRDefault="00A42550" w:rsidP="00A42550">
      <w:pPr>
        <w:spacing w:before="120" w:after="0" w:line="240" w:lineRule="auto"/>
        <w:jc w:val="both"/>
        <w:rPr>
          <w:rFonts w:ascii="Arial" w:eastAsia="Times New Roman" w:hAnsi="Arial" w:cs="Arial"/>
          <w:sz w:val="24"/>
          <w:szCs w:val="24"/>
          <w:lang w:val="ro-RO"/>
        </w:rPr>
      </w:pPr>
      <w:r w:rsidRPr="00A42550">
        <w:rPr>
          <w:rFonts w:ascii="Arial" w:eastAsia="Times New Roman" w:hAnsi="Arial" w:cs="Arial"/>
          <w:sz w:val="24"/>
          <w:szCs w:val="24"/>
          <w:lang w:val="pl-PL" w:eastAsia="pl-PL"/>
        </w:rPr>
        <w:t xml:space="preserve">► </w:t>
      </w:r>
      <w:r w:rsidRPr="00A42550">
        <w:rPr>
          <w:rFonts w:ascii="Arial" w:eastAsia="Times New Roman" w:hAnsi="Arial" w:cs="Arial"/>
          <w:sz w:val="24"/>
          <w:szCs w:val="24"/>
          <w:lang w:val="ro-RO"/>
        </w:rPr>
        <w:t>Referitor la rata de colectare a deşeurilor de echipamente electrice şi electronice, suntem departe de a realiza obiectivul de colectare de 4 kg/loc/an, având în vedere faptul că din anul 2010 cantitatea colectată a scăzut an de an. Acest lucru se datorează în mare parte faptului că în ţara noastră, din cauza</w:t>
      </w:r>
      <w:r w:rsidRPr="00A42550">
        <w:rPr>
          <w:rFonts w:ascii="Arial" w:eastAsia="Times New Roman" w:hAnsi="Arial" w:cs="Arial"/>
          <w:bCs/>
          <w:sz w:val="24"/>
          <w:szCs w:val="24"/>
          <w:lang w:val="ro-RO" w:eastAsia="pl-PL"/>
        </w:rPr>
        <w:t xml:space="preserve"> </w:t>
      </w:r>
      <w:r w:rsidRPr="00A42550">
        <w:rPr>
          <w:rFonts w:ascii="Arial" w:eastAsia="Times New Roman" w:hAnsi="Arial" w:cs="Arial"/>
          <w:sz w:val="24"/>
          <w:szCs w:val="24"/>
          <w:lang w:val="ro-RO" w:eastAsia="pl-PL"/>
        </w:rPr>
        <w:t>nivelului scăzut de trai, echipamentele electrice şi electronice sunt utilizate cu mult peste durata medie indicată de producător,</w:t>
      </w:r>
      <w:r w:rsidRPr="00A42550">
        <w:rPr>
          <w:rFonts w:ascii="Arial" w:eastAsia="Times New Roman" w:hAnsi="Arial" w:cs="Arial"/>
          <w:sz w:val="24"/>
          <w:szCs w:val="24"/>
          <w:lang w:val="ro-RO"/>
        </w:rPr>
        <w:t xml:space="preserve"> </w:t>
      </w:r>
    </w:p>
    <w:p w:rsidR="00A42550" w:rsidRPr="00A42550" w:rsidRDefault="00A42550" w:rsidP="00A42550">
      <w:pPr>
        <w:spacing w:after="120" w:line="240" w:lineRule="auto"/>
        <w:jc w:val="both"/>
        <w:rPr>
          <w:rFonts w:ascii="Arial" w:eastAsia="Times New Roman" w:hAnsi="Arial" w:cs="Arial"/>
          <w:sz w:val="24"/>
          <w:szCs w:val="24"/>
          <w:lang w:val="ro-RO" w:eastAsia="pl-PL"/>
        </w:rPr>
      </w:pPr>
      <w:r w:rsidRPr="00A42550">
        <w:rPr>
          <w:rFonts w:ascii="Arial" w:eastAsia="Times New Roman" w:hAnsi="Arial" w:cs="Arial"/>
          <w:sz w:val="24"/>
          <w:szCs w:val="24"/>
          <w:lang w:val="ro-RO"/>
        </w:rPr>
        <w:t xml:space="preserve">Întrucât se constată o creştere a cantităţii de DEEE colectate în perioada organizării campaniilor de colectare selectivă a deşeurilor de echipamente electrice şi electronice cu implicarea asociaţiilor colective (Ro-Rec, Ecotic, Reco-lamp) în colaborare cu unităţile administrativ-teritoriale din judeţul Buzău, se consideră necesară intensificarea acţiunilor şi campaniilor de informare şi conştientizare a publicului cu privire la </w:t>
      </w:r>
      <w:r w:rsidRPr="00A42550">
        <w:rPr>
          <w:rFonts w:ascii="Arial" w:eastAsia="Times New Roman" w:hAnsi="Arial" w:cs="Arial"/>
          <w:sz w:val="24"/>
          <w:szCs w:val="24"/>
          <w:lang w:val="ro-RO" w:eastAsia="pl-PL"/>
        </w:rPr>
        <w:t xml:space="preserve">obligaţia de a nu </w:t>
      </w:r>
      <w:r w:rsidRPr="00A42550">
        <w:rPr>
          <w:rFonts w:ascii="Arial" w:eastAsia="Times New Roman" w:hAnsi="Arial" w:cs="Arial"/>
          <w:sz w:val="24"/>
          <w:szCs w:val="24"/>
          <w:lang w:val="ro-RO" w:eastAsia="pl-PL"/>
        </w:rPr>
        <w:lastRenderedPageBreak/>
        <w:t>elimina DEEE odată cu deşeurile municipale nesortate, ci de a le colecta şi preda către centrele autorizate pentru colectarea acestora.</w:t>
      </w:r>
    </w:p>
    <w:p w:rsidR="00A42550" w:rsidRPr="00A42550" w:rsidRDefault="00A42550" w:rsidP="00A42550">
      <w:pPr>
        <w:spacing w:after="120" w:line="240" w:lineRule="auto"/>
        <w:jc w:val="both"/>
        <w:rPr>
          <w:rFonts w:ascii="Arial" w:eastAsia="Times New Roman" w:hAnsi="Arial"/>
          <w:spacing w:val="-4"/>
          <w:sz w:val="24"/>
          <w:szCs w:val="24"/>
          <w:lang w:val="ro-RO" w:eastAsia="ro-RO"/>
        </w:rPr>
      </w:pPr>
      <w:r w:rsidRPr="00A42550">
        <w:rPr>
          <w:rFonts w:ascii="Arial" w:eastAsia="Times New Roman" w:hAnsi="Arial" w:cs="Arial"/>
          <w:sz w:val="24"/>
          <w:szCs w:val="24"/>
          <w:lang w:val="ro-RO" w:eastAsia="ro-RO"/>
        </w:rPr>
        <w:t>► În ceea ce priveşte vehiculele scoase din uz, începând cu anul 2011 se constată scăderea numărului de vehicule colectate dar şia celor tratate, acest lucru datorându-se, pe de o parte crizei economice, dar şi sumelor mai mici alocate finanţării în programul Rabla, având în vedere faptul că  cea mai mare parte a vehiculelor scoase din uz s-au colectat prin Programul de  stimulare a înnoirii parcului auto naţional, derulat prin Administraţia Fondului pentru Mediu.</w:t>
      </w:r>
    </w:p>
    <w:p w:rsidR="004622F6" w:rsidRDefault="004622F6" w:rsidP="00232324">
      <w:pPr>
        <w:spacing w:before="120" w:line="60" w:lineRule="atLeast"/>
        <w:jc w:val="center"/>
        <w:outlineLvl w:val="0"/>
        <w:rPr>
          <w:rFonts w:ascii="Times New Roman" w:hAnsi="Times New Roman"/>
          <w:b/>
          <w:sz w:val="28"/>
          <w:szCs w:val="28"/>
          <w:lang w:val="ro-RO"/>
        </w:rPr>
      </w:pPr>
    </w:p>
    <w:p w:rsidR="004D6806" w:rsidRDefault="004D6806" w:rsidP="00232324">
      <w:pPr>
        <w:spacing w:before="120" w:line="60" w:lineRule="atLeast"/>
        <w:jc w:val="center"/>
        <w:outlineLvl w:val="0"/>
        <w:rPr>
          <w:rFonts w:ascii="Times New Roman" w:hAnsi="Times New Roman"/>
          <w:b/>
          <w:sz w:val="28"/>
          <w:szCs w:val="28"/>
          <w:lang w:val="ro-RO"/>
        </w:rPr>
        <w:sectPr w:rsidR="004D6806" w:rsidSect="00A42550">
          <w:pgSz w:w="11906" w:h="16838"/>
          <w:pgMar w:top="851" w:right="851" w:bottom="851" w:left="1418" w:header="709" w:footer="709" w:gutter="0"/>
          <w:cols w:space="708"/>
          <w:docGrid w:linePitch="360"/>
        </w:sectPr>
      </w:pPr>
    </w:p>
    <w:p w:rsidR="004D6806" w:rsidRPr="004D6806" w:rsidRDefault="004D6806" w:rsidP="004D6806">
      <w:pPr>
        <w:tabs>
          <w:tab w:val="left" w:pos="540"/>
          <w:tab w:val="left" w:leader="dot" w:pos="9356"/>
        </w:tabs>
        <w:spacing w:after="0" w:line="360" w:lineRule="auto"/>
        <w:jc w:val="both"/>
        <w:rPr>
          <w:rFonts w:ascii="Arial" w:eastAsia="SimSun" w:hAnsi="Arial" w:cs="Arial"/>
          <w:b/>
          <w:sz w:val="24"/>
          <w:szCs w:val="24"/>
          <w:lang w:val="ro-RO"/>
        </w:rPr>
      </w:pPr>
      <w:r w:rsidRPr="004D6806">
        <w:rPr>
          <w:rFonts w:ascii="Arial" w:eastAsia="SimSun" w:hAnsi="Arial" w:cs="Arial"/>
          <w:b/>
          <w:sz w:val="24"/>
          <w:szCs w:val="24"/>
          <w:lang w:val="ro-RO"/>
        </w:rPr>
        <w:lastRenderedPageBreak/>
        <w:t xml:space="preserve">IX. MEDIUL URBAN, SĂNĂTATEA ŞI CALITATEA VIEŢII </w:t>
      </w:r>
    </w:p>
    <w:p w:rsidR="004D6806" w:rsidRPr="004D6806" w:rsidRDefault="004D6806" w:rsidP="004D6806">
      <w:pPr>
        <w:tabs>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 xml:space="preserve">IX.1 Mediul urban şi calitatea vieţii: stare şi consecinţe </w:t>
      </w:r>
    </w:p>
    <w:p w:rsidR="004D6806" w:rsidRPr="004D6806" w:rsidRDefault="004D6806" w:rsidP="004D6806">
      <w:pPr>
        <w:spacing w:after="0" w:line="240" w:lineRule="auto"/>
        <w:jc w:val="both"/>
        <w:rPr>
          <w:rFonts w:ascii="Arial" w:eastAsia="SimSun" w:hAnsi="Arial" w:cs="Arial"/>
          <w:b/>
          <w:sz w:val="24"/>
          <w:szCs w:val="24"/>
          <w:lang w:val="ro-RO"/>
        </w:rPr>
      </w:pPr>
    </w:p>
    <w:p w:rsidR="004D6806" w:rsidRPr="004D6806" w:rsidRDefault="004D6806" w:rsidP="004D6806">
      <w:pPr>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IX .1.1. Calitatea aerului din aglomerările urbane şi efectele asupra sănătăţii</w:t>
      </w:r>
    </w:p>
    <w:p w:rsidR="004D6806" w:rsidRPr="004D6806" w:rsidRDefault="004D6806" w:rsidP="004D6806">
      <w:pPr>
        <w:spacing w:after="0" w:line="240" w:lineRule="auto"/>
        <w:jc w:val="both"/>
        <w:rPr>
          <w:rFonts w:ascii="Arial" w:eastAsia="SimSun" w:hAnsi="Arial" w:cs="Arial"/>
          <w:b/>
          <w:sz w:val="24"/>
          <w:szCs w:val="24"/>
          <w:lang w:val="ro-RO"/>
        </w:rPr>
      </w:pPr>
    </w:p>
    <w:p w:rsidR="004D6806" w:rsidRPr="004D6806" w:rsidRDefault="004D6806" w:rsidP="004D6806">
      <w:pPr>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IX.1.1.1. Depăşiri ale concentraşiei medii anuale de PM10, NO2, SO2 şi O3 în anumite aglomerări urbane</w:t>
      </w:r>
    </w:p>
    <w:p w:rsidR="004D6806" w:rsidRPr="004D6806" w:rsidRDefault="004D6806" w:rsidP="004D6806">
      <w:pPr>
        <w:spacing w:after="0" w:line="240" w:lineRule="auto"/>
        <w:jc w:val="both"/>
        <w:rPr>
          <w:rFonts w:ascii="Arial" w:eastAsia="SimSun" w:hAnsi="Arial" w:cs="Arial"/>
          <w:b/>
          <w:sz w:val="24"/>
          <w:szCs w:val="24"/>
          <w:lang w:val="ro-RO"/>
        </w:rPr>
      </w:pPr>
    </w:p>
    <w:p w:rsidR="004D6806" w:rsidRPr="004D6806" w:rsidRDefault="004D6806" w:rsidP="004D6806">
      <w:pPr>
        <w:spacing w:after="0" w:line="240" w:lineRule="auto"/>
        <w:jc w:val="both"/>
        <w:rPr>
          <w:rFonts w:ascii="Arial" w:eastAsia="SimSun" w:hAnsi="Arial" w:cs="Arial"/>
          <w:sz w:val="24"/>
          <w:szCs w:val="24"/>
          <w:lang w:val="ro-RO"/>
        </w:rPr>
      </w:pPr>
      <w:r w:rsidRPr="004D6806">
        <w:rPr>
          <w:rFonts w:ascii="Arial" w:eastAsia="SimSun" w:hAnsi="Arial" w:cs="Arial"/>
          <w:sz w:val="24"/>
          <w:szCs w:val="24"/>
          <w:lang w:val="ro-RO"/>
        </w:rPr>
        <w:t>Conform datelor prezentate în capitolul I, subcapitolul I.1.1.3. în judeţul Buzău, în cursul anului 2014, la staţia automată pentru monitorizarea calităţii aerului de fond urban BZ-1 nu s-au înregistrat depăşiri ale valorilor limită pentru indicatorii SO2, NO2, CO şi benzen şi a valorii ţintă pentru indicatorul O3.</w:t>
      </w:r>
    </w:p>
    <w:p w:rsidR="004D6806" w:rsidRPr="004D6806" w:rsidRDefault="004D6806" w:rsidP="004D6806">
      <w:pPr>
        <w:spacing w:after="0" w:line="240" w:lineRule="auto"/>
        <w:jc w:val="both"/>
        <w:rPr>
          <w:rFonts w:ascii="Arial" w:eastAsia="SimSun" w:hAnsi="Arial" w:cs="Arial"/>
          <w:sz w:val="24"/>
          <w:szCs w:val="24"/>
          <w:lang w:val="ro-RO"/>
        </w:rPr>
      </w:pPr>
      <w:r w:rsidRPr="004D6806">
        <w:rPr>
          <w:rFonts w:ascii="Arial" w:eastAsia="SimSun" w:hAnsi="Arial" w:cs="Arial"/>
          <w:sz w:val="24"/>
          <w:szCs w:val="24"/>
          <w:lang w:val="ro-RO"/>
        </w:rPr>
        <w:t>În cazul indicatorului PM10, în cursul anului 2014, au fost înregistrate 11 depăşiri ale valorii limită zilnice, faţă de cele 35 permise conform Legii 104/2011 privind calitatea aerului înconjurător.</w:t>
      </w:r>
    </w:p>
    <w:p w:rsidR="004D6806" w:rsidRPr="004D6806" w:rsidRDefault="004D6806" w:rsidP="004D6806">
      <w:pPr>
        <w:tabs>
          <w:tab w:val="left" w:pos="1276"/>
          <w:tab w:val="left" w:leader="dot" w:pos="9356"/>
        </w:tabs>
        <w:spacing w:after="0" w:line="240" w:lineRule="auto"/>
        <w:jc w:val="both"/>
        <w:rPr>
          <w:rFonts w:ascii="Arial" w:eastAsia="SimSun" w:hAnsi="Arial" w:cs="Arial"/>
          <w:b/>
          <w:color w:val="FF0000"/>
          <w:sz w:val="24"/>
          <w:szCs w:val="24"/>
          <w:lang w:val="ro-RO"/>
        </w:rPr>
      </w:pPr>
    </w:p>
    <w:p w:rsidR="004D6806" w:rsidRPr="004D6806" w:rsidRDefault="004D6806" w:rsidP="004D6806">
      <w:pPr>
        <w:tabs>
          <w:tab w:val="left" w:pos="1276"/>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IX.1.2. Poluarea fonică şi efectele asupra sănătăţii şi calităţii vieţii</w:t>
      </w:r>
    </w:p>
    <w:p w:rsidR="004D6806" w:rsidRPr="004D6806" w:rsidRDefault="004D6806" w:rsidP="004D6806">
      <w:pPr>
        <w:tabs>
          <w:tab w:val="left" w:pos="1276"/>
          <w:tab w:val="left" w:leader="dot" w:pos="9356"/>
        </w:tabs>
        <w:spacing w:after="0" w:line="240" w:lineRule="auto"/>
        <w:jc w:val="both"/>
        <w:rPr>
          <w:rFonts w:ascii="Arial" w:eastAsia="SimSun" w:hAnsi="Arial" w:cs="Arial"/>
          <w:color w:val="FF0000"/>
          <w:sz w:val="24"/>
          <w:szCs w:val="24"/>
          <w:lang w:val="ro-RO"/>
        </w:rPr>
      </w:pP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Efectele poluării sonore asupra sănătăţii populaţiei</w:t>
      </w:r>
    </w:p>
    <w:p w:rsidR="004D6806" w:rsidRPr="004D6806" w:rsidRDefault="004D6806" w:rsidP="004D6806">
      <w:pPr>
        <w:spacing w:after="0" w:line="240" w:lineRule="auto"/>
        <w:jc w:val="both"/>
        <w:rPr>
          <w:rFonts w:ascii="Arial" w:eastAsia="SimSun" w:hAnsi="Arial" w:cs="Arial"/>
          <w:b/>
          <w:sz w:val="24"/>
          <w:szCs w:val="24"/>
          <w:lang w:val="en-GB"/>
        </w:rPr>
      </w:pP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Pentru derularea normală a activităţilor umane pe timp de zi, seară şi noapte, confortul acustic reprezintă elementul de importanţă majoră. Un mediu acustic favorabil, ajută la menţinerea zgomotului la un nivel la care nu perturbă activitatea efectuată într-un spaţiu limitat.Astfel printre factorii de risc identificaţi în vederea evaluării stării de sănătate a populaţiei se numără şi zgomotul. Datorită ritmului alert de desfăşurare a activităţilor zi</w:t>
      </w:r>
      <w:r w:rsidRPr="004D6806">
        <w:rPr>
          <w:rFonts w:ascii="Arial" w:eastAsia="SimSun" w:hAnsi="Arial" w:cs="Arial"/>
          <w:sz w:val="24"/>
          <w:szCs w:val="24"/>
        </w:rPr>
        <w:t>l</w:t>
      </w:r>
      <w:r w:rsidRPr="004D6806">
        <w:rPr>
          <w:rFonts w:ascii="Arial" w:eastAsia="SimSun" w:hAnsi="Arial" w:cs="Arial"/>
          <w:sz w:val="24"/>
          <w:szCs w:val="24"/>
        </w:rPr>
        <w:t>nice, zgomotul devine unul dintre cei mai influenţi factori de risc,dar deseori neglijat, care poate costa mai mult decât pierderea auzului, putând conduce la:</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vătămarea urechii în timpul expunerii la substanţe periculoase (ototoxice);</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stresul legat de muncă;</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creşterea riscului de accidentare la locul de muncă;</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vătămarea fătului, în timpul sarcinii angajatei, etc.</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Managementul eficient al zgomotului implică adoptarea standardelor naţionale de zgomot realizate atât pe baza standardelor şi liniilor directoare europene şi internaţionale dar şi pe baza factorilor tehnologici, sociali, economici şi politici.De asemenea evaluarea stării de confort şi a reacţiei subiective a locatarilor pot fi principalele pârghii în vederea fundamentării măsurilor pentru reducerea nivelurilor expunerii şi prevenirea apariţiei efe</w:t>
      </w:r>
      <w:r w:rsidRPr="004D6806">
        <w:rPr>
          <w:rFonts w:ascii="Arial" w:eastAsia="SimSun" w:hAnsi="Arial" w:cs="Arial"/>
          <w:sz w:val="24"/>
          <w:szCs w:val="24"/>
        </w:rPr>
        <w:t>c</w:t>
      </w:r>
      <w:r w:rsidRPr="004D6806">
        <w:rPr>
          <w:rFonts w:ascii="Arial" w:eastAsia="SimSun" w:hAnsi="Arial" w:cs="Arial"/>
          <w:sz w:val="24"/>
          <w:szCs w:val="24"/>
        </w:rPr>
        <w:t>telor pentru populaţia expusă.Importanţa majoră o reprezintă prevenirea şi informarea populaţiei referitoare la riscul pentru sănătate. Majoritatea ţărilor, în special cele europene, au conştientizat importanţa acestei probleme, introducând astfel, directive antizgomot pe</w:t>
      </w:r>
      <w:r w:rsidRPr="004D6806">
        <w:rPr>
          <w:rFonts w:ascii="Arial" w:eastAsia="SimSun" w:hAnsi="Arial" w:cs="Arial"/>
          <w:sz w:val="24"/>
          <w:szCs w:val="24"/>
        </w:rPr>
        <w:t>n</w:t>
      </w:r>
      <w:r w:rsidRPr="004D6806">
        <w:rPr>
          <w:rFonts w:ascii="Arial" w:eastAsia="SimSun" w:hAnsi="Arial" w:cs="Arial"/>
          <w:sz w:val="24"/>
          <w:szCs w:val="24"/>
        </w:rPr>
        <w:t>tru îmbunătăţirea confortului acustic în clădirile noi.</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 xml:space="preserve">Intensitatea mare a  poluării sonore duce la o stare  generală  modificată şi pot să apară: anxietate, palpitaţii, amnezii neaşteptate, lipsa puterii de concentrare, dureri de cap. </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Transportul, în special în zonele urbane, este unul dintre factorii cheie care contribuie la expunerea umană la poluarea aerului şi la zgomot.</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La reuniunea de la Paris din anul 1990, s-a stabilit că transporturile rutiere constituie pri</w:t>
      </w:r>
      <w:r w:rsidRPr="004D6806">
        <w:rPr>
          <w:rFonts w:ascii="Arial" w:eastAsia="SimSun" w:hAnsi="Arial" w:cs="Arial"/>
          <w:sz w:val="24"/>
          <w:szCs w:val="24"/>
          <w:lang w:val="en-GB"/>
        </w:rPr>
        <w:t>n</w:t>
      </w:r>
      <w:r w:rsidRPr="004D6806">
        <w:rPr>
          <w:rFonts w:ascii="Arial" w:eastAsia="SimSun" w:hAnsi="Arial" w:cs="Arial"/>
          <w:sz w:val="24"/>
          <w:szCs w:val="24"/>
          <w:lang w:val="en-GB"/>
        </w:rPr>
        <w:t>cipala sursă de zgomot în societatea modernă, circa 80% din poluarea fonică a unui oraş fiind zgomotul emis de autovehicule.</w:t>
      </w:r>
    </w:p>
    <w:p w:rsidR="004D6806" w:rsidRPr="004D6806" w:rsidRDefault="00810D5B" w:rsidP="004D6806">
      <w:pPr>
        <w:spacing w:after="0" w:line="240" w:lineRule="auto"/>
        <w:jc w:val="both"/>
        <w:rPr>
          <w:rFonts w:ascii="Arial" w:eastAsia="SimSun" w:hAnsi="Arial" w:cs="Arial"/>
          <w:sz w:val="24"/>
          <w:szCs w:val="24"/>
          <w:lang w:val="en-GB"/>
        </w:rPr>
      </w:pPr>
      <w:hyperlink r:id="rId153" w:anchor="situ" w:history="1">
        <w:r w:rsidR="004D6806" w:rsidRPr="004D6806">
          <w:rPr>
            <w:rFonts w:ascii="Arial" w:eastAsia="SimSun" w:hAnsi="Arial" w:cs="Arial"/>
            <w:sz w:val="24"/>
            <w:szCs w:val="24"/>
            <w:lang w:val="en-GB"/>
          </w:rPr>
          <w:t>Cartea verde a UE privind expunerea la zgomot</w:t>
        </w:r>
      </w:hyperlink>
      <w:r w:rsidR="004D6806" w:rsidRPr="004D6806">
        <w:rPr>
          <w:rFonts w:ascii="Arial" w:eastAsia="SimSun" w:hAnsi="Arial" w:cs="Arial"/>
          <w:sz w:val="24"/>
          <w:szCs w:val="24"/>
          <w:lang w:val="en-GB"/>
        </w:rPr>
        <w:t xml:space="preserve"> menţionează că aproape 20% din popul</w:t>
      </w:r>
      <w:r w:rsidR="004D6806" w:rsidRPr="004D6806">
        <w:rPr>
          <w:rFonts w:ascii="Arial" w:eastAsia="SimSun" w:hAnsi="Arial" w:cs="Arial"/>
          <w:sz w:val="24"/>
          <w:szCs w:val="24"/>
          <w:lang w:val="en-GB"/>
        </w:rPr>
        <w:t>a</w:t>
      </w:r>
      <w:r w:rsidR="004D6806" w:rsidRPr="004D6806">
        <w:rPr>
          <w:rFonts w:ascii="Arial" w:eastAsia="SimSun" w:hAnsi="Arial" w:cs="Arial"/>
          <w:sz w:val="24"/>
          <w:szCs w:val="24"/>
          <w:lang w:val="en-GB"/>
        </w:rPr>
        <w:t>ţia UE suferă de pe urma nivelurilor de zgomot pe care experţii în sănătate le consideră a fi inacceptabile, adică dintre cele care pot duce la enervare, perturbarea somnului şi efecte adverse asupra sănătăţii.</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lastRenderedPageBreak/>
        <w:t xml:space="preserve">În </w:t>
      </w:r>
      <w:hyperlink r:id="rId154" w:tooltip="Uniunea Europeană" w:history="1">
        <w:r w:rsidRPr="004D6806">
          <w:rPr>
            <w:rFonts w:ascii="Arial" w:eastAsia="SimSun" w:hAnsi="Arial" w:cs="Arial"/>
            <w:sz w:val="24"/>
            <w:szCs w:val="24"/>
            <w:lang w:val="en-GB"/>
          </w:rPr>
          <w:t>Uniunea Europeană</w:t>
        </w:r>
      </w:hyperlink>
      <w:r w:rsidRPr="004D6806">
        <w:rPr>
          <w:rFonts w:ascii="Arial" w:eastAsia="SimSun" w:hAnsi="Arial" w:cs="Arial"/>
          <w:sz w:val="24"/>
          <w:szCs w:val="24"/>
          <w:lang w:val="en-GB"/>
        </w:rPr>
        <w:t xml:space="preserve">, limita actuală a zgomotului ce provine din traficul rutier este de 74 de decibeli pentru cele mai multe dintre automobile, dar </w:t>
      </w:r>
      <w:hyperlink r:id="rId155" w:tooltip="Comisia Europeană" w:history="1">
        <w:r w:rsidRPr="004D6806">
          <w:rPr>
            <w:rFonts w:ascii="Arial" w:eastAsia="SimSun" w:hAnsi="Arial" w:cs="Arial"/>
            <w:sz w:val="24"/>
            <w:szCs w:val="24"/>
            <w:lang w:val="en-GB"/>
          </w:rPr>
          <w:t>Comisia Europeană</w:t>
        </w:r>
      </w:hyperlink>
      <w:r w:rsidRPr="004D6806">
        <w:rPr>
          <w:rFonts w:ascii="Arial" w:eastAsia="SimSun" w:hAnsi="Arial" w:cs="Arial"/>
          <w:sz w:val="24"/>
          <w:szCs w:val="24"/>
          <w:lang w:val="en-GB"/>
        </w:rPr>
        <w:t xml:space="preserve"> intenţionează să reducă această limită, în 2 etape, până la 68 de decibeli.</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Indiferent de intensitatea traficului, profilul morbidităţii cronice înregistrate la vârsta adultă este reprezentat de bolile cardio-vasculare, tulburările de auz şi nevroze; de subliniat că la copii afecţiunile sunt reprezentate de tulburările de auz.Totodată analiza simptomelor înregistrate în raport cu vârsta persoanelor intervievate relevă pentru copii frecvenţe cre</w:t>
      </w:r>
      <w:r w:rsidRPr="004D6806">
        <w:rPr>
          <w:rFonts w:ascii="Arial" w:eastAsia="SimSun" w:hAnsi="Arial" w:cs="Arial"/>
          <w:sz w:val="24"/>
          <w:szCs w:val="24"/>
        </w:rPr>
        <w:t>s</w:t>
      </w:r>
      <w:r w:rsidRPr="004D6806">
        <w:rPr>
          <w:rFonts w:ascii="Arial" w:eastAsia="SimSun" w:hAnsi="Arial" w:cs="Arial"/>
          <w:sz w:val="24"/>
          <w:szCs w:val="24"/>
        </w:rPr>
        <w:t>cute ale tulburărilor de somn, dificultăţi de învăţare şi atenţie. Pentru adulţi se manifestă un profil diferit, concretizat în oboseala, irascibilitate, cefalee şi tulburari de somn.</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Comisia Europeană a desemnat zgomotul ca fiind una din principalele probleme de mediu din Europa. Astfel, la nivel comunitar există obligaţia implementării Directivei 2002/49/CE privind evaluarea şi gestionarea zgomotului ambiant, care obligă statele membre la real</w:t>
      </w:r>
      <w:r w:rsidRPr="004D6806">
        <w:rPr>
          <w:rFonts w:ascii="Arial" w:eastAsia="SimSun" w:hAnsi="Arial" w:cs="Arial"/>
          <w:sz w:val="24"/>
          <w:szCs w:val="24"/>
        </w:rPr>
        <w:t>i</w:t>
      </w:r>
      <w:r w:rsidRPr="004D6806">
        <w:rPr>
          <w:rFonts w:ascii="Arial" w:eastAsia="SimSun" w:hAnsi="Arial" w:cs="Arial"/>
          <w:sz w:val="24"/>
          <w:szCs w:val="24"/>
        </w:rPr>
        <w:t>zarea hărţilor strategice de zgomot precum şi stabilirea unor măsuri de reducere a zgom</w:t>
      </w:r>
      <w:r w:rsidRPr="004D6806">
        <w:rPr>
          <w:rFonts w:ascii="Arial" w:eastAsia="SimSun" w:hAnsi="Arial" w:cs="Arial"/>
          <w:sz w:val="24"/>
          <w:szCs w:val="24"/>
        </w:rPr>
        <w:t>o</w:t>
      </w:r>
      <w:r w:rsidRPr="004D6806">
        <w:rPr>
          <w:rFonts w:ascii="Arial" w:eastAsia="SimSun" w:hAnsi="Arial" w:cs="Arial"/>
          <w:sz w:val="24"/>
          <w:szCs w:val="24"/>
        </w:rPr>
        <w:t>tului în cadrul Planurilor de acţiune elaborate de către acestea.</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Principalele avantaje pe care le oferă hărţile strategice de zgomot în mediul urban sunt:</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informarea populaţiei asupra nivelurilor de zgomot în zonele de interes prin paginile of</w:t>
      </w:r>
      <w:r w:rsidRPr="004D6806">
        <w:rPr>
          <w:rFonts w:ascii="Arial" w:eastAsia="SimSun" w:hAnsi="Arial" w:cs="Arial"/>
          <w:sz w:val="24"/>
          <w:szCs w:val="24"/>
        </w:rPr>
        <w:t>i</w:t>
      </w:r>
      <w:r w:rsidRPr="004D6806">
        <w:rPr>
          <w:rFonts w:ascii="Arial" w:eastAsia="SimSun" w:hAnsi="Arial" w:cs="Arial"/>
          <w:sz w:val="24"/>
          <w:szCs w:val="24"/>
        </w:rPr>
        <w:t>ciale web.</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conservarea zonelor liniştite;</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stabilirea zonelor unde se înregistrează depăşiri ale valorilor limită, precum şi simularea efectelor diferitelor metode de diminuare ce pot fi implementate, alegându-se măsurile cele mai eficiente din punct de vedere tehnic şi economic în scopul implementării acest</w:t>
      </w:r>
      <w:r w:rsidRPr="004D6806">
        <w:rPr>
          <w:rFonts w:ascii="Arial" w:eastAsia="SimSun" w:hAnsi="Arial" w:cs="Arial"/>
          <w:sz w:val="24"/>
          <w:szCs w:val="24"/>
        </w:rPr>
        <w:t>o</w:t>
      </w:r>
      <w:r w:rsidRPr="004D6806">
        <w:rPr>
          <w:rFonts w:ascii="Arial" w:eastAsia="SimSun" w:hAnsi="Arial" w:cs="Arial"/>
          <w:sz w:val="24"/>
          <w:szCs w:val="24"/>
        </w:rPr>
        <w:t xml:space="preserve">ra; </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 luarea în considerare a planurilor de acţiune în deciziile cu privire la dezvoltarea de noi zone rezidenţiale şi la dezvoltarea urbanistică în general.</w:t>
      </w: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Arial" w:eastAsia="SimSun" w:hAnsi="Arial" w:cs="Arial"/>
          <w:b/>
          <w:bCs/>
          <w:sz w:val="24"/>
          <w:szCs w:val="24"/>
          <w:lang w:val="it-IT"/>
        </w:rPr>
      </w:pPr>
      <w:r w:rsidRPr="004D6806">
        <w:rPr>
          <w:rFonts w:ascii="Arial" w:eastAsia="SimSun" w:hAnsi="Arial" w:cs="Arial"/>
          <w:b/>
          <w:bCs/>
          <w:sz w:val="24"/>
          <w:szCs w:val="24"/>
          <w:lang w:val="it-IT"/>
        </w:rPr>
        <w:t>Monitorizarea nivelului de zgomot în anul 2014, în cadrul judeţului Buzău.</w:t>
      </w:r>
    </w:p>
    <w:p w:rsidR="004D6806" w:rsidRPr="004D6806" w:rsidRDefault="004D6806" w:rsidP="004D6806">
      <w:pPr>
        <w:spacing w:after="0" w:line="240" w:lineRule="auto"/>
        <w:jc w:val="both"/>
        <w:rPr>
          <w:rFonts w:ascii="Arial" w:eastAsia="SimSun" w:hAnsi="Arial" w:cs="Arial"/>
          <w:b/>
          <w:bCs/>
          <w:sz w:val="24"/>
          <w:szCs w:val="24"/>
          <w:lang w:val="it-IT"/>
        </w:rPr>
      </w:pPr>
    </w:p>
    <w:p w:rsidR="004D6806" w:rsidRPr="004D6806" w:rsidRDefault="004D6806" w:rsidP="004D6806">
      <w:pPr>
        <w:spacing w:after="0" w:line="240" w:lineRule="auto"/>
        <w:jc w:val="both"/>
        <w:rPr>
          <w:rFonts w:ascii="Arial" w:eastAsia="SimSun" w:hAnsi="Arial" w:cs="Arial"/>
          <w:sz w:val="24"/>
          <w:szCs w:val="24"/>
          <w:lang w:val="it-IT"/>
        </w:rPr>
      </w:pPr>
      <w:r w:rsidRPr="004D6806">
        <w:rPr>
          <w:rFonts w:ascii="Arial" w:eastAsia="SimSun" w:hAnsi="Arial" w:cs="Arial"/>
          <w:sz w:val="24"/>
          <w:szCs w:val="24"/>
          <w:lang w:val="it-IT"/>
        </w:rPr>
        <w:t>În anul 2014, în judeţul Buzău, s-au realizat măsurări de nivel de zgomot în 7 puncte, o dată pe lună, după cum urmează:</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it-IT"/>
        </w:rPr>
        <w:t xml:space="preserve">- în municipiul Buzău </w:t>
      </w:r>
      <w:r w:rsidRPr="004D6806">
        <w:rPr>
          <w:rFonts w:ascii="Arial" w:eastAsia="SimSun" w:hAnsi="Arial" w:cs="Arial"/>
          <w:sz w:val="24"/>
          <w:szCs w:val="24"/>
          <w:lang w:val="en-GB"/>
        </w:rPr>
        <w:t>în zona de nord-vest, la intersecţia străzii Transilvaniei cu şoseaua de centură E 85, în zona centrală, aproape de intersecţia străzii Transilvaniei cu buleva</w:t>
      </w:r>
      <w:r w:rsidRPr="004D6806">
        <w:rPr>
          <w:rFonts w:ascii="Arial" w:eastAsia="SimSun" w:hAnsi="Arial" w:cs="Arial"/>
          <w:sz w:val="24"/>
          <w:szCs w:val="24"/>
          <w:lang w:val="en-GB"/>
        </w:rPr>
        <w:t>r</w:t>
      </w:r>
      <w:r w:rsidRPr="004D6806">
        <w:rPr>
          <w:rFonts w:ascii="Arial" w:eastAsia="SimSun" w:hAnsi="Arial" w:cs="Arial"/>
          <w:sz w:val="24"/>
          <w:szCs w:val="24"/>
          <w:lang w:val="en-GB"/>
        </w:rPr>
        <w:t>dul Nicolae Titulescu, în zona centrală, la intersecţia străzii Transilvaniei cu bulevardul Unirii, în zona de est, aproape de intersecţia străzii A. Marghiloman cu bulevardul Repu</w:t>
      </w:r>
      <w:r w:rsidRPr="004D6806">
        <w:rPr>
          <w:rFonts w:ascii="Arial" w:eastAsia="SimSun" w:hAnsi="Arial" w:cs="Arial"/>
          <w:sz w:val="24"/>
          <w:szCs w:val="24"/>
          <w:lang w:val="en-GB"/>
        </w:rPr>
        <w:t>b</w:t>
      </w:r>
      <w:r w:rsidRPr="004D6806">
        <w:rPr>
          <w:rFonts w:ascii="Arial" w:eastAsia="SimSun" w:hAnsi="Arial" w:cs="Arial"/>
          <w:sz w:val="24"/>
          <w:szCs w:val="24"/>
          <w:lang w:val="en-GB"/>
        </w:rPr>
        <w:t>licii.</w:t>
      </w:r>
    </w:p>
    <w:p w:rsidR="004D6806" w:rsidRPr="004D6806" w:rsidRDefault="004D6806" w:rsidP="004D6806">
      <w:pPr>
        <w:spacing w:after="0" w:line="240" w:lineRule="auto"/>
        <w:jc w:val="both"/>
        <w:rPr>
          <w:rFonts w:ascii="Arial" w:eastAsia="SimSun" w:hAnsi="Arial" w:cs="Arial"/>
          <w:sz w:val="24"/>
          <w:szCs w:val="24"/>
          <w:lang w:val="it-IT"/>
        </w:rPr>
      </w:pPr>
      <w:r w:rsidRPr="004D6806">
        <w:rPr>
          <w:rFonts w:ascii="Arial" w:eastAsia="SimSun" w:hAnsi="Arial" w:cs="Arial"/>
          <w:sz w:val="24"/>
          <w:szCs w:val="24"/>
          <w:lang w:val="it-IT"/>
        </w:rPr>
        <w:t>- în municipiul Râmnicu Sărat -  la Şcoala Ajutătoare;</w:t>
      </w:r>
    </w:p>
    <w:p w:rsidR="004D6806" w:rsidRPr="004D6806" w:rsidRDefault="004D6806" w:rsidP="004D6806">
      <w:pPr>
        <w:spacing w:after="0" w:line="240" w:lineRule="auto"/>
        <w:jc w:val="both"/>
        <w:rPr>
          <w:rFonts w:ascii="Arial" w:eastAsia="SimSun" w:hAnsi="Arial" w:cs="Arial"/>
          <w:sz w:val="24"/>
          <w:szCs w:val="24"/>
          <w:lang w:val="it-IT"/>
        </w:rPr>
      </w:pPr>
      <w:r w:rsidRPr="004D6806">
        <w:rPr>
          <w:rFonts w:ascii="Arial" w:eastAsia="SimSun" w:hAnsi="Arial" w:cs="Arial"/>
          <w:sz w:val="24"/>
          <w:szCs w:val="24"/>
          <w:lang w:val="it-IT"/>
        </w:rPr>
        <w:t>- în orasul Nehoiu - în zona centrală;</w:t>
      </w:r>
    </w:p>
    <w:p w:rsidR="004D6806" w:rsidRPr="004D6806" w:rsidRDefault="004D6806" w:rsidP="004D6806">
      <w:pPr>
        <w:spacing w:after="0" w:line="240" w:lineRule="auto"/>
        <w:jc w:val="both"/>
        <w:rPr>
          <w:rFonts w:ascii="Arial" w:eastAsia="SimSun" w:hAnsi="Arial" w:cs="Arial"/>
          <w:sz w:val="24"/>
          <w:szCs w:val="24"/>
          <w:lang w:val="it-IT"/>
        </w:rPr>
      </w:pPr>
      <w:r w:rsidRPr="004D6806">
        <w:rPr>
          <w:rFonts w:ascii="Arial" w:eastAsia="SimSun" w:hAnsi="Arial" w:cs="Arial"/>
          <w:sz w:val="24"/>
          <w:szCs w:val="24"/>
          <w:lang w:val="it-IT"/>
        </w:rPr>
        <w:t xml:space="preserve">- în oraşul Pătârlagele - în zona centrală. </w:t>
      </w:r>
    </w:p>
    <w:p w:rsidR="004D6806" w:rsidRPr="004D6806" w:rsidRDefault="004D6806" w:rsidP="004D6806">
      <w:pPr>
        <w:spacing w:after="0" w:line="240" w:lineRule="auto"/>
        <w:jc w:val="both"/>
        <w:rPr>
          <w:rFonts w:ascii="Arial" w:eastAsia="SimSun" w:hAnsi="Arial" w:cs="Arial"/>
          <w:sz w:val="24"/>
          <w:szCs w:val="24"/>
          <w:lang w:val="it-IT"/>
        </w:rPr>
      </w:pPr>
      <w:r w:rsidRPr="004D6806">
        <w:rPr>
          <w:rFonts w:ascii="Arial" w:eastAsia="SimSun" w:hAnsi="Arial" w:cs="Arial"/>
          <w:sz w:val="24"/>
          <w:szCs w:val="24"/>
          <w:lang w:val="it-IT"/>
        </w:rPr>
        <w:t xml:space="preserve">În afară de acestea, se mai pot realiza determinări de zgomot contra cost, la solicitarea operatorilor economici interesaţi sau la solicitarea unor instituţii care gestionează factori de mediu sau realizează inspecţii pe linia protecţiei mediului. </w:t>
      </w:r>
    </w:p>
    <w:p w:rsidR="004D6806" w:rsidRPr="004D6806" w:rsidRDefault="004D6806" w:rsidP="004D6806">
      <w:pPr>
        <w:spacing w:after="0" w:line="240" w:lineRule="auto"/>
        <w:jc w:val="both"/>
        <w:rPr>
          <w:rFonts w:ascii="Arial" w:eastAsia="SimSun" w:hAnsi="Arial" w:cs="Arial"/>
          <w:sz w:val="24"/>
          <w:szCs w:val="24"/>
          <w:lang w:val="it-IT"/>
        </w:rPr>
      </w:pPr>
      <w:r w:rsidRPr="004D6806">
        <w:rPr>
          <w:rFonts w:ascii="Arial" w:eastAsia="SimSun" w:hAnsi="Arial" w:cs="Arial"/>
          <w:sz w:val="24"/>
          <w:szCs w:val="24"/>
          <w:lang w:val="it-IT"/>
        </w:rPr>
        <w:t>În cursul anului 2014 nu s-au efectuat determinări de zgomot contra cost, neexistând solicitări din partea operatorilor economici. Nu au existat nici solicitări din partea instituţiilor interesate pentru realizarea de determinări de nivel de zgomot ambiental.</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lang w:val="pt-BR"/>
        </w:rPr>
      </w:pPr>
      <w:r w:rsidRPr="004D6806">
        <w:rPr>
          <w:rFonts w:ascii="Arial" w:hAnsi="Arial" w:cs="Arial"/>
          <w:bCs/>
          <w:sz w:val="24"/>
          <w:szCs w:val="24"/>
          <w:lang w:val="pt-BR"/>
        </w:rPr>
        <w:t>Analiza cantitativă comparativă a numărului de probe privind nivelul de zgomot ambiental în anul 2014 faţă de anul 2013 este redată în tabelul următor:</w:t>
      </w:r>
    </w:p>
    <w:p w:rsidR="004D6806" w:rsidRPr="004D6806" w:rsidRDefault="004D6806" w:rsidP="004D6806">
      <w:pPr>
        <w:spacing w:after="0" w:line="240" w:lineRule="auto"/>
        <w:rPr>
          <w:rFonts w:ascii="Times New Roman" w:eastAsia="SimSun" w:hAnsi="Times New Roman"/>
          <w:sz w:val="24"/>
          <w:szCs w:val="24"/>
          <w:lang w:val="pt-BR"/>
        </w:rPr>
      </w:pPr>
    </w:p>
    <w:tbl>
      <w:tblPr>
        <w:tblW w:w="8941" w:type="dxa"/>
        <w:tblInd w:w="392" w:type="dxa"/>
        <w:tblBorders>
          <w:top w:val="single" w:sz="4" w:space="0" w:color="auto"/>
          <w:left w:val="single" w:sz="4" w:space="0" w:color="auto"/>
          <w:bottom w:val="single" w:sz="4" w:space="0" w:color="auto"/>
          <w:right w:val="single" w:sz="4" w:space="0" w:color="auto"/>
        </w:tblBorders>
        <w:tblLook w:val="0000"/>
      </w:tblPr>
      <w:tblGrid>
        <w:gridCol w:w="537"/>
        <w:gridCol w:w="2164"/>
        <w:gridCol w:w="2844"/>
        <w:gridCol w:w="1698"/>
        <w:gridCol w:w="1698"/>
      </w:tblGrid>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p>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Nr.</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Zona</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Punct de măsurare</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probe în 2013</w:t>
            </w:r>
          </w:p>
        </w:tc>
        <w:tc>
          <w:tcPr>
            <w:tcW w:w="1698" w:type="dxa"/>
            <w:tcBorders>
              <w:top w:val="single" w:sz="4" w:space="0" w:color="auto"/>
              <w:left w:val="single" w:sz="4" w:space="0" w:color="auto"/>
              <w:bottom w:val="single" w:sz="4" w:space="0" w:color="auto"/>
              <w:right w:val="single" w:sz="4" w:space="0" w:color="auto"/>
            </w:tcBorders>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probe în 2014</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Zona Nord Buzău</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9</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12</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Complex OMI EXPO</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9</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12</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Zona Est Buzău</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9</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12</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Buzău</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Intersecţia E 85 cu str. Transilvaniei</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9</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12</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lastRenderedPageBreak/>
              <w:t>5.</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Nehoiu</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Centru</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9</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12</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6.</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Pătârlagele</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Centru</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9</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12</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7.</w:t>
            </w: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Râmnicu Sărat</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Şcoala ajutătoare</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9</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12</w:t>
            </w:r>
          </w:p>
        </w:tc>
      </w:tr>
      <w:tr w:rsidR="004D6806" w:rsidRPr="004D6806" w:rsidTr="00530BF0">
        <w:tc>
          <w:tcPr>
            <w:tcW w:w="537"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p>
        </w:tc>
        <w:tc>
          <w:tcPr>
            <w:tcW w:w="216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bCs/>
                <w:sz w:val="24"/>
                <w:szCs w:val="24"/>
                <w:lang w:val="en-GB"/>
              </w:rPr>
              <w:t>TOTAL</w:t>
            </w:r>
          </w:p>
        </w:tc>
        <w:tc>
          <w:tcPr>
            <w:tcW w:w="2844"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rPr>
                <w:rFonts w:ascii="Arial" w:eastAsia="SimSun" w:hAnsi="Arial" w:cs="Arial"/>
                <w:sz w:val="24"/>
                <w:szCs w:val="24"/>
                <w:lang w:val="en-GB"/>
              </w:rPr>
            </w:pP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63</w:t>
            </w:r>
          </w:p>
        </w:tc>
        <w:tc>
          <w:tcPr>
            <w:tcW w:w="1698" w:type="dxa"/>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84</w:t>
            </w:r>
          </w:p>
        </w:tc>
      </w:tr>
    </w:tbl>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Tabel IX.1.2.1 </w:t>
      </w:r>
      <w:r w:rsidRPr="004D6806">
        <w:rPr>
          <w:rFonts w:ascii="Arial" w:eastAsia="SimSun" w:hAnsi="Arial" w:cs="Arial"/>
          <w:b/>
          <w:sz w:val="24"/>
          <w:szCs w:val="24"/>
          <w:lang w:val="pt-BR"/>
        </w:rPr>
        <w:t>Analiza cantitativă comparativă a numărului de probe privind nivelul de zgomot ambiental în anul 2014 faţă de anul 2013</w:t>
      </w: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Numărul de măsurări ale nivelului de zgomot în anul 2013 a fost mai mic faţă de numărul de măsurări din anul 2014, din motive tehnice (sonometru defect) şi lipsa fondurilor  nec</w:t>
      </w:r>
      <w:r w:rsidRPr="004D6806">
        <w:rPr>
          <w:rFonts w:ascii="Arial" w:eastAsia="SimSun" w:hAnsi="Arial" w:cs="Arial"/>
          <w:sz w:val="24"/>
          <w:szCs w:val="24"/>
          <w:lang w:val="en-GB"/>
        </w:rPr>
        <w:t>e</w:t>
      </w:r>
      <w:r w:rsidRPr="004D6806">
        <w:rPr>
          <w:rFonts w:ascii="Arial" w:eastAsia="SimSun" w:hAnsi="Arial" w:cs="Arial"/>
          <w:sz w:val="24"/>
          <w:szCs w:val="24"/>
          <w:lang w:val="en-GB"/>
        </w:rPr>
        <w:t>sare reparării în timp scurt a acestuia şi realizării efective a tuturor determinărilor pr</w:t>
      </w:r>
      <w:r w:rsidRPr="004D6806">
        <w:rPr>
          <w:rFonts w:ascii="Arial" w:eastAsia="SimSun" w:hAnsi="Arial" w:cs="Arial"/>
          <w:sz w:val="24"/>
          <w:szCs w:val="24"/>
          <w:lang w:val="en-GB"/>
        </w:rPr>
        <w:t>o</w:t>
      </w:r>
      <w:r w:rsidRPr="004D6806">
        <w:rPr>
          <w:rFonts w:ascii="Arial" w:eastAsia="SimSun" w:hAnsi="Arial" w:cs="Arial"/>
          <w:sz w:val="24"/>
          <w:szCs w:val="24"/>
          <w:lang w:val="en-GB"/>
        </w:rPr>
        <w:t>gramate.</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În urma măsurărilor nivelului de zgomot efectuate în anul 2014, au fost înregistrate 20 d</w:t>
      </w:r>
      <w:r w:rsidRPr="004D6806">
        <w:rPr>
          <w:rFonts w:ascii="Arial" w:eastAsia="SimSun" w:hAnsi="Arial" w:cs="Arial"/>
          <w:sz w:val="24"/>
          <w:szCs w:val="24"/>
          <w:lang w:val="en-GB"/>
        </w:rPr>
        <w:t>e</w:t>
      </w:r>
      <w:r w:rsidRPr="004D6806">
        <w:rPr>
          <w:rFonts w:ascii="Arial" w:eastAsia="SimSun" w:hAnsi="Arial" w:cs="Arial"/>
          <w:sz w:val="24"/>
          <w:szCs w:val="24"/>
          <w:lang w:val="en-GB"/>
        </w:rPr>
        <w:t>păşiri ale valorilor limită pentru nivelul de zgomot ambiental,  conform STAS 10009/1988. Majoritatea acestor depăşiri se datorează traficului rutier intens în zonele unde s-au real</w:t>
      </w:r>
      <w:r w:rsidRPr="004D6806">
        <w:rPr>
          <w:rFonts w:ascii="Arial" w:eastAsia="SimSun" w:hAnsi="Arial" w:cs="Arial"/>
          <w:sz w:val="24"/>
          <w:szCs w:val="24"/>
          <w:lang w:val="en-GB"/>
        </w:rPr>
        <w:t>i</w:t>
      </w:r>
      <w:r w:rsidRPr="004D6806">
        <w:rPr>
          <w:rFonts w:ascii="Arial" w:eastAsia="SimSun" w:hAnsi="Arial" w:cs="Arial"/>
          <w:sz w:val="24"/>
          <w:szCs w:val="24"/>
          <w:lang w:val="en-GB"/>
        </w:rPr>
        <w:t>zat determinările.</w:t>
      </w:r>
    </w:p>
    <w:p w:rsidR="004D6806" w:rsidRPr="004D6806" w:rsidRDefault="004D6806" w:rsidP="004D6806">
      <w:pPr>
        <w:spacing w:after="0" w:line="240" w:lineRule="auto"/>
        <w:jc w:val="both"/>
        <w:rPr>
          <w:rFonts w:ascii="Arial" w:eastAsia="SimSun" w:hAnsi="Arial" w:cs="Arial"/>
          <w:bCs/>
          <w:sz w:val="24"/>
          <w:szCs w:val="24"/>
          <w:lang w:val="it-IT"/>
        </w:rPr>
      </w:pPr>
      <w:r w:rsidRPr="004D6806">
        <w:rPr>
          <w:rFonts w:ascii="Arial" w:eastAsia="SimSun" w:hAnsi="Arial" w:cs="Arial"/>
          <w:bCs/>
          <w:sz w:val="24"/>
          <w:szCs w:val="24"/>
          <w:lang w:val="it-IT"/>
        </w:rPr>
        <w:t>Monitorizarea stadiului de realizare a hărţilor strategice de zomot pentru municipiul Buzău şi a planurilor de acţiune pentru reducerea nivelului zgomotului ambiental:</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Conform legislaţiei existente în domeniul gestionării zgomotului ambiental, primăria m</w:t>
      </w:r>
      <w:r w:rsidRPr="004D6806">
        <w:rPr>
          <w:rFonts w:ascii="Arial" w:eastAsia="SimSun" w:hAnsi="Arial" w:cs="Arial"/>
          <w:sz w:val="24"/>
          <w:szCs w:val="24"/>
          <w:lang w:val="en-GB"/>
        </w:rPr>
        <w:t>u</w:t>
      </w:r>
      <w:r w:rsidRPr="004D6806">
        <w:rPr>
          <w:rFonts w:ascii="Arial" w:eastAsia="SimSun" w:hAnsi="Arial" w:cs="Arial"/>
          <w:sz w:val="24"/>
          <w:szCs w:val="24"/>
          <w:lang w:val="en-GB"/>
        </w:rPr>
        <w:t xml:space="preserve">nicipiului Buzău a avut obligaţia întocmirii hărţilor de zgomot până la data de 30 iunie 2012 şi a planului de acţiune pentru reducerea zgomotului ambiental şi încadrarea lui în limitele impuse de legislaţia în vigoare, până la data de 18 iulie 2013. </w:t>
      </w:r>
    </w:p>
    <w:p w:rsidR="004D6806" w:rsidRPr="004D6806" w:rsidRDefault="004D6806" w:rsidP="004D6806">
      <w:pPr>
        <w:autoSpaceDE w:val="0"/>
        <w:autoSpaceDN w:val="0"/>
        <w:adjustRightInd w:val="0"/>
        <w:spacing w:after="0" w:line="240" w:lineRule="auto"/>
        <w:jc w:val="both"/>
        <w:rPr>
          <w:rFonts w:ascii="Arial" w:eastAsia="Times New Roman" w:hAnsi="Arial" w:cs="Arial"/>
          <w:b/>
          <w:bCs/>
          <w:sz w:val="24"/>
          <w:szCs w:val="24"/>
        </w:rPr>
      </w:pPr>
      <w:r w:rsidRPr="004D6806">
        <w:rPr>
          <w:rFonts w:ascii="Arial" w:eastAsia="Times New Roman" w:hAnsi="Arial" w:cs="Arial"/>
          <w:bCs/>
          <w:sz w:val="24"/>
          <w:szCs w:val="24"/>
        </w:rPr>
        <w:t>Hărţile de zgomot pentru municipiul Buzău au fost finalizate totuşi la sfârşitul lunii august 2013, când au fost înaintate la APM Buzău. Ele au fost insă incomplete, APM Buzău sol</w:t>
      </w:r>
      <w:r w:rsidRPr="004D6806">
        <w:rPr>
          <w:rFonts w:ascii="Arial" w:eastAsia="Times New Roman" w:hAnsi="Arial" w:cs="Arial"/>
          <w:bCs/>
          <w:sz w:val="24"/>
          <w:szCs w:val="24"/>
        </w:rPr>
        <w:t>i</w:t>
      </w:r>
      <w:r w:rsidRPr="004D6806">
        <w:rPr>
          <w:rFonts w:ascii="Arial" w:eastAsia="Times New Roman" w:hAnsi="Arial" w:cs="Arial"/>
          <w:bCs/>
          <w:sz w:val="24"/>
          <w:szCs w:val="24"/>
        </w:rPr>
        <w:t>citând completări ale acestora. Aceste completări au fost finalizate şi transmise în luna martie 2014, iar în luna aprilie 2014 hărţile de zgomot au fost înaintate la ANPM şi MMSC pentru verificare. În luna iulie 2014 s-a primit de la autoritatea centrală pentru protecţia mediului o adresă prin care se solicită Primăriei municipiului Buzău să completeze hărţile de zomot cu informaţii referitoare la staţia CFR Buzău. Primăria municipiului Buzău a re</w:t>
      </w:r>
      <w:r w:rsidRPr="004D6806">
        <w:rPr>
          <w:rFonts w:ascii="Arial" w:eastAsia="Times New Roman" w:hAnsi="Arial" w:cs="Arial"/>
          <w:bCs/>
          <w:sz w:val="24"/>
          <w:szCs w:val="24"/>
        </w:rPr>
        <w:t>a</w:t>
      </w:r>
      <w:r w:rsidRPr="004D6806">
        <w:rPr>
          <w:rFonts w:ascii="Arial" w:eastAsia="Times New Roman" w:hAnsi="Arial" w:cs="Arial"/>
          <w:bCs/>
          <w:sz w:val="24"/>
          <w:szCs w:val="24"/>
        </w:rPr>
        <w:t xml:space="preserve">lizat aceste completări şi urmează în continuare să realizeze şi să înainteze către APM BUZĂU, planul de acţiune pentru reducerea nivelului de zgomot ambiental. </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APM Buzău, a adus periodic la cunoştinţa primăriei municipiului Buzău obligaţiile ce-i revin în domeniul gestionării zgomotului ambiental şi a realizat şi transmis către  ANPM, rapoa</w:t>
      </w:r>
      <w:r w:rsidRPr="004D6806">
        <w:rPr>
          <w:rFonts w:ascii="Arial" w:eastAsia="SimSun" w:hAnsi="Arial" w:cs="Arial"/>
          <w:sz w:val="24"/>
          <w:szCs w:val="24"/>
          <w:lang w:val="en-GB"/>
        </w:rPr>
        <w:t>r</w:t>
      </w:r>
      <w:r w:rsidRPr="004D6806">
        <w:rPr>
          <w:rFonts w:ascii="Arial" w:eastAsia="SimSun" w:hAnsi="Arial" w:cs="Arial"/>
          <w:sz w:val="24"/>
          <w:szCs w:val="24"/>
          <w:lang w:val="en-GB"/>
        </w:rPr>
        <w:t>tele în acest domeniu.</w:t>
      </w:r>
    </w:p>
    <w:p w:rsidR="004D6806" w:rsidRPr="004D6806" w:rsidRDefault="004D6806" w:rsidP="004D6806">
      <w:pPr>
        <w:tabs>
          <w:tab w:val="left" w:leader="dot" w:pos="9356"/>
        </w:tabs>
        <w:spacing w:after="0" w:line="240" w:lineRule="auto"/>
        <w:jc w:val="both"/>
        <w:rPr>
          <w:rFonts w:ascii="Arial" w:eastAsia="SimSun" w:hAnsi="Arial" w:cs="Arial"/>
          <w:color w:val="FF0000"/>
          <w:sz w:val="24"/>
          <w:szCs w:val="24"/>
          <w:lang w:val="ro-RO"/>
        </w:rPr>
      </w:pPr>
    </w:p>
    <w:p w:rsidR="004D6806" w:rsidRPr="004D6806" w:rsidRDefault="004D6806" w:rsidP="004D6806">
      <w:pPr>
        <w:tabs>
          <w:tab w:val="left" w:leader="dot" w:pos="9356"/>
        </w:tabs>
        <w:spacing w:after="0" w:line="240" w:lineRule="auto"/>
        <w:jc w:val="both"/>
        <w:rPr>
          <w:rFonts w:ascii="Arial" w:eastAsia="SimSun" w:hAnsi="Arial" w:cs="Arial"/>
          <w:color w:val="FF0000"/>
          <w:sz w:val="24"/>
          <w:szCs w:val="24"/>
          <w:lang w:val="ro-RO"/>
        </w:rPr>
      </w:pPr>
    </w:p>
    <w:p w:rsidR="004D6806" w:rsidRPr="004D6806" w:rsidRDefault="004D6806" w:rsidP="004D6806">
      <w:pPr>
        <w:tabs>
          <w:tab w:val="left" w:pos="1276"/>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IX.1.3. Calitatea apei potabile şi efectele asupra sănătăţii</w:t>
      </w:r>
    </w:p>
    <w:p w:rsidR="004D6806" w:rsidRPr="004D6806" w:rsidRDefault="004D6806" w:rsidP="004D6806">
      <w:pPr>
        <w:tabs>
          <w:tab w:val="left" w:pos="1276"/>
          <w:tab w:val="left" w:leader="dot" w:pos="9356"/>
        </w:tabs>
        <w:spacing w:after="0" w:line="240" w:lineRule="auto"/>
        <w:jc w:val="both"/>
        <w:rPr>
          <w:rFonts w:ascii="Arial" w:eastAsia="SimSun" w:hAnsi="Arial" w:cs="Arial"/>
          <w:b/>
          <w:sz w:val="24"/>
          <w:szCs w:val="24"/>
          <w:lang w:val="ro-RO"/>
        </w:rPr>
      </w:pPr>
    </w:p>
    <w:p w:rsidR="004D6806" w:rsidRPr="004D6806" w:rsidRDefault="004D6806" w:rsidP="004D6806">
      <w:pPr>
        <w:tabs>
          <w:tab w:val="left" w:pos="1276"/>
          <w:tab w:val="left" w:leader="dot" w:pos="9356"/>
        </w:tabs>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Poluarea microbiologică  a apei de băut determină apariţia afecţiunilor tubului digestiv sub forma enteritelor, entero-colitelor, a bolii diareice acute.</w:t>
      </w:r>
    </w:p>
    <w:p w:rsidR="004D6806" w:rsidRPr="004D6806" w:rsidRDefault="004D6806" w:rsidP="004D6806">
      <w:pPr>
        <w:tabs>
          <w:tab w:val="left" w:pos="1276"/>
          <w:tab w:val="left" w:leader="dot" w:pos="9356"/>
        </w:tabs>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fr-FR"/>
        </w:rPr>
        <w:t>Concentraţia mare a nitraţilor în apa de băut produce intoxicaţii acute grave la copiii din grupa de vârstă 0-3 ani  şi afectează starea de sănătate a populaţiei cu boli cronice,  la care există riscul să apară « boala apei » manifestată prin: greţuri, vărăaturi, dureri de cap (cefalee), ameţeli, anemie .</w:t>
      </w:r>
      <w:r w:rsidRPr="004D6806">
        <w:rPr>
          <w:rFonts w:ascii="Arial" w:eastAsia="SimSun" w:hAnsi="Arial" w:cs="Arial"/>
          <w:sz w:val="24"/>
          <w:szCs w:val="24"/>
          <w:lang w:val="en-GB"/>
        </w:rPr>
        <w:t xml:space="preserve"> În anul 2014, ponderea numărului punctelor de monitorizare cu depăşiri la conţinutul de nitraţi din numărul total de puncte de monitorizare au fost:</w:t>
      </w:r>
    </w:p>
    <w:p w:rsidR="004D6806" w:rsidRPr="004D6806" w:rsidRDefault="004D6806" w:rsidP="004D6806">
      <w:pPr>
        <w:tabs>
          <w:tab w:val="left" w:pos="1276"/>
          <w:tab w:val="left" w:leader="dot" w:pos="9356"/>
        </w:tabs>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 xml:space="preserve">- numărul total puncte de monitorizare =2703; </w:t>
      </w:r>
    </w:p>
    <w:p w:rsidR="004D6806" w:rsidRPr="004D6806" w:rsidRDefault="004D6806" w:rsidP="004D6806">
      <w:pPr>
        <w:tabs>
          <w:tab w:val="left" w:pos="1276"/>
          <w:tab w:val="left" w:leader="dot" w:pos="9356"/>
        </w:tabs>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 s-au înregistrat depăşiri la conţinutul de nitraţi în 292 puncte de monitorizare.</w:t>
      </w:r>
    </w:p>
    <w:p w:rsidR="004D6806" w:rsidRPr="004D6806" w:rsidRDefault="004D6806" w:rsidP="004D6806">
      <w:pPr>
        <w:tabs>
          <w:tab w:val="left" w:pos="1276"/>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sz w:val="24"/>
          <w:szCs w:val="24"/>
          <w:lang w:val="en-GB"/>
        </w:rPr>
        <w:t>Ponderea numărului punctelor de monitorizare cu depăşiri la conţinutul de nitraţi din num</w:t>
      </w:r>
      <w:r w:rsidRPr="004D6806">
        <w:rPr>
          <w:rFonts w:ascii="Arial" w:eastAsia="SimSun" w:hAnsi="Arial" w:cs="Arial"/>
          <w:sz w:val="24"/>
          <w:szCs w:val="24"/>
          <w:lang w:val="en-GB"/>
        </w:rPr>
        <w:t>ă</w:t>
      </w:r>
      <w:r w:rsidRPr="004D6806">
        <w:rPr>
          <w:rFonts w:ascii="Arial" w:eastAsia="SimSun" w:hAnsi="Arial" w:cs="Arial"/>
          <w:sz w:val="24"/>
          <w:szCs w:val="24"/>
          <w:lang w:val="en-GB"/>
        </w:rPr>
        <w:t xml:space="preserve">rul total de puncte de monitorizare în anul 2014 este de 10,8%. </w:t>
      </w:r>
      <w:r w:rsidRPr="004D6806">
        <w:rPr>
          <w:rFonts w:ascii="Arial" w:eastAsia="SimSun" w:hAnsi="Arial" w:cs="Arial"/>
          <w:sz w:val="24"/>
          <w:szCs w:val="24"/>
          <w:lang w:val="fr-FR"/>
        </w:rPr>
        <w:t xml:space="preserve">Clorurile în concentraţie crescută prezintă riscul de apariţie a afecţiunilor cardio-vasculare ( în special hipertensiune arterială şi cardiopatie ischemică ) şi renale  la populaţia care consumă apă din această sursă. Excesul de  fier în apa de băut modifică organoleptic apa (aspect, gust, miros), face posibilă  afectarea metabolismului general, a funcţiilor inimii, ficatului şi rinichiului . Concentraţia crescută a borului poate determina  afectarea metabolismului general, a </w:t>
      </w:r>
      <w:r w:rsidRPr="004D6806">
        <w:rPr>
          <w:rFonts w:ascii="Arial" w:eastAsia="SimSun" w:hAnsi="Arial" w:cs="Arial"/>
          <w:sz w:val="24"/>
          <w:szCs w:val="24"/>
          <w:lang w:val="fr-FR"/>
        </w:rPr>
        <w:lastRenderedPageBreak/>
        <w:t xml:space="preserve">funcţiilor ficatului, rinichiului, reproducerii. </w:t>
      </w:r>
      <w:r w:rsidRPr="004D6806">
        <w:rPr>
          <w:rFonts w:ascii="Arial" w:eastAsia="SimSun" w:hAnsi="Arial" w:cs="Arial"/>
          <w:sz w:val="24"/>
          <w:szCs w:val="24"/>
          <w:lang w:val="en-GB"/>
        </w:rPr>
        <w:t>Valoarea mare a turbidităţii asigură condiţii o</w:t>
      </w:r>
      <w:r w:rsidRPr="004D6806">
        <w:rPr>
          <w:rFonts w:ascii="Arial" w:eastAsia="SimSun" w:hAnsi="Arial" w:cs="Arial"/>
          <w:sz w:val="24"/>
          <w:szCs w:val="24"/>
          <w:lang w:val="en-GB"/>
        </w:rPr>
        <w:t>p</w:t>
      </w:r>
      <w:r w:rsidRPr="004D6806">
        <w:rPr>
          <w:rFonts w:ascii="Arial" w:eastAsia="SimSun" w:hAnsi="Arial" w:cs="Arial"/>
          <w:sz w:val="24"/>
          <w:szCs w:val="24"/>
          <w:lang w:val="en-GB"/>
        </w:rPr>
        <w:t xml:space="preserve">time pentru grefarea, multiplicarea şi agresiunea microbilor şi virusurilor, consecinţa fiind poluarea microbiologică şi apariţia îmbolnăvirilor generate de apa consumată. </w:t>
      </w:r>
      <w:r w:rsidRPr="004D6806">
        <w:rPr>
          <w:rFonts w:ascii="Arial" w:eastAsia="SimSun" w:hAnsi="Arial" w:cs="Arial"/>
          <w:sz w:val="24"/>
          <w:szCs w:val="24"/>
          <w:lang w:val="fr-FR"/>
        </w:rPr>
        <w:t>Conductiv</w:t>
      </w:r>
      <w:r w:rsidRPr="004D6806">
        <w:rPr>
          <w:rFonts w:ascii="Arial" w:eastAsia="SimSun" w:hAnsi="Arial" w:cs="Arial"/>
          <w:sz w:val="24"/>
          <w:szCs w:val="24"/>
          <w:lang w:val="fr-FR"/>
        </w:rPr>
        <w:t>i</w:t>
      </w:r>
      <w:r w:rsidRPr="004D6806">
        <w:rPr>
          <w:rFonts w:ascii="Arial" w:eastAsia="SimSun" w:hAnsi="Arial" w:cs="Arial"/>
          <w:sz w:val="24"/>
          <w:szCs w:val="24"/>
          <w:lang w:val="fr-FR"/>
        </w:rPr>
        <w:t>tatea este rezultatul gradului de mineralizare al apei; cu cât gradul de mineralizare este mai crescut, cu atât conductivitatea este mai mare. Ca urmare, în caz de poluare a apei, mai ales a celei subterane, se modifică gradul de mineralizare evidenţiindu-se apariţia şi intensitatea poluării. Gradul de mineralizare nu trebuie să fie prea mare deoarece influenţează caracterele organoleptice ale apei şi/sau poate avea efecte nedorite în caz de consum îndelungat asupra stomacului, rinichiului sau ficatului.</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În judeţul Buzău nu s–au înregistrat cazuri de îmbolnăviri care ar putea fi  încadrate în p</w:t>
      </w:r>
      <w:r w:rsidRPr="004D6806">
        <w:rPr>
          <w:rFonts w:ascii="Arial" w:eastAsia="SimSun" w:hAnsi="Arial" w:cs="Arial"/>
          <w:sz w:val="24"/>
          <w:szCs w:val="24"/>
          <w:lang w:val="en-GB"/>
        </w:rPr>
        <w:t>a</w:t>
      </w:r>
      <w:r w:rsidRPr="004D6806">
        <w:rPr>
          <w:rFonts w:ascii="Arial" w:eastAsia="SimSun" w:hAnsi="Arial" w:cs="Arial"/>
          <w:sz w:val="24"/>
          <w:szCs w:val="24"/>
          <w:lang w:val="en-GB"/>
        </w:rPr>
        <w:t>tologia hidrică infecţioasă.</w:t>
      </w:r>
    </w:p>
    <w:p w:rsidR="004D6806" w:rsidRPr="004D6806" w:rsidRDefault="004D6806" w:rsidP="004D6806">
      <w:pPr>
        <w:spacing w:after="0" w:line="240" w:lineRule="auto"/>
        <w:jc w:val="both"/>
        <w:rPr>
          <w:rFonts w:ascii="Times New Roman" w:eastAsia="SimSun" w:hAnsi="Times New Roman"/>
          <w:sz w:val="24"/>
          <w:szCs w:val="24"/>
          <w:lang w:val="en-GB"/>
        </w:rPr>
      </w:pP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Tabel IX.1.3.1.1. Număr total probe pentru determinarea calităţii apei potabile în judeţul Buzău</w:t>
      </w:r>
    </w:p>
    <w:tbl>
      <w:tblPr>
        <w:tblStyle w:val="TableGrid6"/>
        <w:tblW w:w="0" w:type="auto"/>
        <w:tblLook w:val="01E0"/>
      </w:tblPr>
      <w:tblGrid>
        <w:gridCol w:w="767"/>
        <w:gridCol w:w="977"/>
        <w:gridCol w:w="1497"/>
        <w:gridCol w:w="1179"/>
        <w:gridCol w:w="1497"/>
        <w:gridCol w:w="1923"/>
        <w:gridCol w:w="2013"/>
      </w:tblGrid>
      <w:tr w:rsidR="004D6806" w:rsidRPr="004D6806" w:rsidTr="00530BF0">
        <w:tc>
          <w:tcPr>
            <w:tcW w:w="828"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Anul</w:t>
            </w:r>
          </w:p>
        </w:tc>
        <w:tc>
          <w:tcPr>
            <w:tcW w:w="937"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Numar total probe</w:t>
            </w:r>
          </w:p>
        </w:tc>
        <w:tc>
          <w:tcPr>
            <w:tcW w:w="1417"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Numar </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total probe necores-</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punzatoare</w:t>
            </w:r>
          </w:p>
        </w:tc>
        <w:tc>
          <w:tcPr>
            <w:tcW w:w="1426"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Numar total probe </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chimice</w:t>
            </w:r>
          </w:p>
        </w:tc>
        <w:tc>
          <w:tcPr>
            <w:tcW w:w="1440"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Numar </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total probe chimice</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necores-</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punzatoare</w:t>
            </w:r>
          </w:p>
        </w:tc>
        <w:tc>
          <w:tcPr>
            <w:tcW w:w="1800"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Numar </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total probe</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microbiologice</w:t>
            </w:r>
          </w:p>
        </w:tc>
        <w:tc>
          <w:tcPr>
            <w:tcW w:w="2340"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Numar </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total probe</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microbiologice</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necores-</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punzatoare</w:t>
            </w:r>
          </w:p>
        </w:tc>
      </w:tr>
      <w:tr w:rsidR="004D6806" w:rsidRPr="004D6806" w:rsidTr="00530BF0">
        <w:tc>
          <w:tcPr>
            <w:tcW w:w="828"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2010</w:t>
            </w:r>
          </w:p>
        </w:tc>
        <w:tc>
          <w:tcPr>
            <w:tcW w:w="937" w:type="dxa"/>
            <w:vAlign w:val="bottom"/>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3802</w:t>
            </w:r>
          </w:p>
        </w:tc>
        <w:tc>
          <w:tcPr>
            <w:tcW w:w="1417"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955</w:t>
            </w:r>
          </w:p>
        </w:tc>
        <w:tc>
          <w:tcPr>
            <w:tcW w:w="1426"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2179</w:t>
            </w:r>
          </w:p>
        </w:tc>
        <w:tc>
          <w:tcPr>
            <w:tcW w:w="14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535</w:t>
            </w:r>
          </w:p>
        </w:tc>
        <w:tc>
          <w:tcPr>
            <w:tcW w:w="180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1623</w:t>
            </w:r>
          </w:p>
        </w:tc>
        <w:tc>
          <w:tcPr>
            <w:tcW w:w="23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420</w:t>
            </w:r>
          </w:p>
        </w:tc>
      </w:tr>
      <w:tr w:rsidR="004D6806" w:rsidRPr="004D6806" w:rsidTr="00530BF0">
        <w:tc>
          <w:tcPr>
            <w:tcW w:w="828"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2011</w:t>
            </w:r>
          </w:p>
        </w:tc>
        <w:tc>
          <w:tcPr>
            <w:tcW w:w="937" w:type="dxa"/>
            <w:vAlign w:val="bottom"/>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2368</w:t>
            </w:r>
          </w:p>
        </w:tc>
        <w:tc>
          <w:tcPr>
            <w:tcW w:w="1417"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865</w:t>
            </w:r>
          </w:p>
        </w:tc>
        <w:tc>
          <w:tcPr>
            <w:tcW w:w="1426"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1657</w:t>
            </w:r>
          </w:p>
        </w:tc>
        <w:tc>
          <w:tcPr>
            <w:tcW w:w="14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805</w:t>
            </w:r>
          </w:p>
        </w:tc>
        <w:tc>
          <w:tcPr>
            <w:tcW w:w="180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711</w:t>
            </w:r>
          </w:p>
        </w:tc>
        <w:tc>
          <w:tcPr>
            <w:tcW w:w="23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60</w:t>
            </w:r>
          </w:p>
        </w:tc>
      </w:tr>
      <w:tr w:rsidR="004D6806" w:rsidRPr="004D6806" w:rsidTr="00530BF0">
        <w:tc>
          <w:tcPr>
            <w:tcW w:w="828"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2012</w:t>
            </w:r>
          </w:p>
        </w:tc>
        <w:tc>
          <w:tcPr>
            <w:tcW w:w="937" w:type="dxa"/>
            <w:vAlign w:val="bottom"/>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1975</w:t>
            </w:r>
          </w:p>
        </w:tc>
        <w:tc>
          <w:tcPr>
            <w:tcW w:w="1417"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712</w:t>
            </w:r>
          </w:p>
        </w:tc>
        <w:tc>
          <w:tcPr>
            <w:tcW w:w="1426"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1300</w:t>
            </w:r>
          </w:p>
        </w:tc>
        <w:tc>
          <w:tcPr>
            <w:tcW w:w="14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562</w:t>
            </w:r>
          </w:p>
        </w:tc>
        <w:tc>
          <w:tcPr>
            <w:tcW w:w="180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675</w:t>
            </w:r>
          </w:p>
        </w:tc>
        <w:tc>
          <w:tcPr>
            <w:tcW w:w="23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150</w:t>
            </w:r>
          </w:p>
        </w:tc>
      </w:tr>
      <w:tr w:rsidR="004D6806" w:rsidRPr="004D6806" w:rsidTr="00530BF0">
        <w:trPr>
          <w:trHeight w:val="346"/>
        </w:trPr>
        <w:tc>
          <w:tcPr>
            <w:tcW w:w="828"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2013</w:t>
            </w:r>
          </w:p>
        </w:tc>
        <w:tc>
          <w:tcPr>
            <w:tcW w:w="937" w:type="dxa"/>
            <w:vAlign w:val="bottom"/>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 xml:space="preserve"> 2270         </w:t>
            </w:r>
          </w:p>
        </w:tc>
        <w:tc>
          <w:tcPr>
            <w:tcW w:w="1417"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733</w:t>
            </w:r>
          </w:p>
        </w:tc>
        <w:tc>
          <w:tcPr>
            <w:tcW w:w="1426"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1489</w:t>
            </w:r>
          </w:p>
        </w:tc>
        <w:tc>
          <w:tcPr>
            <w:tcW w:w="14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618</w:t>
            </w:r>
          </w:p>
        </w:tc>
        <w:tc>
          <w:tcPr>
            <w:tcW w:w="180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781</w:t>
            </w:r>
          </w:p>
        </w:tc>
        <w:tc>
          <w:tcPr>
            <w:tcW w:w="23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115</w:t>
            </w:r>
          </w:p>
        </w:tc>
      </w:tr>
      <w:tr w:rsidR="004D6806" w:rsidRPr="004D6806" w:rsidTr="00530BF0">
        <w:tc>
          <w:tcPr>
            <w:tcW w:w="828"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2014</w:t>
            </w:r>
          </w:p>
        </w:tc>
        <w:tc>
          <w:tcPr>
            <w:tcW w:w="937" w:type="dxa"/>
            <w:vAlign w:val="bottom"/>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 2703               </w:t>
            </w:r>
          </w:p>
        </w:tc>
        <w:tc>
          <w:tcPr>
            <w:tcW w:w="1417"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683</w:t>
            </w:r>
          </w:p>
        </w:tc>
        <w:tc>
          <w:tcPr>
            <w:tcW w:w="1426"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1570</w:t>
            </w:r>
          </w:p>
        </w:tc>
        <w:tc>
          <w:tcPr>
            <w:tcW w:w="14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560</w:t>
            </w:r>
          </w:p>
        </w:tc>
        <w:tc>
          <w:tcPr>
            <w:tcW w:w="180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1133</w:t>
            </w:r>
          </w:p>
        </w:tc>
        <w:tc>
          <w:tcPr>
            <w:tcW w:w="2340"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123</w:t>
            </w:r>
          </w:p>
        </w:tc>
      </w:tr>
    </w:tbl>
    <w:p w:rsidR="004D6806" w:rsidRPr="004D6806" w:rsidRDefault="004D6806" w:rsidP="004D6806">
      <w:pPr>
        <w:spacing w:after="0" w:line="240" w:lineRule="auto"/>
        <w:jc w:val="right"/>
        <w:rPr>
          <w:rFonts w:ascii="Arial" w:eastAsia="SimSun" w:hAnsi="Arial" w:cs="Arial"/>
          <w:color w:val="FF0000"/>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autoSpaceDE w:val="0"/>
        <w:autoSpaceDN w:val="0"/>
        <w:adjustRightInd w:val="0"/>
        <w:spacing w:after="0" w:line="240" w:lineRule="auto"/>
        <w:jc w:val="both"/>
        <w:rPr>
          <w:rFonts w:ascii="Arial" w:eastAsiaTheme="minorHAnsi" w:hAnsi="Arial" w:cs="Arial"/>
          <w:sz w:val="24"/>
          <w:szCs w:val="24"/>
          <w:lang w:val="ro-RO"/>
        </w:rPr>
      </w:pPr>
      <w:r w:rsidRPr="004D6806">
        <w:rPr>
          <w:rFonts w:ascii="Arial" w:eastAsiaTheme="minorHAnsi" w:hAnsi="Arial" w:cs="Arial"/>
          <w:sz w:val="24"/>
          <w:szCs w:val="24"/>
          <w:lang w:val="ro-RO"/>
        </w:rPr>
        <w:t xml:space="preserve"> </w:t>
      </w:r>
    </w:p>
    <w:p w:rsidR="004D6806" w:rsidRPr="004D6806" w:rsidRDefault="004D6806" w:rsidP="004D6806">
      <w:pPr>
        <w:autoSpaceDE w:val="0"/>
        <w:autoSpaceDN w:val="0"/>
        <w:adjustRightInd w:val="0"/>
        <w:spacing w:after="0" w:line="240" w:lineRule="auto"/>
        <w:jc w:val="both"/>
        <w:rPr>
          <w:rFonts w:ascii="Arial" w:eastAsiaTheme="minorHAnsi" w:hAnsi="Arial" w:cs="Arial"/>
          <w:sz w:val="24"/>
          <w:szCs w:val="24"/>
          <w:lang w:val="ro-RO"/>
        </w:rPr>
      </w:pPr>
      <w:r w:rsidRPr="004D6806">
        <w:rPr>
          <w:rFonts w:ascii="Arial" w:eastAsiaTheme="minorHAnsi" w:hAnsi="Arial" w:cs="Arial"/>
          <w:sz w:val="24"/>
          <w:szCs w:val="24"/>
          <w:lang w:val="ro-RO"/>
        </w:rPr>
        <w:t xml:space="preserve">Methemoglobinemia acută infantilă, afecţiune cunoscută şi sub denumirea de intoxicaţie acută cu nitraţi sau boala albastră a noilor născuţi, reprezintă prima consecinţă a consumului de apă de fântână poluată cu substanţe azotoase de către copii 0-1 an, apă folosită la prepararea laptelui praf. </w:t>
      </w:r>
    </w:p>
    <w:p w:rsidR="004D6806" w:rsidRPr="004D6806" w:rsidRDefault="004D6806" w:rsidP="004D6806">
      <w:pPr>
        <w:autoSpaceDE w:val="0"/>
        <w:autoSpaceDN w:val="0"/>
        <w:adjustRightInd w:val="0"/>
        <w:spacing w:after="0" w:line="240" w:lineRule="auto"/>
        <w:jc w:val="both"/>
        <w:rPr>
          <w:rFonts w:eastAsiaTheme="minorHAnsi" w:cs="Calibri"/>
          <w:sz w:val="24"/>
          <w:szCs w:val="24"/>
          <w:lang w:val="ro-RO"/>
        </w:rPr>
      </w:pPr>
      <w:r w:rsidRPr="004D6806">
        <w:rPr>
          <w:rFonts w:ascii="Arial" w:eastAsiaTheme="minorHAnsi" w:hAnsi="Arial" w:cs="Arial"/>
          <w:sz w:val="24"/>
          <w:szCs w:val="24"/>
          <w:lang w:val="ro-RO"/>
        </w:rPr>
        <w:t xml:space="preserve">Aproape toate cazurile de methemoglobinemie de origine toxică, sunt întâlnite în primele 3 luni de viaţă, în special la nou-născutul prematur, ca urmare a prezenţei la această vârstă a 2 factori predispozanţi: imaturitatea enzimatică a diaforazelor NADH2-dependente şi sensibilitatea particulară la substanţele oxidante ale hemoglobinei fetale. Când este vorba de substanţe puternic oxidante (methemoglobinizante) şi când dozele sunt suficient de mari, methemoglobinemia poate să apară la orice vârstă. Alţi factori de mai mică importanţă sunt infecţiile, anemia şi în special hipoglicemia neonatală. </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lang w:val="ro-RO"/>
        </w:rPr>
      </w:pPr>
      <w:r w:rsidRPr="004D6806">
        <w:rPr>
          <w:rFonts w:ascii="Arial" w:hAnsi="Arial" w:cs="Arial"/>
          <w:bCs/>
          <w:sz w:val="24"/>
          <w:szCs w:val="24"/>
          <w:lang w:val="ro-RO"/>
        </w:rPr>
        <w:t xml:space="preserve">Toxicitatea nitraţilor este determinată de reducerea acestora în nitriţi. Methemoglobina (MeHb), rezultatul toxic cel mai întâlnit prin ingestia de apă potabilă contaminată, este un compus similar hemoglobinei, doar că ionul feros (Fe2+) (ion central al hemoglobinei) a fost ionizat la ionul feric (Fe3+), incapabil să asigure transportul oxigenului în sânge. Nivelul normal al methemoglobinei în sânge este între 1 şi 3%. Afectarea transportului de oxigen se manifestă clinic atunci când concentraţia MeHb atinge concentraţii de 10% sau mai mari. </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lang w:val="ro-RO"/>
        </w:rPr>
      </w:pPr>
      <w:r w:rsidRPr="004D6806">
        <w:rPr>
          <w:rFonts w:ascii="Arial" w:hAnsi="Arial" w:cs="Arial"/>
          <w:bCs/>
          <w:sz w:val="24"/>
          <w:szCs w:val="24"/>
          <w:lang w:val="ro-RO"/>
        </w:rPr>
        <w:t xml:space="preserve">Simptomul principal este cianoza, iar la concentraţii ale MeHb mai mari de 80% pot apărea asfixia şi moartea. Copiii sub trei ani sunt mult mai susceptibili, comparativ cu copiii mari şi adulţii, excepţie făcând femeile însărcinate şi persoanele cu afectarea genetică ale enzimei glucoz-6-fosfat dehidrogenaza sau a methemoglobin reductazei. </w:t>
      </w:r>
    </w:p>
    <w:p w:rsidR="004D6806" w:rsidRPr="004D6806" w:rsidRDefault="004D6806" w:rsidP="004D6806">
      <w:pPr>
        <w:spacing w:after="0" w:line="240" w:lineRule="auto"/>
        <w:jc w:val="both"/>
        <w:rPr>
          <w:rFonts w:ascii="Times New Roman" w:eastAsia="Times New Roman" w:hAnsi="Times New Roman"/>
          <w:sz w:val="24"/>
          <w:szCs w:val="24"/>
          <w:lang w:bidi="en-US"/>
        </w:rPr>
      </w:pP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Tabelul IX.1.3.1.2.Morbiditatea în relaţie cu apa poluată în Judeţul Buzău</w:t>
      </w:r>
    </w:p>
    <w:tbl>
      <w:tblPr>
        <w:tblStyle w:val="TableGrid6"/>
        <w:tblW w:w="0" w:type="auto"/>
        <w:tblLook w:val="01E0"/>
      </w:tblPr>
      <w:tblGrid>
        <w:gridCol w:w="2394"/>
        <w:gridCol w:w="2605"/>
        <w:gridCol w:w="2403"/>
        <w:gridCol w:w="2451"/>
      </w:tblGrid>
      <w:tr w:rsidR="004D6806" w:rsidRPr="004D6806" w:rsidTr="00530BF0">
        <w:tc>
          <w:tcPr>
            <w:tcW w:w="2592"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Anul</w:t>
            </w:r>
          </w:p>
        </w:tc>
        <w:tc>
          <w:tcPr>
            <w:tcW w:w="2632"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Denumirea bolii</w:t>
            </w:r>
          </w:p>
        </w:tc>
        <w:tc>
          <w:tcPr>
            <w:tcW w:w="2593"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Copii</w:t>
            </w:r>
          </w:p>
        </w:tc>
        <w:tc>
          <w:tcPr>
            <w:tcW w:w="2604" w:type="dxa"/>
          </w:tcPr>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Adulti</w:t>
            </w:r>
          </w:p>
        </w:tc>
      </w:tr>
      <w:tr w:rsidR="004D6806" w:rsidRPr="004D6806" w:rsidTr="00530BF0">
        <w:tc>
          <w:tcPr>
            <w:tcW w:w="259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2010</w:t>
            </w:r>
          </w:p>
        </w:tc>
        <w:tc>
          <w:tcPr>
            <w:tcW w:w="263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Methemoglobinemie</w:t>
            </w:r>
          </w:p>
        </w:tc>
        <w:tc>
          <w:tcPr>
            <w:tcW w:w="2593"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7</w:t>
            </w:r>
          </w:p>
        </w:tc>
        <w:tc>
          <w:tcPr>
            <w:tcW w:w="2604"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 au fost raportate</w:t>
            </w:r>
          </w:p>
        </w:tc>
      </w:tr>
      <w:tr w:rsidR="004D6806" w:rsidRPr="004D6806" w:rsidTr="00530BF0">
        <w:tc>
          <w:tcPr>
            <w:tcW w:w="259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lastRenderedPageBreak/>
              <w:t>2011</w:t>
            </w:r>
          </w:p>
        </w:tc>
        <w:tc>
          <w:tcPr>
            <w:tcW w:w="263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Methemoglobinemie</w:t>
            </w:r>
          </w:p>
        </w:tc>
        <w:tc>
          <w:tcPr>
            <w:tcW w:w="2593"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7</w:t>
            </w:r>
          </w:p>
        </w:tc>
        <w:tc>
          <w:tcPr>
            <w:tcW w:w="2604"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 au fost raportate</w:t>
            </w:r>
          </w:p>
        </w:tc>
      </w:tr>
      <w:tr w:rsidR="004D6806" w:rsidRPr="004D6806" w:rsidTr="00530BF0">
        <w:tc>
          <w:tcPr>
            <w:tcW w:w="259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2012</w:t>
            </w:r>
          </w:p>
        </w:tc>
        <w:tc>
          <w:tcPr>
            <w:tcW w:w="263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Methemoglobinemie</w:t>
            </w:r>
          </w:p>
        </w:tc>
        <w:tc>
          <w:tcPr>
            <w:tcW w:w="2593"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6</w:t>
            </w:r>
          </w:p>
        </w:tc>
        <w:tc>
          <w:tcPr>
            <w:tcW w:w="2604"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 au fost raportate</w:t>
            </w:r>
          </w:p>
        </w:tc>
      </w:tr>
      <w:tr w:rsidR="004D6806" w:rsidRPr="004D6806" w:rsidTr="00530BF0">
        <w:tc>
          <w:tcPr>
            <w:tcW w:w="259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2013</w:t>
            </w:r>
          </w:p>
        </w:tc>
        <w:tc>
          <w:tcPr>
            <w:tcW w:w="263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Methemoglobinemie</w:t>
            </w:r>
          </w:p>
        </w:tc>
        <w:tc>
          <w:tcPr>
            <w:tcW w:w="2593"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6</w:t>
            </w:r>
          </w:p>
        </w:tc>
        <w:tc>
          <w:tcPr>
            <w:tcW w:w="2604"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 au fost raportate</w:t>
            </w:r>
          </w:p>
        </w:tc>
      </w:tr>
      <w:tr w:rsidR="004D6806" w:rsidRPr="004D6806" w:rsidTr="00530BF0">
        <w:tc>
          <w:tcPr>
            <w:tcW w:w="259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2014</w:t>
            </w:r>
          </w:p>
        </w:tc>
        <w:tc>
          <w:tcPr>
            <w:tcW w:w="2632"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Methemoglobinemie</w:t>
            </w:r>
          </w:p>
        </w:tc>
        <w:tc>
          <w:tcPr>
            <w:tcW w:w="2593"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3</w:t>
            </w:r>
          </w:p>
        </w:tc>
        <w:tc>
          <w:tcPr>
            <w:tcW w:w="2604" w:type="dxa"/>
          </w:tcPr>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 au fost raportate</w:t>
            </w:r>
          </w:p>
        </w:tc>
      </w:tr>
    </w:tbl>
    <w:p w:rsidR="004D6806" w:rsidRPr="004D6806" w:rsidRDefault="004D6806" w:rsidP="004D6806">
      <w:pPr>
        <w:spacing w:after="0" w:line="240" w:lineRule="auto"/>
        <w:jc w:val="right"/>
        <w:rPr>
          <w:rFonts w:ascii="Arial" w:eastAsia="SimSun" w:hAnsi="Arial" w:cs="Arial"/>
          <w:bCs/>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autoSpaceDE w:val="0"/>
        <w:autoSpaceDN w:val="0"/>
        <w:adjustRightInd w:val="0"/>
        <w:spacing w:after="0" w:line="240" w:lineRule="auto"/>
        <w:jc w:val="both"/>
        <w:rPr>
          <w:rFonts w:ascii="Arial" w:eastAsiaTheme="minorHAnsi" w:hAnsi="Arial" w:cs="Arial"/>
          <w:sz w:val="24"/>
          <w:szCs w:val="24"/>
          <w:lang w:val="ro-RO"/>
        </w:rPr>
      </w:pPr>
      <w:r w:rsidRPr="004D6806">
        <w:rPr>
          <w:rFonts w:ascii="Arial" w:eastAsiaTheme="minorHAnsi" w:hAnsi="Arial" w:cs="Arial"/>
          <w:sz w:val="24"/>
          <w:szCs w:val="24"/>
          <w:lang w:val="ro-RO"/>
        </w:rPr>
        <w:t xml:space="preserve"> </w:t>
      </w: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Figura IX.1.3.1.2 Morbiditatea în relaţie cu apa poluată în Judeţul Buzău în perioada 2010-2014</w:t>
      </w:r>
    </w:p>
    <w:p w:rsidR="004D6806" w:rsidRPr="004D6806" w:rsidRDefault="004D6806" w:rsidP="004D6806">
      <w:pPr>
        <w:spacing w:after="0" w:line="240" w:lineRule="auto"/>
        <w:jc w:val="center"/>
        <w:rPr>
          <w:rFonts w:ascii="Times New Roman" w:eastAsia="Times New Roman" w:hAnsi="Times New Roman"/>
          <w:sz w:val="24"/>
          <w:szCs w:val="24"/>
          <w:lang w:bidi="en-US"/>
        </w:rPr>
      </w:pPr>
      <w:r w:rsidRPr="004D6806">
        <w:rPr>
          <w:rFonts w:ascii="Times New Roman" w:eastAsia="Times New Roman" w:hAnsi="Times New Roman"/>
          <w:noProof/>
          <w:sz w:val="24"/>
          <w:szCs w:val="24"/>
          <w:shd w:val="clear" w:color="auto" w:fill="D9D9D9" w:themeFill="background1" w:themeFillShade="D9"/>
          <w:lang w:val="ro-RO" w:eastAsia="ro-RO"/>
        </w:rPr>
        <w:drawing>
          <wp:inline distT="0" distB="0" distL="0" distR="0">
            <wp:extent cx="5486400" cy="3200400"/>
            <wp:effectExtent l="19050" t="0" r="19050" b="0"/>
            <wp:docPr id="26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4D6806" w:rsidRPr="004D6806" w:rsidRDefault="004D6806" w:rsidP="004D6806">
      <w:pPr>
        <w:spacing w:after="0" w:line="240" w:lineRule="auto"/>
        <w:jc w:val="right"/>
        <w:rPr>
          <w:rFonts w:ascii="Arial" w:eastAsia="SimSun" w:hAnsi="Arial" w:cs="Arial"/>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spacing w:after="0" w:line="240" w:lineRule="auto"/>
        <w:jc w:val="both"/>
        <w:rPr>
          <w:rFonts w:ascii="Arial" w:eastAsia="SimSun" w:hAnsi="Arial" w:cs="Arial"/>
          <w:color w:val="FF0000"/>
          <w:sz w:val="24"/>
          <w:szCs w:val="24"/>
          <w:lang w:val="en-GB"/>
        </w:rPr>
      </w:pPr>
    </w:p>
    <w:p w:rsidR="004D6806" w:rsidRPr="004D6806" w:rsidRDefault="004D6806" w:rsidP="004D6806">
      <w:pPr>
        <w:spacing w:after="0" w:line="240" w:lineRule="auto"/>
        <w:jc w:val="both"/>
        <w:rPr>
          <w:rFonts w:ascii="Arial" w:eastAsia="Times New Roman" w:hAnsi="Arial" w:cs="Arial"/>
          <w:sz w:val="24"/>
          <w:szCs w:val="24"/>
          <w:lang w:bidi="en-US"/>
        </w:rPr>
      </w:pPr>
    </w:p>
    <w:p w:rsidR="004D6806" w:rsidRPr="004D6806" w:rsidRDefault="004D6806" w:rsidP="004D6806">
      <w:pPr>
        <w:spacing w:after="0" w:line="240" w:lineRule="auto"/>
        <w:jc w:val="both"/>
        <w:rPr>
          <w:rFonts w:ascii="Arial" w:eastAsia="Times New Roman" w:hAnsi="Arial" w:cs="Arial"/>
          <w:b/>
          <w:sz w:val="24"/>
          <w:szCs w:val="24"/>
          <w:lang w:bidi="en-US"/>
        </w:rPr>
      </w:pPr>
      <w:r w:rsidRPr="004D6806">
        <w:rPr>
          <w:rFonts w:ascii="Arial" w:eastAsia="Times New Roman" w:hAnsi="Arial" w:cs="Arial"/>
          <w:b/>
          <w:sz w:val="24"/>
          <w:szCs w:val="24"/>
          <w:lang w:bidi="en-US"/>
        </w:rPr>
        <w:t>Tabelul IX.1.3.1.3 Evoluţia morbidităţii prin intoxicaţii acute cu nitriţi în judeţul Buzău</w:t>
      </w:r>
    </w:p>
    <w:p w:rsidR="004D6806" w:rsidRPr="004D6806" w:rsidRDefault="004D6806" w:rsidP="004D6806">
      <w:pPr>
        <w:spacing w:after="0" w:line="240" w:lineRule="auto"/>
        <w:jc w:val="both"/>
        <w:rPr>
          <w:rFonts w:ascii="Arial" w:eastAsia="Times New Roman" w:hAnsi="Arial" w:cs="Arial"/>
          <w:b/>
          <w:sz w:val="24"/>
          <w:szCs w:val="24"/>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776"/>
        <w:gridCol w:w="776"/>
        <w:gridCol w:w="776"/>
        <w:gridCol w:w="776"/>
        <w:gridCol w:w="776"/>
      </w:tblGrid>
      <w:tr w:rsidR="004D6806" w:rsidRPr="004D6806" w:rsidTr="00530BF0">
        <w:trPr>
          <w:jc w:val="center"/>
        </w:trPr>
        <w:tc>
          <w:tcPr>
            <w:tcW w:w="1981" w:type="dxa"/>
            <w:vAlign w:val="center"/>
          </w:tcPr>
          <w:p w:rsidR="004D6806" w:rsidRPr="004D6806" w:rsidRDefault="004D6806" w:rsidP="004D6806">
            <w:pPr>
              <w:spacing w:after="0" w:line="240" w:lineRule="auto"/>
              <w:jc w:val="center"/>
              <w:rPr>
                <w:rFonts w:ascii="Arial" w:eastAsia="Times New Roman" w:hAnsi="Arial" w:cs="Arial"/>
                <w:b/>
                <w:sz w:val="24"/>
                <w:szCs w:val="24"/>
                <w:lang w:val="en-GB"/>
              </w:rPr>
            </w:pPr>
            <w:r w:rsidRPr="004D6806">
              <w:rPr>
                <w:rFonts w:ascii="Arial" w:eastAsia="Times New Roman" w:hAnsi="Arial" w:cs="Arial"/>
                <w:b/>
                <w:sz w:val="24"/>
                <w:szCs w:val="24"/>
                <w:lang w:val="en-GB"/>
              </w:rPr>
              <w:t>Anul</w:t>
            </w:r>
          </w:p>
        </w:tc>
        <w:tc>
          <w:tcPr>
            <w:tcW w:w="776" w:type="dxa"/>
            <w:vAlign w:val="center"/>
          </w:tcPr>
          <w:p w:rsidR="004D6806" w:rsidRPr="004D6806" w:rsidRDefault="004D6806" w:rsidP="004D6806">
            <w:pPr>
              <w:spacing w:after="0" w:line="240" w:lineRule="auto"/>
              <w:jc w:val="center"/>
              <w:rPr>
                <w:rFonts w:ascii="Arial" w:eastAsia="Times New Roman" w:hAnsi="Arial" w:cs="Arial"/>
                <w:b/>
                <w:sz w:val="24"/>
                <w:szCs w:val="24"/>
                <w:lang w:val="en-GB"/>
              </w:rPr>
            </w:pPr>
            <w:r w:rsidRPr="004D6806">
              <w:rPr>
                <w:rFonts w:ascii="Arial" w:eastAsia="Times New Roman" w:hAnsi="Arial" w:cs="Arial"/>
                <w:b/>
                <w:sz w:val="24"/>
                <w:szCs w:val="24"/>
                <w:lang w:val="en-GB"/>
              </w:rPr>
              <w:t>2010</w:t>
            </w:r>
          </w:p>
        </w:tc>
        <w:tc>
          <w:tcPr>
            <w:tcW w:w="776" w:type="dxa"/>
            <w:vAlign w:val="center"/>
          </w:tcPr>
          <w:p w:rsidR="004D6806" w:rsidRPr="004D6806" w:rsidRDefault="004D6806" w:rsidP="004D6806">
            <w:pPr>
              <w:spacing w:after="0" w:line="240" w:lineRule="auto"/>
              <w:jc w:val="center"/>
              <w:rPr>
                <w:rFonts w:ascii="Arial" w:eastAsia="Times New Roman" w:hAnsi="Arial" w:cs="Arial"/>
                <w:b/>
                <w:sz w:val="24"/>
                <w:szCs w:val="24"/>
                <w:lang w:val="en-GB"/>
              </w:rPr>
            </w:pPr>
            <w:r w:rsidRPr="004D6806">
              <w:rPr>
                <w:rFonts w:ascii="Arial" w:eastAsia="Times New Roman" w:hAnsi="Arial" w:cs="Arial"/>
                <w:b/>
                <w:sz w:val="24"/>
                <w:szCs w:val="24"/>
                <w:lang w:val="en-GB"/>
              </w:rPr>
              <w:t>2011</w:t>
            </w:r>
          </w:p>
        </w:tc>
        <w:tc>
          <w:tcPr>
            <w:tcW w:w="776" w:type="dxa"/>
            <w:vAlign w:val="center"/>
          </w:tcPr>
          <w:p w:rsidR="004D6806" w:rsidRPr="004D6806" w:rsidRDefault="004D6806" w:rsidP="004D6806">
            <w:pPr>
              <w:spacing w:after="0" w:line="240" w:lineRule="auto"/>
              <w:jc w:val="center"/>
              <w:rPr>
                <w:rFonts w:ascii="Arial" w:eastAsia="Times New Roman" w:hAnsi="Arial" w:cs="Arial"/>
                <w:b/>
                <w:sz w:val="24"/>
                <w:szCs w:val="24"/>
                <w:lang w:val="en-GB"/>
              </w:rPr>
            </w:pPr>
            <w:r w:rsidRPr="004D6806">
              <w:rPr>
                <w:rFonts w:ascii="Arial" w:eastAsia="Times New Roman" w:hAnsi="Arial" w:cs="Arial"/>
                <w:b/>
                <w:sz w:val="24"/>
                <w:szCs w:val="24"/>
                <w:lang w:val="en-GB"/>
              </w:rPr>
              <w:t>2012</w:t>
            </w:r>
          </w:p>
        </w:tc>
        <w:tc>
          <w:tcPr>
            <w:tcW w:w="776" w:type="dxa"/>
            <w:vAlign w:val="center"/>
          </w:tcPr>
          <w:p w:rsidR="004D6806" w:rsidRPr="004D6806" w:rsidRDefault="004D6806" w:rsidP="004D6806">
            <w:pPr>
              <w:spacing w:after="0" w:line="240" w:lineRule="auto"/>
              <w:jc w:val="center"/>
              <w:rPr>
                <w:rFonts w:ascii="Arial" w:eastAsia="Times New Roman" w:hAnsi="Arial" w:cs="Arial"/>
                <w:b/>
                <w:sz w:val="24"/>
                <w:szCs w:val="24"/>
                <w:lang w:val="en-GB"/>
              </w:rPr>
            </w:pPr>
            <w:r w:rsidRPr="004D6806">
              <w:rPr>
                <w:rFonts w:ascii="Arial" w:eastAsia="Times New Roman" w:hAnsi="Arial" w:cs="Arial"/>
                <w:b/>
                <w:sz w:val="24"/>
                <w:szCs w:val="24"/>
                <w:lang w:val="en-GB"/>
              </w:rPr>
              <w:t>2013</w:t>
            </w:r>
          </w:p>
        </w:tc>
        <w:tc>
          <w:tcPr>
            <w:tcW w:w="776" w:type="dxa"/>
            <w:vAlign w:val="center"/>
          </w:tcPr>
          <w:p w:rsidR="004D6806" w:rsidRPr="004D6806" w:rsidRDefault="004D6806" w:rsidP="004D6806">
            <w:pPr>
              <w:spacing w:after="0" w:line="240" w:lineRule="auto"/>
              <w:jc w:val="center"/>
              <w:rPr>
                <w:rFonts w:ascii="Arial" w:eastAsia="Times New Roman" w:hAnsi="Arial" w:cs="Arial"/>
                <w:b/>
                <w:sz w:val="24"/>
                <w:szCs w:val="24"/>
                <w:lang w:val="en-GB"/>
              </w:rPr>
            </w:pPr>
            <w:r w:rsidRPr="004D6806">
              <w:rPr>
                <w:rFonts w:ascii="Arial" w:eastAsia="Times New Roman" w:hAnsi="Arial" w:cs="Arial"/>
                <w:b/>
                <w:sz w:val="24"/>
                <w:szCs w:val="24"/>
                <w:lang w:val="en-GB"/>
              </w:rPr>
              <w:t>2014</w:t>
            </w:r>
          </w:p>
        </w:tc>
      </w:tr>
      <w:tr w:rsidR="004D6806" w:rsidRPr="004D6806" w:rsidTr="00530BF0">
        <w:trPr>
          <w:jc w:val="center"/>
        </w:trPr>
        <w:tc>
          <w:tcPr>
            <w:tcW w:w="1981" w:type="dxa"/>
            <w:vAlign w:val="center"/>
          </w:tcPr>
          <w:p w:rsidR="004D6806" w:rsidRPr="004D6806" w:rsidRDefault="004D6806" w:rsidP="004D6806">
            <w:pPr>
              <w:spacing w:after="0" w:line="240" w:lineRule="auto"/>
              <w:jc w:val="center"/>
              <w:rPr>
                <w:rFonts w:ascii="Arial" w:eastAsia="Times New Roman" w:hAnsi="Arial" w:cs="Arial"/>
                <w:sz w:val="24"/>
                <w:szCs w:val="24"/>
                <w:lang w:val="en-GB"/>
              </w:rPr>
            </w:pPr>
            <w:r w:rsidRPr="004D6806">
              <w:rPr>
                <w:rFonts w:ascii="Arial" w:eastAsia="Times New Roman" w:hAnsi="Arial" w:cs="Arial"/>
                <w:sz w:val="24"/>
                <w:szCs w:val="24"/>
                <w:lang w:val="en-GB"/>
              </w:rPr>
              <w:t>Număr cazuri de intoxicare cu NO2</w:t>
            </w:r>
          </w:p>
        </w:tc>
        <w:tc>
          <w:tcPr>
            <w:tcW w:w="77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7</w:t>
            </w:r>
          </w:p>
        </w:tc>
        <w:tc>
          <w:tcPr>
            <w:tcW w:w="77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7</w:t>
            </w:r>
          </w:p>
        </w:tc>
        <w:tc>
          <w:tcPr>
            <w:tcW w:w="77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6</w:t>
            </w:r>
          </w:p>
        </w:tc>
        <w:tc>
          <w:tcPr>
            <w:tcW w:w="77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6</w:t>
            </w:r>
          </w:p>
        </w:tc>
        <w:tc>
          <w:tcPr>
            <w:tcW w:w="77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w:t>
            </w:r>
          </w:p>
        </w:tc>
      </w:tr>
    </w:tbl>
    <w:p w:rsidR="004D6806" w:rsidRPr="004D6806" w:rsidRDefault="004D6806" w:rsidP="004D6806">
      <w:pPr>
        <w:spacing w:after="0" w:line="240" w:lineRule="auto"/>
        <w:jc w:val="right"/>
        <w:rPr>
          <w:rFonts w:ascii="Arial" w:eastAsia="SimSun" w:hAnsi="Arial" w:cs="Arial"/>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autoSpaceDE w:val="0"/>
        <w:autoSpaceDN w:val="0"/>
        <w:adjustRightInd w:val="0"/>
        <w:spacing w:after="0" w:line="240" w:lineRule="auto"/>
        <w:jc w:val="both"/>
        <w:rPr>
          <w:rFonts w:ascii="Arial" w:eastAsiaTheme="minorHAnsi" w:hAnsi="Arial" w:cs="Arial"/>
          <w:color w:val="000000"/>
          <w:sz w:val="24"/>
          <w:szCs w:val="24"/>
          <w:lang w:val="ro-RO"/>
        </w:rPr>
      </w:pPr>
      <w:r w:rsidRPr="004D6806">
        <w:rPr>
          <w:rFonts w:ascii="Arial" w:eastAsiaTheme="minorHAnsi" w:hAnsi="Arial" w:cs="Arial"/>
          <w:sz w:val="24"/>
          <w:szCs w:val="24"/>
          <w:lang w:val="ro-RO"/>
        </w:rPr>
        <w:t xml:space="preserve"> </w:t>
      </w:r>
    </w:p>
    <w:p w:rsidR="004D6806" w:rsidRPr="004D6806" w:rsidRDefault="004D6806" w:rsidP="004D6806">
      <w:pPr>
        <w:keepNext/>
        <w:autoSpaceDE w:val="0"/>
        <w:autoSpaceDN w:val="0"/>
        <w:adjustRightInd w:val="0"/>
        <w:spacing w:after="0" w:line="240" w:lineRule="auto"/>
        <w:jc w:val="both"/>
        <w:outlineLvl w:val="0"/>
        <w:rPr>
          <w:rFonts w:ascii="Arial" w:hAnsi="Arial" w:cs="Arial"/>
          <w:b/>
          <w:bCs/>
          <w:sz w:val="24"/>
          <w:szCs w:val="24"/>
          <w:lang w:val="ro-RO"/>
        </w:rPr>
      </w:pPr>
      <w:r w:rsidRPr="004D6806">
        <w:rPr>
          <w:rFonts w:ascii="Arial" w:hAnsi="Arial" w:cs="Arial"/>
          <w:b/>
          <w:bCs/>
          <w:sz w:val="24"/>
          <w:szCs w:val="24"/>
          <w:lang w:val="ro-RO"/>
        </w:rPr>
        <w:lastRenderedPageBreak/>
        <w:t>Figura IX.1.3.1.3 Evoluţia morbidităţii prin intoxicaţii acute cu nitriţi în judeţul Buzău în perioada 2010-2014</w:t>
      </w:r>
    </w:p>
    <w:p w:rsidR="004D6806" w:rsidRPr="004D6806" w:rsidRDefault="004D6806" w:rsidP="004D6806">
      <w:pPr>
        <w:keepNext/>
        <w:autoSpaceDE w:val="0"/>
        <w:autoSpaceDN w:val="0"/>
        <w:adjustRightInd w:val="0"/>
        <w:spacing w:after="0" w:line="240" w:lineRule="auto"/>
        <w:jc w:val="center"/>
        <w:outlineLvl w:val="0"/>
        <w:rPr>
          <w:rFonts w:ascii="Arial" w:hAnsi="Arial" w:cs="Arial"/>
          <w:bCs/>
          <w:sz w:val="24"/>
          <w:szCs w:val="24"/>
          <w:lang w:val="ro-RO"/>
        </w:rPr>
      </w:pPr>
      <w:r w:rsidRPr="004D6806">
        <w:rPr>
          <w:rFonts w:ascii="Arial" w:hAnsi="Arial" w:cs="Arial"/>
          <w:bCs/>
          <w:noProof/>
          <w:sz w:val="24"/>
          <w:szCs w:val="24"/>
          <w:lang w:val="ro-RO" w:eastAsia="ro-RO"/>
        </w:rPr>
        <w:drawing>
          <wp:inline distT="0" distB="0" distL="0" distR="0">
            <wp:extent cx="5486400" cy="2857500"/>
            <wp:effectExtent l="19050" t="0" r="19050" b="0"/>
            <wp:docPr id="26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4D6806" w:rsidRPr="004D6806" w:rsidRDefault="004D6806" w:rsidP="004D6806">
      <w:pPr>
        <w:spacing w:after="0" w:line="240" w:lineRule="auto"/>
        <w:jc w:val="both"/>
        <w:rPr>
          <w:rFonts w:ascii="Times New Roman" w:eastAsia="SimSun" w:hAnsi="Times New Roman"/>
          <w:sz w:val="24"/>
          <w:szCs w:val="24"/>
          <w:lang w:val="ro-RO"/>
        </w:rPr>
      </w:pPr>
    </w:p>
    <w:p w:rsidR="004D6806" w:rsidRPr="004D6806" w:rsidRDefault="004D6806" w:rsidP="004D6806">
      <w:pPr>
        <w:spacing w:after="0" w:line="240" w:lineRule="auto"/>
        <w:jc w:val="right"/>
        <w:rPr>
          <w:rFonts w:ascii="Arial" w:eastAsia="SimSun" w:hAnsi="Arial" w:cs="Arial"/>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spacing w:after="0" w:line="240" w:lineRule="auto"/>
        <w:jc w:val="both"/>
        <w:rPr>
          <w:rFonts w:ascii="Times New Roman" w:eastAsia="SimSun" w:hAnsi="Times New Roman"/>
          <w:sz w:val="24"/>
          <w:szCs w:val="24"/>
          <w:lang w:val="ro-RO"/>
        </w:rPr>
      </w:pP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color w:val="FF0000"/>
          <w:sz w:val="24"/>
          <w:szCs w:val="24"/>
          <w:lang w:val="en-GB"/>
        </w:rPr>
        <w:t xml:space="preserve"> </w:t>
      </w:r>
      <w:r w:rsidRPr="004D6806">
        <w:rPr>
          <w:rFonts w:ascii="Arial" w:eastAsia="SimSun" w:hAnsi="Arial" w:cs="Arial"/>
          <w:sz w:val="24"/>
          <w:szCs w:val="24"/>
          <w:lang w:val="en-GB"/>
        </w:rPr>
        <w:t>Apa este un factor de mediu indispensabil vieţii. Ea îndeplineşte în organism multiple funcţii . Fără apă toate reacţiile biologice devin imposibile</w:t>
      </w:r>
      <w:r w:rsidRPr="004D6806">
        <w:rPr>
          <w:rFonts w:ascii="Arial" w:eastAsia="SimSun" w:hAnsi="Arial" w:cs="Arial"/>
          <w:i/>
          <w:sz w:val="24"/>
          <w:szCs w:val="24"/>
          <w:lang w:val="en-GB"/>
        </w:rPr>
        <w:t>.</w:t>
      </w:r>
      <w:r w:rsidRPr="004D6806">
        <w:rPr>
          <w:rFonts w:ascii="Arial" w:eastAsia="SimSun" w:hAnsi="Arial" w:cs="Arial"/>
          <w:sz w:val="24"/>
          <w:szCs w:val="24"/>
          <w:lang w:val="en-GB"/>
        </w:rPr>
        <w:t xml:space="preserve"> Lipsa de apă sau consumul de apă poluată are multiple consecinţe negative asupra omului şi sănătăţii sale.</w:t>
      </w:r>
    </w:p>
    <w:p w:rsidR="004D6806" w:rsidRPr="004D6806" w:rsidRDefault="004D6806" w:rsidP="004D6806">
      <w:pPr>
        <w:spacing w:after="0" w:line="240" w:lineRule="auto"/>
        <w:jc w:val="both"/>
        <w:rPr>
          <w:rFonts w:ascii="Arial" w:eastAsia="SimSun" w:hAnsi="Arial" w:cs="Arial"/>
          <w:sz w:val="24"/>
          <w:szCs w:val="24"/>
        </w:rPr>
      </w:pPr>
      <w:r w:rsidRPr="004D6806">
        <w:rPr>
          <w:rFonts w:ascii="Arial" w:eastAsia="SimSun" w:hAnsi="Arial" w:cs="Arial"/>
          <w:sz w:val="24"/>
          <w:szCs w:val="24"/>
        </w:rPr>
        <w:t>Diversele substanţe chimice dizolvate în apă pot avea importante efecte asupra sănătăţii organismelor vii în general şi  asupra omului în particular. Sunt substanţe care pot să fie dăunătoare peste o anumită concentraţie. Altele creează probleme la concentraţii foarte mici. În fine, sunt substanţe care pot dăuna in orice concentraţie.</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Cea mai mare responsabilitate pentru poluarea mediului o poartă omul, poluarea fiind consecinţa activităţilor acestuia . Primejdia reprezentată de poluare a crescut şi creşte neîncetat, impune luarea de   măsuri urgente pe plan naţional şi internaţional pentru co</w:t>
      </w:r>
      <w:r w:rsidRPr="004D6806">
        <w:rPr>
          <w:rFonts w:ascii="Arial" w:eastAsia="SimSun" w:hAnsi="Arial" w:cs="Arial"/>
          <w:sz w:val="24"/>
          <w:szCs w:val="24"/>
          <w:lang w:val="en-GB"/>
        </w:rPr>
        <w:t>m</w:t>
      </w:r>
      <w:r w:rsidRPr="004D6806">
        <w:rPr>
          <w:rFonts w:ascii="Arial" w:eastAsia="SimSun" w:hAnsi="Arial" w:cs="Arial"/>
          <w:sz w:val="24"/>
          <w:szCs w:val="24"/>
          <w:lang w:val="en-GB"/>
        </w:rPr>
        <w:t>baterea poluării.</w:t>
      </w: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Oamenii au început să înţeleagă necesitatea adoptării unui comportament responsabil faţă de natură. Responsabilitatea omului pentru ocrotirea mediului înconjurător este atât ind</w:t>
      </w:r>
      <w:r w:rsidRPr="004D6806">
        <w:rPr>
          <w:rFonts w:ascii="Arial" w:eastAsia="SimSun" w:hAnsi="Arial" w:cs="Arial"/>
          <w:sz w:val="24"/>
          <w:szCs w:val="24"/>
          <w:lang w:val="en-GB"/>
        </w:rPr>
        <w:t>i</w:t>
      </w:r>
      <w:r w:rsidRPr="004D6806">
        <w:rPr>
          <w:rFonts w:ascii="Arial" w:eastAsia="SimSun" w:hAnsi="Arial" w:cs="Arial"/>
          <w:sz w:val="24"/>
          <w:szCs w:val="24"/>
          <w:lang w:val="en-GB"/>
        </w:rPr>
        <w:t>viduală, dar mai ales colectivă: protecţia naturii angajează colaborare şi sprijin reciproc pe plan local, judeţean, naţional şi mai ales internaţional.</w:t>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sz w:val="24"/>
          <w:szCs w:val="24"/>
          <w:lang w:val="en-GB"/>
        </w:rPr>
        <w:t>Mulţi poluanţi cunoscuţi ca având efecte asupra sănătăţii umane intră treptat sub control reglementat. Totuşi, există probleme pentru care căile ecologice şi efectele asupra sănăt</w:t>
      </w:r>
      <w:r w:rsidRPr="004D6806">
        <w:rPr>
          <w:rFonts w:ascii="Arial" w:eastAsia="SimSun" w:hAnsi="Arial" w:cs="Arial"/>
          <w:sz w:val="24"/>
          <w:szCs w:val="24"/>
          <w:lang w:val="en-GB"/>
        </w:rPr>
        <w:t>ă</w:t>
      </w:r>
      <w:r w:rsidRPr="004D6806">
        <w:rPr>
          <w:rFonts w:ascii="Arial" w:eastAsia="SimSun" w:hAnsi="Arial" w:cs="Arial"/>
          <w:sz w:val="24"/>
          <w:szCs w:val="24"/>
          <w:lang w:val="en-GB"/>
        </w:rPr>
        <w:t xml:space="preserve">ţii sunt încă greu de înţeles. Printre exemple se află câmpurile electromagnetice (CEM), produsele farmaceutice din mediu şi unele afecţiuni infecţioase (a căror răspândire poate fi corelata cu schimbările climatice). Sănătatea umană a fost ameninţată întotdeauna de pericole naturale precum furtunile, inundaţiile, incendiile, alunecările de teren şi secetele. </w:t>
      </w:r>
      <w:r w:rsidRPr="004D6806">
        <w:rPr>
          <w:rFonts w:ascii="Arial" w:eastAsia="SimSun" w:hAnsi="Arial" w:cs="Arial"/>
          <w:sz w:val="24"/>
          <w:szCs w:val="24"/>
        </w:rPr>
        <w:t>În această confruntare cu natura, dusă atât în direcţia comunităţii, cât şi în cea a ambianţei, omul tinde să-şi amelioreze condiţiile de viaţă, mai întâi ca factor al biosferei. El înfruntă astfel rigorile climatului şi neajunsurile calamităţilor naturale. În decursul existenţei sale, omul acţionează asupra componenţilor naturii şi numai el este în măsură sa dea naştere la tipuri stabile şi dinamice în acelaşi timp de peisaje umanizate, ca domenii şi e</w:t>
      </w:r>
      <w:r w:rsidRPr="004D6806">
        <w:rPr>
          <w:rFonts w:ascii="Arial" w:eastAsia="SimSun" w:hAnsi="Arial" w:cs="Arial"/>
          <w:sz w:val="24"/>
          <w:szCs w:val="24"/>
        </w:rPr>
        <w:t>x</w:t>
      </w:r>
      <w:r w:rsidRPr="004D6806">
        <w:rPr>
          <w:rFonts w:ascii="Arial" w:eastAsia="SimSun" w:hAnsi="Arial" w:cs="Arial"/>
          <w:sz w:val="24"/>
          <w:szCs w:val="24"/>
        </w:rPr>
        <w:t>presii ale acţiunii sociale asupra naturii.</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rPr>
        <w:t xml:space="preserve">Cunoaşterea acestor efecte ale poluării mediului asupra sănătăţii a condus la necesitatea instituirii unor măsuri de protecţie a mediului înconjurător cum ar fi: colectarea igienică a reziduurilor menajere în recipiente speciale, incinerarea reziduurilor uscate, recuperarea şi reciclarea reziduurilor, interzicerea îndepărtării la întâmplare a reziduurilor de orice fel care ar putea polua apa, organizarea corectă a sistemelor de canalizare şi a instalaţiilor locale, </w:t>
      </w:r>
      <w:r w:rsidRPr="004D6806">
        <w:rPr>
          <w:rFonts w:ascii="Arial" w:hAnsi="Arial" w:cs="Arial"/>
          <w:bCs/>
          <w:sz w:val="24"/>
          <w:szCs w:val="24"/>
        </w:rPr>
        <w:lastRenderedPageBreak/>
        <w:t xml:space="preserve">construirea de staţii de epurare, înzestrarea cu sisteme de reţinere şi colectare a substanţelor radioactive din apele reziduale ale unităţilor unde se produc sau se utilizează radionuclizi, construirea de întreprinderi în afară zonelor de locuit, asigurarea unor arderi complete a combustibililor utilizaţi în industrie, înzestrarea întreprinderilor industriale cu instalaţii de reţinere a poluanţilor, reglarea corespunzătoare a arderilor la autovehicule pentru reducerea eliminării poluanţilor, amenajarea cât mai multor </w:t>
      </w:r>
      <w:r w:rsidRPr="004D6806">
        <w:rPr>
          <w:rFonts w:ascii="Arial" w:hAnsi="Arial" w:cs="Arial"/>
          <w:bCs/>
          <w:sz w:val="24"/>
          <w:szCs w:val="24"/>
          <w:lang w:val="ro-RO"/>
        </w:rPr>
        <w:t>spaţii verzi.</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rPr>
        <w:t>S-a afirmat că toate efectele asupra sănătăţii oamenilor arătate mai sus sunt rezultatul ruperii echilibrului dintre organismul uman şi mediul înconjurător. În anumite situaţii de p</w:t>
      </w:r>
      <w:r w:rsidRPr="004D6806">
        <w:rPr>
          <w:rFonts w:ascii="Arial" w:hAnsi="Arial" w:cs="Arial"/>
          <w:bCs/>
          <w:sz w:val="24"/>
          <w:szCs w:val="24"/>
        </w:rPr>
        <w:t>o</w:t>
      </w:r>
      <w:r w:rsidRPr="004D6806">
        <w:rPr>
          <w:rFonts w:ascii="Arial" w:hAnsi="Arial" w:cs="Arial"/>
          <w:bCs/>
          <w:sz w:val="24"/>
          <w:szCs w:val="24"/>
        </w:rPr>
        <w:t>luare s-au înregistrat numeroase cazuri de: bronhopneumopatii, bronşite, cancer pulmonar (poluarea aerului), febră tifoidă, dizenteria, holeră, poliomielită, hepatită epidemică, am</w:t>
      </w:r>
      <w:r w:rsidRPr="004D6806">
        <w:rPr>
          <w:rFonts w:ascii="Arial" w:hAnsi="Arial" w:cs="Arial"/>
          <w:bCs/>
          <w:sz w:val="24"/>
          <w:szCs w:val="24"/>
        </w:rPr>
        <w:t>i</w:t>
      </w:r>
      <w:r w:rsidRPr="004D6806">
        <w:rPr>
          <w:rFonts w:ascii="Arial" w:hAnsi="Arial" w:cs="Arial"/>
          <w:bCs/>
          <w:sz w:val="24"/>
          <w:szCs w:val="24"/>
        </w:rPr>
        <w:t>biaza, lambliaza fasciolo</w:t>
      </w:r>
      <w:r>
        <w:rPr>
          <w:rFonts w:ascii="Arial" w:hAnsi="Arial" w:cs="Arial"/>
          <w:bCs/>
          <w:sz w:val="24"/>
          <w:szCs w:val="24"/>
        </w:rPr>
        <w:t>za,intoxicaţii (poluarea apei).</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rPr>
        <w:t>Bineînţeles că starea mediului înconjurător ne afectează în mod direct viaţa şi sănătatea noastră. Este nevoie de mai multă responsabilitate din partea fiecărui cetăţean pentru a trăi într-un mediu curat, pentru a respira aer curat, pentru a bea apă curată şi pentru a p</w:t>
      </w:r>
      <w:r w:rsidRPr="004D6806">
        <w:rPr>
          <w:rFonts w:ascii="Arial" w:hAnsi="Arial" w:cs="Arial"/>
          <w:bCs/>
          <w:sz w:val="24"/>
          <w:szCs w:val="24"/>
        </w:rPr>
        <w:t>u</w:t>
      </w:r>
      <w:r w:rsidRPr="004D6806">
        <w:rPr>
          <w:rFonts w:ascii="Arial" w:hAnsi="Arial" w:cs="Arial"/>
          <w:bCs/>
          <w:sz w:val="24"/>
          <w:szCs w:val="24"/>
        </w:rPr>
        <w:t xml:space="preserve">tea folosi condiţiile de viaţă pe care ni le oferă natura. </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lang w:val="ro-RO"/>
        </w:rPr>
      </w:pPr>
      <w:r w:rsidRPr="004D6806">
        <w:rPr>
          <w:rFonts w:ascii="Arial" w:hAnsi="Arial" w:cs="Arial"/>
          <w:bCs/>
          <w:sz w:val="24"/>
          <w:szCs w:val="24"/>
          <w:lang w:val="ro-RO"/>
        </w:rPr>
        <w:t>Monitorizarea permanentă a factorilor de mediu în relatie cu starea de sănătate a populaţiei este soluţia pentru a detecta la timp factorii care pot afecta sănătatea; se pot gasi astfel soluţiile pentru îndepărtarea sau neutralizarea poluanţilor din mediul înconjurător.</w:t>
      </w: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rPr>
        <w:t>Din punct de vedere al protecţiei mediului şi sănătăţii umane, monitorizarea calităţii apei potabile se asigură de către producător, distribuitor şi de autoritatea de sănătate publică judeţeană. Producătorii şi distribuitorii de apă potabilă asigură conformarea la parametrii de calitate şi finanţarea monitorizării de audit şi de control a calităţii apei potabile.</w:t>
      </w:r>
    </w:p>
    <w:p w:rsidR="004D6806" w:rsidRPr="004D6806" w:rsidRDefault="004D6806" w:rsidP="004D6806">
      <w:pPr>
        <w:keepNext/>
        <w:autoSpaceDE w:val="0"/>
        <w:autoSpaceDN w:val="0"/>
        <w:adjustRightInd w:val="0"/>
        <w:spacing w:after="0" w:line="240" w:lineRule="auto"/>
        <w:jc w:val="both"/>
        <w:outlineLvl w:val="0"/>
        <w:rPr>
          <w:rFonts w:ascii="Garamond" w:hAnsi="Garamond" w:cs="Arial"/>
          <w:b/>
          <w:bCs/>
          <w:sz w:val="28"/>
          <w:szCs w:val="24"/>
        </w:rPr>
      </w:pPr>
      <w:r w:rsidRPr="004D6806">
        <w:rPr>
          <w:rFonts w:ascii="Arial" w:hAnsi="Arial" w:cs="Arial"/>
          <w:bCs/>
          <w:sz w:val="24"/>
          <w:szCs w:val="24"/>
        </w:rPr>
        <w:t>Direcţia de sănătate publică judeţeana,  asigură supravegherea şi controlul monitorizării calităţii apei potabile în scopul verificării faptului că apa distribuită consumatorului se conformează la cerinţele de calitate şi nu creează riscuri pentru sănătatea publică.Ministerul Sănătăţii asigură informarea şi raportarea către Comisia Europeană în domeniul calităţii apei potabile. În acest sens, se întocmeşte Raportul naţional asupra calităţii apei potabile, o data la trei ani, prin Institutul Naţional de Sănătate Publică</w:t>
      </w:r>
      <w:r w:rsidRPr="004D6806">
        <w:rPr>
          <w:rFonts w:ascii="Garamond" w:hAnsi="Garamond" w:cs="Arial"/>
          <w:b/>
          <w:bCs/>
          <w:sz w:val="28"/>
          <w:szCs w:val="24"/>
        </w:rPr>
        <w:t xml:space="preserve">. </w:t>
      </w:r>
    </w:p>
    <w:p w:rsidR="004D6806" w:rsidRPr="004D6806" w:rsidRDefault="004D6806" w:rsidP="004D6806">
      <w:pPr>
        <w:spacing w:after="0" w:line="240" w:lineRule="auto"/>
        <w:jc w:val="both"/>
        <w:rPr>
          <w:rFonts w:ascii="Times New Roman" w:eastAsia="SimSun" w:hAnsi="Times New Roman"/>
          <w:sz w:val="24"/>
          <w:szCs w:val="24"/>
          <w:lang w:val="en-GB"/>
        </w:rPr>
      </w:pPr>
    </w:p>
    <w:p w:rsidR="004D6806" w:rsidRPr="004D6806" w:rsidRDefault="004D6806" w:rsidP="004D6806">
      <w:pPr>
        <w:tabs>
          <w:tab w:val="left" w:pos="1276"/>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 xml:space="preserve">IX.1.4. Spaţiile verzi şi efectele asupra sănătăţii şi calităţii vieţii </w:t>
      </w:r>
    </w:p>
    <w:p w:rsidR="004D6806" w:rsidRPr="004D6806" w:rsidRDefault="004D6806" w:rsidP="004D6806">
      <w:pPr>
        <w:tabs>
          <w:tab w:val="left" w:pos="1276"/>
          <w:tab w:val="left" w:leader="dot" w:pos="9356"/>
        </w:tabs>
        <w:spacing w:after="0" w:line="240" w:lineRule="auto"/>
        <w:jc w:val="both"/>
        <w:rPr>
          <w:rFonts w:ascii="Arial" w:eastAsia="SimSun" w:hAnsi="Arial" w:cs="Arial"/>
          <w:sz w:val="24"/>
          <w:szCs w:val="24"/>
          <w:lang w:val="ro-RO"/>
        </w:rPr>
      </w:pPr>
    </w:p>
    <w:p w:rsidR="004D6806" w:rsidRPr="004D6806" w:rsidRDefault="004D6806" w:rsidP="004D6806">
      <w:pPr>
        <w:keepNext/>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lang w:val="ro-RO"/>
        </w:rPr>
        <w:t>Spaţiile verzi, contribuie la îmbunătăţirea calităţii mediului, la menţinerea echilibrului ecologic şi la ameliorarea peisajelor în vederea realizării unui cadru favorabil desfăşurării activităţilor antropice şi menţinerea calităţii vieţii. Deteriorarea sau disparişia unor spaţii verzi constituie pierderi irecuperabile, cu efect negativ în special asupra stării de sănătate fizică şi psihică, a copiilor şi a întregii populaţii, având în vedere funcţiile pe care acestea le îndeplinesc cum ar fi</w:t>
      </w:r>
      <w:r w:rsidRPr="004D6806">
        <w:rPr>
          <w:rFonts w:ascii="Arial" w:hAnsi="Arial" w:cs="Arial"/>
          <w:bCs/>
          <w:sz w:val="24"/>
          <w:szCs w:val="24"/>
        </w:rPr>
        <w:t>:</w:t>
      </w:r>
    </w:p>
    <w:p w:rsidR="004D6806" w:rsidRPr="004D6806" w:rsidRDefault="004D6806" w:rsidP="004D6806">
      <w:pPr>
        <w:keepNext/>
        <w:numPr>
          <w:ilvl w:val="0"/>
          <w:numId w:val="47"/>
        </w:numPr>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rPr>
        <w:t xml:space="preserve">Îmbunătăţirea </w:t>
      </w:r>
      <w:r w:rsidRPr="004D6806">
        <w:rPr>
          <w:rFonts w:ascii="Arial" w:hAnsi="Arial" w:cs="Arial"/>
          <w:bCs/>
          <w:sz w:val="24"/>
          <w:szCs w:val="24"/>
          <w:lang w:val="ro-RO"/>
        </w:rPr>
        <w:t>calităţii mediului prin reducerea poluării şi îmbogaţirea atmosferei cu oxigen;</w:t>
      </w:r>
    </w:p>
    <w:p w:rsidR="004D6806" w:rsidRPr="004D6806" w:rsidRDefault="004D6806" w:rsidP="004D6806">
      <w:pPr>
        <w:keepNext/>
        <w:numPr>
          <w:ilvl w:val="0"/>
          <w:numId w:val="47"/>
        </w:numPr>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lang w:val="ro-RO"/>
        </w:rPr>
        <w:t>Conservarea resurselor de apă, combaterea eroziunii solurilor şi alunecărilor de teren;</w:t>
      </w:r>
    </w:p>
    <w:p w:rsidR="004D6806" w:rsidRPr="004D6806" w:rsidRDefault="004D6806" w:rsidP="004D6806">
      <w:pPr>
        <w:keepNext/>
        <w:numPr>
          <w:ilvl w:val="0"/>
          <w:numId w:val="47"/>
        </w:numPr>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lang w:val="ro-RO"/>
        </w:rPr>
        <w:t>Reducerea zgomotului;</w:t>
      </w:r>
    </w:p>
    <w:p w:rsidR="004D6806" w:rsidRPr="004D6806" w:rsidRDefault="004D6806" w:rsidP="004D6806">
      <w:pPr>
        <w:keepNext/>
        <w:numPr>
          <w:ilvl w:val="0"/>
          <w:numId w:val="47"/>
        </w:numPr>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lang w:val="ro-RO"/>
        </w:rPr>
        <w:t>Armonizarea peisajelor antropice cu cele naturale;</w:t>
      </w:r>
    </w:p>
    <w:p w:rsidR="004D6806" w:rsidRPr="004D6806" w:rsidRDefault="004D6806" w:rsidP="004D6806">
      <w:pPr>
        <w:keepNext/>
        <w:numPr>
          <w:ilvl w:val="0"/>
          <w:numId w:val="47"/>
        </w:numPr>
        <w:autoSpaceDE w:val="0"/>
        <w:autoSpaceDN w:val="0"/>
        <w:adjustRightInd w:val="0"/>
        <w:spacing w:after="0" w:line="240" w:lineRule="auto"/>
        <w:jc w:val="both"/>
        <w:outlineLvl w:val="0"/>
        <w:rPr>
          <w:rFonts w:ascii="Arial" w:hAnsi="Arial" w:cs="Arial"/>
          <w:bCs/>
          <w:sz w:val="24"/>
          <w:szCs w:val="24"/>
        </w:rPr>
      </w:pPr>
      <w:r w:rsidRPr="004D6806">
        <w:rPr>
          <w:rFonts w:ascii="Arial" w:hAnsi="Arial" w:cs="Arial"/>
          <w:bCs/>
          <w:sz w:val="24"/>
          <w:szCs w:val="24"/>
          <w:lang w:val="ro-RO"/>
        </w:rPr>
        <w:t>Îmbunătăţirea aspectului estetico-arhitectural al localităţiilor;</w:t>
      </w:r>
    </w:p>
    <w:p w:rsidR="004D6806" w:rsidRPr="004D6806" w:rsidRDefault="004D6806" w:rsidP="004D6806">
      <w:pPr>
        <w:keepNext/>
        <w:numPr>
          <w:ilvl w:val="0"/>
          <w:numId w:val="47"/>
        </w:numPr>
        <w:autoSpaceDE w:val="0"/>
        <w:autoSpaceDN w:val="0"/>
        <w:adjustRightInd w:val="0"/>
        <w:spacing w:after="0" w:line="240" w:lineRule="auto"/>
        <w:jc w:val="both"/>
        <w:outlineLvl w:val="0"/>
        <w:rPr>
          <w:rFonts w:ascii="Garamond" w:hAnsi="Garamond"/>
          <w:b/>
          <w:bCs/>
          <w:sz w:val="28"/>
          <w:szCs w:val="24"/>
        </w:rPr>
      </w:pPr>
      <w:r w:rsidRPr="004D6806">
        <w:rPr>
          <w:rFonts w:ascii="Arial" w:hAnsi="Arial" w:cs="Arial"/>
          <w:bCs/>
          <w:sz w:val="24"/>
          <w:szCs w:val="24"/>
          <w:lang w:val="ro-RO"/>
        </w:rPr>
        <w:t>Crearea cadrului adecvat practicării sportului, turismului şi a ltor activităţi recreative</w:t>
      </w:r>
      <w:r w:rsidRPr="004D6806">
        <w:rPr>
          <w:rFonts w:ascii="Garamond" w:hAnsi="Garamond"/>
          <w:b/>
          <w:bCs/>
          <w:sz w:val="28"/>
          <w:szCs w:val="24"/>
          <w:lang w:val="ro-RO"/>
        </w:rPr>
        <w:t>.</w:t>
      </w:r>
    </w:p>
    <w:p w:rsidR="004D6806" w:rsidRPr="004D6806" w:rsidRDefault="004D6806" w:rsidP="004D6806">
      <w:pPr>
        <w:tabs>
          <w:tab w:val="left" w:pos="1276"/>
          <w:tab w:val="left" w:leader="dot" w:pos="9356"/>
        </w:tabs>
        <w:spacing w:after="0" w:line="240" w:lineRule="auto"/>
        <w:jc w:val="both"/>
        <w:rPr>
          <w:rFonts w:ascii="Arial" w:eastAsia="SimSun" w:hAnsi="Arial" w:cs="Arial"/>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Pr="004D6806" w:rsidRDefault="004D6806" w:rsidP="004D6806">
      <w:pPr>
        <w:tabs>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lastRenderedPageBreak/>
        <w:t xml:space="preserve">IX .1.4.1 Suprafaţa ocupată de spaţiile verzi în aglomerările urbane </w:t>
      </w:r>
    </w:p>
    <w:p w:rsidR="004D6806" w:rsidRPr="004D6806" w:rsidRDefault="004D6806" w:rsidP="004D6806">
      <w:pPr>
        <w:tabs>
          <w:tab w:val="left" w:leader="dot" w:pos="9356"/>
        </w:tabs>
        <w:spacing w:after="0" w:line="240" w:lineRule="auto"/>
        <w:jc w:val="both"/>
        <w:rPr>
          <w:rFonts w:ascii="Arial" w:eastAsia="SimSun" w:hAnsi="Arial" w:cs="Arial"/>
          <w:sz w:val="24"/>
          <w:szCs w:val="24"/>
          <w:lang w:val="ro-RO"/>
        </w:rPr>
      </w:pPr>
    </w:p>
    <w:p w:rsidR="004D6806" w:rsidRPr="004D6806" w:rsidRDefault="004D6806" w:rsidP="004D6806">
      <w:pPr>
        <w:keepNext/>
        <w:autoSpaceDE w:val="0"/>
        <w:autoSpaceDN w:val="0"/>
        <w:adjustRightInd w:val="0"/>
        <w:spacing w:after="0" w:line="240" w:lineRule="auto"/>
        <w:jc w:val="both"/>
        <w:outlineLvl w:val="0"/>
        <w:rPr>
          <w:rFonts w:ascii="Arial" w:hAnsi="Arial" w:cs="Arial"/>
          <w:b/>
          <w:bCs/>
          <w:sz w:val="24"/>
          <w:szCs w:val="24"/>
          <w:lang w:val="ro-RO"/>
        </w:rPr>
      </w:pPr>
      <w:r w:rsidRPr="004D6806">
        <w:rPr>
          <w:rFonts w:ascii="Arial" w:hAnsi="Arial" w:cs="Arial"/>
          <w:b/>
          <w:bCs/>
          <w:sz w:val="24"/>
          <w:szCs w:val="24"/>
          <w:lang w:val="ro-RO"/>
        </w:rPr>
        <w:t>Tabelul  IX 1.4.1.1.. Situaţia spaţiilor verzi in mediul urban la nivelul judeţului Buzău în perioada 2010- 2014</w:t>
      </w:r>
    </w:p>
    <w:tbl>
      <w:tblPr>
        <w:tblStyle w:val="TableGrid6"/>
        <w:tblW w:w="0" w:type="auto"/>
        <w:jc w:val="center"/>
        <w:tblLook w:val="04A0"/>
      </w:tblPr>
      <w:tblGrid>
        <w:gridCol w:w="1387"/>
        <w:gridCol w:w="886"/>
        <w:gridCol w:w="886"/>
        <w:gridCol w:w="886"/>
        <w:gridCol w:w="886"/>
        <w:gridCol w:w="887"/>
        <w:gridCol w:w="807"/>
        <w:gridCol w:w="807"/>
        <w:gridCol w:w="807"/>
        <w:gridCol w:w="807"/>
        <w:gridCol w:w="807"/>
      </w:tblGrid>
      <w:tr w:rsidR="004D6806" w:rsidRPr="004D6806" w:rsidTr="00530BF0">
        <w:trPr>
          <w:jc w:val="center"/>
        </w:trPr>
        <w:tc>
          <w:tcPr>
            <w:tcW w:w="1321" w:type="dxa"/>
            <w:vMerge w:val="restart"/>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spacing w:val="-10"/>
                <w:sz w:val="24"/>
                <w:szCs w:val="24"/>
                <w:lang w:val="en-GB"/>
              </w:rPr>
              <w:t>Municipiu/ oraş</w:t>
            </w:r>
          </w:p>
        </w:tc>
        <w:tc>
          <w:tcPr>
            <w:tcW w:w="4755" w:type="dxa"/>
            <w:gridSpan w:val="5"/>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iCs/>
                <w:sz w:val="24"/>
                <w:szCs w:val="24"/>
                <w:lang w:val="en-GB"/>
              </w:rPr>
              <w:t>Suprafaţa totală spaţii verzi (ha)</w:t>
            </w:r>
          </w:p>
        </w:tc>
        <w:tc>
          <w:tcPr>
            <w:tcW w:w="4345" w:type="dxa"/>
            <w:gridSpan w:val="5"/>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spacing w:val="-10"/>
                <w:sz w:val="24"/>
                <w:szCs w:val="24"/>
                <w:lang w:val="en-GB"/>
              </w:rPr>
              <w:t>Suprafaţa spaţiu verde mp/locuitor</w:t>
            </w:r>
          </w:p>
        </w:tc>
      </w:tr>
      <w:tr w:rsidR="004D6806" w:rsidRPr="004D6806" w:rsidTr="00530BF0">
        <w:trPr>
          <w:jc w:val="center"/>
        </w:trPr>
        <w:tc>
          <w:tcPr>
            <w:tcW w:w="1321" w:type="dxa"/>
            <w:vMerge/>
            <w:vAlign w:val="center"/>
          </w:tcPr>
          <w:p w:rsidR="004D6806" w:rsidRPr="004D6806" w:rsidRDefault="004D6806" w:rsidP="004D6806">
            <w:pPr>
              <w:spacing w:after="0" w:line="240" w:lineRule="auto"/>
              <w:jc w:val="center"/>
              <w:rPr>
                <w:rFonts w:ascii="Arial" w:eastAsia="SimSun" w:hAnsi="Arial" w:cs="Arial"/>
                <w:b/>
                <w:bCs/>
                <w:sz w:val="24"/>
                <w:szCs w:val="24"/>
                <w:lang w:val="en-GB"/>
              </w:rPr>
            </w:pPr>
          </w:p>
        </w:tc>
        <w:tc>
          <w:tcPr>
            <w:tcW w:w="95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2010</w:t>
            </w:r>
          </w:p>
        </w:tc>
        <w:tc>
          <w:tcPr>
            <w:tcW w:w="95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2011</w:t>
            </w:r>
          </w:p>
        </w:tc>
        <w:tc>
          <w:tcPr>
            <w:tcW w:w="95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2012</w:t>
            </w:r>
          </w:p>
        </w:tc>
        <w:tc>
          <w:tcPr>
            <w:tcW w:w="95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2013</w:t>
            </w:r>
          </w:p>
        </w:tc>
        <w:tc>
          <w:tcPr>
            <w:tcW w:w="95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2014</w:t>
            </w:r>
          </w:p>
        </w:tc>
        <w:tc>
          <w:tcPr>
            <w:tcW w:w="869"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2010</w:t>
            </w:r>
          </w:p>
        </w:tc>
        <w:tc>
          <w:tcPr>
            <w:tcW w:w="869"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2011</w:t>
            </w:r>
          </w:p>
        </w:tc>
        <w:tc>
          <w:tcPr>
            <w:tcW w:w="869"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2012</w:t>
            </w:r>
          </w:p>
        </w:tc>
        <w:tc>
          <w:tcPr>
            <w:tcW w:w="869"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2013</w:t>
            </w:r>
          </w:p>
        </w:tc>
        <w:tc>
          <w:tcPr>
            <w:tcW w:w="869"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bCs/>
                <w:sz w:val="24"/>
                <w:szCs w:val="24"/>
                <w:lang w:val="en-GB"/>
              </w:rPr>
              <w:t>2014</w:t>
            </w:r>
          </w:p>
        </w:tc>
      </w:tr>
      <w:tr w:rsidR="004D6806" w:rsidRPr="004D6806" w:rsidTr="00530BF0">
        <w:trPr>
          <w:jc w:val="center"/>
        </w:trPr>
        <w:tc>
          <w:tcPr>
            <w:tcW w:w="1321" w:type="dxa"/>
            <w:vAlign w:val="center"/>
          </w:tcPr>
          <w:p w:rsidR="004D6806" w:rsidRPr="004D6806" w:rsidRDefault="004D6806" w:rsidP="004D6806">
            <w:pPr>
              <w:spacing w:after="120"/>
              <w:jc w:val="center"/>
              <w:rPr>
                <w:rFonts w:ascii="Arial" w:hAnsi="Arial" w:cs="Arial"/>
                <w:b/>
                <w:spacing w:val="-10"/>
                <w:sz w:val="24"/>
                <w:szCs w:val="24"/>
              </w:rPr>
            </w:pPr>
            <w:r w:rsidRPr="004D6806">
              <w:rPr>
                <w:rFonts w:ascii="Arial" w:hAnsi="Arial" w:cs="Arial"/>
                <w:b/>
                <w:spacing w:val="-10"/>
                <w:sz w:val="24"/>
                <w:szCs w:val="24"/>
              </w:rPr>
              <w:t>Mun. Buzău</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210</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210</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210</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210</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210</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14,82</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14,96</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15,09</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15,2</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15,31</w:t>
            </w:r>
          </w:p>
        </w:tc>
      </w:tr>
      <w:tr w:rsidR="004D6806" w:rsidRPr="004D6806" w:rsidTr="00530BF0">
        <w:trPr>
          <w:jc w:val="center"/>
        </w:trPr>
        <w:tc>
          <w:tcPr>
            <w:tcW w:w="132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spacing w:val="-10"/>
                <w:sz w:val="24"/>
                <w:szCs w:val="24"/>
                <w:lang w:val="en-GB"/>
              </w:rPr>
              <w:t>Mun. Râmnicu Sărat</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89,13</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89,13</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95,73</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95,73</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96,38</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21,01</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21,14</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22,80</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22,94</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23,38</w:t>
            </w:r>
          </w:p>
        </w:tc>
      </w:tr>
      <w:tr w:rsidR="004D6806" w:rsidRPr="004D6806" w:rsidTr="00530BF0">
        <w:trPr>
          <w:jc w:val="center"/>
        </w:trPr>
        <w:tc>
          <w:tcPr>
            <w:tcW w:w="1321" w:type="dxa"/>
            <w:vAlign w:val="center"/>
          </w:tcPr>
          <w:p w:rsidR="004D6806" w:rsidRPr="004D6806" w:rsidRDefault="004D6806" w:rsidP="004D6806">
            <w:pPr>
              <w:spacing w:after="120"/>
              <w:jc w:val="center"/>
              <w:rPr>
                <w:rFonts w:ascii="Arial" w:hAnsi="Arial" w:cs="Arial"/>
                <w:b/>
                <w:spacing w:val="-10"/>
                <w:sz w:val="24"/>
                <w:szCs w:val="24"/>
              </w:rPr>
            </w:pPr>
            <w:r w:rsidRPr="004D6806">
              <w:rPr>
                <w:rFonts w:ascii="Arial" w:hAnsi="Arial" w:cs="Arial"/>
                <w:b/>
                <w:spacing w:val="-10"/>
                <w:sz w:val="24"/>
                <w:szCs w:val="24"/>
              </w:rPr>
              <w:t>Oraşul Nehoiu</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5</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5</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5</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5</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5</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4,5</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4,7</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4,9</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5</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5,2</w:t>
            </w:r>
          </w:p>
        </w:tc>
      </w:tr>
      <w:tr w:rsidR="004D6806" w:rsidRPr="004D6806" w:rsidTr="00530BF0">
        <w:trPr>
          <w:jc w:val="center"/>
        </w:trPr>
        <w:tc>
          <w:tcPr>
            <w:tcW w:w="132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spacing w:val="-10"/>
                <w:sz w:val="24"/>
                <w:szCs w:val="24"/>
                <w:lang w:val="en-GB"/>
              </w:rPr>
              <w:t>Oraşul Pătârlagele</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1,8</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1,8</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1,8</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1,8</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1,8</w:t>
            </w:r>
          </w:p>
        </w:tc>
      </w:tr>
      <w:tr w:rsidR="004D6806" w:rsidRPr="004D6806" w:rsidTr="00530BF0">
        <w:trPr>
          <w:jc w:val="center"/>
        </w:trPr>
        <w:tc>
          <w:tcPr>
            <w:tcW w:w="1321" w:type="dxa"/>
            <w:vAlign w:val="center"/>
          </w:tcPr>
          <w:p w:rsidR="004D6806" w:rsidRPr="004D6806" w:rsidRDefault="004D6806" w:rsidP="004D6806">
            <w:pPr>
              <w:spacing w:after="0" w:line="240" w:lineRule="auto"/>
              <w:jc w:val="center"/>
              <w:rPr>
                <w:rFonts w:ascii="Arial" w:eastAsia="SimSun" w:hAnsi="Arial" w:cs="Arial"/>
                <w:b/>
                <w:bCs/>
                <w:sz w:val="24"/>
                <w:szCs w:val="24"/>
                <w:lang w:val="en-GB"/>
              </w:rPr>
            </w:pPr>
            <w:r w:rsidRPr="004D6806">
              <w:rPr>
                <w:rFonts w:ascii="Arial" w:eastAsia="SimSun" w:hAnsi="Arial" w:cs="Arial"/>
                <w:b/>
                <w:spacing w:val="-10"/>
                <w:sz w:val="24"/>
                <w:szCs w:val="24"/>
                <w:lang w:val="en-GB"/>
              </w:rPr>
              <w:t>Oraşul Pogoanele</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w:t>
            </w:r>
          </w:p>
        </w:tc>
        <w:tc>
          <w:tcPr>
            <w:tcW w:w="951"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3,16</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2,53</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2,54</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2,57</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2,61</w:t>
            </w:r>
          </w:p>
        </w:tc>
      </w:tr>
      <w:tr w:rsidR="004D6806" w:rsidRPr="004D6806" w:rsidTr="00530BF0">
        <w:trPr>
          <w:jc w:val="center"/>
        </w:trPr>
        <w:tc>
          <w:tcPr>
            <w:tcW w:w="1321" w:type="dxa"/>
            <w:vAlign w:val="center"/>
          </w:tcPr>
          <w:p w:rsidR="004D6806" w:rsidRPr="004D6806" w:rsidRDefault="004D6806" w:rsidP="004D6806">
            <w:pPr>
              <w:spacing w:after="0" w:line="240" w:lineRule="auto"/>
              <w:jc w:val="center"/>
              <w:rPr>
                <w:rFonts w:ascii="Arial" w:eastAsia="SimSun" w:hAnsi="Arial" w:cs="Arial"/>
                <w:b/>
                <w:spacing w:val="-10"/>
                <w:sz w:val="24"/>
                <w:szCs w:val="24"/>
                <w:lang w:val="en-GB"/>
              </w:rPr>
            </w:pPr>
            <w:r w:rsidRPr="004D6806">
              <w:rPr>
                <w:rFonts w:ascii="Arial" w:eastAsia="SimSun" w:hAnsi="Arial" w:cs="Arial"/>
                <w:b/>
                <w:spacing w:val="-10"/>
                <w:sz w:val="24"/>
                <w:szCs w:val="24"/>
                <w:lang w:val="en-GB"/>
              </w:rPr>
              <w:t>Total</w:t>
            </w:r>
          </w:p>
        </w:tc>
        <w:tc>
          <w:tcPr>
            <w:tcW w:w="951" w:type="dxa"/>
            <w:vAlign w:val="center"/>
          </w:tcPr>
          <w:p w:rsidR="004D6806" w:rsidRPr="004D6806" w:rsidRDefault="004D6806" w:rsidP="004D6806">
            <w:pPr>
              <w:spacing w:after="0" w:line="240" w:lineRule="auto"/>
              <w:jc w:val="center"/>
              <w:rPr>
                <w:rFonts w:ascii="Arial" w:eastAsia="SimSun" w:hAnsi="Arial" w:cs="Arial"/>
                <w:sz w:val="20"/>
                <w:szCs w:val="20"/>
                <w:lang w:val="en-GB"/>
              </w:rPr>
            </w:pPr>
            <w:r w:rsidRPr="004D6806">
              <w:rPr>
                <w:rFonts w:ascii="Arial" w:eastAsia="SimSun" w:hAnsi="Arial" w:cs="Arial"/>
                <w:sz w:val="20"/>
                <w:szCs w:val="20"/>
                <w:lang w:val="en-GB"/>
              </w:rPr>
              <w:t>310,13</w:t>
            </w:r>
          </w:p>
        </w:tc>
        <w:tc>
          <w:tcPr>
            <w:tcW w:w="951" w:type="dxa"/>
            <w:vAlign w:val="center"/>
          </w:tcPr>
          <w:p w:rsidR="004D6806" w:rsidRPr="004D6806" w:rsidRDefault="004D6806" w:rsidP="004D6806">
            <w:pPr>
              <w:spacing w:after="0" w:line="240" w:lineRule="auto"/>
              <w:jc w:val="center"/>
              <w:rPr>
                <w:rFonts w:ascii="Arial" w:eastAsia="SimSun" w:hAnsi="Arial" w:cs="Arial"/>
                <w:sz w:val="20"/>
                <w:szCs w:val="20"/>
                <w:lang w:val="en-GB"/>
              </w:rPr>
            </w:pPr>
            <w:r w:rsidRPr="004D6806">
              <w:rPr>
                <w:rFonts w:ascii="Arial" w:eastAsia="SimSun" w:hAnsi="Arial" w:cs="Arial"/>
                <w:sz w:val="20"/>
                <w:szCs w:val="20"/>
                <w:lang w:val="en-GB"/>
              </w:rPr>
              <w:t>310,13</w:t>
            </w:r>
          </w:p>
        </w:tc>
        <w:tc>
          <w:tcPr>
            <w:tcW w:w="951" w:type="dxa"/>
            <w:vAlign w:val="center"/>
          </w:tcPr>
          <w:p w:rsidR="004D6806" w:rsidRPr="004D6806" w:rsidRDefault="004D6806" w:rsidP="004D6806">
            <w:pPr>
              <w:spacing w:after="0" w:line="240" w:lineRule="auto"/>
              <w:jc w:val="center"/>
              <w:rPr>
                <w:rFonts w:ascii="Arial" w:eastAsia="SimSun" w:hAnsi="Arial" w:cs="Arial"/>
                <w:sz w:val="20"/>
                <w:szCs w:val="20"/>
                <w:lang w:val="en-GB"/>
              </w:rPr>
            </w:pPr>
            <w:r w:rsidRPr="004D6806">
              <w:rPr>
                <w:rFonts w:ascii="Arial" w:eastAsia="SimSun" w:hAnsi="Arial" w:cs="Arial"/>
                <w:sz w:val="20"/>
                <w:szCs w:val="20"/>
                <w:lang w:val="en-GB"/>
              </w:rPr>
              <w:t>316,73</w:t>
            </w:r>
          </w:p>
        </w:tc>
        <w:tc>
          <w:tcPr>
            <w:tcW w:w="951" w:type="dxa"/>
            <w:vAlign w:val="center"/>
          </w:tcPr>
          <w:p w:rsidR="004D6806" w:rsidRPr="004D6806" w:rsidRDefault="004D6806" w:rsidP="004D6806">
            <w:pPr>
              <w:spacing w:after="0" w:line="240" w:lineRule="auto"/>
              <w:jc w:val="center"/>
              <w:rPr>
                <w:rFonts w:ascii="Arial" w:eastAsia="SimSun" w:hAnsi="Arial" w:cs="Arial"/>
                <w:sz w:val="20"/>
                <w:szCs w:val="20"/>
                <w:lang w:val="en-GB"/>
              </w:rPr>
            </w:pPr>
            <w:r w:rsidRPr="004D6806">
              <w:rPr>
                <w:rFonts w:ascii="Arial" w:eastAsia="SimSun" w:hAnsi="Arial" w:cs="Arial"/>
                <w:sz w:val="20"/>
                <w:szCs w:val="20"/>
                <w:lang w:val="en-GB"/>
              </w:rPr>
              <w:t>316,73</w:t>
            </w:r>
          </w:p>
        </w:tc>
        <w:tc>
          <w:tcPr>
            <w:tcW w:w="951" w:type="dxa"/>
            <w:vAlign w:val="center"/>
          </w:tcPr>
          <w:p w:rsidR="004D6806" w:rsidRPr="004D6806" w:rsidRDefault="004D6806" w:rsidP="004D6806">
            <w:pPr>
              <w:spacing w:after="0" w:line="240" w:lineRule="auto"/>
              <w:jc w:val="center"/>
              <w:rPr>
                <w:rFonts w:ascii="Arial" w:eastAsia="SimSun" w:hAnsi="Arial" w:cs="Arial"/>
                <w:sz w:val="20"/>
                <w:szCs w:val="20"/>
                <w:lang w:val="en-GB"/>
              </w:rPr>
            </w:pPr>
            <w:r w:rsidRPr="004D6806">
              <w:rPr>
                <w:rFonts w:ascii="Arial" w:eastAsia="SimSun" w:hAnsi="Arial" w:cs="Arial"/>
                <w:sz w:val="20"/>
                <w:szCs w:val="20"/>
                <w:lang w:val="en-GB"/>
              </w:rPr>
              <w:t>317,38</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45,29</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45,13</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47,13</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47,52</w:t>
            </w:r>
          </w:p>
        </w:tc>
        <w:tc>
          <w:tcPr>
            <w:tcW w:w="869" w:type="dxa"/>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48,3</w:t>
            </w:r>
          </w:p>
        </w:tc>
      </w:tr>
    </w:tbl>
    <w:p w:rsidR="004D6806" w:rsidRPr="004D6806" w:rsidRDefault="004D6806" w:rsidP="004D6806">
      <w:pPr>
        <w:spacing w:after="0" w:line="240" w:lineRule="auto"/>
        <w:jc w:val="both"/>
        <w:rPr>
          <w:rFonts w:ascii="Times New Roman" w:eastAsia="SimSun" w:hAnsi="Times New Roman"/>
          <w:bCs/>
          <w:sz w:val="24"/>
          <w:szCs w:val="24"/>
          <w:lang w:val="en-GB"/>
        </w:rPr>
      </w:pPr>
    </w:p>
    <w:p w:rsidR="004D6806" w:rsidRPr="004D6806" w:rsidRDefault="004D6806" w:rsidP="004D6806">
      <w:pPr>
        <w:spacing w:after="0" w:line="240" w:lineRule="auto"/>
        <w:jc w:val="right"/>
        <w:rPr>
          <w:rFonts w:ascii="Arial" w:eastAsia="SimSun" w:hAnsi="Arial" w:cs="Arial"/>
          <w:bCs/>
          <w:sz w:val="24"/>
          <w:szCs w:val="24"/>
          <w:lang w:val="en-GB"/>
        </w:rPr>
      </w:pPr>
      <w:r w:rsidRPr="004D6806">
        <w:rPr>
          <w:rFonts w:ascii="Arial" w:eastAsia="SimSun" w:hAnsi="Arial" w:cs="Arial"/>
          <w:bCs/>
          <w:sz w:val="24"/>
          <w:szCs w:val="24"/>
          <w:lang w:val="en-GB"/>
        </w:rPr>
        <w:t xml:space="preserve">Sursa datelor: Direcţia Judeţeană de Statistică Buzău </w:t>
      </w:r>
      <w:r w:rsidRPr="004D6806">
        <w:rPr>
          <w:rFonts w:ascii="Arial" w:eastAsia="SimSun" w:hAnsi="Arial" w:cs="Arial"/>
          <w:bCs/>
          <w:sz w:val="24"/>
          <w:szCs w:val="24"/>
          <w:lang w:val="ro-RO"/>
        </w:rPr>
        <w:t xml:space="preserve">şi </w:t>
      </w:r>
      <w:r w:rsidRPr="004D6806">
        <w:rPr>
          <w:rFonts w:ascii="Arial" w:eastAsia="SimSun" w:hAnsi="Arial" w:cs="Arial"/>
          <w:bCs/>
          <w:sz w:val="24"/>
          <w:szCs w:val="24"/>
          <w:lang w:val="en-GB"/>
        </w:rPr>
        <w:t>Primăriile municipiilor si oraselor din judeţul Buzău</w:t>
      </w: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Figura IX 1.4.1.1-</w:t>
      </w:r>
      <w:r w:rsidRPr="004D6806">
        <w:rPr>
          <w:rFonts w:ascii="Arial" w:eastAsia="SimSun" w:hAnsi="Arial" w:cs="Arial"/>
          <w:b/>
          <w:spacing w:val="-10"/>
          <w:sz w:val="24"/>
          <w:szCs w:val="24"/>
          <w:lang w:val="en-GB"/>
        </w:rPr>
        <w:t xml:space="preserve"> Suprafaţa spaţii verzi pe cap de locuitor din mediul urban (mp/locuitor) </w:t>
      </w:r>
      <w:r w:rsidRPr="004D6806">
        <w:rPr>
          <w:rFonts w:ascii="Arial" w:eastAsia="SimSun" w:hAnsi="Arial" w:cs="Arial"/>
          <w:b/>
          <w:sz w:val="24"/>
          <w:szCs w:val="24"/>
          <w:lang w:val="en-GB"/>
        </w:rPr>
        <w:t>la nivelul judetului Buz</w:t>
      </w:r>
      <w:r w:rsidRPr="004D6806">
        <w:rPr>
          <w:rFonts w:ascii="Arial" w:eastAsia="SimSun" w:hAnsi="Arial" w:cs="Arial"/>
          <w:b/>
          <w:sz w:val="24"/>
          <w:szCs w:val="24"/>
          <w:lang w:val="ro-RO"/>
        </w:rPr>
        <w:t>ă</w:t>
      </w:r>
      <w:r w:rsidRPr="004D6806">
        <w:rPr>
          <w:rFonts w:ascii="Arial" w:eastAsia="SimSun" w:hAnsi="Arial" w:cs="Arial"/>
          <w:b/>
          <w:sz w:val="24"/>
          <w:szCs w:val="24"/>
          <w:lang w:val="en-GB"/>
        </w:rPr>
        <w:t>u , tendinţa 2010-2014</w:t>
      </w: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center"/>
        <w:rPr>
          <w:rFonts w:ascii="Times New Roman" w:eastAsia="SimSun" w:hAnsi="Times New Roman"/>
          <w:bCs/>
          <w:color w:val="FF0000"/>
          <w:sz w:val="24"/>
          <w:szCs w:val="24"/>
          <w:lang w:val="en-GB"/>
        </w:rPr>
      </w:pPr>
      <w:r w:rsidRPr="004D6806">
        <w:rPr>
          <w:rFonts w:ascii="Times New Roman" w:eastAsia="SimSun" w:hAnsi="Times New Roman"/>
          <w:bCs/>
          <w:noProof/>
          <w:color w:val="FF0000"/>
          <w:sz w:val="24"/>
          <w:szCs w:val="24"/>
          <w:lang w:val="ro-RO" w:eastAsia="ro-RO"/>
        </w:rPr>
        <w:drawing>
          <wp:inline distT="0" distB="0" distL="0" distR="0">
            <wp:extent cx="5486400" cy="3200400"/>
            <wp:effectExtent l="19050" t="0" r="19050" b="0"/>
            <wp:docPr id="27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4D6806" w:rsidRPr="004D6806" w:rsidRDefault="004D6806" w:rsidP="004D6806">
      <w:pPr>
        <w:spacing w:after="0" w:line="240" w:lineRule="auto"/>
        <w:jc w:val="both"/>
        <w:rPr>
          <w:rFonts w:ascii="Times New Roman" w:eastAsia="SimSun" w:hAnsi="Times New Roman"/>
          <w:bCs/>
          <w:color w:val="FF0000"/>
          <w:sz w:val="24"/>
          <w:szCs w:val="24"/>
          <w:lang w:val="en-GB"/>
        </w:rPr>
      </w:pPr>
    </w:p>
    <w:p w:rsidR="004D6806" w:rsidRPr="004D6806" w:rsidRDefault="004D6806" w:rsidP="004D6806">
      <w:pPr>
        <w:spacing w:after="0" w:line="240" w:lineRule="auto"/>
        <w:jc w:val="both"/>
        <w:rPr>
          <w:rFonts w:ascii="Arial" w:eastAsia="SimSun" w:hAnsi="Arial" w:cs="Arial"/>
          <w:bCs/>
          <w:sz w:val="24"/>
          <w:szCs w:val="24"/>
          <w:lang w:val="en-GB"/>
        </w:rPr>
      </w:pPr>
      <w:r w:rsidRPr="004D6806">
        <w:rPr>
          <w:rFonts w:ascii="Arial" w:eastAsia="SimSun" w:hAnsi="Arial" w:cs="Arial"/>
          <w:bCs/>
          <w:sz w:val="24"/>
          <w:szCs w:val="24"/>
          <w:lang w:val="en-GB"/>
        </w:rPr>
        <w:t xml:space="preserve">Sursa datelor: Direcţia Judeţeană de Statistică Buzău </w:t>
      </w:r>
      <w:r w:rsidRPr="004D6806">
        <w:rPr>
          <w:rFonts w:ascii="Arial" w:eastAsia="SimSun" w:hAnsi="Arial" w:cs="Arial"/>
          <w:bCs/>
          <w:sz w:val="24"/>
          <w:szCs w:val="24"/>
          <w:lang w:val="ro-RO"/>
        </w:rPr>
        <w:t xml:space="preserve">şi </w:t>
      </w:r>
      <w:r w:rsidRPr="004D6806">
        <w:rPr>
          <w:rFonts w:ascii="Arial" w:eastAsia="SimSun" w:hAnsi="Arial" w:cs="Arial"/>
          <w:bCs/>
          <w:sz w:val="24"/>
          <w:szCs w:val="24"/>
          <w:lang w:val="en-GB"/>
        </w:rPr>
        <w:t>Primăriile municipiilor si oraselor din judeţul Buzău</w:t>
      </w:r>
    </w:p>
    <w:p w:rsidR="004D6806" w:rsidRPr="004D6806" w:rsidRDefault="004D6806" w:rsidP="004D6806">
      <w:pPr>
        <w:spacing w:after="0" w:line="240" w:lineRule="auto"/>
        <w:jc w:val="both"/>
        <w:rPr>
          <w:rFonts w:ascii="Times New Roman" w:eastAsia="SimSun" w:hAnsi="Times New Roman"/>
          <w:bCs/>
          <w:color w:val="FF0000"/>
          <w:sz w:val="24"/>
          <w:szCs w:val="24"/>
          <w:lang w:val="en-GB"/>
        </w:rPr>
      </w:pPr>
    </w:p>
    <w:p w:rsidR="004D6806" w:rsidRDefault="004D6806" w:rsidP="004D6806">
      <w:pPr>
        <w:spacing w:after="0" w:line="240" w:lineRule="auto"/>
        <w:jc w:val="both"/>
        <w:rPr>
          <w:rFonts w:ascii="Arial" w:eastAsia="SimSun" w:hAnsi="Arial" w:cs="Arial"/>
          <w:b/>
          <w:sz w:val="24"/>
          <w:szCs w:val="24"/>
          <w:lang w:val="en-GB"/>
        </w:rPr>
      </w:pPr>
    </w:p>
    <w:p w:rsidR="004D6806" w:rsidRPr="004D6806" w:rsidRDefault="004D6806" w:rsidP="004D6806">
      <w:pPr>
        <w:spacing w:after="0" w:line="240" w:lineRule="auto"/>
        <w:jc w:val="both"/>
        <w:rPr>
          <w:rFonts w:ascii="Arial" w:eastAsia="SimSun" w:hAnsi="Arial" w:cs="Arial"/>
          <w:b/>
          <w:sz w:val="24"/>
          <w:szCs w:val="24"/>
          <w:lang w:val="en-GB"/>
        </w:rPr>
      </w:pPr>
    </w:p>
    <w:p w:rsidR="004D6806" w:rsidRPr="004D6806" w:rsidRDefault="004D6806" w:rsidP="004D6806">
      <w:pPr>
        <w:spacing w:after="0" w:line="240" w:lineRule="auto"/>
        <w:jc w:val="both"/>
        <w:rPr>
          <w:rFonts w:ascii="Times New Roman" w:eastAsia="SimSun" w:hAnsi="Times New Roman"/>
          <w:b/>
          <w:sz w:val="24"/>
          <w:szCs w:val="24"/>
          <w:lang w:val="en-GB"/>
        </w:rPr>
      </w:pPr>
      <w:r w:rsidRPr="004D6806">
        <w:rPr>
          <w:rFonts w:ascii="Arial" w:eastAsia="SimSun" w:hAnsi="Arial" w:cs="Arial"/>
          <w:b/>
          <w:sz w:val="24"/>
          <w:szCs w:val="24"/>
          <w:lang w:val="en-GB"/>
        </w:rPr>
        <w:lastRenderedPageBreak/>
        <w:t xml:space="preserve">Tabelul IX.1.4.1.2. </w:t>
      </w:r>
      <w:r w:rsidRPr="004D6806">
        <w:rPr>
          <w:rFonts w:ascii="Arial" w:eastAsia="SimSun" w:hAnsi="Arial" w:cs="Arial"/>
          <w:b/>
          <w:sz w:val="24"/>
          <w:szCs w:val="24"/>
          <w:lang w:val="fr-FR"/>
        </w:rPr>
        <w:t xml:space="preserve">Suprafaţa totală de spaţii verzi în mediul urban şi suprafaţa totală a mediului urban  </w:t>
      </w:r>
      <w:r w:rsidRPr="004D6806">
        <w:rPr>
          <w:rFonts w:ascii="Arial" w:eastAsia="SimSun" w:hAnsi="Arial" w:cs="Arial"/>
          <w:b/>
          <w:sz w:val="24"/>
          <w:szCs w:val="24"/>
          <w:lang w:val="en-GB"/>
        </w:rPr>
        <w:t>la nivelul judetului Buz</w:t>
      </w:r>
      <w:r w:rsidRPr="004D6806">
        <w:rPr>
          <w:rFonts w:ascii="Arial" w:eastAsia="SimSun" w:hAnsi="Arial" w:cs="Arial"/>
          <w:b/>
          <w:sz w:val="24"/>
          <w:szCs w:val="24"/>
          <w:lang w:val="ro-RO"/>
        </w:rPr>
        <w:t>ă</w:t>
      </w:r>
      <w:r w:rsidRPr="004D6806">
        <w:rPr>
          <w:rFonts w:ascii="Arial" w:eastAsia="SimSun" w:hAnsi="Arial" w:cs="Arial"/>
          <w:b/>
          <w:sz w:val="24"/>
          <w:szCs w:val="24"/>
          <w:lang w:val="en-GB"/>
        </w:rPr>
        <w:t>u (2010-2014)</w:t>
      </w:r>
      <w:r w:rsidRPr="004D6806">
        <w:rPr>
          <w:rFonts w:ascii="Times New Roman" w:eastAsia="SimSun" w:hAnsi="Times New Roman"/>
          <w:b/>
          <w:sz w:val="24"/>
          <w:szCs w:val="24"/>
          <w:lang w:val="en-GB"/>
        </w:rPr>
        <w:t xml:space="preserve"> </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7"/>
        <w:gridCol w:w="1165"/>
        <w:gridCol w:w="1165"/>
        <w:gridCol w:w="1165"/>
        <w:gridCol w:w="1164"/>
        <w:gridCol w:w="1164"/>
      </w:tblGrid>
      <w:tr w:rsidR="004D6806" w:rsidRPr="004D6806" w:rsidTr="00530BF0">
        <w:trPr>
          <w:jc w:val="center"/>
        </w:trPr>
        <w:tc>
          <w:tcPr>
            <w:tcW w:w="1649"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Specificaţia</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2010</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2011</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2012</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2013</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2014</w:t>
            </w:r>
          </w:p>
        </w:tc>
      </w:tr>
      <w:tr w:rsidR="004D6806" w:rsidRPr="004D6806" w:rsidTr="00530BF0">
        <w:trPr>
          <w:jc w:val="center"/>
        </w:trPr>
        <w:tc>
          <w:tcPr>
            <w:tcW w:w="1649"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pt-BR"/>
              </w:rPr>
            </w:pPr>
            <w:r w:rsidRPr="004D6806">
              <w:rPr>
                <w:rFonts w:ascii="Arial" w:eastAsia="SimSun" w:hAnsi="Arial" w:cs="Arial"/>
                <w:b/>
                <w:sz w:val="24"/>
                <w:szCs w:val="24"/>
                <w:lang w:val="pt-BR"/>
              </w:rPr>
              <w:t>Suprafaţa totală a mediului urban</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pt-BR"/>
              </w:rPr>
            </w:pPr>
            <w:r w:rsidRPr="004D6806">
              <w:rPr>
                <w:rFonts w:ascii="Arial" w:eastAsia="SimSun" w:hAnsi="Arial" w:cs="Arial"/>
                <w:sz w:val="24"/>
                <w:szCs w:val="24"/>
                <w:lang w:val="pt-BR"/>
              </w:rPr>
              <w:t>7143</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pt-BR"/>
              </w:rPr>
            </w:pPr>
            <w:r w:rsidRPr="004D6806">
              <w:rPr>
                <w:rFonts w:ascii="Arial" w:eastAsia="SimSun" w:hAnsi="Arial" w:cs="Arial"/>
                <w:sz w:val="24"/>
                <w:szCs w:val="24"/>
                <w:lang w:val="pt-BR"/>
              </w:rPr>
              <w:t>7121</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pt-BR"/>
              </w:rPr>
            </w:pPr>
            <w:r w:rsidRPr="004D6806">
              <w:rPr>
                <w:rFonts w:ascii="Arial" w:eastAsia="SimSun" w:hAnsi="Arial" w:cs="Arial"/>
                <w:sz w:val="24"/>
                <w:szCs w:val="24"/>
                <w:lang w:val="pt-BR"/>
              </w:rPr>
              <w:t>7205</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pt-BR"/>
              </w:rPr>
            </w:pPr>
            <w:r w:rsidRPr="004D6806">
              <w:rPr>
                <w:rFonts w:ascii="Arial" w:eastAsia="SimSun" w:hAnsi="Arial" w:cs="Arial"/>
                <w:sz w:val="24"/>
                <w:szCs w:val="24"/>
                <w:lang w:val="pt-BR"/>
              </w:rPr>
              <w:t>7205</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pt-BR"/>
              </w:rPr>
            </w:pPr>
            <w:r w:rsidRPr="004D6806">
              <w:rPr>
                <w:rFonts w:ascii="Arial" w:eastAsia="SimSun" w:hAnsi="Arial" w:cs="Arial"/>
                <w:sz w:val="24"/>
                <w:szCs w:val="24"/>
                <w:lang w:val="pt-BR"/>
              </w:rPr>
              <w:t>7205</w:t>
            </w:r>
          </w:p>
        </w:tc>
      </w:tr>
      <w:tr w:rsidR="004D6806" w:rsidRPr="004D6806" w:rsidTr="00530BF0">
        <w:trPr>
          <w:jc w:val="center"/>
        </w:trPr>
        <w:tc>
          <w:tcPr>
            <w:tcW w:w="1649"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Suprafaţa totală a spaţiilor verzi din m</w:t>
            </w:r>
            <w:r w:rsidRPr="004D6806">
              <w:rPr>
                <w:rFonts w:ascii="Arial" w:eastAsia="SimSun" w:hAnsi="Arial" w:cs="Arial"/>
                <w:b/>
                <w:sz w:val="24"/>
                <w:szCs w:val="24"/>
                <w:lang w:val="en-GB"/>
              </w:rPr>
              <w:t>e</w:t>
            </w:r>
            <w:r w:rsidRPr="004D6806">
              <w:rPr>
                <w:rFonts w:ascii="Arial" w:eastAsia="SimSun" w:hAnsi="Arial" w:cs="Arial"/>
                <w:b/>
                <w:sz w:val="24"/>
                <w:szCs w:val="24"/>
                <w:lang w:val="en-GB"/>
              </w:rPr>
              <w:t>diul urban</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310,13</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310,13</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316,73</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316,73</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317,38</w:t>
            </w:r>
          </w:p>
        </w:tc>
      </w:tr>
      <w:tr w:rsidR="004D6806" w:rsidRPr="004D6806" w:rsidTr="00530BF0">
        <w:trPr>
          <w:jc w:val="center"/>
        </w:trPr>
        <w:tc>
          <w:tcPr>
            <w:tcW w:w="1649"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b/>
                <w:sz w:val="24"/>
                <w:szCs w:val="24"/>
                <w:lang w:val="en-GB"/>
              </w:rPr>
            </w:pPr>
            <w:r w:rsidRPr="004D6806">
              <w:rPr>
                <w:rFonts w:ascii="Arial" w:eastAsia="SimSun" w:hAnsi="Arial" w:cs="Arial"/>
                <w:b/>
                <w:sz w:val="24"/>
                <w:szCs w:val="24"/>
                <w:lang w:val="en-GB"/>
              </w:rPr>
              <w:t>Indicatorul Spaţii verzi în mediul urban (%)</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4,34</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4,36</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4,40</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4.40</w:t>
            </w:r>
          </w:p>
        </w:tc>
        <w:tc>
          <w:tcPr>
            <w:tcW w:w="670" w:type="pct"/>
            <w:tcBorders>
              <w:top w:val="single" w:sz="4" w:space="0" w:color="auto"/>
              <w:left w:val="single" w:sz="4" w:space="0" w:color="auto"/>
              <w:bottom w:val="single" w:sz="4" w:space="0" w:color="auto"/>
              <w:right w:val="single" w:sz="4" w:space="0" w:color="auto"/>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4,41</w:t>
            </w:r>
          </w:p>
        </w:tc>
      </w:tr>
    </w:tbl>
    <w:p w:rsidR="004D6806" w:rsidRPr="004D6806" w:rsidRDefault="004D6806" w:rsidP="004D6806">
      <w:pPr>
        <w:spacing w:after="0" w:line="240" w:lineRule="auto"/>
        <w:jc w:val="both"/>
        <w:rPr>
          <w:rFonts w:ascii="Arial" w:eastAsia="SimSun" w:hAnsi="Arial" w:cs="Arial"/>
          <w:bCs/>
          <w:sz w:val="24"/>
          <w:szCs w:val="24"/>
          <w:lang w:val="en-GB"/>
        </w:rPr>
      </w:pPr>
      <w:r w:rsidRPr="004D6806">
        <w:rPr>
          <w:rFonts w:ascii="Arial" w:eastAsia="SimSun" w:hAnsi="Arial" w:cs="Arial"/>
          <w:bCs/>
          <w:sz w:val="24"/>
          <w:szCs w:val="24"/>
          <w:lang w:val="en-GB"/>
        </w:rPr>
        <w:t xml:space="preserve">Sursa datelor: Direcţia Judeţeană de Statistică Buzău </w:t>
      </w:r>
      <w:r w:rsidRPr="004D6806">
        <w:rPr>
          <w:rFonts w:ascii="Arial" w:eastAsia="SimSun" w:hAnsi="Arial" w:cs="Arial"/>
          <w:bCs/>
          <w:sz w:val="24"/>
          <w:szCs w:val="24"/>
          <w:lang w:val="ro-RO"/>
        </w:rPr>
        <w:t xml:space="preserve">şi </w:t>
      </w:r>
      <w:r w:rsidRPr="004D6806">
        <w:rPr>
          <w:rFonts w:ascii="Arial" w:eastAsia="SimSun" w:hAnsi="Arial" w:cs="Arial"/>
          <w:bCs/>
          <w:sz w:val="24"/>
          <w:szCs w:val="24"/>
          <w:lang w:val="en-GB"/>
        </w:rPr>
        <w:t>Primăriile municipiilor si oraselor din judeţul Buzău</w:t>
      </w:r>
    </w:p>
    <w:p w:rsidR="004D6806" w:rsidRPr="004D6806" w:rsidRDefault="004D6806" w:rsidP="004D6806">
      <w:pPr>
        <w:keepNext/>
        <w:autoSpaceDE w:val="0"/>
        <w:autoSpaceDN w:val="0"/>
        <w:adjustRightInd w:val="0"/>
        <w:spacing w:after="0" w:line="240" w:lineRule="auto"/>
        <w:jc w:val="both"/>
        <w:outlineLvl w:val="0"/>
        <w:rPr>
          <w:rFonts w:ascii="Times New Roman" w:hAnsi="Times New Roman"/>
          <w:bCs/>
          <w:sz w:val="24"/>
          <w:szCs w:val="24"/>
          <w:lang w:val="ro-RO"/>
        </w:rPr>
      </w:pP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 xml:space="preserve">Figura  IX 1.4.1.2. </w:t>
      </w:r>
      <w:r w:rsidRPr="004D6806">
        <w:rPr>
          <w:rFonts w:ascii="Arial" w:eastAsia="SimSun" w:hAnsi="Arial" w:cs="Arial"/>
          <w:b/>
          <w:sz w:val="24"/>
          <w:szCs w:val="24"/>
          <w:lang w:val="fr-FR"/>
        </w:rPr>
        <w:t xml:space="preserve">Suprafaţa spaţii verzi din total intravilan în mediul urban ,în judeţul </w:t>
      </w:r>
      <w:r w:rsidRPr="004D6806">
        <w:rPr>
          <w:rFonts w:ascii="Arial" w:eastAsia="SimSun" w:hAnsi="Arial" w:cs="Arial"/>
          <w:b/>
          <w:sz w:val="24"/>
          <w:szCs w:val="24"/>
          <w:lang w:val="en-GB"/>
        </w:rPr>
        <w:t>Buz</w:t>
      </w:r>
      <w:r w:rsidRPr="004D6806">
        <w:rPr>
          <w:rFonts w:ascii="Arial" w:eastAsia="SimSun" w:hAnsi="Arial" w:cs="Arial"/>
          <w:b/>
          <w:sz w:val="24"/>
          <w:szCs w:val="24"/>
          <w:lang w:val="ro-RO"/>
        </w:rPr>
        <w:t>ă</w:t>
      </w:r>
      <w:r w:rsidRPr="004D6806">
        <w:rPr>
          <w:rFonts w:ascii="Arial" w:eastAsia="SimSun" w:hAnsi="Arial" w:cs="Arial"/>
          <w:b/>
          <w:sz w:val="24"/>
          <w:szCs w:val="24"/>
          <w:lang w:val="en-GB"/>
        </w:rPr>
        <w:t xml:space="preserve">u (2010-2014) </w:t>
      </w: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Times New Roman" w:eastAsia="SimSun" w:hAnsi="Times New Roman"/>
          <w:sz w:val="24"/>
          <w:szCs w:val="24"/>
          <w:lang w:val="ro-RO"/>
        </w:rPr>
      </w:pPr>
      <w:r w:rsidRPr="004D6806">
        <w:rPr>
          <w:rFonts w:ascii="Times New Roman" w:eastAsia="SimSun" w:hAnsi="Times New Roman"/>
          <w:noProof/>
          <w:sz w:val="24"/>
          <w:szCs w:val="24"/>
          <w:lang w:val="ro-RO" w:eastAsia="ro-RO"/>
        </w:rPr>
        <w:drawing>
          <wp:inline distT="0" distB="0" distL="0" distR="0">
            <wp:extent cx="5486400" cy="3200400"/>
            <wp:effectExtent l="19050" t="0" r="19050" b="0"/>
            <wp:docPr id="27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4D6806" w:rsidRPr="004D6806" w:rsidRDefault="004D6806" w:rsidP="004D6806">
      <w:pPr>
        <w:spacing w:after="0" w:line="240" w:lineRule="auto"/>
        <w:jc w:val="both"/>
        <w:rPr>
          <w:rFonts w:ascii="Arial" w:eastAsia="SimSun" w:hAnsi="Arial" w:cs="Arial"/>
          <w:bCs/>
          <w:sz w:val="24"/>
          <w:szCs w:val="24"/>
          <w:lang w:val="en-GB"/>
        </w:rPr>
      </w:pPr>
      <w:r w:rsidRPr="004D6806">
        <w:rPr>
          <w:rFonts w:ascii="Arial" w:eastAsia="SimSun" w:hAnsi="Arial" w:cs="Arial"/>
          <w:bCs/>
          <w:sz w:val="24"/>
          <w:szCs w:val="24"/>
          <w:lang w:val="en-GB"/>
        </w:rPr>
        <w:t xml:space="preserve">Sursa datelor: Direcţia Judeţeană de Statistică Buzău </w:t>
      </w:r>
      <w:r w:rsidRPr="004D6806">
        <w:rPr>
          <w:rFonts w:ascii="Arial" w:eastAsia="SimSun" w:hAnsi="Arial" w:cs="Arial"/>
          <w:bCs/>
          <w:sz w:val="24"/>
          <w:szCs w:val="24"/>
          <w:lang w:val="ro-RO"/>
        </w:rPr>
        <w:t xml:space="preserve">şi </w:t>
      </w:r>
      <w:r w:rsidRPr="004D6806">
        <w:rPr>
          <w:rFonts w:ascii="Arial" w:eastAsia="SimSun" w:hAnsi="Arial" w:cs="Arial"/>
          <w:bCs/>
          <w:sz w:val="24"/>
          <w:szCs w:val="24"/>
          <w:lang w:val="en-GB"/>
        </w:rPr>
        <w:t>Primăriile municipiilor si oraselor din judeţul Buzău</w:t>
      </w:r>
    </w:p>
    <w:p w:rsidR="004D6806" w:rsidRPr="004D6806" w:rsidRDefault="004D6806" w:rsidP="004D6806">
      <w:pPr>
        <w:keepNext/>
        <w:autoSpaceDE w:val="0"/>
        <w:autoSpaceDN w:val="0"/>
        <w:adjustRightInd w:val="0"/>
        <w:spacing w:after="0" w:line="240" w:lineRule="auto"/>
        <w:jc w:val="both"/>
        <w:outlineLvl w:val="0"/>
        <w:rPr>
          <w:rFonts w:ascii="Times New Roman" w:hAnsi="Times New Roman"/>
          <w:bCs/>
          <w:sz w:val="24"/>
          <w:szCs w:val="24"/>
          <w:lang w:val="ro-RO"/>
        </w:rPr>
      </w:pPr>
    </w:p>
    <w:p w:rsidR="004D6806" w:rsidRPr="004D6806" w:rsidRDefault="004D6806" w:rsidP="004D6806">
      <w:pPr>
        <w:keepNext/>
        <w:autoSpaceDE w:val="0"/>
        <w:autoSpaceDN w:val="0"/>
        <w:adjustRightInd w:val="0"/>
        <w:spacing w:after="0" w:line="240" w:lineRule="auto"/>
        <w:jc w:val="both"/>
        <w:outlineLvl w:val="0"/>
        <w:rPr>
          <w:rFonts w:ascii="Arial" w:hAnsi="Arial" w:cs="Arial"/>
          <w:b/>
          <w:bCs/>
          <w:sz w:val="24"/>
          <w:szCs w:val="24"/>
          <w:lang w:val="ro-RO"/>
        </w:rPr>
      </w:pPr>
      <w:r w:rsidRPr="004D6806">
        <w:rPr>
          <w:rFonts w:ascii="Arial" w:hAnsi="Arial" w:cs="Arial"/>
          <w:b/>
          <w:bCs/>
          <w:sz w:val="24"/>
          <w:szCs w:val="24"/>
          <w:lang w:val="ro-RO"/>
        </w:rPr>
        <w:t>TabelulIX.11.4.1.3 Situaţia spaţiilor verzi la nivelul judeţului Buzău în anul 2014</w:t>
      </w:r>
    </w:p>
    <w:tbl>
      <w:tblPr>
        <w:tblStyle w:val="TableGrid6"/>
        <w:tblW w:w="5000" w:type="pct"/>
        <w:jc w:val="center"/>
        <w:tblLook w:val="04A0"/>
      </w:tblPr>
      <w:tblGrid>
        <w:gridCol w:w="1286"/>
        <w:gridCol w:w="772"/>
        <w:gridCol w:w="1085"/>
        <w:gridCol w:w="717"/>
        <w:gridCol w:w="929"/>
        <w:gridCol w:w="1332"/>
        <w:gridCol w:w="1314"/>
        <w:gridCol w:w="1251"/>
        <w:gridCol w:w="1167"/>
      </w:tblGrid>
      <w:tr w:rsidR="004D6806" w:rsidRPr="004D6806" w:rsidTr="00530BF0">
        <w:trPr>
          <w:jc w:val="center"/>
        </w:trPr>
        <w:tc>
          <w:tcPr>
            <w:tcW w:w="65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spacing w:val="-10"/>
                <w:sz w:val="20"/>
                <w:szCs w:val="20"/>
                <w:lang w:val="en-GB"/>
              </w:rPr>
              <w:t>Municipiu/ Oraş</w:t>
            </w:r>
          </w:p>
        </w:tc>
        <w:tc>
          <w:tcPr>
            <w:tcW w:w="244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iCs/>
                <w:sz w:val="20"/>
                <w:szCs w:val="20"/>
                <w:lang w:val="en-GB"/>
              </w:rPr>
              <w:t>Spaţii verzi cu acces public nelimitat (ha)</w:t>
            </w:r>
          </w:p>
        </w:tc>
        <w:tc>
          <w:tcPr>
            <w:tcW w:w="19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iCs/>
                <w:sz w:val="20"/>
                <w:szCs w:val="20"/>
                <w:lang w:val="en-GB"/>
              </w:rPr>
              <w:t>Spaţii verzi cu acces public limitat (ha)</w:t>
            </w:r>
          </w:p>
        </w:tc>
      </w:tr>
      <w:tr w:rsidR="004D6806" w:rsidRPr="004D6806" w:rsidTr="00530BF0">
        <w:trPr>
          <w:jc w:val="center"/>
        </w:trPr>
        <w:tc>
          <w:tcPr>
            <w:tcW w:w="65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Scuar</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Grădina publică</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Parc</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Parc sportiv</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Spaţii verzi cu caracter utilitar</w:t>
            </w:r>
          </w:p>
        </w:tc>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Aferente dotărilor publice</w:t>
            </w:r>
          </w:p>
        </w:tc>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Baze sau parcuri sportive</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bCs/>
                <w:sz w:val="20"/>
                <w:szCs w:val="20"/>
                <w:lang w:val="en-GB"/>
              </w:rPr>
              <w:t>Sere, pepiniere</w:t>
            </w:r>
          </w:p>
        </w:tc>
      </w:tr>
      <w:tr w:rsidR="004D6806" w:rsidRPr="004D6806" w:rsidTr="00530BF0">
        <w:trPr>
          <w:jc w:val="center"/>
        </w:trPr>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120"/>
              <w:jc w:val="center"/>
              <w:rPr>
                <w:rFonts w:ascii="Arial" w:hAnsi="Arial" w:cs="Arial"/>
                <w:b/>
                <w:spacing w:val="-10"/>
                <w:sz w:val="20"/>
                <w:szCs w:val="20"/>
              </w:rPr>
            </w:pPr>
            <w:r w:rsidRPr="004D6806">
              <w:rPr>
                <w:rFonts w:ascii="Arial" w:hAnsi="Arial" w:cs="Arial"/>
                <w:b/>
                <w:spacing w:val="-10"/>
                <w:sz w:val="20"/>
                <w:szCs w:val="20"/>
              </w:rPr>
              <w:t>Mun. Buzău</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2,29</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29,22</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0,18</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21,78</w:t>
            </w:r>
          </w:p>
        </w:tc>
      </w:tr>
      <w:tr w:rsidR="004D6806" w:rsidRPr="004D6806" w:rsidTr="00530BF0">
        <w:trPr>
          <w:jc w:val="center"/>
        </w:trPr>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spacing w:val="-10"/>
                <w:sz w:val="20"/>
                <w:szCs w:val="20"/>
                <w:lang w:val="en-GB"/>
              </w:rPr>
              <w:t>Mun. Râ</w:t>
            </w:r>
            <w:r w:rsidRPr="004D6806">
              <w:rPr>
                <w:rFonts w:ascii="Arial" w:eastAsia="SimSun" w:hAnsi="Arial" w:cs="Arial"/>
                <w:b/>
                <w:spacing w:val="-10"/>
                <w:sz w:val="20"/>
                <w:szCs w:val="20"/>
                <w:lang w:val="en-GB"/>
              </w:rPr>
              <w:t>m</w:t>
            </w:r>
            <w:r w:rsidRPr="004D6806">
              <w:rPr>
                <w:rFonts w:ascii="Arial" w:eastAsia="SimSun" w:hAnsi="Arial" w:cs="Arial"/>
                <w:b/>
                <w:spacing w:val="-10"/>
                <w:sz w:val="20"/>
                <w:szCs w:val="20"/>
                <w:lang w:val="en-GB"/>
              </w:rPr>
              <w:t>nicu Sărat</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1,469</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2,24</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11,09</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4,55</w:t>
            </w:r>
          </w:p>
        </w:tc>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12,51</w:t>
            </w:r>
          </w:p>
        </w:tc>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3,66</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47,67</w:t>
            </w:r>
          </w:p>
        </w:tc>
      </w:tr>
      <w:tr w:rsidR="004D6806" w:rsidRPr="004D6806" w:rsidTr="00530BF0">
        <w:trPr>
          <w:jc w:val="center"/>
        </w:trPr>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120"/>
              <w:jc w:val="center"/>
              <w:rPr>
                <w:rFonts w:ascii="Arial" w:hAnsi="Arial" w:cs="Arial"/>
                <w:b/>
                <w:spacing w:val="-10"/>
                <w:sz w:val="20"/>
                <w:szCs w:val="20"/>
              </w:rPr>
            </w:pPr>
            <w:r w:rsidRPr="004D6806">
              <w:rPr>
                <w:rFonts w:ascii="Arial" w:hAnsi="Arial" w:cs="Arial"/>
                <w:b/>
                <w:spacing w:val="-10"/>
                <w:sz w:val="20"/>
                <w:szCs w:val="20"/>
              </w:rPr>
              <w:t>Oraşul N</w:t>
            </w:r>
            <w:r w:rsidRPr="004D6806">
              <w:rPr>
                <w:rFonts w:ascii="Arial" w:hAnsi="Arial" w:cs="Arial"/>
                <w:b/>
                <w:spacing w:val="-10"/>
                <w:sz w:val="20"/>
                <w:szCs w:val="20"/>
              </w:rPr>
              <w:t>e</w:t>
            </w:r>
            <w:r w:rsidRPr="004D6806">
              <w:rPr>
                <w:rFonts w:ascii="Arial" w:hAnsi="Arial" w:cs="Arial"/>
                <w:b/>
                <w:spacing w:val="-10"/>
                <w:sz w:val="20"/>
                <w:szCs w:val="20"/>
              </w:rPr>
              <w:t>hoiu</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1,5</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0,5</w:t>
            </w:r>
          </w:p>
        </w:tc>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w:t>
            </w:r>
          </w:p>
        </w:tc>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r>
      <w:tr w:rsidR="004D6806" w:rsidRPr="004D6806" w:rsidTr="00530BF0">
        <w:trPr>
          <w:jc w:val="center"/>
        </w:trPr>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spacing w:val="-10"/>
                <w:sz w:val="20"/>
                <w:szCs w:val="20"/>
                <w:lang w:val="en-GB"/>
              </w:rPr>
              <w:t>Oraşul Pătârlagele</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0,5</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1,7</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0,3</w:t>
            </w:r>
          </w:p>
        </w:tc>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1,5</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r>
      <w:tr w:rsidR="004D6806" w:rsidRPr="004D6806" w:rsidTr="00530BF0">
        <w:trPr>
          <w:jc w:val="center"/>
        </w:trPr>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D6806" w:rsidRPr="004D6806" w:rsidRDefault="004D6806" w:rsidP="004D6806">
            <w:pPr>
              <w:spacing w:after="0" w:line="240" w:lineRule="auto"/>
              <w:jc w:val="center"/>
              <w:rPr>
                <w:rFonts w:ascii="Arial" w:eastAsia="SimSun" w:hAnsi="Arial" w:cs="Arial"/>
                <w:b/>
                <w:bCs/>
                <w:sz w:val="20"/>
                <w:szCs w:val="20"/>
                <w:lang w:val="en-GB"/>
              </w:rPr>
            </w:pPr>
            <w:r w:rsidRPr="004D6806">
              <w:rPr>
                <w:rFonts w:ascii="Arial" w:eastAsia="SimSun" w:hAnsi="Arial" w:cs="Arial"/>
                <w:b/>
                <w:spacing w:val="-10"/>
                <w:sz w:val="20"/>
                <w:szCs w:val="20"/>
                <w:lang w:val="en-GB"/>
              </w:rPr>
              <w:t>Oraşul P</w:t>
            </w:r>
            <w:r w:rsidRPr="004D6806">
              <w:rPr>
                <w:rFonts w:ascii="Arial" w:eastAsia="SimSun" w:hAnsi="Arial" w:cs="Arial"/>
                <w:b/>
                <w:spacing w:val="-10"/>
                <w:sz w:val="20"/>
                <w:szCs w:val="20"/>
                <w:lang w:val="en-GB"/>
              </w:rPr>
              <w:t>o</w:t>
            </w:r>
            <w:r w:rsidRPr="004D6806">
              <w:rPr>
                <w:rFonts w:ascii="Arial" w:eastAsia="SimSun" w:hAnsi="Arial" w:cs="Arial"/>
                <w:b/>
                <w:spacing w:val="-10"/>
                <w:sz w:val="20"/>
                <w:szCs w:val="20"/>
                <w:lang w:val="en-GB"/>
              </w:rPr>
              <w:t>goanele</w:t>
            </w:r>
          </w:p>
        </w:tc>
        <w:tc>
          <w:tcPr>
            <w:tcW w:w="3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46,8</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3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4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c>
          <w:tcPr>
            <w:tcW w:w="67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w:t>
            </w:r>
          </w:p>
        </w:tc>
        <w:tc>
          <w:tcPr>
            <w:tcW w:w="6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1,25</w:t>
            </w:r>
          </w:p>
        </w:tc>
        <w:tc>
          <w:tcPr>
            <w:tcW w:w="63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2,2</w:t>
            </w:r>
          </w:p>
        </w:tc>
        <w:tc>
          <w:tcPr>
            <w:tcW w:w="59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6806" w:rsidRPr="004D6806" w:rsidRDefault="004D6806" w:rsidP="004D6806">
            <w:pPr>
              <w:spacing w:after="0" w:line="240" w:lineRule="auto"/>
              <w:jc w:val="center"/>
              <w:rPr>
                <w:rFonts w:ascii="Arial" w:eastAsia="SimSun" w:hAnsi="Arial" w:cs="Arial"/>
                <w:bCs/>
                <w:sz w:val="20"/>
                <w:szCs w:val="20"/>
                <w:lang w:val="en-GB"/>
              </w:rPr>
            </w:pPr>
            <w:r w:rsidRPr="004D6806">
              <w:rPr>
                <w:rFonts w:ascii="Arial" w:eastAsia="SimSun" w:hAnsi="Arial" w:cs="Arial"/>
                <w:bCs/>
                <w:sz w:val="20"/>
                <w:szCs w:val="20"/>
                <w:lang w:val="en-GB"/>
              </w:rPr>
              <w:t>-</w:t>
            </w:r>
          </w:p>
        </w:tc>
      </w:tr>
    </w:tbl>
    <w:p w:rsidR="004D6806" w:rsidRPr="004D6806" w:rsidRDefault="004D6806" w:rsidP="004D6806">
      <w:pPr>
        <w:spacing w:after="0" w:line="240" w:lineRule="auto"/>
        <w:jc w:val="both"/>
        <w:rPr>
          <w:rFonts w:ascii="Arial" w:eastAsia="SimSun" w:hAnsi="Arial" w:cs="Arial"/>
          <w:bCs/>
          <w:sz w:val="24"/>
          <w:szCs w:val="24"/>
          <w:lang w:val="en-GB"/>
        </w:rPr>
      </w:pPr>
      <w:r w:rsidRPr="004D6806">
        <w:rPr>
          <w:rFonts w:ascii="Arial" w:eastAsia="SimSun" w:hAnsi="Arial" w:cs="Arial"/>
          <w:bCs/>
          <w:sz w:val="24"/>
          <w:szCs w:val="24"/>
          <w:lang w:val="en-GB"/>
        </w:rPr>
        <w:lastRenderedPageBreak/>
        <w:t>Sursa datelor: Direcţia Judeţeană de Statistică Buzău şi Primăriile municipiilor si oraselor din judeţul Buzău</w:t>
      </w:r>
    </w:p>
    <w:p w:rsidR="004D6806" w:rsidRPr="004D6806" w:rsidRDefault="004D6806" w:rsidP="004D6806">
      <w:pPr>
        <w:tabs>
          <w:tab w:val="left" w:leader="dot" w:pos="9356"/>
        </w:tabs>
        <w:spacing w:after="0" w:line="240" w:lineRule="auto"/>
        <w:jc w:val="both"/>
        <w:rPr>
          <w:rFonts w:ascii="Arial" w:eastAsia="SimSun" w:hAnsi="Arial" w:cs="Arial"/>
          <w:sz w:val="24"/>
          <w:szCs w:val="24"/>
          <w:lang w:val="ro-RO"/>
        </w:rPr>
      </w:pPr>
    </w:p>
    <w:p w:rsidR="004D6806" w:rsidRPr="004D6806" w:rsidRDefault="004D6806" w:rsidP="004D6806">
      <w:pPr>
        <w:tabs>
          <w:tab w:val="left" w:pos="1276"/>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IX.1.5. Schimbările climatice şi efectele asupra mediului urban, sănătăţii şi calităţii vieţii</w:t>
      </w:r>
    </w:p>
    <w:p w:rsidR="004D6806" w:rsidRPr="004D6806" w:rsidRDefault="004D6806" w:rsidP="004D6806">
      <w:pPr>
        <w:spacing w:after="0" w:line="240" w:lineRule="auto"/>
        <w:jc w:val="both"/>
        <w:rPr>
          <w:rFonts w:ascii="Arial" w:eastAsia="SimSun" w:hAnsi="Arial" w:cs="Arial"/>
          <w:b/>
          <w:sz w:val="24"/>
          <w:szCs w:val="24"/>
          <w:lang w:val="en-GB"/>
        </w:rPr>
      </w:pP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Schimbările climatice globale generează unele dintre cele mai mari provocări cu care se confruntă omenirea în momentul de faţă, datorită efectelor dezastruoase induse de către acestea: creşterea temperaturii aerului şi apei oceanelor, risc crescut de inundaţii, secetă, lipsa apei potabile,  risc crescut de incendii şi reducerea resurselor naturale vegetale, modificări ale ecosistemelor şi degradarea resurselor naturale, risc crescut de îmbolnăviri.</w:t>
      </w:r>
    </w:p>
    <w:p w:rsidR="004D6806" w:rsidRPr="004D6806" w:rsidRDefault="004D6806" w:rsidP="004D6806">
      <w:pPr>
        <w:autoSpaceDE w:val="0"/>
        <w:autoSpaceDN w:val="0"/>
        <w:adjustRightInd w:val="0"/>
        <w:spacing w:after="0" w:line="240" w:lineRule="auto"/>
        <w:jc w:val="both"/>
        <w:rPr>
          <w:rFonts w:ascii="Arial" w:eastAsia="TimesNewRoman" w:hAnsi="Arial" w:cs="Arial"/>
          <w:sz w:val="24"/>
          <w:szCs w:val="24"/>
          <w:lang w:val="en-GB"/>
        </w:rPr>
      </w:pPr>
      <w:r w:rsidRPr="004D6806">
        <w:rPr>
          <w:rFonts w:ascii="Arial" w:eastAsia="SimSun" w:hAnsi="Arial" w:cs="Arial"/>
          <w:iCs/>
          <w:sz w:val="24"/>
          <w:szCs w:val="24"/>
          <w:lang w:val="en-GB"/>
        </w:rPr>
        <w:t>Încălzirea globală a climei</w:t>
      </w:r>
      <w:r w:rsidRPr="004D6806">
        <w:rPr>
          <w:rFonts w:ascii="Arial" w:eastAsia="TimesNewRoman" w:hAnsi="Arial" w:cs="Arial"/>
          <w:sz w:val="24"/>
          <w:szCs w:val="24"/>
          <w:lang w:val="en-GB"/>
        </w:rPr>
        <w:t>, resimţită tot mai puternic în ultimii ani în România, ca şi în alte ţări ale lumii, este un factor declanşator al unui lanţ nesfârşit de consecinţe, ce afectează tot mai sensibil activităţile social-economice şi calitatea vieţii. Prin încălzire globală, sp</w:t>
      </w:r>
      <w:r w:rsidRPr="004D6806">
        <w:rPr>
          <w:rFonts w:ascii="Arial" w:eastAsia="TimesNewRoman" w:hAnsi="Arial" w:cs="Arial"/>
          <w:sz w:val="24"/>
          <w:szCs w:val="24"/>
          <w:lang w:val="en-GB"/>
        </w:rPr>
        <w:t>e</w:t>
      </w:r>
      <w:r w:rsidRPr="004D6806">
        <w:rPr>
          <w:rFonts w:ascii="Arial" w:eastAsia="TimesNewRoman" w:hAnsi="Arial" w:cs="Arial"/>
          <w:sz w:val="24"/>
          <w:szCs w:val="24"/>
          <w:lang w:val="en-GB"/>
        </w:rPr>
        <w:t xml:space="preserve">cialiştii înţeleg creşterea temperaturilor medii ale atmosferei, înregistrate în ultimele două secole şi măsurate în imediata apropiere a solului şi a apei oceanelor. </w:t>
      </w:r>
    </w:p>
    <w:p w:rsidR="004D6806" w:rsidRPr="004D6806" w:rsidRDefault="004D6806" w:rsidP="004D6806">
      <w:pPr>
        <w:autoSpaceDE w:val="0"/>
        <w:autoSpaceDN w:val="0"/>
        <w:adjustRightInd w:val="0"/>
        <w:spacing w:after="0" w:line="240" w:lineRule="auto"/>
        <w:jc w:val="both"/>
        <w:rPr>
          <w:rFonts w:ascii="Arial" w:eastAsia="TimesNewRoman" w:hAnsi="Arial" w:cs="Arial"/>
          <w:sz w:val="24"/>
          <w:szCs w:val="24"/>
          <w:lang w:val="en-GB"/>
        </w:rPr>
      </w:pPr>
      <w:r w:rsidRPr="004D6806">
        <w:rPr>
          <w:rFonts w:ascii="Arial" w:eastAsia="TimesNewRoman" w:hAnsi="Arial" w:cs="Arial"/>
          <w:sz w:val="24"/>
          <w:szCs w:val="24"/>
          <w:lang w:val="en-GB"/>
        </w:rPr>
        <w:t>Încălzirea globală creează mari îngrijorări în rândul specialiştilor şi al populaţiei, privind viitorul climatic al planetei. Dar, pe lângă aceasta, ea generează mari prejudicii materiale, în cele mai diferite domenii ale vieţii sociale, determinând fenomene ce par a schimba ireversibil faţa lumii şi, implicit, condiţiile generale de viaţă. Efectele cele mai larg mediat</w:t>
      </w:r>
      <w:r w:rsidRPr="004D6806">
        <w:rPr>
          <w:rFonts w:ascii="Arial" w:eastAsia="TimesNewRoman" w:hAnsi="Arial" w:cs="Arial"/>
          <w:sz w:val="24"/>
          <w:szCs w:val="24"/>
          <w:lang w:val="en-GB"/>
        </w:rPr>
        <w:t>i</w:t>
      </w:r>
      <w:r w:rsidRPr="004D6806">
        <w:rPr>
          <w:rFonts w:ascii="Arial" w:eastAsia="TimesNewRoman" w:hAnsi="Arial" w:cs="Arial"/>
          <w:sz w:val="24"/>
          <w:szCs w:val="24"/>
          <w:lang w:val="en-GB"/>
        </w:rPr>
        <w:t>zate ale acesteia sunt: ridicarea lentă, dar constantă, a nivelului mării, mărirea frecvenţei extremelor climatice, topirea progresivă a gheţarilor şi a calotei glaciare, extincţia a n</w:t>
      </w:r>
      <w:r w:rsidRPr="004D6806">
        <w:rPr>
          <w:rFonts w:ascii="Arial" w:eastAsia="TimesNewRoman" w:hAnsi="Arial" w:cs="Arial"/>
          <w:sz w:val="24"/>
          <w:szCs w:val="24"/>
          <w:lang w:val="en-GB"/>
        </w:rPr>
        <w:t>u</w:t>
      </w:r>
      <w:r w:rsidRPr="004D6806">
        <w:rPr>
          <w:rFonts w:ascii="Arial" w:eastAsia="TimesNewRoman" w:hAnsi="Arial" w:cs="Arial"/>
          <w:sz w:val="24"/>
          <w:szCs w:val="24"/>
          <w:lang w:val="en-GB"/>
        </w:rPr>
        <w:t>meroase specii, influenţarea semnificativă a sănătăţii oamenilor şi a animalelor.</w:t>
      </w:r>
    </w:p>
    <w:p w:rsidR="004D6806" w:rsidRPr="004D6806" w:rsidRDefault="004D6806" w:rsidP="004D6806">
      <w:pPr>
        <w:tabs>
          <w:tab w:val="left" w:pos="1276"/>
          <w:tab w:val="left" w:leader="dot" w:pos="9356"/>
        </w:tabs>
        <w:spacing w:after="0" w:line="240" w:lineRule="auto"/>
        <w:jc w:val="both"/>
        <w:rPr>
          <w:rFonts w:ascii="Arial" w:eastAsia="SimSun" w:hAnsi="Arial" w:cs="Arial"/>
          <w:sz w:val="24"/>
          <w:szCs w:val="24"/>
          <w:lang w:val="ro-RO"/>
        </w:rPr>
      </w:pPr>
    </w:p>
    <w:p w:rsidR="004D6806" w:rsidRDefault="004D6806" w:rsidP="004D6806">
      <w:pPr>
        <w:tabs>
          <w:tab w:val="left" w:leader="dot" w:pos="9356"/>
        </w:tabs>
        <w:spacing w:after="0" w:line="240" w:lineRule="auto"/>
        <w:jc w:val="both"/>
        <w:rPr>
          <w:rFonts w:ascii="Arial" w:eastAsia="SimSun" w:hAnsi="Arial" w:cs="Arial"/>
          <w:b/>
          <w:color w:val="FF0000"/>
          <w:sz w:val="24"/>
          <w:szCs w:val="24"/>
          <w:lang w:val="ro-RO"/>
        </w:rPr>
      </w:pPr>
      <w:r w:rsidRPr="004D6806">
        <w:rPr>
          <w:rFonts w:ascii="Arial" w:eastAsia="SimSun" w:hAnsi="Arial" w:cs="Arial"/>
          <w:b/>
          <w:sz w:val="24"/>
          <w:szCs w:val="24"/>
          <w:lang w:val="ro-RO"/>
        </w:rPr>
        <w:t>XI.1.5.1 Rata de mortalitate în aglomerările urbane ca urmare a  temperaturilor extreme în perioada de vară</w:t>
      </w:r>
      <w:r w:rsidRPr="004D6806">
        <w:rPr>
          <w:rFonts w:ascii="Arial" w:eastAsia="SimSun" w:hAnsi="Arial" w:cs="Arial"/>
          <w:b/>
          <w:color w:val="FF0000"/>
          <w:sz w:val="24"/>
          <w:szCs w:val="24"/>
          <w:lang w:val="ro-RO"/>
        </w:rPr>
        <w:t xml:space="preserve">  </w:t>
      </w:r>
    </w:p>
    <w:p w:rsidR="004D6806" w:rsidRDefault="004D6806" w:rsidP="004D6806">
      <w:pPr>
        <w:tabs>
          <w:tab w:val="left" w:leader="dot" w:pos="9356"/>
        </w:tabs>
        <w:spacing w:after="0" w:line="240" w:lineRule="auto"/>
        <w:jc w:val="both"/>
        <w:rPr>
          <w:rFonts w:ascii="Arial" w:eastAsia="SimSun" w:hAnsi="Arial" w:cs="Arial"/>
          <w:b/>
          <w:color w:val="FF0000"/>
          <w:sz w:val="24"/>
          <w:szCs w:val="24"/>
          <w:lang w:val="ro-RO"/>
        </w:rPr>
      </w:pPr>
    </w:p>
    <w:p w:rsidR="004D6806" w:rsidRDefault="004D6806" w:rsidP="004D6806">
      <w:pPr>
        <w:tabs>
          <w:tab w:val="left" w:leader="dot" w:pos="9356"/>
        </w:tabs>
        <w:spacing w:after="0" w:line="240" w:lineRule="auto"/>
        <w:jc w:val="both"/>
        <w:rPr>
          <w:rFonts w:ascii="Arial" w:eastAsia="SimSun" w:hAnsi="Arial" w:cs="Arial"/>
          <w:b/>
          <w:color w:val="FF0000"/>
          <w:sz w:val="24"/>
          <w:szCs w:val="24"/>
          <w:lang w:val="ro-RO"/>
        </w:rPr>
      </w:pPr>
      <w:r w:rsidRPr="004D6806">
        <w:rPr>
          <w:rFonts w:ascii="Arial" w:hAnsi="Arial" w:cs="Arial"/>
          <w:bCs/>
          <w:sz w:val="24"/>
          <w:szCs w:val="24"/>
          <w:lang w:val="ro-RO"/>
        </w:rPr>
        <w:t xml:space="preserve">Temperaturile extreme afectează sănătatea populaţiei. Valurile de căldură au provocat, în ultimele decenii, mai multe decese decât orice alt eveniment meteorologic extrem. Problemele cauzate de valurile de căldură sunt mai semnificative în oraşe, unde se manifestă fenomenul de „insulă de căldură urbană”. Probabil, schimbările climatice vor creşte frecvenţa, intensitatea şi durata valurilor de căldură. În perioadele cu vreme caniculară au fost observate efecte sinergice cauzate de temperatura ridicată şi poluarea aerului (PM10 şi ozon). Perioadele lungi de secetă şi căldură în combinaţie cu alţi factori pot cauza incendii forestiere. </w:t>
      </w:r>
    </w:p>
    <w:p w:rsidR="004D6806" w:rsidRDefault="004D6806" w:rsidP="004D6806">
      <w:pPr>
        <w:tabs>
          <w:tab w:val="left" w:leader="dot" w:pos="9356"/>
        </w:tabs>
        <w:spacing w:after="0" w:line="240" w:lineRule="auto"/>
        <w:jc w:val="both"/>
        <w:rPr>
          <w:rFonts w:ascii="Arial" w:eastAsia="SimSun" w:hAnsi="Arial" w:cs="Arial"/>
          <w:b/>
          <w:color w:val="FF0000"/>
          <w:sz w:val="24"/>
          <w:szCs w:val="24"/>
          <w:lang w:val="ro-RO"/>
        </w:rPr>
      </w:pPr>
      <w:r w:rsidRPr="004D6806">
        <w:rPr>
          <w:rFonts w:ascii="Arial" w:hAnsi="Arial" w:cs="Arial"/>
          <w:bCs/>
          <w:sz w:val="24"/>
          <w:szCs w:val="24"/>
          <w:lang w:val="ro-RO"/>
        </w:rPr>
        <w:t xml:space="preserve">Temperatura extrem de scăzută afectează semnificativ sănătatea umană. În ţările mediteraneene rata mortalităţii cauzată de temperatura scăzută din anotimpul de iarnă este mai mare comparativ cu cea înregistrată în ţările nord-europene, iar decesele se produc, de cele mai multe ori, la câteva zile sau săptămâni după ziua sau perioada geroasă. </w:t>
      </w:r>
    </w:p>
    <w:p w:rsidR="004D6806" w:rsidRPr="004D6806" w:rsidRDefault="004D6806" w:rsidP="004D6806">
      <w:pPr>
        <w:tabs>
          <w:tab w:val="left" w:leader="dot" w:pos="9356"/>
        </w:tabs>
        <w:spacing w:after="0" w:line="240" w:lineRule="auto"/>
        <w:jc w:val="both"/>
        <w:rPr>
          <w:rFonts w:ascii="Arial" w:eastAsia="SimSun" w:hAnsi="Arial" w:cs="Arial"/>
          <w:b/>
          <w:color w:val="FF0000"/>
          <w:sz w:val="24"/>
          <w:szCs w:val="24"/>
          <w:lang w:val="ro-RO"/>
        </w:rPr>
      </w:pPr>
      <w:r w:rsidRPr="004D6806">
        <w:rPr>
          <w:rFonts w:ascii="Arial" w:hAnsi="Arial" w:cs="Arial"/>
          <w:bCs/>
          <w:sz w:val="24"/>
          <w:szCs w:val="24"/>
          <w:lang w:val="ro-RO"/>
        </w:rPr>
        <w:t xml:space="preserve">Alături de temperaturile extreme, valorile temperaturii care depăşesc intervalul de temperaturi normale caracteristic zonei analizate are legătură cu creşterea mortalităţii şi cu alte efecte negative asupra sănătăţii. </w:t>
      </w:r>
    </w:p>
    <w:p w:rsidR="004D6806" w:rsidRPr="004D6806" w:rsidRDefault="004D6806" w:rsidP="004D6806">
      <w:pPr>
        <w:tabs>
          <w:tab w:val="left" w:leader="dot" w:pos="9356"/>
        </w:tabs>
        <w:spacing w:after="0" w:line="240" w:lineRule="auto"/>
        <w:jc w:val="both"/>
        <w:rPr>
          <w:rFonts w:ascii="Arial" w:eastAsia="SimSun" w:hAnsi="Arial" w:cs="Arial"/>
          <w:color w:val="FF0000"/>
          <w:sz w:val="24"/>
          <w:szCs w:val="24"/>
          <w:lang w:val="ro-RO"/>
        </w:rPr>
      </w:pPr>
      <w:r w:rsidRPr="004D6806">
        <w:rPr>
          <w:rFonts w:ascii="Arial" w:eastAsia="SimSun" w:hAnsi="Arial" w:cs="Arial"/>
          <w:sz w:val="24"/>
          <w:szCs w:val="24"/>
          <w:lang w:val="en-GB"/>
        </w:rPr>
        <w:t>Efectele căldurii se manifestă, de cele mai multe ori, în aceeaşi zi sau în următoarele trei zile, în timp ce efectele gerului se observă cu preponderenţă după 2-3 săptămâni de la eveniment.</w:t>
      </w:r>
    </w:p>
    <w:p w:rsidR="004D6806" w:rsidRPr="004D6806" w:rsidRDefault="004D6806" w:rsidP="004D6806">
      <w:pPr>
        <w:spacing w:after="0" w:line="240" w:lineRule="auto"/>
        <w:jc w:val="both"/>
        <w:rPr>
          <w:rFonts w:ascii="Arial" w:eastAsia="SimSun" w:hAnsi="Arial"/>
          <w:bCs/>
          <w:sz w:val="24"/>
          <w:szCs w:val="24"/>
          <w:lang w:val="en-GB"/>
        </w:rPr>
      </w:pPr>
      <w:r w:rsidRPr="004D6806">
        <w:rPr>
          <w:rFonts w:ascii="Arial" w:eastAsia="SimSun" w:hAnsi="Arial"/>
          <w:bCs/>
          <w:sz w:val="24"/>
          <w:szCs w:val="24"/>
          <w:lang w:val="en-GB"/>
        </w:rPr>
        <w:t>Poluarea aerului, prin emisiile în atmosferă de gaze cu efect de seră,este principala cauză care determină modificarea unor caracteristici climatice şi geografice ale unor teritorii care se traduc prin noţiunea de „schimbări climatice” . Impactul schimbărilor climatice asupra sănătăţii umane se concretizează în creşterea valorilor mortalităţii şi morbidităţii, a num</w:t>
      </w:r>
      <w:r w:rsidRPr="004D6806">
        <w:rPr>
          <w:rFonts w:ascii="Arial" w:eastAsia="SimSun" w:hAnsi="Arial"/>
          <w:bCs/>
          <w:sz w:val="24"/>
          <w:szCs w:val="24"/>
          <w:lang w:val="en-GB"/>
        </w:rPr>
        <w:t>ă</w:t>
      </w:r>
      <w:r w:rsidRPr="004D6806">
        <w:rPr>
          <w:rFonts w:ascii="Arial" w:eastAsia="SimSun" w:hAnsi="Arial"/>
          <w:bCs/>
          <w:sz w:val="24"/>
          <w:szCs w:val="24"/>
          <w:lang w:val="en-GB"/>
        </w:rPr>
        <w:t>rului de cazuri de maladii cardiovasculare, de afecţiuni respiratorii, de alergii, de boli opo</w:t>
      </w:r>
      <w:r w:rsidRPr="004D6806">
        <w:rPr>
          <w:rFonts w:ascii="Arial" w:eastAsia="SimSun" w:hAnsi="Arial"/>
          <w:bCs/>
          <w:sz w:val="24"/>
          <w:szCs w:val="24"/>
          <w:lang w:val="en-GB"/>
        </w:rPr>
        <w:t>r</w:t>
      </w:r>
      <w:r w:rsidRPr="004D6806">
        <w:rPr>
          <w:rFonts w:ascii="Arial" w:eastAsia="SimSun" w:hAnsi="Arial"/>
          <w:bCs/>
          <w:sz w:val="24"/>
          <w:szCs w:val="24"/>
          <w:lang w:val="en-GB"/>
        </w:rPr>
        <w:t xml:space="preserve">tuniste, a cazurilor de infecţii plurifactoriale , în reaparitia unor boli eradicate.  Acestea se pot traduce prin creşterea costurilor de tratament si  a numărului zilelor de spitalizare. Pe </w:t>
      </w:r>
      <w:r w:rsidRPr="004D6806">
        <w:rPr>
          <w:rFonts w:ascii="Arial" w:eastAsia="SimSun" w:hAnsi="Arial"/>
          <w:bCs/>
          <w:sz w:val="24"/>
          <w:szCs w:val="24"/>
          <w:lang w:val="en-GB"/>
        </w:rPr>
        <w:lastRenderedPageBreak/>
        <w:t xml:space="preserve">fondul încălzirii globale a climei, o serie de boli grave se vor extinde din zonele tropicale şi subtropicale, către zonele temperate, extinderea lor fiind favorizată şi de circulaţia tot mai intensă a persoanelor şi a mărfurilor. </w:t>
      </w:r>
    </w:p>
    <w:p w:rsidR="004D6806" w:rsidRPr="004D6806" w:rsidRDefault="004D6806" w:rsidP="004D6806">
      <w:pPr>
        <w:spacing w:after="0" w:line="240" w:lineRule="auto"/>
        <w:jc w:val="both"/>
        <w:rPr>
          <w:rFonts w:ascii="Arial" w:eastAsia="SimSun" w:hAnsi="Arial"/>
          <w:bCs/>
          <w:sz w:val="24"/>
          <w:szCs w:val="24"/>
          <w:lang w:val="en-GB"/>
        </w:rPr>
      </w:pPr>
      <w:r w:rsidRPr="004D6806">
        <w:rPr>
          <w:rFonts w:ascii="Arial" w:eastAsia="SimSun" w:hAnsi="Arial"/>
          <w:bCs/>
          <w:sz w:val="24"/>
          <w:szCs w:val="24"/>
          <w:lang w:val="en-GB"/>
        </w:rPr>
        <w:t xml:space="preserve">Monitorizarea principalilor poluanţi ai aerului, în paralel  cu o montorizare a unor indicatori de sănătate care pot fi influenţaţi de poluarea aerului şi/sau de apariţia procesului de “schimbări climatice” este o prioritate , datorită faptului că ne pot da informaţii cu privire la evoluţia acestui fenomen  greu sesizabil şi practic nemăsurabil pe o perioadă scurtă de timp, astfel încât, putem urmari şi fenomenul de adaptare a populaţiei la acest fenomen şi/sau putem să luăm măsuri în vederea educării populaţiei în vederea adaptării precum şi de micşorare a posibilelor surse de poluare. </w:t>
      </w:r>
    </w:p>
    <w:p w:rsidR="004D6806" w:rsidRPr="004D6806" w:rsidRDefault="004D6806" w:rsidP="004D6806">
      <w:pPr>
        <w:spacing w:after="0" w:line="240" w:lineRule="auto"/>
        <w:jc w:val="both"/>
        <w:rPr>
          <w:rFonts w:ascii="Arial" w:eastAsia="SimSun" w:hAnsi="Arial"/>
          <w:bCs/>
          <w:sz w:val="24"/>
          <w:szCs w:val="24"/>
          <w:lang w:val="en-GB"/>
        </w:rPr>
      </w:pPr>
      <w:r w:rsidRPr="004D6806">
        <w:rPr>
          <w:rFonts w:ascii="Arial" w:eastAsia="SimSun" w:hAnsi="Arial"/>
          <w:bCs/>
          <w:sz w:val="24"/>
          <w:szCs w:val="24"/>
          <w:lang w:val="en-GB"/>
        </w:rPr>
        <w:t>Analiza statisticilor medicale referitoare la datele demografice, morbiditatea şi mortalitatea populaţiei,  care ar putea fi corelate şi cu calitatea aerului, înregistrate în perioada 2012- 2014  în judeţul Buzău, relevă următoarele:</w:t>
      </w:r>
    </w:p>
    <w:p w:rsidR="004D6806" w:rsidRPr="004D6806" w:rsidRDefault="004D6806" w:rsidP="004D6806">
      <w:pPr>
        <w:tabs>
          <w:tab w:val="left" w:leader="dot" w:pos="9356"/>
        </w:tabs>
        <w:spacing w:after="0" w:line="240" w:lineRule="auto"/>
        <w:jc w:val="both"/>
        <w:rPr>
          <w:rFonts w:ascii="Arial" w:eastAsia="SimSun" w:hAnsi="Arial" w:cs="Arial"/>
          <w:sz w:val="24"/>
          <w:szCs w:val="24"/>
          <w:lang w:val="ro-RO"/>
        </w:rPr>
      </w:pPr>
      <w:r w:rsidRPr="004D6806">
        <w:rPr>
          <w:rFonts w:ascii="Arial" w:eastAsia="SimSun" w:hAnsi="Arial" w:cs="Arial"/>
          <w:sz w:val="24"/>
          <w:szCs w:val="24"/>
          <w:lang w:val="ro-RO"/>
        </w:rPr>
        <w:t>-Nu deţinem date cu privire la cazurile de îmbolnăviri cu encefalita, boala Lyme.</w:t>
      </w:r>
    </w:p>
    <w:p w:rsidR="004D6806" w:rsidRPr="004D6806" w:rsidRDefault="004D6806" w:rsidP="004D6806">
      <w:pPr>
        <w:tabs>
          <w:tab w:val="left" w:leader="dot" w:pos="9356"/>
        </w:tabs>
        <w:spacing w:after="0" w:line="240" w:lineRule="auto"/>
        <w:jc w:val="both"/>
        <w:rPr>
          <w:rFonts w:ascii="Arial" w:eastAsia="SimSun" w:hAnsi="Arial" w:cs="Arial"/>
          <w:sz w:val="24"/>
          <w:szCs w:val="24"/>
          <w:lang w:val="ro-RO"/>
        </w:rPr>
      </w:pPr>
    </w:p>
    <w:p w:rsidR="004D6806" w:rsidRPr="004D6806" w:rsidRDefault="004D6806" w:rsidP="004D6806">
      <w:pPr>
        <w:tabs>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Tabelul IX.1.5.1 Rata morbidităţii prin incidenţa bolilor neinfecţioase în judeţul Buzău ( 2012 – 2014 )</w:t>
      </w:r>
    </w:p>
    <w:tbl>
      <w:tblPr>
        <w:tblStyle w:val="TableGrid6"/>
        <w:tblW w:w="0" w:type="auto"/>
        <w:tblLook w:val="04A0"/>
      </w:tblPr>
      <w:tblGrid>
        <w:gridCol w:w="757"/>
        <w:gridCol w:w="978"/>
        <w:gridCol w:w="1267"/>
        <w:gridCol w:w="1166"/>
        <w:gridCol w:w="936"/>
        <w:gridCol w:w="1166"/>
        <w:gridCol w:w="1468"/>
        <w:gridCol w:w="919"/>
        <w:gridCol w:w="1196"/>
      </w:tblGrid>
      <w:tr w:rsidR="004D6806" w:rsidRPr="004D6806" w:rsidTr="00530BF0">
        <w:tc>
          <w:tcPr>
            <w:tcW w:w="958"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An</w:t>
            </w:r>
          </w:p>
        </w:tc>
        <w:tc>
          <w:tcPr>
            <w:tcW w:w="1149"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Tumori maligne</w:t>
            </w:r>
          </w:p>
        </w:tc>
        <w:tc>
          <w:tcPr>
            <w:tcW w:w="1372"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Tulburări psihologice</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Boli ale sistemului respirator</w:t>
            </w:r>
          </w:p>
        </w:tc>
        <w:tc>
          <w:tcPr>
            <w:tcW w:w="1124"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Diabet zaharat</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Boli ale sistemului circulator</w:t>
            </w:r>
          </w:p>
        </w:tc>
        <w:tc>
          <w:tcPr>
            <w:tcW w:w="1574"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Hipertensiune</w:t>
            </w:r>
          </w:p>
        </w:tc>
        <w:tc>
          <w:tcPr>
            <w:tcW w:w="991"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Total</w:t>
            </w:r>
          </w:p>
        </w:tc>
        <w:tc>
          <w:tcPr>
            <w:tcW w:w="673" w:type="dxa"/>
            <w:vAlign w:val="center"/>
          </w:tcPr>
          <w:p w:rsidR="004D6806" w:rsidRPr="004D6806" w:rsidRDefault="004D6806" w:rsidP="004D6806">
            <w:pPr>
              <w:tabs>
                <w:tab w:val="left" w:leader="dot" w:pos="9356"/>
              </w:tabs>
              <w:spacing w:after="0" w:line="240" w:lineRule="auto"/>
              <w:jc w:val="center"/>
              <w:rPr>
                <w:rFonts w:ascii="Arial" w:eastAsia="SimSun" w:hAnsi="Arial" w:cs="Arial"/>
                <w:b/>
                <w:sz w:val="18"/>
                <w:szCs w:val="18"/>
                <w:lang w:val="ro-RO"/>
              </w:rPr>
            </w:pPr>
            <w:r w:rsidRPr="004D6806">
              <w:rPr>
                <w:rFonts w:ascii="Arial" w:eastAsia="SimSun" w:hAnsi="Arial" w:cs="Arial"/>
                <w:b/>
                <w:sz w:val="18"/>
                <w:szCs w:val="18"/>
                <w:lang w:val="ro-RO"/>
              </w:rPr>
              <w:t>Rata morbidităţii (%)</w:t>
            </w:r>
          </w:p>
        </w:tc>
      </w:tr>
      <w:tr w:rsidR="004D6806" w:rsidRPr="004D6806" w:rsidTr="00530BF0">
        <w:tc>
          <w:tcPr>
            <w:tcW w:w="958"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2012</w:t>
            </w:r>
          </w:p>
        </w:tc>
        <w:tc>
          <w:tcPr>
            <w:tcW w:w="1149"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9375</w:t>
            </w:r>
          </w:p>
        </w:tc>
        <w:tc>
          <w:tcPr>
            <w:tcW w:w="1372"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11832</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9166</w:t>
            </w:r>
          </w:p>
        </w:tc>
        <w:tc>
          <w:tcPr>
            <w:tcW w:w="1124"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21439</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43825</w:t>
            </w:r>
          </w:p>
        </w:tc>
        <w:tc>
          <w:tcPr>
            <w:tcW w:w="1574"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63521</w:t>
            </w:r>
          </w:p>
        </w:tc>
        <w:tc>
          <w:tcPr>
            <w:tcW w:w="991"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159158</w:t>
            </w:r>
          </w:p>
        </w:tc>
        <w:tc>
          <w:tcPr>
            <w:tcW w:w="673"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32,39</w:t>
            </w:r>
          </w:p>
        </w:tc>
      </w:tr>
      <w:tr w:rsidR="004D6806" w:rsidRPr="004D6806" w:rsidTr="00530BF0">
        <w:tc>
          <w:tcPr>
            <w:tcW w:w="958"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2013</w:t>
            </w:r>
          </w:p>
        </w:tc>
        <w:tc>
          <w:tcPr>
            <w:tcW w:w="1149"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9240</w:t>
            </w:r>
          </w:p>
        </w:tc>
        <w:tc>
          <w:tcPr>
            <w:tcW w:w="1372"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12326</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9519</w:t>
            </w:r>
          </w:p>
        </w:tc>
        <w:tc>
          <w:tcPr>
            <w:tcW w:w="1124"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22613</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45247</w:t>
            </w:r>
          </w:p>
        </w:tc>
        <w:tc>
          <w:tcPr>
            <w:tcW w:w="1574"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66823</w:t>
            </w:r>
          </w:p>
        </w:tc>
        <w:tc>
          <w:tcPr>
            <w:tcW w:w="991"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165768</w:t>
            </w:r>
          </w:p>
        </w:tc>
        <w:tc>
          <w:tcPr>
            <w:tcW w:w="673"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33,96</w:t>
            </w:r>
          </w:p>
        </w:tc>
      </w:tr>
      <w:tr w:rsidR="004D6806" w:rsidRPr="004D6806" w:rsidTr="00530BF0">
        <w:tc>
          <w:tcPr>
            <w:tcW w:w="958"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2014</w:t>
            </w:r>
          </w:p>
        </w:tc>
        <w:tc>
          <w:tcPr>
            <w:tcW w:w="1149"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9414</w:t>
            </w:r>
          </w:p>
        </w:tc>
        <w:tc>
          <w:tcPr>
            <w:tcW w:w="1372"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12529</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9918</w:t>
            </w:r>
          </w:p>
        </w:tc>
        <w:tc>
          <w:tcPr>
            <w:tcW w:w="1124"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23927</w:t>
            </w:r>
          </w:p>
        </w:tc>
        <w:tc>
          <w:tcPr>
            <w:tcW w:w="1290"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44662</w:t>
            </w:r>
          </w:p>
        </w:tc>
        <w:tc>
          <w:tcPr>
            <w:tcW w:w="1574"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63319</w:t>
            </w:r>
          </w:p>
        </w:tc>
        <w:tc>
          <w:tcPr>
            <w:tcW w:w="991"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163769</w:t>
            </w:r>
          </w:p>
        </w:tc>
        <w:tc>
          <w:tcPr>
            <w:tcW w:w="673" w:type="dxa"/>
            <w:vAlign w:val="center"/>
          </w:tcPr>
          <w:p w:rsidR="004D6806" w:rsidRPr="004D6806" w:rsidRDefault="004D6806" w:rsidP="004D6806">
            <w:pPr>
              <w:tabs>
                <w:tab w:val="left" w:leader="dot" w:pos="9356"/>
              </w:tabs>
              <w:spacing w:after="0" w:line="240" w:lineRule="auto"/>
              <w:jc w:val="center"/>
              <w:rPr>
                <w:rFonts w:ascii="Arial" w:eastAsia="SimSun" w:hAnsi="Arial" w:cs="Arial"/>
                <w:sz w:val="20"/>
                <w:szCs w:val="20"/>
                <w:lang w:val="ro-RO"/>
              </w:rPr>
            </w:pPr>
            <w:r w:rsidRPr="004D6806">
              <w:rPr>
                <w:rFonts w:ascii="Arial" w:eastAsia="SimSun" w:hAnsi="Arial" w:cs="Arial"/>
                <w:sz w:val="20"/>
                <w:szCs w:val="20"/>
                <w:lang w:val="ro-RO"/>
              </w:rPr>
              <w:t>33,95</w:t>
            </w:r>
          </w:p>
        </w:tc>
      </w:tr>
    </w:tbl>
    <w:p w:rsidR="004D6806" w:rsidRPr="004D6806" w:rsidRDefault="004D6806" w:rsidP="004D6806">
      <w:pPr>
        <w:spacing w:after="0" w:line="240" w:lineRule="auto"/>
        <w:jc w:val="right"/>
        <w:rPr>
          <w:rFonts w:ascii="Arial" w:eastAsia="SimSun" w:hAnsi="Arial" w:cs="Arial"/>
          <w:sz w:val="24"/>
          <w:szCs w:val="24"/>
          <w:lang w:val="en-GB"/>
        </w:rPr>
      </w:pPr>
      <w:r w:rsidRPr="004D6806">
        <w:rPr>
          <w:rFonts w:ascii="Arial" w:eastAsia="SimSun" w:hAnsi="Arial" w:cs="Arial"/>
          <w:sz w:val="24"/>
          <w:szCs w:val="24"/>
          <w:lang w:val="ro-RO"/>
        </w:rPr>
        <w:t xml:space="preserve">  </w:t>
      </w: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Default="004D6806" w:rsidP="004D6806">
      <w:pPr>
        <w:tabs>
          <w:tab w:val="left" w:leader="dot" w:pos="9356"/>
        </w:tabs>
        <w:spacing w:after="0" w:line="240" w:lineRule="auto"/>
        <w:jc w:val="both"/>
        <w:rPr>
          <w:rFonts w:ascii="Arial" w:eastAsia="SimSun" w:hAnsi="Arial" w:cs="Arial"/>
          <w:b/>
          <w:sz w:val="24"/>
          <w:szCs w:val="24"/>
          <w:lang w:val="ro-RO"/>
        </w:rPr>
      </w:pPr>
    </w:p>
    <w:p w:rsidR="004D6806" w:rsidRPr="004D6806" w:rsidRDefault="004D6806" w:rsidP="004D6806">
      <w:pPr>
        <w:tabs>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Figura IX.1.5.1 Rata morbidităţii prin incidenţa bolilor neinfecţioase în judeţul Buzău (2012 – 2014 )</w:t>
      </w:r>
    </w:p>
    <w:p w:rsidR="004D6806" w:rsidRPr="004D6806" w:rsidRDefault="004D6806" w:rsidP="004D6806">
      <w:pPr>
        <w:tabs>
          <w:tab w:val="left" w:leader="dot" w:pos="9356"/>
        </w:tabs>
        <w:spacing w:after="0" w:line="240" w:lineRule="auto"/>
        <w:jc w:val="center"/>
        <w:rPr>
          <w:rFonts w:ascii="Arial" w:eastAsia="SimSun" w:hAnsi="Arial" w:cs="Arial"/>
          <w:sz w:val="24"/>
          <w:szCs w:val="24"/>
          <w:lang w:val="ro-RO"/>
        </w:rPr>
      </w:pPr>
      <w:r w:rsidRPr="004D6806">
        <w:rPr>
          <w:rFonts w:ascii="Arial" w:eastAsia="SimSun" w:hAnsi="Arial" w:cs="Arial"/>
          <w:noProof/>
          <w:sz w:val="24"/>
          <w:szCs w:val="24"/>
          <w:lang w:val="ro-RO" w:eastAsia="ro-RO"/>
        </w:rPr>
        <w:drawing>
          <wp:inline distT="0" distB="0" distL="0" distR="0">
            <wp:extent cx="5486400" cy="3200400"/>
            <wp:effectExtent l="19050" t="0" r="19050" b="0"/>
            <wp:docPr id="27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4D6806" w:rsidRPr="004D6806" w:rsidRDefault="004D6806" w:rsidP="004D6806">
      <w:pPr>
        <w:spacing w:after="0" w:line="240" w:lineRule="auto"/>
        <w:jc w:val="right"/>
        <w:rPr>
          <w:rFonts w:ascii="Arial" w:eastAsia="SimSun" w:hAnsi="Arial" w:cs="Arial"/>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tabs>
          <w:tab w:val="left" w:leader="dot" w:pos="9356"/>
        </w:tabs>
        <w:spacing w:after="0" w:line="240" w:lineRule="auto"/>
        <w:jc w:val="both"/>
        <w:rPr>
          <w:rFonts w:ascii="Arial" w:eastAsia="SimSun" w:hAnsi="Arial" w:cs="Arial"/>
          <w:sz w:val="24"/>
          <w:szCs w:val="24"/>
          <w:lang w:val="ro-RO"/>
        </w:rPr>
      </w:pPr>
    </w:p>
    <w:p w:rsidR="004D6806" w:rsidRDefault="004D6806" w:rsidP="004D6806">
      <w:pPr>
        <w:spacing w:after="0" w:line="240" w:lineRule="auto"/>
        <w:jc w:val="both"/>
        <w:rPr>
          <w:rFonts w:ascii="Arial" w:eastAsia="SimSun" w:hAnsi="Arial" w:cs="Arial"/>
          <w:b/>
          <w:sz w:val="24"/>
          <w:szCs w:val="24"/>
          <w:lang w:val="en-GB"/>
        </w:rPr>
      </w:pPr>
    </w:p>
    <w:p w:rsidR="004D6806" w:rsidRDefault="004D6806" w:rsidP="004D6806">
      <w:pPr>
        <w:spacing w:after="0" w:line="240" w:lineRule="auto"/>
        <w:jc w:val="both"/>
        <w:rPr>
          <w:rFonts w:ascii="Arial" w:eastAsia="SimSun" w:hAnsi="Arial" w:cs="Arial"/>
          <w:b/>
          <w:sz w:val="24"/>
          <w:szCs w:val="24"/>
          <w:lang w:val="en-GB"/>
        </w:rPr>
      </w:pPr>
    </w:p>
    <w:p w:rsidR="004D6806" w:rsidRDefault="004D6806" w:rsidP="004D6806">
      <w:pPr>
        <w:spacing w:after="0" w:line="240" w:lineRule="auto"/>
        <w:jc w:val="both"/>
        <w:rPr>
          <w:rFonts w:ascii="Arial" w:eastAsia="SimSun" w:hAnsi="Arial" w:cs="Arial"/>
          <w:b/>
          <w:sz w:val="24"/>
          <w:szCs w:val="24"/>
          <w:lang w:val="en-GB"/>
        </w:rPr>
      </w:pP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Tabelul IX</w:t>
      </w:r>
      <w:r w:rsidRPr="004D6806">
        <w:rPr>
          <w:rFonts w:ascii="Arial" w:eastAsia="SimSun" w:hAnsi="Arial" w:cs="Arial"/>
          <w:b/>
          <w:sz w:val="24"/>
          <w:szCs w:val="24"/>
          <w:lang w:val="ro-RO"/>
        </w:rPr>
        <w:t xml:space="preserve">.1.5.2 </w:t>
      </w:r>
      <w:r w:rsidRPr="004D6806">
        <w:rPr>
          <w:rFonts w:ascii="Arial" w:eastAsia="SimSun" w:hAnsi="Arial" w:cs="Arial"/>
          <w:b/>
          <w:sz w:val="24"/>
          <w:szCs w:val="24"/>
          <w:lang w:val="en-GB"/>
        </w:rPr>
        <w:t xml:space="preserve"> Mortalitatea cauzată de afecţiuni respiratorii şi cardiovasculare la nivelul judeţului Buz</w:t>
      </w:r>
      <w:r w:rsidRPr="004D6806">
        <w:rPr>
          <w:rFonts w:ascii="Arial" w:eastAsia="SimSun" w:hAnsi="Arial" w:cs="Arial"/>
          <w:b/>
          <w:sz w:val="24"/>
          <w:szCs w:val="24"/>
          <w:lang w:val="ro-RO"/>
        </w:rPr>
        <w:t>ă</w:t>
      </w:r>
      <w:r w:rsidRPr="004D6806">
        <w:rPr>
          <w:rFonts w:ascii="Arial" w:eastAsia="SimSun" w:hAnsi="Arial" w:cs="Arial"/>
          <w:b/>
          <w:sz w:val="24"/>
          <w:szCs w:val="24"/>
          <w:lang w:val="en-GB"/>
        </w:rPr>
        <w:t xml:space="preserve">u (2012-2014) </w:t>
      </w:r>
    </w:p>
    <w:p w:rsidR="004D6806" w:rsidRPr="004D6806" w:rsidRDefault="004D6806" w:rsidP="004D6806">
      <w:pPr>
        <w:spacing w:after="0" w:line="240" w:lineRule="auto"/>
        <w:jc w:val="both"/>
        <w:rPr>
          <w:rFonts w:ascii="Times New Roman" w:eastAsia="SimSun" w:hAnsi="Times New Roman"/>
          <w:sz w:val="24"/>
          <w:szCs w:val="24"/>
          <w:lang w:val="en-GB"/>
        </w:rPr>
      </w:pPr>
    </w:p>
    <w:tbl>
      <w:tblPr>
        <w:tblStyle w:val="TableGrid6"/>
        <w:tblW w:w="0" w:type="auto"/>
        <w:jc w:val="center"/>
        <w:tblLook w:val="04A0"/>
      </w:tblPr>
      <w:tblGrid>
        <w:gridCol w:w="1842"/>
        <w:gridCol w:w="1737"/>
        <w:gridCol w:w="1737"/>
        <w:gridCol w:w="1737"/>
      </w:tblGrid>
      <w:tr w:rsidR="004D6806" w:rsidRPr="004D6806" w:rsidTr="00530BF0">
        <w:trPr>
          <w:jc w:val="center"/>
        </w:trPr>
        <w:tc>
          <w:tcPr>
            <w:tcW w:w="1736" w:type="dxa"/>
            <w:vAlign w:val="center"/>
          </w:tcPr>
          <w:p w:rsidR="004D6806" w:rsidRPr="004D6806" w:rsidRDefault="004D6806" w:rsidP="004D6806">
            <w:pPr>
              <w:spacing w:after="0" w:line="240" w:lineRule="auto"/>
              <w:ind w:right="5"/>
              <w:jc w:val="center"/>
              <w:rPr>
                <w:rFonts w:ascii="Arial" w:eastAsia="SimSun" w:hAnsi="Arial" w:cs="Arial"/>
                <w:b/>
                <w:spacing w:val="-4"/>
                <w:sz w:val="24"/>
                <w:szCs w:val="24"/>
                <w:lang w:val="en-GB"/>
              </w:rPr>
            </w:pPr>
            <w:r w:rsidRPr="004D6806">
              <w:rPr>
                <w:rFonts w:ascii="Arial" w:eastAsia="SimSun" w:hAnsi="Arial" w:cs="Arial"/>
                <w:b/>
                <w:spacing w:val="-4"/>
                <w:sz w:val="24"/>
                <w:szCs w:val="24"/>
                <w:lang w:val="en-GB"/>
              </w:rPr>
              <w:t>Anul</w:t>
            </w:r>
          </w:p>
        </w:tc>
        <w:tc>
          <w:tcPr>
            <w:tcW w:w="1737" w:type="dxa"/>
            <w:vAlign w:val="center"/>
          </w:tcPr>
          <w:p w:rsidR="004D6806" w:rsidRPr="004D6806" w:rsidRDefault="004D6806" w:rsidP="004D6806">
            <w:pPr>
              <w:spacing w:after="0" w:line="240" w:lineRule="auto"/>
              <w:ind w:right="5"/>
              <w:jc w:val="center"/>
              <w:rPr>
                <w:rFonts w:ascii="Arial" w:eastAsia="SimSun" w:hAnsi="Arial" w:cs="Arial"/>
                <w:b/>
                <w:spacing w:val="-4"/>
                <w:sz w:val="24"/>
                <w:szCs w:val="24"/>
                <w:lang w:val="en-GB"/>
              </w:rPr>
            </w:pPr>
            <w:r w:rsidRPr="004D6806">
              <w:rPr>
                <w:rFonts w:ascii="Arial" w:eastAsia="SimSun" w:hAnsi="Arial" w:cs="Arial"/>
                <w:b/>
                <w:spacing w:val="-4"/>
                <w:sz w:val="24"/>
                <w:szCs w:val="24"/>
                <w:lang w:val="en-GB"/>
              </w:rPr>
              <w:t>2012</w:t>
            </w:r>
          </w:p>
        </w:tc>
        <w:tc>
          <w:tcPr>
            <w:tcW w:w="1737" w:type="dxa"/>
            <w:vAlign w:val="center"/>
          </w:tcPr>
          <w:p w:rsidR="004D6806" w:rsidRPr="004D6806" w:rsidRDefault="004D6806" w:rsidP="004D6806">
            <w:pPr>
              <w:spacing w:after="0" w:line="240" w:lineRule="auto"/>
              <w:ind w:right="5"/>
              <w:jc w:val="center"/>
              <w:rPr>
                <w:rFonts w:ascii="Arial" w:eastAsia="SimSun" w:hAnsi="Arial" w:cs="Arial"/>
                <w:b/>
                <w:spacing w:val="-4"/>
                <w:sz w:val="24"/>
                <w:szCs w:val="24"/>
                <w:lang w:val="en-GB"/>
              </w:rPr>
            </w:pPr>
            <w:r w:rsidRPr="004D6806">
              <w:rPr>
                <w:rFonts w:ascii="Arial" w:eastAsia="SimSun" w:hAnsi="Arial" w:cs="Arial"/>
                <w:b/>
                <w:spacing w:val="-4"/>
                <w:sz w:val="24"/>
                <w:szCs w:val="24"/>
                <w:lang w:val="en-GB"/>
              </w:rPr>
              <w:t>2013</w:t>
            </w:r>
          </w:p>
        </w:tc>
        <w:tc>
          <w:tcPr>
            <w:tcW w:w="1737" w:type="dxa"/>
            <w:vAlign w:val="center"/>
          </w:tcPr>
          <w:p w:rsidR="004D6806" w:rsidRPr="004D6806" w:rsidRDefault="004D6806" w:rsidP="004D6806">
            <w:pPr>
              <w:spacing w:after="0" w:line="240" w:lineRule="auto"/>
              <w:ind w:right="5"/>
              <w:jc w:val="center"/>
              <w:rPr>
                <w:rFonts w:ascii="Arial" w:eastAsia="SimSun" w:hAnsi="Arial" w:cs="Arial"/>
                <w:b/>
                <w:spacing w:val="-4"/>
                <w:sz w:val="24"/>
                <w:szCs w:val="24"/>
                <w:lang w:val="en-GB"/>
              </w:rPr>
            </w:pPr>
            <w:r w:rsidRPr="004D6806">
              <w:rPr>
                <w:rFonts w:ascii="Arial" w:eastAsia="SimSun" w:hAnsi="Arial" w:cs="Arial"/>
                <w:b/>
                <w:spacing w:val="-4"/>
                <w:sz w:val="24"/>
                <w:szCs w:val="24"/>
                <w:lang w:val="en-GB"/>
              </w:rPr>
              <w:t>2014</w:t>
            </w:r>
          </w:p>
        </w:tc>
      </w:tr>
      <w:tr w:rsidR="004D6806" w:rsidRPr="004D6806" w:rsidTr="00530BF0">
        <w:trPr>
          <w:jc w:val="center"/>
        </w:trPr>
        <w:tc>
          <w:tcPr>
            <w:tcW w:w="1736" w:type="dxa"/>
            <w:vAlign w:val="center"/>
          </w:tcPr>
          <w:p w:rsidR="004D6806" w:rsidRPr="004D6806" w:rsidRDefault="004D6806" w:rsidP="004D6806">
            <w:pPr>
              <w:spacing w:after="0" w:line="240" w:lineRule="auto"/>
              <w:ind w:right="5"/>
              <w:jc w:val="center"/>
              <w:rPr>
                <w:rFonts w:ascii="Arial" w:eastAsia="SimSun" w:hAnsi="Arial" w:cs="Arial"/>
                <w:spacing w:val="-4"/>
                <w:sz w:val="24"/>
                <w:szCs w:val="24"/>
                <w:lang w:val="en-GB"/>
              </w:rPr>
            </w:pPr>
            <w:r w:rsidRPr="004D6806">
              <w:rPr>
                <w:rFonts w:ascii="Arial" w:eastAsia="SimSun" w:hAnsi="Arial" w:cs="Arial"/>
                <w:spacing w:val="-4"/>
                <w:sz w:val="24"/>
                <w:szCs w:val="24"/>
                <w:lang w:val="en-GB"/>
              </w:rPr>
              <w:t>Afecţiuni resp</w:t>
            </w:r>
            <w:r w:rsidRPr="004D6806">
              <w:rPr>
                <w:rFonts w:ascii="Arial" w:eastAsia="SimSun" w:hAnsi="Arial" w:cs="Arial"/>
                <w:spacing w:val="-4"/>
                <w:sz w:val="24"/>
                <w:szCs w:val="24"/>
                <w:lang w:val="en-GB"/>
              </w:rPr>
              <w:t>i</w:t>
            </w:r>
            <w:r w:rsidRPr="004D6806">
              <w:rPr>
                <w:rFonts w:ascii="Arial" w:eastAsia="SimSun" w:hAnsi="Arial" w:cs="Arial"/>
                <w:spacing w:val="-4"/>
                <w:sz w:val="24"/>
                <w:szCs w:val="24"/>
                <w:lang w:val="en-GB"/>
              </w:rPr>
              <w:t>ratorii</w:t>
            </w:r>
          </w:p>
        </w:tc>
        <w:tc>
          <w:tcPr>
            <w:tcW w:w="1737" w:type="dxa"/>
            <w:vAlign w:val="center"/>
          </w:tcPr>
          <w:p w:rsidR="004D6806" w:rsidRPr="004D6806" w:rsidRDefault="004D6806" w:rsidP="004D6806">
            <w:pPr>
              <w:spacing w:after="0" w:line="240" w:lineRule="auto"/>
              <w:ind w:right="5"/>
              <w:jc w:val="center"/>
              <w:rPr>
                <w:rFonts w:ascii="Arial" w:eastAsia="SimSun" w:hAnsi="Arial" w:cs="Arial"/>
                <w:spacing w:val="-4"/>
                <w:sz w:val="24"/>
                <w:szCs w:val="24"/>
                <w:lang w:val="en-GB"/>
              </w:rPr>
            </w:pPr>
            <w:r w:rsidRPr="004D6806">
              <w:rPr>
                <w:rFonts w:ascii="Arial" w:eastAsia="SimSun" w:hAnsi="Arial" w:cs="Arial"/>
                <w:spacing w:val="-4"/>
                <w:sz w:val="24"/>
                <w:szCs w:val="24"/>
                <w:lang w:val="en-GB"/>
              </w:rPr>
              <w:t>322</w:t>
            </w:r>
          </w:p>
        </w:tc>
        <w:tc>
          <w:tcPr>
            <w:tcW w:w="1737" w:type="dxa"/>
            <w:vAlign w:val="center"/>
          </w:tcPr>
          <w:p w:rsidR="004D6806" w:rsidRPr="004D6806" w:rsidRDefault="004D6806" w:rsidP="004D6806">
            <w:pPr>
              <w:spacing w:after="0" w:line="240" w:lineRule="auto"/>
              <w:ind w:right="5"/>
              <w:jc w:val="center"/>
              <w:rPr>
                <w:rFonts w:ascii="Arial" w:eastAsia="SimSun" w:hAnsi="Arial" w:cs="Arial"/>
                <w:spacing w:val="-4"/>
                <w:sz w:val="24"/>
                <w:szCs w:val="24"/>
                <w:lang w:val="en-GB"/>
              </w:rPr>
            </w:pPr>
            <w:r w:rsidRPr="004D6806">
              <w:rPr>
                <w:rFonts w:ascii="Arial" w:eastAsia="SimSun" w:hAnsi="Arial" w:cs="Arial"/>
                <w:spacing w:val="-4"/>
                <w:sz w:val="24"/>
                <w:szCs w:val="24"/>
                <w:lang w:val="en-GB"/>
              </w:rPr>
              <w:t>371</w:t>
            </w:r>
          </w:p>
        </w:tc>
        <w:tc>
          <w:tcPr>
            <w:tcW w:w="1737" w:type="dxa"/>
            <w:vAlign w:val="center"/>
          </w:tcPr>
          <w:p w:rsidR="004D6806" w:rsidRPr="004D6806" w:rsidRDefault="004D6806" w:rsidP="004D6806">
            <w:pPr>
              <w:spacing w:after="0" w:line="240" w:lineRule="auto"/>
              <w:jc w:val="center"/>
              <w:rPr>
                <w:rFonts w:ascii="Arial" w:eastAsia="SimSun" w:hAnsi="Arial" w:cs="Arial"/>
              </w:rPr>
            </w:pPr>
            <w:r w:rsidRPr="004D6806">
              <w:rPr>
                <w:rFonts w:ascii="Arial" w:eastAsia="SimSun" w:hAnsi="Arial" w:cs="Arial"/>
              </w:rPr>
              <w:t>371</w:t>
            </w:r>
          </w:p>
        </w:tc>
      </w:tr>
      <w:tr w:rsidR="004D6806" w:rsidRPr="004D6806" w:rsidTr="00530BF0">
        <w:trPr>
          <w:jc w:val="center"/>
        </w:trPr>
        <w:tc>
          <w:tcPr>
            <w:tcW w:w="1736" w:type="dxa"/>
            <w:vAlign w:val="center"/>
          </w:tcPr>
          <w:p w:rsidR="004D6806" w:rsidRPr="004D6806" w:rsidRDefault="004D6806" w:rsidP="004D6806">
            <w:pPr>
              <w:spacing w:after="0" w:line="240" w:lineRule="auto"/>
              <w:ind w:right="5"/>
              <w:jc w:val="center"/>
              <w:rPr>
                <w:rFonts w:ascii="Arial" w:eastAsia="SimSun" w:hAnsi="Arial" w:cs="Arial"/>
                <w:spacing w:val="-4"/>
                <w:sz w:val="24"/>
                <w:szCs w:val="24"/>
                <w:lang w:val="en-GB"/>
              </w:rPr>
            </w:pPr>
            <w:r w:rsidRPr="004D6806">
              <w:rPr>
                <w:rFonts w:ascii="Arial" w:eastAsia="SimSun" w:hAnsi="Arial" w:cs="Arial"/>
                <w:spacing w:val="-4"/>
                <w:sz w:val="24"/>
                <w:szCs w:val="24"/>
                <w:lang w:val="en-GB"/>
              </w:rPr>
              <w:t>Afecţiuni ca</w:t>
            </w:r>
            <w:r w:rsidRPr="004D6806">
              <w:rPr>
                <w:rFonts w:ascii="Arial" w:eastAsia="SimSun" w:hAnsi="Arial" w:cs="Arial"/>
                <w:spacing w:val="-4"/>
                <w:sz w:val="24"/>
                <w:szCs w:val="24"/>
                <w:lang w:val="en-GB"/>
              </w:rPr>
              <w:t>r</w:t>
            </w:r>
            <w:r w:rsidRPr="004D6806">
              <w:rPr>
                <w:rFonts w:ascii="Arial" w:eastAsia="SimSun" w:hAnsi="Arial" w:cs="Arial"/>
                <w:spacing w:val="-4"/>
                <w:sz w:val="24"/>
                <w:szCs w:val="24"/>
                <w:lang w:val="en-GB"/>
              </w:rPr>
              <w:t>diovasculare</w:t>
            </w:r>
          </w:p>
        </w:tc>
        <w:tc>
          <w:tcPr>
            <w:tcW w:w="1737" w:type="dxa"/>
            <w:vAlign w:val="center"/>
          </w:tcPr>
          <w:p w:rsidR="004D6806" w:rsidRPr="004D6806" w:rsidRDefault="004D6806" w:rsidP="004D6806">
            <w:pPr>
              <w:spacing w:after="0" w:line="240" w:lineRule="auto"/>
              <w:ind w:right="5"/>
              <w:jc w:val="center"/>
              <w:rPr>
                <w:rFonts w:ascii="Arial" w:eastAsia="SimSun" w:hAnsi="Arial" w:cs="Arial"/>
                <w:spacing w:val="-4"/>
                <w:sz w:val="24"/>
                <w:szCs w:val="24"/>
                <w:lang w:val="en-GB"/>
              </w:rPr>
            </w:pPr>
            <w:r w:rsidRPr="004D6806">
              <w:rPr>
                <w:rFonts w:ascii="Arial" w:eastAsia="SimSun" w:hAnsi="Arial" w:cs="Arial"/>
                <w:spacing w:val="-4"/>
                <w:sz w:val="24"/>
                <w:szCs w:val="24"/>
                <w:lang w:val="en-GB"/>
              </w:rPr>
              <w:t>3825</w:t>
            </w:r>
          </w:p>
        </w:tc>
        <w:tc>
          <w:tcPr>
            <w:tcW w:w="1737" w:type="dxa"/>
            <w:vAlign w:val="center"/>
          </w:tcPr>
          <w:p w:rsidR="004D6806" w:rsidRPr="004D6806" w:rsidRDefault="004D6806" w:rsidP="004D6806">
            <w:pPr>
              <w:spacing w:after="0" w:line="240" w:lineRule="auto"/>
              <w:ind w:right="5"/>
              <w:jc w:val="center"/>
              <w:rPr>
                <w:rFonts w:ascii="Arial" w:eastAsia="SimSun" w:hAnsi="Arial" w:cs="Arial"/>
                <w:spacing w:val="-4"/>
                <w:sz w:val="24"/>
                <w:szCs w:val="24"/>
                <w:lang w:val="en-GB"/>
              </w:rPr>
            </w:pPr>
            <w:r w:rsidRPr="004D6806">
              <w:rPr>
                <w:rFonts w:ascii="Arial" w:eastAsia="SimSun" w:hAnsi="Arial" w:cs="Arial"/>
                <w:spacing w:val="-4"/>
                <w:sz w:val="24"/>
                <w:szCs w:val="24"/>
                <w:lang w:val="en-GB"/>
              </w:rPr>
              <w:t>3911</w:t>
            </w:r>
          </w:p>
        </w:tc>
        <w:tc>
          <w:tcPr>
            <w:tcW w:w="1737" w:type="dxa"/>
            <w:vAlign w:val="center"/>
          </w:tcPr>
          <w:p w:rsidR="004D6806" w:rsidRPr="004D6806" w:rsidRDefault="004D6806" w:rsidP="004D6806">
            <w:pPr>
              <w:spacing w:after="0" w:line="240" w:lineRule="auto"/>
              <w:jc w:val="center"/>
              <w:rPr>
                <w:rFonts w:ascii="Arial" w:eastAsia="SimSun" w:hAnsi="Arial" w:cs="Arial"/>
              </w:rPr>
            </w:pPr>
            <w:r w:rsidRPr="004D6806">
              <w:rPr>
                <w:rFonts w:ascii="Arial" w:eastAsia="SimSun" w:hAnsi="Arial" w:cs="Arial"/>
              </w:rPr>
              <w:t>3798</w:t>
            </w:r>
          </w:p>
        </w:tc>
      </w:tr>
    </w:tbl>
    <w:p w:rsidR="004D6806" w:rsidRPr="004D6806" w:rsidRDefault="004D6806" w:rsidP="004D6806">
      <w:pPr>
        <w:spacing w:after="0" w:line="240" w:lineRule="auto"/>
        <w:jc w:val="right"/>
        <w:rPr>
          <w:rFonts w:ascii="Arial" w:eastAsia="SimSun" w:hAnsi="Arial" w:cs="Arial"/>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autoSpaceDE w:val="0"/>
        <w:autoSpaceDN w:val="0"/>
        <w:adjustRightInd w:val="0"/>
        <w:spacing w:after="0" w:line="240" w:lineRule="auto"/>
        <w:jc w:val="both"/>
        <w:rPr>
          <w:rFonts w:ascii="Arial" w:eastAsiaTheme="minorHAnsi" w:hAnsi="Arial" w:cs="Arial"/>
          <w:sz w:val="24"/>
          <w:szCs w:val="24"/>
          <w:lang w:val="ro-RO"/>
        </w:rPr>
      </w:pPr>
      <w:r w:rsidRPr="004D6806">
        <w:rPr>
          <w:rFonts w:ascii="Arial" w:eastAsiaTheme="minorHAnsi" w:hAnsi="Arial" w:cs="Arial"/>
          <w:sz w:val="24"/>
          <w:szCs w:val="24"/>
          <w:lang w:val="ro-RO"/>
        </w:rPr>
        <w:t xml:space="preserve"> </w:t>
      </w:r>
    </w:p>
    <w:p w:rsidR="004D6806" w:rsidRPr="004D6806" w:rsidRDefault="004D6806" w:rsidP="004D6806">
      <w:pPr>
        <w:autoSpaceDE w:val="0"/>
        <w:autoSpaceDN w:val="0"/>
        <w:adjustRightInd w:val="0"/>
        <w:spacing w:after="0" w:line="240" w:lineRule="auto"/>
        <w:jc w:val="both"/>
        <w:rPr>
          <w:rFonts w:ascii="Arial" w:eastAsiaTheme="minorHAnsi" w:hAnsi="Arial" w:cs="Arial"/>
          <w:sz w:val="24"/>
          <w:szCs w:val="24"/>
          <w:lang w:val="ro-RO"/>
        </w:rPr>
      </w:pPr>
    </w:p>
    <w:p w:rsidR="004D6806" w:rsidRPr="004D6806" w:rsidRDefault="004D6806" w:rsidP="004D6806">
      <w:pPr>
        <w:tabs>
          <w:tab w:val="left" w:leader="dot" w:pos="9356"/>
        </w:tabs>
        <w:spacing w:after="0" w:line="240" w:lineRule="auto"/>
        <w:jc w:val="both"/>
        <w:rPr>
          <w:rFonts w:ascii="Arial" w:eastAsia="SimSun" w:hAnsi="Arial" w:cs="Arial"/>
          <w:b/>
          <w:color w:val="92D050"/>
          <w:sz w:val="24"/>
          <w:szCs w:val="24"/>
          <w:lang w:val="ro-RO"/>
        </w:rPr>
      </w:pPr>
      <w:r w:rsidRPr="004D6806">
        <w:rPr>
          <w:rFonts w:ascii="Arial" w:eastAsia="SimSun" w:hAnsi="Arial" w:cs="Arial"/>
          <w:b/>
          <w:sz w:val="24"/>
          <w:szCs w:val="24"/>
          <w:lang w:val="en-GB"/>
        </w:rPr>
        <w:t>Figura IX</w:t>
      </w:r>
      <w:r w:rsidRPr="004D6806">
        <w:rPr>
          <w:rFonts w:ascii="Arial" w:eastAsia="SimSun" w:hAnsi="Arial" w:cs="Arial"/>
          <w:b/>
          <w:sz w:val="24"/>
          <w:szCs w:val="24"/>
          <w:lang w:val="ro-RO"/>
        </w:rPr>
        <w:t xml:space="preserve">.1.5.2 </w:t>
      </w:r>
      <w:r w:rsidRPr="004D6806">
        <w:rPr>
          <w:rFonts w:ascii="Arial" w:eastAsia="SimSun" w:hAnsi="Arial" w:cs="Arial"/>
          <w:b/>
          <w:sz w:val="24"/>
          <w:szCs w:val="24"/>
          <w:lang w:val="en-GB"/>
        </w:rPr>
        <w:t xml:space="preserve"> Mortalitatea cauzată de afecţiuni respiratorii şi cardiovasculare la nivelul judeţului Buz</w:t>
      </w:r>
      <w:r w:rsidRPr="004D6806">
        <w:rPr>
          <w:rFonts w:ascii="Arial" w:eastAsia="SimSun" w:hAnsi="Arial" w:cs="Arial"/>
          <w:b/>
          <w:sz w:val="24"/>
          <w:szCs w:val="24"/>
          <w:lang w:val="ro-RO"/>
        </w:rPr>
        <w:t>ă</w:t>
      </w:r>
      <w:r w:rsidRPr="004D6806">
        <w:rPr>
          <w:rFonts w:ascii="Arial" w:eastAsia="SimSun" w:hAnsi="Arial" w:cs="Arial"/>
          <w:b/>
          <w:sz w:val="24"/>
          <w:szCs w:val="24"/>
          <w:lang w:val="en-GB"/>
        </w:rPr>
        <w:t>u (2012-2014)</w:t>
      </w:r>
    </w:p>
    <w:p w:rsidR="004D6806" w:rsidRPr="004D6806" w:rsidRDefault="004D6806" w:rsidP="004D6806">
      <w:pPr>
        <w:tabs>
          <w:tab w:val="left" w:leader="dot" w:pos="9356"/>
        </w:tabs>
        <w:spacing w:after="0" w:line="240" w:lineRule="auto"/>
        <w:jc w:val="center"/>
        <w:rPr>
          <w:rFonts w:ascii="Arial" w:eastAsia="SimSun" w:hAnsi="Arial" w:cs="Arial"/>
          <w:color w:val="92D050"/>
          <w:sz w:val="24"/>
          <w:szCs w:val="24"/>
          <w:lang w:val="ro-RO"/>
        </w:rPr>
      </w:pPr>
      <w:r w:rsidRPr="004D6806">
        <w:rPr>
          <w:rFonts w:ascii="Arial" w:eastAsia="SimSun" w:hAnsi="Arial" w:cs="Arial"/>
          <w:noProof/>
          <w:color w:val="92D050"/>
          <w:sz w:val="24"/>
          <w:szCs w:val="24"/>
          <w:lang w:val="ro-RO" w:eastAsia="ro-RO"/>
        </w:rPr>
        <w:drawing>
          <wp:inline distT="0" distB="0" distL="0" distR="0">
            <wp:extent cx="5486400" cy="2276475"/>
            <wp:effectExtent l="19050" t="0" r="19050" b="0"/>
            <wp:docPr id="27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4D6806" w:rsidRPr="004D6806" w:rsidRDefault="004D6806" w:rsidP="004D6806">
      <w:pPr>
        <w:spacing w:after="0" w:line="240" w:lineRule="auto"/>
        <w:jc w:val="right"/>
        <w:rPr>
          <w:rFonts w:ascii="Arial" w:eastAsia="SimSun" w:hAnsi="Arial" w:cs="Arial"/>
          <w:sz w:val="24"/>
          <w:szCs w:val="24"/>
          <w:lang w:val="en-GB"/>
        </w:rPr>
      </w:pPr>
      <w:r w:rsidRPr="004D6806">
        <w:rPr>
          <w:rFonts w:ascii="Arial" w:eastAsia="SimSun" w:hAnsi="Arial" w:cs="Arial"/>
          <w:sz w:val="24"/>
          <w:szCs w:val="24"/>
          <w:lang w:val="en-GB"/>
        </w:rPr>
        <w:t xml:space="preserve">Sursa </w:t>
      </w:r>
      <w:r w:rsidRPr="004D6806">
        <w:rPr>
          <w:rFonts w:ascii="Arial" w:eastAsia="SimSun" w:hAnsi="Arial" w:cs="Arial"/>
          <w:bCs/>
          <w:sz w:val="24"/>
          <w:szCs w:val="24"/>
          <w:lang w:val="en-GB"/>
        </w:rPr>
        <w:t xml:space="preserve">datelor: </w:t>
      </w:r>
      <w:r w:rsidRPr="004D6806">
        <w:rPr>
          <w:rFonts w:ascii="Arial" w:eastAsia="SimSun" w:hAnsi="Arial" w:cs="Arial"/>
          <w:sz w:val="24"/>
          <w:szCs w:val="24"/>
          <w:lang w:val="en-GB"/>
        </w:rPr>
        <w:t>Direcţia Judeţeană de Sănătate Publică Buzău</w:t>
      </w:r>
    </w:p>
    <w:p w:rsidR="004D6806" w:rsidRPr="004D6806" w:rsidRDefault="004D6806" w:rsidP="004D6806">
      <w:pPr>
        <w:tabs>
          <w:tab w:val="left" w:leader="dot" w:pos="9356"/>
        </w:tabs>
        <w:spacing w:after="0" w:line="240" w:lineRule="auto"/>
        <w:jc w:val="both"/>
        <w:rPr>
          <w:rFonts w:ascii="Arial" w:eastAsia="SimSun" w:hAnsi="Arial" w:cs="Arial"/>
          <w:color w:val="92D050"/>
          <w:sz w:val="24"/>
          <w:szCs w:val="24"/>
          <w:lang w:val="ro-RO"/>
        </w:rPr>
      </w:pPr>
    </w:p>
    <w:p w:rsidR="004D6806" w:rsidRPr="004D6806" w:rsidRDefault="004D6806" w:rsidP="004D6806">
      <w:pPr>
        <w:tabs>
          <w:tab w:val="left" w:leader="dot" w:pos="9356"/>
        </w:tabs>
        <w:spacing w:after="0" w:line="240" w:lineRule="auto"/>
        <w:jc w:val="both"/>
        <w:rPr>
          <w:rFonts w:ascii="Arial" w:eastAsia="SimSun" w:hAnsi="Arial" w:cs="Arial"/>
          <w:b/>
          <w:sz w:val="24"/>
          <w:szCs w:val="24"/>
          <w:lang w:val="ro-RO"/>
        </w:rPr>
      </w:pPr>
      <w:r w:rsidRPr="004D6806">
        <w:rPr>
          <w:rFonts w:ascii="Arial" w:eastAsia="SimSun" w:hAnsi="Arial" w:cs="Arial"/>
          <w:b/>
          <w:sz w:val="24"/>
          <w:szCs w:val="24"/>
          <w:lang w:val="ro-RO"/>
        </w:rPr>
        <w:t>IX.1.5.2. Expunerea populaţiei din aglomerările urbane la riscul de inundaţii</w:t>
      </w:r>
    </w:p>
    <w:p w:rsidR="004D6806" w:rsidRPr="004D6806" w:rsidRDefault="004D6806" w:rsidP="004D6806">
      <w:pPr>
        <w:tabs>
          <w:tab w:val="left" w:leader="dot" w:pos="9356"/>
        </w:tabs>
        <w:spacing w:after="0" w:line="240" w:lineRule="auto"/>
        <w:jc w:val="both"/>
        <w:rPr>
          <w:rFonts w:ascii="Arial" w:eastAsia="SimSun" w:hAnsi="Arial" w:cs="Arial"/>
          <w:sz w:val="24"/>
          <w:szCs w:val="24"/>
          <w:lang w:val="ro-RO"/>
        </w:rPr>
      </w:pP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Numărul de viituri şi numărul mediu de evenimente pe an în judeţul Buzău, pe bazine hidrografice în perioda 2010-2014, este prezentat în tabelul următor.</w:t>
      </w:r>
    </w:p>
    <w:tbl>
      <w:tblPr>
        <w:tblStyle w:val="TableGrid6"/>
        <w:tblW w:w="0" w:type="auto"/>
        <w:tblLook w:val="01E0"/>
      </w:tblPr>
      <w:tblGrid>
        <w:gridCol w:w="646"/>
        <w:gridCol w:w="2204"/>
        <w:gridCol w:w="953"/>
        <w:gridCol w:w="951"/>
        <w:gridCol w:w="1072"/>
        <w:gridCol w:w="1081"/>
        <w:gridCol w:w="970"/>
        <w:gridCol w:w="1976"/>
      </w:tblGrid>
      <w:tr w:rsidR="004D6806" w:rsidRPr="004D6806" w:rsidTr="00530BF0">
        <w:trPr>
          <w:trHeight w:val="360"/>
        </w:trPr>
        <w:tc>
          <w:tcPr>
            <w:tcW w:w="648" w:type="dxa"/>
            <w:vMerge w:val="restart"/>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Nr.</w:t>
            </w:r>
          </w:p>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Crt.</w:t>
            </w:r>
          </w:p>
        </w:tc>
        <w:tc>
          <w:tcPr>
            <w:tcW w:w="2226" w:type="dxa"/>
            <w:vMerge w:val="restart"/>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Bazin hidrografic</w:t>
            </w:r>
          </w:p>
        </w:tc>
        <w:tc>
          <w:tcPr>
            <w:tcW w:w="5059" w:type="dxa"/>
            <w:gridSpan w:val="5"/>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de viituri</w:t>
            </w:r>
          </w:p>
        </w:tc>
        <w:tc>
          <w:tcPr>
            <w:tcW w:w="1989" w:type="dxa"/>
            <w:vMerge w:val="restart"/>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mediu de evenimente pe an</w:t>
            </w:r>
          </w:p>
        </w:tc>
      </w:tr>
      <w:tr w:rsidR="004D6806" w:rsidRPr="004D6806" w:rsidTr="00530BF0">
        <w:trPr>
          <w:trHeight w:val="455"/>
        </w:trPr>
        <w:tc>
          <w:tcPr>
            <w:tcW w:w="648" w:type="dxa"/>
            <w:vMerge/>
          </w:tcPr>
          <w:p w:rsidR="004D6806" w:rsidRPr="004D6806" w:rsidRDefault="004D6806" w:rsidP="004D6806">
            <w:pPr>
              <w:spacing w:after="0" w:line="240" w:lineRule="auto"/>
              <w:jc w:val="center"/>
              <w:rPr>
                <w:rFonts w:ascii="Arial" w:eastAsia="SimSun" w:hAnsi="Arial" w:cs="Arial"/>
                <w:sz w:val="24"/>
                <w:szCs w:val="24"/>
                <w:lang w:val="en-GB"/>
              </w:rPr>
            </w:pPr>
          </w:p>
        </w:tc>
        <w:tc>
          <w:tcPr>
            <w:tcW w:w="2226" w:type="dxa"/>
            <w:vMerge/>
          </w:tcPr>
          <w:p w:rsidR="004D6806" w:rsidRPr="004D6806" w:rsidRDefault="004D6806" w:rsidP="004D6806">
            <w:pPr>
              <w:spacing w:after="0" w:line="240" w:lineRule="auto"/>
              <w:jc w:val="center"/>
              <w:rPr>
                <w:rFonts w:ascii="Arial" w:eastAsia="SimSun" w:hAnsi="Arial" w:cs="Arial"/>
                <w:sz w:val="24"/>
                <w:szCs w:val="24"/>
                <w:lang w:val="en-GB"/>
              </w:rPr>
            </w:pPr>
          </w:p>
        </w:tc>
        <w:tc>
          <w:tcPr>
            <w:tcW w:w="958"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2010</w:t>
            </w:r>
          </w:p>
        </w:tc>
        <w:tc>
          <w:tcPr>
            <w:tcW w:w="95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2011</w:t>
            </w:r>
          </w:p>
        </w:tc>
        <w:tc>
          <w:tcPr>
            <w:tcW w:w="1080"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2012</w:t>
            </w:r>
          </w:p>
        </w:tc>
        <w:tc>
          <w:tcPr>
            <w:tcW w:w="1089"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2013</w:t>
            </w:r>
          </w:p>
        </w:tc>
        <w:tc>
          <w:tcPr>
            <w:tcW w:w="976" w:type="dxa"/>
            <w:tcBorders>
              <w:top w:val="nil"/>
            </w:tcBorders>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2014</w:t>
            </w:r>
          </w:p>
        </w:tc>
        <w:tc>
          <w:tcPr>
            <w:tcW w:w="1989" w:type="dxa"/>
            <w:vMerge/>
          </w:tcPr>
          <w:p w:rsidR="004D6806" w:rsidRPr="004D6806" w:rsidRDefault="004D6806" w:rsidP="004D6806">
            <w:pPr>
              <w:spacing w:after="0" w:line="240" w:lineRule="auto"/>
              <w:jc w:val="center"/>
              <w:rPr>
                <w:rFonts w:ascii="Arial" w:eastAsia="SimSun" w:hAnsi="Arial" w:cs="Arial"/>
                <w:sz w:val="24"/>
                <w:szCs w:val="24"/>
                <w:lang w:val="en-GB"/>
              </w:rPr>
            </w:pPr>
          </w:p>
        </w:tc>
      </w:tr>
      <w:tr w:rsidR="004D6806" w:rsidRPr="004D6806" w:rsidTr="00530BF0">
        <w:tc>
          <w:tcPr>
            <w:tcW w:w="64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2226" w:type="dxa"/>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Buzău</w:t>
            </w:r>
          </w:p>
        </w:tc>
        <w:tc>
          <w:tcPr>
            <w:tcW w:w="95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95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1080"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w:t>
            </w:r>
          </w:p>
        </w:tc>
        <w:tc>
          <w:tcPr>
            <w:tcW w:w="10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w:t>
            </w:r>
          </w:p>
        </w:tc>
        <w:tc>
          <w:tcPr>
            <w:tcW w:w="97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w:t>
            </w:r>
          </w:p>
        </w:tc>
        <w:tc>
          <w:tcPr>
            <w:tcW w:w="19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2,2</w:t>
            </w:r>
          </w:p>
        </w:tc>
      </w:tr>
      <w:tr w:rsidR="004D6806" w:rsidRPr="004D6806" w:rsidTr="00530BF0">
        <w:tc>
          <w:tcPr>
            <w:tcW w:w="64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w:t>
            </w:r>
          </w:p>
        </w:tc>
        <w:tc>
          <w:tcPr>
            <w:tcW w:w="2226" w:type="dxa"/>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Sărata</w:t>
            </w:r>
          </w:p>
        </w:tc>
        <w:tc>
          <w:tcPr>
            <w:tcW w:w="95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95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080"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0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97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9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r>
      <w:tr w:rsidR="004D6806" w:rsidRPr="004D6806" w:rsidTr="00530BF0">
        <w:tc>
          <w:tcPr>
            <w:tcW w:w="64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w:t>
            </w:r>
          </w:p>
        </w:tc>
        <w:tc>
          <w:tcPr>
            <w:tcW w:w="2226" w:type="dxa"/>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Călmăţui</w:t>
            </w:r>
          </w:p>
        </w:tc>
        <w:tc>
          <w:tcPr>
            <w:tcW w:w="95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95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080"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0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97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9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r>
      <w:tr w:rsidR="004D6806" w:rsidRPr="004D6806" w:rsidTr="00530BF0">
        <w:tc>
          <w:tcPr>
            <w:tcW w:w="64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w:t>
            </w:r>
          </w:p>
        </w:tc>
        <w:tc>
          <w:tcPr>
            <w:tcW w:w="2226" w:type="dxa"/>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Râmnicu Sărat</w:t>
            </w:r>
          </w:p>
        </w:tc>
        <w:tc>
          <w:tcPr>
            <w:tcW w:w="95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95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1080"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0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97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w:t>
            </w:r>
          </w:p>
        </w:tc>
        <w:tc>
          <w:tcPr>
            <w:tcW w:w="19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r>
      <w:tr w:rsidR="004D6806" w:rsidRPr="004D6806" w:rsidTr="00530BF0">
        <w:tc>
          <w:tcPr>
            <w:tcW w:w="64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5.</w:t>
            </w:r>
          </w:p>
        </w:tc>
        <w:tc>
          <w:tcPr>
            <w:tcW w:w="2226" w:type="dxa"/>
            <w:vAlign w:val="center"/>
          </w:tcPr>
          <w:p w:rsidR="004D6806" w:rsidRPr="004D6806" w:rsidRDefault="004D6806" w:rsidP="004D6806">
            <w:pPr>
              <w:spacing w:after="0" w:line="240" w:lineRule="auto"/>
              <w:rPr>
                <w:rFonts w:ascii="Arial" w:eastAsia="SimSun" w:hAnsi="Arial" w:cs="Arial"/>
                <w:sz w:val="24"/>
                <w:szCs w:val="24"/>
                <w:lang w:val="en-GB"/>
              </w:rPr>
            </w:pPr>
            <w:r w:rsidRPr="004D6806">
              <w:rPr>
                <w:rFonts w:ascii="Arial" w:eastAsia="SimSun" w:hAnsi="Arial" w:cs="Arial"/>
                <w:sz w:val="24"/>
                <w:szCs w:val="24"/>
                <w:lang w:val="en-GB"/>
              </w:rPr>
              <w:t>Total</w:t>
            </w:r>
          </w:p>
        </w:tc>
        <w:tc>
          <w:tcPr>
            <w:tcW w:w="95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95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w:t>
            </w:r>
          </w:p>
        </w:tc>
        <w:tc>
          <w:tcPr>
            <w:tcW w:w="1080"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w:t>
            </w:r>
          </w:p>
        </w:tc>
        <w:tc>
          <w:tcPr>
            <w:tcW w:w="10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w:t>
            </w:r>
          </w:p>
        </w:tc>
        <w:tc>
          <w:tcPr>
            <w:tcW w:w="97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7</w:t>
            </w:r>
          </w:p>
        </w:tc>
        <w:tc>
          <w:tcPr>
            <w:tcW w:w="1989"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3,2</w:t>
            </w:r>
          </w:p>
        </w:tc>
      </w:tr>
    </w:tbl>
    <w:p w:rsidR="004D6806" w:rsidRPr="004D6806" w:rsidRDefault="004D6806" w:rsidP="004D6806">
      <w:pPr>
        <w:autoSpaceDE w:val="0"/>
        <w:autoSpaceDN w:val="0"/>
        <w:adjustRightInd w:val="0"/>
        <w:spacing w:after="0" w:line="240" w:lineRule="auto"/>
        <w:jc w:val="both"/>
        <w:rPr>
          <w:rFonts w:ascii="Arial" w:eastAsiaTheme="minorHAnsi" w:hAnsi="Arial" w:cs="Arial"/>
          <w:b/>
          <w:bCs/>
          <w:sz w:val="24"/>
          <w:szCs w:val="24"/>
          <w:lang w:val="ro-RO"/>
        </w:rPr>
      </w:pPr>
      <w:r w:rsidRPr="004D6806">
        <w:rPr>
          <w:rFonts w:ascii="Arial" w:eastAsiaTheme="minorHAnsi" w:hAnsi="Arial" w:cs="Arial"/>
          <w:sz w:val="24"/>
          <w:szCs w:val="24"/>
          <w:lang w:val="ro-RO"/>
        </w:rPr>
        <w:t>Tabel IX.1.5.2.1.</w:t>
      </w:r>
      <w:r w:rsidRPr="004D6806">
        <w:rPr>
          <w:rFonts w:ascii="Arial" w:eastAsiaTheme="minorHAnsi" w:hAnsi="Arial" w:cs="Arial"/>
          <w:bCs/>
          <w:sz w:val="24"/>
          <w:szCs w:val="24"/>
          <w:lang w:val="ro-RO"/>
        </w:rPr>
        <w:t xml:space="preserve"> </w:t>
      </w:r>
      <w:r w:rsidRPr="004D6806">
        <w:rPr>
          <w:rFonts w:ascii="Arial" w:eastAsiaTheme="minorHAnsi" w:hAnsi="Arial" w:cs="Arial"/>
          <w:sz w:val="24"/>
          <w:szCs w:val="24"/>
          <w:lang w:val="ro-RO"/>
        </w:rPr>
        <w:t xml:space="preserve">Număr de viituri pe principalele cursuri de apă din judeţul Buzău în perioda 2010-2014 </w:t>
      </w:r>
      <w:r w:rsidRPr="004D6806">
        <w:rPr>
          <w:rFonts w:ascii="Arial" w:eastAsiaTheme="minorHAnsi" w:hAnsi="Arial" w:cs="Arial"/>
          <w:bCs/>
          <w:sz w:val="24"/>
          <w:szCs w:val="24"/>
          <w:lang w:val="ro-RO"/>
        </w:rPr>
        <w:t>în jude</w:t>
      </w:r>
      <w:r w:rsidRPr="004D6806">
        <w:rPr>
          <w:rFonts w:ascii="Tahoma" w:eastAsiaTheme="minorHAnsi" w:hAnsi="Tahoma" w:cs="Tahoma"/>
          <w:bCs/>
          <w:sz w:val="24"/>
          <w:szCs w:val="24"/>
          <w:lang w:val="ro-RO"/>
        </w:rPr>
        <w:t>ţ</w:t>
      </w:r>
      <w:r w:rsidRPr="004D6806">
        <w:rPr>
          <w:rFonts w:ascii="Arial" w:eastAsiaTheme="minorHAnsi" w:hAnsi="Arial" w:cs="Arial"/>
          <w:bCs/>
          <w:sz w:val="24"/>
          <w:szCs w:val="24"/>
          <w:lang w:val="ro-RO"/>
        </w:rPr>
        <w:t xml:space="preserve">ul Buzău </w:t>
      </w:r>
    </w:p>
    <w:p w:rsidR="004D6806" w:rsidRDefault="004D6806" w:rsidP="004D6806">
      <w:pPr>
        <w:autoSpaceDE w:val="0"/>
        <w:autoSpaceDN w:val="0"/>
        <w:adjustRightInd w:val="0"/>
        <w:spacing w:after="0" w:line="240" w:lineRule="auto"/>
        <w:jc w:val="both"/>
        <w:rPr>
          <w:rFonts w:ascii="Arial" w:eastAsiaTheme="minorHAnsi" w:hAnsi="Arial" w:cs="Arial"/>
          <w:bCs/>
          <w:sz w:val="24"/>
          <w:szCs w:val="24"/>
          <w:lang w:val="ro-RO"/>
        </w:rPr>
      </w:pPr>
      <w:r w:rsidRPr="004D6806">
        <w:rPr>
          <w:rFonts w:ascii="Arial" w:eastAsiaTheme="minorHAnsi" w:hAnsi="Arial" w:cs="Arial"/>
          <w:bCs/>
          <w:sz w:val="24"/>
          <w:szCs w:val="24"/>
          <w:lang w:val="ro-RO"/>
        </w:rPr>
        <w:t>Sursa datelor: I.S.U.J. Buzău</w:t>
      </w:r>
    </w:p>
    <w:p w:rsidR="004D6806" w:rsidRPr="004D6806" w:rsidRDefault="004D6806" w:rsidP="004D6806">
      <w:pPr>
        <w:autoSpaceDE w:val="0"/>
        <w:autoSpaceDN w:val="0"/>
        <w:adjustRightInd w:val="0"/>
        <w:spacing w:after="0" w:line="240" w:lineRule="auto"/>
        <w:jc w:val="both"/>
        <w:rPr>
          <w:rFonts w:ascii="Arial" w:eastAsiaTheme="minorHAnsi" w:hAnsi="Arial" w:cs="Arial"/>
          <w:bCs/>
          <w:sz w:val="24"/>
          <w:szCs w:val="24"/>
          <w:lang w:val="ro-RO"/>
        </w:rPr>
      </w:pPr>
    </w:p>
    <w:p w:rsidR="004D6806" w:rsidRPr="004D6806" w:rsidRDefault="004D6806" w:rsidP="004D6806">
      <w:pPr>
        <w:autoSpaceDE w:val="0"/>
        <w:autoSpaceDN w:val="0"/>
        <w:adjustRightInd w:val="0"/>
        <w:spacing w:after="0" w:line="240" w:lineRule="auto"/>
        <w:jc w:val="both"/>
        <w:rPr>
          <w:rFonts w:ascii="Arial" w:eastAsiaTheme="minorHAnsi" w:hAnsi="Arial" w:cs="Arial"/>
          <w:bCs/>
          <w:sz w:val="24"/>
          <w:szCs w:val="24"/>
          <w:lang w:val="ro-RO"/>
        </w:rPr>
      </w:pPr>
    </w:p>
    <w:p w:rsidR="004D6806" w:rsidRPr="004D6806" w:rsidRDefault="004D6806" w:rsidP="004D6806">
      <w:pPr>
        <w:autoSpaceDE w:val="0"/>
        <w:autoSpaceDN w:val="0"/>
        <w:adjustRightInd w:val="0"/>
        <w:spacing w:after="0" w:line="240" w:lineRule="auto"/>
        <w:jc w:val="center"/>
        <w:rPr>
          <w:rFonts w:ascii="Arial" w:eastAsiaTheme="minorHAnsi" w:hAnsi="Arial" w:cs="Arial"/>
          <w:bCs/>
          <w:sz w:val="24"/>
          <w:szCs w:val="24"/>
          <w:lang w:val="ro-RO"/>
        </w:rPr>
      </w:pPr>
      <w:r w:rsidRPr="004D6806">
        <w:rPr>
          <w:rFonts w:ascii="Arial" w:eastAsiaTheme="minorHAnsi" w:hAnsi="Arial" w:cs="Arial"/>
          <w:bCs/>
          <w:noProof/>
          <w:sz w:val="24"/>
          <w:szCs w:val="24"/>
          <w:lang w:val="ro-RO" w:eastAsia="ro-RO"/>
        </w:rPr>
        <w:lastRenderedPageBreak/>
        <w:drawing>
          <wp:inline distT="0" distB="0" distL="0" distR="0">
            <wp:extent cx="5505450" cy="2743200"/>
            <wp:effectExtent l="19050" t="0" r="19050" b="0"/>
            <wp:docPr id="27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4D6806" w:rsidRPr="004D6806" w:rsidRDefault="004D6806" w:rsidP="004D6806">
      <w:pPr>
        <w:autoSpaceDE w:val="0"/>
        <w:autoSpaceDN w:val="0"/>
        <w:adjustRightInd w:val="0"/>
        <w:spacing w:after="0" w:line="240" w:lineRule="auto"/>
        <w:jc w:val="both"/>
        <w:rPr>
          <w:rFonts w:ascii="Arial" w:eastAsiaTheme="minorHAnsi" w:hAnsi="Arial" w:cs="Arial"/>
          <w:b/>
          <w:bCs/>
          <w:sz w:val="24"/>
          <w:szCs w:val="24"/>
          <w:lang w:val="ro-RO"/>
        </w:rPr>
      </w:pPr>
      <w:r w:rsidRPr="004D6806">
        <w:rPr>
          <w:rFonts w:ascii="Arial" w:eastAsiaTheme="minorHAnsi" w:hAnsi="Arial" w:cs="Arial"/>
          <w:b/>
          <w:color w:val="000000"/>
          <w:sz w:val="24"/>
          <w:szCs w:val="24"/>
          <w:lang w:val="ro-RO"/>
        </w:rPr>
        <w:t>Figura XI.1.5.2.1. Numărul de evenimente pe an, în judeţul Buzău, pe bazine hidrografice, în perioada 2010-2014</w:t>
      </w:r>
    </w:p>
    <w:p w:rsidR="004D6806" w:rsidRDefault="004D6806" w:rsidP="004D6806">
      <w:pPr>
        <w:autoSpaceDE w:val="0"/>
        <w:autoSpaceDN w:val="0"/>
        <w:adjustRightInd w:val="0"/>
        <w:spacing w:after="0" w:line="240" w:lineRule="auto"/>
        <w:jc w:val="both"/>
        <w:rPr>
          <w:rFonts w:ascii="Arial" w:eastAsiaTheme="minorHAnsi" w:hAnsi="Arial" w:cs="Arial"/>
          <w:bCs/>
          <w:sz w:val="24"/>
          <w:szCs w:val="24"/>
          <w:lang w:val="ro-RO"/>
        </w:rPr>
      </w:pPr>
    </w:p>
    <w:p w:rsidR="004D6806" w:rsidRPr="004D6806" w:rsidRDefault="004D6806" w:rsidP="004D6806">
      <w:pPr>
        <w:autoSpaceDE w:val="0"/>
        <w:autoSpaceDN w:val="0"/>
        <w:adjustRightInd w:val="0"/>
        <w:spacing w:after="0" w:line="240" w:lineRule="auto"/>
        <w:jc w:val="both"/>
        <w:rPr>
          <w:rFonts w:ascii="Arial" w:eastAsiaTheme="minorHAnsi" w:hAnsi="Arial" w:cs="Arial"/>
          <w:bCs/>
          <w:sz w:val="24"/>
          <w:szCs w:val="24"/>
          <w:lang w:val="ro-RO"/>
        </w:rPr>
      </w:pPr>
    </w:p>
    <w:p w:rsidR="004D6806" w:rsidRPr="004D6806" w:rsidRDefault="004D6806" w:rsidP="004D6806">
      <w:pPr>
        <w:tabs>
          <w:tab w:val="left" w:pos="1080"/>
        </w:tabs>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Numărul de persoane afectate de cele mai semnificative inundaţii din judeţul Buzău, în perioda 2010-2014, este redat în tabelul următor.</w:t>
      </w:r>
    </w:p>
    <w:tbl>
      <w:tblPr>
        <w:tblStyle w:val="TableGrid6"/>
        <w:tblW w:w="0" w:type="auto"/>
        <w:tblInd w:w="250" w:type="dxa"/>
        <w:tblLook w:val="01E0"/>
      </w:tblPr>
      <w:tblGrid>
        <w:gridCol w:w="938"/>
        <w:gridCol w:w="1686"/>
        <w:gridCol w:w="1686"/>
        <w:gridCol w:w="1686"/>
        <w:gridCol w:w="1686"/>
        <w:gridCol w:w="1686"/>
      </w:tblGrid>
      <w:tr w:rsidR="004D6806" w:rsidRPr="004D6806" w:rsidTr="00530BF0">
        <w:trPr>
          <w:trHeight w:val="360"/>
        </w:trPr>
        <w:tc>
          <w:tcPr>
            <w:tcW w:w="938" w:type="dxa"/>
            <w:vMerge w:val="restart"/>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Anul</w:t>
            </w:r>
          </w:p>
        </w:tc>
        <w:tc>
          <w:tcPr>
            <w:tcW w:w="1686" w:type="dxa"/>
            <w:vMerge w:val="restart"/>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eve</w:t>
            </w:r>
            <w:r w:rsidRPr="004D6806">
              <w:rPr>
                <w:rFonts w:ascii="Arial" w:eastAsia="SimSun" w:hAnsi="Arial" w:cs="Arial"/>
                <w:sz w:val="24"/>
                <w:szCs w:val="24"/>
                <w:lang w:val="en-GB"/>
              </w:rPr>
              <w:t>n</w:t>
            </w:r>
            <w:r w:rsidRPr="004D6806">
              <w:rPr>
                <w:rFonts w:ascii="Arial" w:eastAsia="SimSun" w:hAnsi="Arial" w:cs="Arial"/>
                <w:sz w:val="24"/>
                <w:szCs w:val="24"/>
                <w:lang w:val="en-GB"/>
              </w:rPr>
              <w:t>imente</w:t>
            </w:r>
          </w:p>
        </w:tc>
        <w:tc>
          <w:tcPr>
            <w:tcW w:w="6744" w:type="dxa"/>
            <w:gridSpan w:val="4"/>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Numărul persoanelor afectate</w:t>
            </w:r>
          </w:p>
        </w:tc>
      </w:tr>
      <w:tr w:rsidR="004D6806" w:rsidRPr="004D6806" w:rsidTr="00530BF0">
        <w:trPr>
          <w:trHeight w:val="1110"/>
        </w:trPr>
        <w:tc>
          <w:tcPr>
            <w:tcW w:w="938" w:type="dxa"/>
            <w:vMerge/>
          </w:tcPr>
          <w:p w:rsidR="004D6806" w:rsidRPr="004D6806" w:rsidRDefault="004D6806" w:rsidP="004D6806">
            <w:pPr>
              <w:spacing w:after="0" w:line="240" w:lineRule="auto"/>
              <w:jc w:val="center"/>
              <w:rPr>
                <w:rFonts w:ascii="Arial" w:eastAsia="SimSun" w:hAnsi="Arial" w:cs="Arial"/>
                <w:sz w:val="24"/>
                <w:szCs w:val="24"/>
                <w:lang w:val="en-GB"/>
              </w:rPr>
            </w:pPr>
          </w:p>
        </w:tc>
        <w:tc>
          <w:tcPr>
            <w:tcW w:w="1686" w:type="dxa"/>
            <w:vMerge/>
          </w:tcPr>
          <w:p w:rsidR="004D6806" w:rsidRPr="004D6806" w:rsidRDefault="004D6806" w:rsidP="004D6806">
            <w:pPr>
              <w:spacing w:after="0" w:line="240" w:lineRule="auto"/>
              <w:jc w:val="center"/>
              <w:rPr>
                <w:rFonts w:ascii="Arial" w:eastAsia="SimSun" w:hAnsi="Arial" w:cs="Arial"/>
                <w:sz w:val="24"/>
                <w:szCs w:val="24"/>
                <w:lang w:val="en-GB"/>
              </w:rPr>
            </w:pPr>
          </w:p>
        </w:tc>
        <w:tc>
          <w:tcPr>
            <w:tcW w:w="168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pe</w:t>
            </w:r>
            <w:r w:rsidRPr="004D6806">
              <w:rPr>
                <w:rFonts w:ascii="Arial" w:eastAsia="SimSun" w:hAnsi="Arial" w:cs="Arial"/>
                <w:sz w:val="24"/>
                <w:szCs w:val="24"/>
                <w:lang w:val="en-GB"/>
              </w:rPr>
              <w:t>r</w:t>
            </w:r>
            <w:r w:rsidRPr="004D6806">
              <w:rPr>
                <w:rFonts w:ascii="Arial" w:eastAsia="SimSun" w:hAnsi="Arial" w:cs="Arial"/>
                <w:sz w:val="24"/>
                <w:szCs w:val="24"/>
                <w:lang w:val="en-GB"/>
              </w:rPr>
              <w:t>soane dec</w:t>
            </w:r>
            <w:r w:rsidRPr="004D6806">
              <w:rPr>
                <w:rFonts w:ascii="Arial" w:eastAsia="SimSun" w:hAnsi="Arial" w:cs="Arial"/>
                <w:sz w:val="24"/>
                <w:szCs w:val="24"/>
                <w:lang w:val="en-GB"/>
              </w:rPr>
              <w:t>e</w:t>
            </w:r>
            <w:r w:rsidRPr="004D6806">
              <w:rPr>
                <w:rFonts w:ascii="Arial" w:eastAsia="SimSun" w:hAnsi="Arial" w:cs="Arial"/>
                <w:sz w:val="24"/>
                <w:szCs w:val="24"/>
                <w:lang w:val="en-GB"/>
              </w:rPr>
              <w:t>date</w:t>
            </w:r>
          </w:p>
        </w:tc>
        <w:tc>
          <w:tcPr>
            <w:tcW w:w="168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pe</w:t>
            </w:r>
            <w:r w:rsidRPr="004D6806">
              <w:rPr>
                <w:rFonts w:ascii="Arial" w:eastAsia="SimSun" w:hAnsi="Arial" w:cs="Arial"/>
                <w:sz w:val="24"/>
                <w:szCs w:val="24"/>
                <w:lang w:val="en-GB"/>
              </w:rPr>
              <w:t>r</w:t>
            </w:r>
            <w:r w:rsidRPr="004D6806">
              <w:rPr>
                <w:rFonts w:ascii="Arial" w:eastAsia="SimSun" w:hAnsi="Arial" w:cs="Arial"/>
                <w:sz w:val="24"/>
                <w:szCs w:val="24"/>
                <w:lang w:val="en-GB"/>
              </w:rPr>
              <w:t>soane rănite</w:t>
            </w:r>
          </w:p>
        </w:tc>
        <w:tc>
          <w:tcPr>
            <w:tcW w:w="168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pe</w:t>
            </w:r>
            <w:r w:rsidRPr="004D6806">
              <w:rPr>
                <w:rFonts w:ascii="Arial" w:eastAsia="SimSun" w:hAnsi="Arial" w:cs="Arial"/>
                <w:sz w:val="24"/>
                <w:szCs w:val="24"/>
                <w:lang w:val="en-GB"/>
              </w:rPr>
              <w:t>r</w:t>
            </w:r>
            <w:r w:rsidRPr="004D6806">
              <w:rPr>
                <w:rFonts w:ascii="Arial" w:eastAsia="SimSun" w:hAnsi="Arial" w:cs="Arial"/>
                <w:sz w:val="24"/>
                <w:szCs w:val="24"/>
                <w:lang w:val="en-GB"/>
              </w:rPr>
              <w:t>soane evacuate</w:t>
            </w:r>
          </w:p>
        </w:tc>
        <w:tc>
          <w:tcPr>
            <w:tcW w:w="1686" w:type="dxa"/>
            <w:vAlign w:val="center"/>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Număr pe</w:t>
            </w:r>
            <w:r w:rsidRPr="004D6806">
              <w:rPr>
                <w:rFonts w:ascii="Arial" w:eastAsia="SimSun" w:hAnsi="Arial" w:cs="Arial"/>
                <w:sz w:val="24"/>
                <w:szCs w:val="24"/>
                <w:lang w:val="en-GB"/>
              </w:rPr>
              <w:t>r</w:t>
            </w:r>
            <w:r w:rsidRPr="004D6806">
              <w:rPr>
                <w:rFonts w:ascii="Arial" w:eastAsia="SimSun" w:hAnsi="Arial" w:cs="Arial"/>
                <w:sz w:val="24"/>
                <w:szCs w:val="24"/>
                <w:lang w:val="en-GB"/>
              </w:rPr>
              <w:t>soane cu l</w:t>
            </w:r>
            <w:r w:rsidRPr="004D6806">
              <w:rPr>
                <w:rFonts w:ascii="Arial" w:eastAsia="SimSun" w:hAnsi="Arial" w:cs="Arial"/>
                <w:sz w:val="24"/>
                <w:szCs w:val="24"/>
                <w:lang w:val="en-GB"/>
              </w:rPr>
              <w:t>o</w:t>
            </w:r>
            <w:r w:rsidRPr="004D6806">
              <w:rPr>
                <w:rFonts w:ascii="Arial" w:eastAsia="SimSun" w:hAnsi="Arial" w:cs="Arial"/>
                <w:sz w:val="24"/>
                <w:szCs w:val="24"/>
                <w:lang w:val="en-GB"/>
              </w:rPr>
              <w:t>cuinţe di</w:t>
            </w:r>
            <w:r w:rsidRPr="004D6806">
              <w:rPr>
                <w:rFonts w:ascii="Arial" w:eastAsia="SimSun" w:hAnsi="Arial" w:cs="Arial"/>
                <w:sz w:val="24"/>
                <w:szCs w:val="24"/>
                <w:lang w:val="en-GB"/>
              </w:rPr>
              <w:t>s</w:t>
            </w:r>
            <w:r w:rsidRPr="004D6806">
              <w:rPr>
                <w:rFonts w:ascii="Arial" w:eastAsia="SimSun" w:hAnsi="Arial" w:cs="Arial"/>
                <w:sz w:val="24"/>
                <w:szCs w:val="24"/>
                <w:lang w:val="en-GB"/>
              </w:rPr>
              <w:t>truse</w:t>
            </w:r>
          </w:p>
        </w:tc>
      </w:tr>
      <w:tr w:rsidR="004D6806" w:rsidRPr="004D6806" w:rsidTr="00530BF0">
        <w:tc>
          <w:tcPr>
            <w:tcW w:w="93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1</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r>
      <w:tr w:rsidR="004D6806" w:rsidRPr="004D6806" w:rsidTr="00530BF0">
        <w:tc>
          <w:tcPr>
            <w:tcW w:w="93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2011</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r>
      <w:tr w:rsidR="004D6806" w:rsidRPr="004D6806" w:rsidTr="00530BF0">
        <w:tc>
          <w:tcPr>
            <w:tcW w:w="93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2012</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r>
      <w:tr w:rsidR="004D6806" w:rsidRPr="004D6806" w:rsidTr="00530BF0">
        <w:tc>
          <w:tcPr>
            <w:tcW w:w="93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2013</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4</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r>
      <w:tr w:rsidR="004D6806" w:rsidRPr="004D6806" w:rsidTr="00530BF0">
        <w:tc>
          <w:tcPr>
            <w:tcW w:w="938"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2014</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7</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c>
          <w:tcPr>
            <w:tcW w:w="1686" w:type="dxa"/>
          </w:tcPr>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sz w:val="24"/>
                <w:szCs w:val="24"/>
                <w:lang w:val="en-GB"/>
              </w:rPr>
              <w:t>0</w:t>
            </w:r>
          </w:p>
        </w:tc>
      </w:tr>
    </w:tbl>
    <w:p w:rsidR="004D6806" w:rsidRPr="004D6806" w:rsidRDefault="004D6806" w:rsidP="004D6806">
      <w:pPr>
        <w:autoSpaceDE w:val="0"/>
        <w:autoSpaceDN w:val="0"/>
        <w:adjustRightInd w:val="0"/>
        <w:spacing w:after="0" w:line="240" w:lineRule="auto"/>
        <w:jc w:val="both"/>
        <w:rPr>
          <w:rFonts w:ascii="Arial" w:eastAsiaTheme="minorHAnsi" w:hAnsi="Arial" w:cs="Arial"/>
          <w:b/>
          <w:bCs/>
          <w:sz w:val="24"/>
          <w:szCs w:val="24"/>
          <w:lang w:val="ro-RO"/>
        </w:rPr>
      </w:pPr>
      <w:r w:rsidRPr="004D6806">
        <w:rPr>
          <w:rFonts w:ascii="Arial" w:eastAsiaTheme="minorHAnsi" w:hAnsi="Arial" w:cs="Arial"/>
          <w:b/>
          <w:sz w:val="24"/>
          <w:szCs w:val="24"/>
          <w:lang w:val="ro-RO"/>
        </w:rPr>
        <w:t>Tabel IX.1.5.2.2.</w:t>
      </w:r>
      <w:r w:rsidRPr="004D6806">
        <w:rPr>
          <w:rFonts w:ascii="Arial" w:eastAsiaTheme="minorHAnsi" w:hAnsi="Arial" w:cs="Arial"/>
          <w:b/>
          <w:bCs/>
          <w:sz w:val="24"/>
          <w:szCs w:val="24"/>
          <w:lang w:val="ro-RO"/>
        </w:rPr>
        <w:t xml:space="preserve"> </w:t>
      </w:r>
      <w:r w:rsidRPr="004D6806">
        <w:rPr>
          <w:rFonts w:ascii="Arial" w:eastAsiaTheme="minorHAnsi" w:hAnsi="Arial" w:cs="Arial"/>
          <w:b/>
          <w:sz w:val="24"/>
          <w:szCs w:val="24"/>
          <w:lang w:val="ro-RO"/>
        </w:rPr>
        <w:t>Număr de persoane afectate de cele mai semnificative inundaţii din judeţul Buzău</w:t>
      </w:r>
      <w:r w:rsidRPr="004D6806">
        <w:rPr>
          <w:rFonts w:ascii="Arial" w:eastAsiaTheme="minorHAnsi" w:hAnsi="Arial" w:cs="Arial"/>
          <w:b/>
          <w:bCs/>
          <w:sz w:val="24"/>
          <w:szCs w:val="24"/>
          <w:lang w:val="ro-RO"/>
        </w:rPr>
        <w:t xml:space="preserve"> în perioada 2010-2014 </w:t>
      </w:r>
    </w:p>
    <w:p w:rsidR="004D6806" w:rsidRPr="004D6806" w:rsidRDefault="004D6806" w:rsidP="004D6806">
      <w:pPr>
        <w:autoSpaceDE w:val="0"/>
        <w:autoSpaceDN w:val="0"/>
        <w:adjustRightInd w:val="0"/>
        <w:spacing w:after="0" w:line="240" w:lineRule="auto"/>
        <w:jc w:val="right"/>
        <w:rPr>
          <w:rFonts w:ascii="Arial" w:eastAsiaTheme="minorHAnsi" w:hAnsi="Arial" w:cs="Arial"/>
          <w:bCs/>
          <w:sz w:val="24"/>
          <w:szCs w:val="24"/>
          <w:lang w:val="ro-RO"/>
        </w:rPr>
      </w:pPr>
      <w:r w:rsidRPr="004D6806">
        <w:rPr>
          <w:rFonts w:ascii="Arial" w:eastAsiaTheme="minorHAnsi" w:hAnsi="Arial" w:cs="Arial"/>
          <w:bCs/>
          <w:sz w:val="24"/>
          <w:szCs w:val="24"/>
          <w:lang w:val="ro-RO"/>
        </w:rPr>
        <w:t>Sursa datelor: I.S.U.J. Buzău</w:t>
      </w:r>
    </w:p>
    <w:p w:rsidR="004D6806" w:rsidRPr="004D6806" w:rsidRDefault="004D6806" w:rsidP="004D6806">
      <w:pPr>
        <w:autoSpaceDE w:val="0"/>
        <w:autoSpaceDN w:val="0"/>
        <w:adjustRightInd w:val="0"/>
        <w:spacing w:after="0" w:line="240" w:lineRule="auto"/>
        <w:jc w:val="both"/>
        <w:rPr>
          <w:rFonts w:ascii="Arial" w:eastAsiaTheme="minorHAnsi" w:hAnsi="Arial" w:cs="Arial"/>
          <w:bCs/>
          <w:sz w:val="24"/>
          <w:szCs w:val="24"/>
          <w:lang w:val="ro-RO"/>
        </w:rPr>
      </w:pPr>
    </w:p>
    <w:p w:rsidR="004D6806" w:rsidRPr="004D6806" w:rsidRDefault="004D6806" w:rsidP="004D6806">
      <w:pPr>
        <w:spacing w:after="0" w:line="240" w:lineRule="auto"/>
        <w:jc w:val="center"/>
        <w:rPr>
          <w:rFonts w:ascii="Arial" w:eastAsia="SimSun" w:hAnsi="Arial" w:cs="Arial"/>
          <w:sz w:val="24"/>
          <w:szCs w:val="24"/>
          <w:lang w:val="en-GB"/>
        </w:rPr>
      </w:pPr>
      <w:r w:rsidRPr="004D6806">
        <w:rPr>
          <w:rFonts w:ascii="Arial" w:eastAsia="SimSun" w:hAnsi="Arial" w:cs="Arial"/>
          <w:noProof/>
          <w:sz w:val="24"/>
          <w:szCs w:val="24"/>
          <w:lang w:val="ro-RO" w:eastAsia="ro-RO"/>
        </w:rPr>
        <w:lastRenderedPageBreak/>
        <w:drawing>
          <wp:inline distT="0" distB="0" distL="0" distR="0">
            <wp:extent cx="5229225" cy="3952876"/>
            <wp:effectExtent l="19050" t="0" r="9525" b="9524"/>
            <wp:docPr id="2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4D6806" w:rsidRPr="004D6806" w:rsidRDefault="004D6806" w:rsidP="004D6806">
      <w:pPr>
        <w:spacing w:after="0" w:line="240" w:lineRule="auto"/>
        <w:jc w:val="both"/>
        <w:rPr>
          <w:rFonts w:ascii="Arial" w:eastAsia="SimSun" w:hAnsi="Arial" w:cs="Arial"/>
          <w:b/>
          <w:sz w:val="24"/>
          <w:szCs w:val="24"/>
          <w:lang w:val="en-GB"/>
        </w:rPr>
      </w:pPr>
      <w:r w:rsidRPr="004D6806">
        <w:rPr>
          <w:rFonts w:ascii="Arial" w:eastAsia="SimSun" w:hAnsi="Arial" w:cs="Arial"/>
          <w:b/>
          <w:sz w:val="24"/>
          <w:szCs w:val="24"/>
          <w:lang w:val="en-GB"/>
        </w:rPr>
        <w:t>Figura XI.1.5.2.2. Numărul de evenimente şi numărul de persoane afectate pe fiecare bazin hidrografic, în anul 2014, pe teritoriul judeţului Buzău</w:t>
      </w:r>
    </w:p>
    <w:p w:rsidR="004D6806" w:rsidRPr="004D6806" w:rsidRDefault="004D6806" w:rsidP="004D6806">
      <w:pPr>
        <w:spacing w:after="0" w:line="240" w:lineRule="auto"/>
        <w:jc w:val="both"/>
        <w:rPr>
          <w:rFonts w:ascii="Arial" w:eastAsia="SimSun" w:hAnsi="Arial" w:cs="Arial"/>
          <w:sz w:val="24"/>
          <w:szCs w:val="24"/>
          <w:lang w:val="en-GB"/>
        </w:rPr>
      </w:pPr>
    </w:p>
    <w:p w:rsidR="004D6806" w:rsidRPr="004D6806" w:rsidRDefault="004D6806" w:rsidP="004D6806">
      <w:pPr>
        <w:spacing w:after="0" w:line="240" w:lineRule="auto"/>
        <w:jc w:val="both"/>
        <w:rPr>
          <w:rFonts w:ascii="Arial" w:eastAsia="SimSun" w:hAnsi="Arial" w:cs="Arial"/>
          <w:sz w:val="24"/>
          <w:szCs w:val="24"/>
          <w:lang w:val="en-GB"/>
        </w:rPr>
      </w:pPr>
      <w:r w:rsidRPr="004D6806">
        <w:rPr>
          <w:rFonts w:ascii="Arial" w:eastAsia="SimSun" w:hAnsi="Arial" w:cs="Arial"/>
          <w:sz w:val="24"/>
          <w:szCs w:val="24"/>
          <w:lang w:val="en-GB"/>
        </w:rPr>
        <w:t>Din datele de mai sus se poate observa că în ultimii cinci ani pe teritoriul judeţului Buzău nu s-au înregistrat persoane cu locuinţe distruse, persoane evacuate, persoane rănite sau decedate din cauza inundaţiilor.</w:t>
      </w:r>
    </w:p>
    <w:p w:rsidR="004D6806" w:rsidRPr="004D6806" w:rsidRDefault="004D6806" w:rsidP="004D6806">
      <w:pPr>
        <w:tabs>
          <w:tab w:val="left" w:leader="dot" w:pos="9356"/>
        </w:tabs>
        <w:spacing w:after="0" w:line="240" w:lineRule="auto"/>
        <w:jc w:val="both"/>
        <w:rPr>
          <w:rFonts w:ascii="Arial" w:eastAsia="SimSun" w:hAnsi="Arial" w:cs="Arial"/>
          <w:color w:val="FF0000"/>
          <w:sz w:val="24"/>
          <w:szCs w:val="24"/>
          <w:lang w:val="ro-RO"/>
        </w:rPr>
      </w:pPr>
    </w:p>
    <w:p w:rsidR="004D6806" w:rsidRDefault="004D6806" w:rsidP="00232324">
      <w:pPr>
        <w:spacing w:before="120" w:line="60" w:lineRule="atLeast"/>
        <w:jc w:val="center"/>
        <w:outlineLvl w:val="0"/>
        <w:rPr>
          <w:rFonts w:ascii="Times New Roman" w:hAnsi="Times New Roman"/>
          <w:b/>
          <w:sz w:val="28"/>
          <w:szCs w:val="28"/>
          <w:lang w:val="ro-RO"/>
        </w:rPr>
        <w:sectPr w:rsidR="004D6806" w:rsidSect="00A42550">
          <w:pgSz w:w="11906" w:h="16838"/>
          <w:pgMar w:top="851" w:right="851" w:bottom="851" w:left="1418" w:header="709" w:footer="709" w:gutter="0"/>
          <w:cols w:space="708"/>
          <w:docGrid w:linePitch="360"/>
        </w:sectPr>
      </w:pPr>
    </w:p>
    <w:p w:rsidR="004622F6" w:rsidRPr="004622F6" w:rsidRDefault="004622F6" w:rsidP="004622F6">
      <w:pPr>
        <w:autoSpaceDE w:val="0"/>
        <w:autoSpaceDN w:val="0"/>
        <w:adjustRightInd w:val="0"/>
        <w:spacing w:before="120" w:after="0" w:line="240" w:lineRule="auto"/>
        <w:jc w:val="both"/>
        <w:rPr>
          <w:rFonts w:ascii="Arial" w:eastAsia="Times New Roman" w:hAnsi="Arial" w:cs="Arial"/>
          <w:b/>
          <w:sz w:val="24"/>
          <w:szCs w:val="24"/>
          <w:lang w:val="ro-RO"/>
        </w:rPr>
      </w:pPr>
      <w:r w:rsidRPr="004622F6">
        <w:rPr>
          <w:rFonts w:ascii="Arial" w:eastAsia="Times New Roman" w:hAnsi="Arial" w:cs="Arial"/>
          <w:b/>
          <w:sz w:val="24"/>
          <w:szCs w:val="24"/>
          <w:lang w:val="ro-RO"/>
        </w:rPr>
        <w:lastRenderedPageBreak/>
        <w:t>X.  RADIOACTIVITATEA MEDIULUI ÎN JUDEŢUL BUZĂU</w:t>
      </w:r>
    </w:p>
    <w:p w:rsidR="004622F6" w:rsidRPr="004622F6" w:rsidRDefault="004622F6" w:rsidP="004622F6">
      <w:pPr>
        <w:autoSpaceDE w:val="0"/>
        <w:autoSpaceDN w:val="0"/>
        <w:adjustRightInd w:val="0"/>
        <w:spacing w:before="120" w:after="0" w:line="240" w:lineRule="auto"/>
        <w:jc w:val="both"/>
        <w:rPr>
          <w:rFonts w:ascii="Arial" w:eastAsia="Times New Roman" w:hAnsi="Arial" w:cs="Arial"/>
          <w:b/>
          <w:sz w:val="24"/>
          <w:szCs w:val="24"/>
          <w:lang w:val="ro-RO"/>
        </w:rPr>
      </w:pPr>
      <w:r w:rsidRPr="004622F6">
        <w:rPr>
          <w:rFonts w:ascii="Arial" w:eastAsia="Times New Roman" w:hAnsi="Arial" w:cs="Arial"/>
          <w:b/>
          <w:sz w:val="24"/>
          <w:szCs w:val="24"/>
          <w:lang w:val="ro-RO"/>
        </w:rPr>
        <w:t>X.1. Monitorizarea factorilor de mediu în judeţul Buzău</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Mediul înconjurător conţine surse naturale de radiaţii, existente de miliarde de ani pe planeta Pământ. Acestora, omul le-a adăugat în ultimii aproape o sută de ani şi pe cele artificiale create de el. Scopurile supravegherii radioactivităţii sunt:</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 cunoaşterea factorului fizic – radioactivitatea - existent pe Pământ şi într-o bună măsură determinant al evoluţiei vieţii;</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  evaluarea expunerii omului la radiaţii şi, după caz, luarea de măsuri de radioprotecţie;</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 stabilirea oportunităţilor şi priorităţilor în refacerea ecologică a zonelor cu radioactivitate crescută ca urmare a acţiunilor umane.</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Reţeaua Naţională de Supraveghere a Radioactivităţii Mediului (RNSRM) face parte din sistemul integrat de supraveghere a poluării mediului pe teritoriul României, aflată în subordinea Ministerului Mediului, Apelor şi Pădurilor.</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color w:val="000000"/>
          <w:sz w:val="24"/>
          <w:szCs w:val="24"/>
          <w:lang w:val="ro-RO"/>
        </w:rPr>
        <w:t xml:space="preserve"> </w:t>
      </w:r>
      <w:r w:rsidRPr="004622F6">
        <w:rPr>
          <w:rFonts w:ascii="Arial" w:eastAsia="Times New Roman" w:hAnsi="Arial" w:cs="Arial"/>
          <w:sz w:val="24"/>
          <w:szCs w:val="24"/>
          <w:lang w:val="ro-RO"/>
        </w:rPr>
        <w:t>Înfiinţată în anul 1962, RNSRM constituie o componentă specializată a sistemului naţional de radioprotecţie, care realizează supravegherea şi controlul respectării prevederilor legale privind radioprotecţia mediului şi asigură îndeplinirea responsabilităţilor M.M.A.P. privind detectarea unor niveluri crescute de radioactivitate, avertizarea şi alarmarea factorilor de decizie în cazul unor evenimente cu impact radiologic asupra mediului şi sănătăţii populaţiei.</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RNSRM funcţionează cu un număr de 37 de Staţii de Supraveghere a Radioactivităţii Mediului din cadrul Agenţiilor pentru Protecţia Mediului. Coordonarea ştiinţifică, tehnică şi metodologică a RNSRM este asigurată de Laboratorul Naţional de Referinţă pentru Radioactivitate (LNRR) din cadrul ANPM.</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Sistemul Naţional de Avertizare/Alarmare pentru Radioactivitatea Mediului (SNAARM), cuprinde în prezent 88 staţii automate de monitorizare a debitului gama în aer , 15 staţii fiind amplasate în zona de influenţă a CNE Kozlodui, 33 staţii sunt în zona de influenţă a CNE Cernavodă, 2 staţii de fond, amplasate la Babele şi Toaca, iar restul sunt distribuite uniform pe teritoriul ţării, în reşedinţele de judeţ.</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Staţiile automate locale sunt concepute să permită funcţionarea şi monitorizarea mediului în zonele în care au fost montate, într-o maniere continuă, fără necesitatea intervenţiei umane (operare automată), în condiţiile de mediu existente în regiunile de amplasare.</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SNAARM este coordonat de un centru de comandă aflat în cadrul Laboratorului de Radioactivitate din ANPM.</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Organizarea şi funcţionarea RNSRM se realizează în baza Ordonanţei de Urgenţă nr. 195/22 decembrie 2005 privind protecţia mediului, aprobată cu modificări şi completări prin Legea 265/2006  şi a Ordinului  Ministrului nr. 1978/ 19.11.2010 privind aprobarea Regulamentului de organizare şi funcţionare a Reţelei Naţionale de Supraveghere a Radioactivităţii Mediului.</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Staţia de Supraveghere a Radioactivităţii Mediului Buzău efectuează în prezent măsurări de radioactivitate beta globale pentru toţi factorii de mediu, calcule de concentraţii ale radioizotopilor naturali Radon şi Toron, cât şi supravegherea dozelor gama absorbite în aer.</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Staţia de Supraveghere a Radioactivităţii Mediului Buzău derulează un program standard de supraveghere a radioactivităţii mediului de 11 ore/zi. Acest program standard de recoltări şi măsurări asigură supravegherea radioprotecţiei mediului la nivelul judeţului, în scopul detectării creşterii nivelurilor de radioactivitate în mediu şi realizării avertizării/alarmării factorilor de decizie.</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Sunt bine stabilite fluxurile de date zilnice sau lunare pentru situaţii normale, cât şi procedurile standard de notificare, avertizare, alarmare, precum şi fluxul de date în cazul sesizării unor depăşiri ale pragurilor de atenţionare/avertizare/alarmare.</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 xml:space="preserve">Situaţia radioactivităţii mediului pentru judeţul Buzău rezultă din măsurările beta globale pentru factorii de mediu: aerosoli atmosferici, depuneri atmosferice, apă de suprafaţă (râu Buzău), apă de adâncime (foraj Crâng), sol şi vegetaţie. </w:t>
      </w:r>
    </w:p>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lastRenderedPageBreak/>
        <w:t>Programul naţional standard de monitorizare a radioactivităţii factorilor de mediu</w:t>
      </w:r>
    </w:p>
    <w:p w:rsidR="004622F6" w:rsidRPr="004622F6" w:rsidRDefault="004622F6" w:rsidP="004622F6">
      <w:pPr>
        <w:spacing w:before="120"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În anul 2014 s-au realizat 4091 analize beta globale (imediate şi întârziate) şi un număr de 3284 măsurări medii orare debit doză gama din aerul exterior.</w:t>
      </w: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120" w:line="480" w:lineRule="auto"/>
        <w:rPr>
          <w:rFonts w:ascii="Arial" w:eastAsia="Times New Roman" w:hAnsi="Arial" w:cs="Arial"/>
          <w:sz w:val="20"/>
          <w:szCs w:val="20"/>
          <w:lang w:val="en-AU"/>
        </w:rPr>
      </w:pPr>
      <w:r>
        <w:rPr>
          <w:rFonts w:ascii="Times New Roman" w:eastAsia="Times New Roman" w:hAnsi="Times New Roman"/>
          <w:noProof/>
          <w:sz w:val="20"/>
          <w:szCs w:val="20"/>
          <w:lang w:val="ro-RO" w:eastAsia="ro-RO"/>
        </w:rPr>
        <w:drawing>
          <wp:anchor distT="0" distB="0" distL="114300" distR="114300" simplePos="0" relativeHeight="251676672" behindDoc="0" locked="0" layoutInCell="1" allowOverlap="1">
            <wp:simplePos x="0" y="0"/>
            <wp:positionH relativeFrom="column">
              <wp:posOffset>800100</wp:posOffset>
            </wp:positionH>
            <wp:positionV relativeFrom="paragraph">
              <wp:posOffset>800100</wp:posOffset>
            </wp:positionV>
            <wp:extent cx="4681855" cy="2972435"/>
            <wp:effectExtent l="0" t="0" r="0" b="0"/>
            <wp:wrapSquare wrapText="right"/>
            <wp:docPr id="368"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anchor>
        </w:drawing>
      </w:r>
      <w:r w:rsidRPr="004622F6">
        <w:rPr>
          <w:rFonts w:ascii="Arial" w:eastAsia="Times New Roman" w:hAnsi="Arial" w:cs="Arial"/>
          <w:sz w:val="20"/>
          <w:szCs w:val="20"/>
          <w:lang w:val="en-AU"/>
        </w:rPr>
        <w:t xml:space="preserve">       </w:t>
      </w: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both"/>
        <w:rPr>
          <w:rFonts w:ascii="Arial" w:eastAsia="Times New Roman" w:hAnsi="Arial" w:cs="Arial"/>
          <w:sz w:val="20"/>
          <w:szCs w:val="20"/>
          <w:lang w:val="en-AU"/>
        </w:rPr>
      </w:pPr>
    </w:p>
    <w:p w:rsidR="004622F6" w:rsidRPr="004622F6" w:rsidRDefault="004622F6" w:rsidP="004622F6">
      <w:pPr>
        <w:spacing w:after="0" w:line="240" w:lineRule="auto"/>
        <w:jc w:val="center"/>
        <w:rPr>
          <w:rFonts w:ascii="Arial" w:eastAsia="Times New Roman" w:hAnsi="Arial" w:cs="Arial"/>
          <w:b/>
          <w:bCs/>
          <w:sz w:val="20"/>
          <w:szCs w:val="20"/>
          <w:lang w:val="en-AU"/>
        </w:rPr>
      </w:pPr>
    </w:p>
    <w:p w:rsidR="004622F6" w:rsidRPr="004622F6" w:rsidRDefault="004622F6" w:rsidP="004622F6">
      <w:pPr>
        <w:spacing w:after="0" w:line="240" w:lineRule="auto"/>
        <w:jc w:val="center"/>
        <w:rPr>
          <w:rFonts w:ascii="Arial" w:eastAsia="Times New Roman" w:hAnsi="Arial" w:cs="Arial"/>
          <w:b/>
          <w:bCs/>
          <w:sz w:val="20"/>
          <w:szCs w:val="20"/>
          <w:lang w:val="en-AU"/>
        </w:rPr>
      </w:pPr>
    </w:p>
    <w:p w:rsidR="004622F6" w:rsidRPr="004622F6" w:rsidRDefault="004622F6" w:rsidP="004622F6">
      <w:pPr>
        <w:spacing w:after="0" w:line="240" w:lineRule="auto"/>
        <w:jc w:val="center"/>
        <w:rPr>
          <w:rFonts w:ascii="Arial" w:eastAsia="Times New Roman" w:hAnsi="Arial" w:cs="Arial"/>
          <w:b/>
          <w:bCs/>
          <w:sz w:val="20"/>
          <w:szCs w:val="20"/>
          <w:lang w:val="en-AU"/>
        </w:rPr>
      </w:pPr>
    </w:p>
    <w:p w:rsidR="004622F6" w:rsidRPr="004622F6" w:rsidRDefault="004622F6" w:rsidP="004622F6">
      <w:pPr>
        <w:spacing w:after="0" w:line="240" w:lineRule="auto"/>
        <w:jc w:val="center"/>
        <w:rPr>
          <w:rFonts w:ascii="Arial" w:eastAsia="Times New Roman" w:hAnsi="Arial" w:cs="Arial"/>
          <w:b/>
          <w:bCs/>
          <w:sz w:val="24"/>
          <w:szCs w:val="24"/>
          <w:lang w:val="en-AU"/>
        </w:rPr>
      </w:pPr>
    </w:p>
    <w:p w:rsidR="004622F6" w:rsidRPr="004622F6" w:rsidRDefault="004622F6" w:rsidP="004622F6">
      <w:pPr>
        <w:spacing w:after="0" w:line="240" w:lineRule="auto"/>
        <w:jc w:val="center"/>
        <w:rPr>
          <w:rFonts w:ascii="Arial" w:eastAsia="Times New Roman" w:hAnsi="Arial" w:cs="Arial"/>
          <w:b/>
          <w:bCs/>
          <w:sz w:val="24"/>
          <w:szCs w:val="24"/>
          <w:lang w:val="en-AU"/>
        </w:rPr>
      </w:pPr>
    </w:p>
    <w:p w:rsidR="004622F6" w:rsidRPr="004622F6" w:rsidRDefault="004622F6" w:rsidP="004622F6">
      <w:pPr>
        <w:spacing w:after="0" w:line="240" w:lineRule="auto"/>
        <w:jc w:val="center"/>
        <w:rPr>
          <w:rFonts w:ascii="Arial" w:eastAsia="Times New Roman" w:hAnsi="Arial" w:cs="Arial"/>
          <w:sz w:val="24"/>
          <w:szCs w:val="24"/>
          <w:lang w:val="en-AU"/>
        </w:rPr>
      </w:pPr>
      <w:r w:rsidRPr="004622F6">
        <w:rPr>
          <w:rFonts w:ascii="Arial" w:eastAsia="Times New Roman" w:hAnsi="Arial" w:cs="Arial"/>
          <w:b/>
          <w:bCs/>
          <w:sz w:val="24"/>
          <w:szCs w:val="24"/>
          <w:lang w:val="en-AU"/>
        </w:rPr>
        <w:t xml:space="preserve">Fig. X.1.1. </w:t>
      </w:r>
      <w:r w:rsidRPr="004622F6">
        <w:rPr>
          <w:rFonts w:ascii="Arial" w:eastAsia="Times New Roman" w:hAnsi="Arial" w:cs="Arial"/>
          <w:b/>
          <w:bCs/>
          <w:sz w:val="24"/>
          <w:szCs w:val="24"/>
        </w:rPr>
        <w:t>Ponderea numărului de analize pe factor de mediu monitorizat</w:t>
      </w:r>
    </w:p>
    <w:p w:rsidR="004622F6" w:rsidRPr="004622F6" w:rsidRDefault="004622F6" w:rsidP="004622F6">
      <w:pPr>
        <w:tabs>
          <w:tab w:val="left" w:pos="315"/>
          <w:tab w:val="center" w:pos="4677"/>
        </w:tabs>
        <w:spacing w:before="120" w:after="0" w:line="240" w:lineRule="auto"/>
        <w:jc w:val="both"/>
        <w:rPr>
          <w:rFonts w:ascii="Arial" w:eastAsia="Times New Roman" w:hAnsi="Arial" w:cs="Arial"/>
          <w:bCs/>
          <w:iCs/>
          <w:sz w:val="24"/>
          <w:szCs w:val="24"/>
          <w:lang w:val="ro-RO"/>
        </w:rPr>
      </w:pPr>
      <w:r w:rsidRPr="004622F6">
        <w:rPr>
          <w:rFonts w:ascii="Arial" w:eastAsia="Times New Roman" w:hAnsi="Arial" w:cs="Arial"/>
          <w:bCs/>
          <w:iCs/>
          <w:sz w:val="24"/>
          <w:szCs w:val="24"/>
          <w:lang w:val="ro-RO"/>
        </w:rPr>
        <w:t>Rezultatele programului de monitorizare a radioactivităţii factorilor de mediu în anul 2014 :</w:t>
      </w:r>
    </w:p>
    <w:p w:rsidR="004622F6" w:rsidRPr="004622F6" w:rsidRDefault="004622F6" w:rsidP="004622F6">
      <w:pPr>
        <w:tabs>
          <w:tab w:val="left" w:pos="315"/>
          <w:tab w:val="center" w:pos="4677"/>
        </w:tabs>
        <w:spacing w:before="120" w:after="0" w:line="240" w:lineRule="auto"/>
        <w:jc w:val="both"/>
        <w:rPr>
          <w:rFonts w:ascii="Arial" w:eastAsia="Times New Roman" w:hAnsi="Arial" w:cs="Arial"/>
          <w:b/>
          <w:bCs/>
          <w:iCs/>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0"/>
        <w:gridCol w:w="1122"/>
        <w:gridCol w:w="1541"/>
        <w:gridCol w:w="1492"/>
        <w:gridCol w:w="1327"/>
        <w:gridCol w:w="1359"/>
      </w:tblGrid>
      <w:tr w:rsidR="004622F6" w:rsidRPr="004622F6" w:rsidTr="00D92384">
        <w:trPr>
          <w:trHeight w:val="298"/>
          <w:jc w:val="center"/>
        </w:trPr>
        <w:tc>
          <w:tcPr>
            <w:tcW w:w="1750" w:type="dxa"/>
            <w:vAlign w:val="center"/>
          </w:tcPr>
          <w:p w:rsidR="004622F6" w:rsidRPr="004622F6" w:rsidRDefault="004622F6" w:rsidP="004622F6">
            <w:pPr>
              <w:keepNext/>
              <w:spacing w:before="120" w:after="0" w:line="240" w:lineRule="auto"/>
              <w:jc w:val="center"/>
              <w:outlineLvl w:val="1"/>
              <w:rPr>
                <w:rFonts w:ascii="Arial" w:eastAsia="Times New Roman" w:hAnsi="Arial" w:cs="Arial"/>
                <w:noProof/>
                <w:color w:val="000000"/>
                <w:sz w:val="24"/>
                <w:szCs w:val="24"/>
                <w:lang w:val="ro-RO"/>
              </w:rPr>
            </w:pPr>
            <w:r w:rsidRPr="004622F6">
              <w:rPr>
                <w:rFonts w:ascii="Arial" w:eastAsia="Times New Roman" w:hAnsi="Arial" w:cs="Arial"/>
                <w:b/>
                <w:bCs/>
                <w:noProof/>
                <w:color w:val="000000"/>
                <w:sz w:val="24"/>
                <w:szCs w:val="24"/>
                <w:lang w:val="ro-RO"/>
              </w:rPr>
              <w:t>Factor  de mediu</w:t>
            </w:r>
          </w:p>
        </w:tc>
        <w:tc>
          <w:tcPr>
            <w:tcW w:w="1122" w:type="dxa"/>
            <w:vAlign w:val="center"/>
          </w:tcPr>
          <w:p w:rsidR="004622F6" w:rsidRPr="004622F6" w:rsidRDefault="004622F6" w:rsidP="004622F6">
            <w:pPr>
              <w:spacing w:before="120" w:after="0" w:line="240" w:lineRule="auto"/>
              <w:jc w:val="center"/>
              <w:rPr>
                <w:rFonts w:ascii="Arial" w:eastAsia="Times New Roman" w:hAnsi="Arial" w:cs="Arial"/>
                <w:b/>
                <w:bCs/>
                <w:color w:val="000000"/>
                <w:sz w:val="24"/>
                <w:szCs w:val="24"/>
                <w:lang w:val="ro-RO"/>
              </w:rPr>
            </w:pPr>
            <w:r w:rsidRPr="004622F6">
              <w:rPr>
                <w:rFonts w:ascii="Arial" w:eastAsia="Times New Roman" w:hAnsi="Arial" w:cs="Arial"/>
                <w:b/>
                <w:bCs/>
                <w:color w:val="000000"/>
                <w:sz w:val="24"/>
                <w:szCs w:val="24"/>
                <w:lang w:val="ro-RO"/>
              </w:rPr>
              <w:t>U.M.</w:t>
            </w:r>
          </w:p>
        </w:tc>
        <w:tc>
          <w:tcPr>
            <w:tcW w:w="1541" w:type="dxa"/>
          </w:tcPr>
          <w:p w:rsidR="004622F6" w:rsidRPr="004622F6" w:rsidRDefault="004622F6" w:rsidP="004622F6">
            <w:pPr>
              <w:spacing w:before="120" w:after="0" w:line="240" w:lineRule="auto"/>
              <w:jc w:val="center"/>
              <w:rPr>
                <w:rFonts w:ascii="Arial" w:eastAsia="Times New Roman" w:hAnsi="Arial" w:cs="Arial"/>
                <w:b/>
                <w:bCs/>
                <w:color w:val="000000"/>
                <w:sz w:val="24"/>
                <w:szCs w:val="24"/>
                <w:lang w:val="ro-RO"/>
              </w:rPr>
            </w:pPr>
            <w:r w:rsidRPr="004622F6">
              <w:rPr>
                <w:rFonts w:ascii="Arial" w:eastAsia="Times New Roman" w:hAnsi="Arial" w:cs="Arial"/>
                <w:b/>
                <w:bCs/>
                <w:color w:val="000000"/>
                <w:sz w:val="24"/>
                <w:szCs w:val="24"/>
                <w:lang w:val="ro-RO"/>
              </w:rPr>
              <w:t>Limita atenţionare/avertizare</w:t>
            </w:r>
          </w:p>
        </w:tc>
        <w:tc>
          <w:tcPr>
            <w:tcW w:w="1492" w:type="dxa"/>
            <w:vAlign w:val="center"/>
          </w:tcPr>
          <w:p w:rsidR="004622F6" w:rsidRPr="004622F6" w:rsidRDefault="004622F6" w:rsidP="004622F6">
            <w:pPr>
              <w:spacing w:before="120" w:after="0" w:line="240" w:lineRule="auto"/>
              <w:jc w:val="center"/>
              <w:rPr>
                <w:rFonts w:ascii="Arial" w:eastAsia="Times New Roman" w:hAnsi="Arial" w:cs="Arial"/>
                <w:b/>
                <w:bCs/>
                <w:color w:val="000000"/>
                <w:sz w:val="24"/>
                <w:szCs w:val="24"/>
                <w:lang w:val="ro-RO"/>
              </w:rPr>
            </w:pPr>
            <w:r w:rsidRPr="004622F6">
              <w:rPr>
                <w:rFonts w:ascii="Arial" w:eastAsia="Times New Roman" w:hAnsi="Arial" w:cs="Arial"/>
                <w:b/>
                <w:bCs/>
                <w:color w:val="000000"/>
                <w:sz w:val="24"/>
                <w:szCs w:val="24"/>
                <w:lang w:val="ro-RO"/>
              </w:rPr>
              <w:t>Media anuală</w:t>
            </w:r>
          </w:p>
        </w:tc>
        <w:tc>
          <w:tcPr>
            <w:tcW w:w="1327" w:type="dxa"/>
            <w:vAlign w:val="center"/>
          </w:tcPr>
          <w:p w:rsidR="004622F6" w:rsidRPr="004622F6" w:rsidRDefault="004622F6" w:rsidP="004622F6">
            <w:pPr>
              <w:spacing w:before="120" w:after="0" w:line="240" w:lineRule="auto"/>
              <w:jc w:val="center"/>
              <w:rPr>
                <w:rFonts w:ascii="Arial" w:eastAsia="Times New Roman" w:hAnsi="Arial" w:cs="Arial"/>
                <w:b/>
                <w:bCs/>
                <w:color w:val="000000"/>
                <w:sz w:val="24"/>
                <w:szCs w:val="24"/>
                <w:lang w:val="ro-RO"/>
              </w:rPr>
            </w:pPr>
            <w:r w:rsidRPr="004622F6">
              <w:rPr>
                <w:rFonts w:ascii="Arial" w:eastAsia="Times New Roman" w:hAnsi="Arial" w:cs="Arial"/>
                <w:b/>
                <w:bCs/>
                <w:color w:val="000000"/>
                <w:sz w:val="24"/>
                <w:szCs w:val="24"/>
                <w:lang w:val="ro-RO"/>
              </w:rPr>
              <w:t>Maxima lunară</w:t>
            </w:r>
          </w:p>
        </w:tc>
        <w:tc>
          <w:tcPr>
            <w:tcW w:w="1359" w:type="dxa"/>
            <w:vAlign w:val="center"/>
          </w:tcPr>
          <w:p w:rsidR="004622F6" w:rsidRPr="004622F6" w:rsidRDefault="004622F6" w:rsidP="004622F6">
            <w:pPr>
              <w:spacing w:before="120" w:after="0" w:line="240" w:lineRule="auto"/>
              <w:jc w:val="center"/>
              <w:rPr>
                <w:rFonts w:ascii="Arial" w:eastAsia="Times New Roman" w:hAnsi="Arial" w:cs="Arial"/>
                <w:b/>
                <w:bCs/>
                <w:color w:val="000000"/>
                <w:sz w:val="24"/>
                <w:szCs w:val="24"/>
                <w:lang w:val="ro-RO"/>
              </w:rPr>
            </w:pPr>
            <w:r w:rsidRPr="004622F6">
              <w:rPr>
                <w:rFonts w:ascii="Arial" w:eastAsia="Times New Roman" w:hAnsi="Arial" w:cs="Arial"/>
                <w:b/>
                <w:bCs/>
                <w:color w:val="000000"/>
                <w:sz w:val="24"/>
                <w:szCs w:val="24"/>
                <w:lang w:val="ro-RO"/>
              </w:rPr>
              <w:t>Luna maximei</w:t>
            </w:r>
          </w:p>
        </w:tc>
      </w:tr>
      <w:tr w:rsidR="004622F6" w:rsidRPr="004622F6" w:rsidTr="00D92384">
        <w:trPr>
          <w:trHeight w:val="527"/>
          <w:jc w:val="center"/>
        </w:trPr>
        <w:tc>
          <w:tcPr>
            <w:tcW w:w="1750" w:type="dxa"/>
            <w:vAlign w:val="center"/>
          </w:tcPr>
          <w:p w:rsidR="004622F6" w:rsidRPr="004622F6" w:rsidRDefault="004622F6" w:rsidP="004622F6">
            <w:pPr>
              <w:keepNext/>
              <w:spacing w:before="120" w:after="0" w:line="240" w:lineRule="auto"/>
              <w:jc w:val="center"/>
              <w:outlineLvl w:val="2"/>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Aerosoli  atmosferici</w:t>
            </w:r>
          </w:p>
        </w:tc>
        <w:tc>
          <w:tcPr>
            <w:tcW w:w="1122"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vertAlign w:val="superscript"/>
                <w:lang w:val="ro-RO"/>
              </w:rPr>
            </w:pPr>
            <w:r w:rsidRPr="004622F6">
              <w:rPr>
                <w:rFonts w:ascii="Arial" w:eastAsia="Times New Roman" w:hAnsi="Arial" w:cs="Arial"/>
                <w:color w:val="000000"/>
                <w:sz w:val="24"/>
                <w:szCs w:val="24"/>
                <w:lang w:val="ro-RO"/>
              </w:rPr>
              <w:t>Bq/m</w:t>
            </w:r>
            <w:r w:rsidRPr="004622F6">
              <w:rPr>
                <w:rFonts w:ascii="Arial" w:eastAsia="Times New Roman" w:hAnsi="Arial" w:cs="Arial"/>
                <w:color w:val="000000"/>
                <w:sz w:val="24"/>
                <w:szCs w:val="24"/>
                <w:vertAlign w:val="superscript"/>
                <w:lang w:val="ro-RO"/>
              </w:rPr>
              <w:t>3</w:t>
            </w:r>
          </w:p>
        </w:tc>
        <w:tc>
          <w:tcPr>
            <w:tcW w:w="1541"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10/50</w:t>
            </w:r>
          </w:p>
        </w:tc>
        <w:tc>
          <w:tcPr>
            <w:tcW w:w="1492" w:type="dxa"/>
            <w:vAlign w:val="center"/>
          </w:tcPr>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t>1,67</w:t>
            </w:r>
          </w:p>
        </w:tc>
        <w:tc>
          <w:tcPr>
            <w:tcW w:w="1327" w:type="dxa"/>
            <w:vAlign w:val="center"/>
          </w:tcPr>
          <w:p w:rsidR="004622F6" w:rsidRPr="004622F6" w:rsidRDefault="004622F6" w:rsidP="004622F6">
            <w:pPr>
              <w:spacing w:before="120" w:after="0" w:line="240" w:lineRule="auto"/>
              <w:jc w:val="center"/>
              <w:rPr>
                <w:rFonts w:ascii="Arial" w:eastAsia="Times New Roman" w:hAnsi="Arial" w:cs="Arial"/>
                <w:sz w:val="24"/>
                <w:szCs w:val="24"/>
                <w:lang w:val="ro-RO"/>
              </w:rPr>
            </w:pPr>
            <w:r w:rsidRPr="004622F6">
              <w:rPr>
                <w:rFonts w:ascii="Arial" w:eastAsia="Times New Roman" w:hAnsi="Arial" w:cs="Arial"/>
                <w:sz w:val="24"/>
                <w:szCs w:val="24"/>
                <w:lang w:val="ro-RO"/>
              </w:rPr>
              <w:t>9,8</w:t>
            </w:r>
          </w:p>
        </w:tc>
        <w:tc>
          <w:tcPr>
            <w:tcW w:w="1359" w:type="dxa"/>
            <w:vAlign w:val="center"/>
          </w:tcPr>
          <w:p w:rsidR="004622F6" w:rsidRPr="004622F6" w:rsidRDefault="004622F6" w:rsidP="004622F6">
            <w:pPr>
              <w:spacing w:before="120" w:after="0" w:line="240" w:lineRule="auto"/>
              <w:jc w:val="center"/>
              <w:rPr>
                <w:rFonts w:ascii="Arial" w:eastAsia="Times New Roman" w:hAnsi="Arial" w:cs="Arial"/>
                <w:lang w:val="ro-RO"/>
              </w:rPr>
            </w:pPr>
            <w:r w:rsidRPr="004622F6">
              <w:rPr>
                <w:rFonts w:ascii="Arial" w:eastAsia="Times New Roman" w:hAnsi="Arial" w:cs="Arial"/>
                <w:lang w:val="ro-RO"/>
              </w:rPr>
              <w:t>Octombrie</w:t>
            </w:r>
          </w:p>
        </w:tc>
      </w:tr>
      <w:tr w:rsidR="004622F6" w:rsidRPr="004622F6" w:rsidTr="00D92384">
        <w:trPr>
          <w:trHeight w:val="314"/>
          <w:jc w:val="center"/>
        </w:trPr>
        <w:tc>
          <w:tcPr>
            <w:tcW w:w="1750"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Debit doză gama in aer</w:t>
            </w:r>
          </w:p>
        </w:tc>
        <w:tc>
          <w:tcPr>
            <w:tcW w:w="1122"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µGy/h</w:t>
            </w:r>
          </w:p>
        </w:tc>
        <w:tc>
          <w:tcPr>
            <w:tcW w:w="1541"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0,250/1,0</w:t>
            </w:r>
          </w:p>
        </w:tc>
        <w:tc>
          <w:tcPr>
            <w:tcW w:w="1492" w:type="dxa"/>
            <w:vAlign w:val="center"/>
          </w:tcPr>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t>0,111</w:t>
            </w:r>
          </w:p>
        </w:tc>
        <w:tc>
          <w:tcPr>
            <w:tcW w:w="1327" w:type="dxa"/>
            <w:vAlign w:val="center"/>
          </w:tcPr>
          <w:p w:rsidR="004622F6" w:rsidRPr="004622F6" w:rsidRDefault="004622F6" w:rsidP="004622F6">
            <w:pPr>
              <w:spacing w:before="120" w:after="0" w:line="240" w:lineRule="auto"/>
              <w:jc w:val="center"/>
              <w:rPr>
                <w:rFonts w:ascii="Arial" w:eastAsia="Times New Roman" w:hAnsi="Arial" w:cs="Arial"/>
                <w:sz w:val="24"/>
                <w:szCs w:val="24"/>
                <w:lang w:val="ro-RO"/>
              </w:rPr>
            </w:pPr>
            <w:r w:rsidRPr="004622F6">
              <w:rPr>
                <w:rFonts w:ascii="Arial" w:eastAsia="Times New Roman" w:hAnsi="Arial" w:cs="Arial"/>
                <w:sz w:val="24"/>
                <w:szCs w:val="24"/>
                <w:lang w:val="ro-RO"/>
              </w:rPr>
              <w:t>0,198</w:t>
            </w:r>
          </w:p>
        </w:tc>
        <w:tc>
          <w:tcPr>
            <w:tcW w:w="1359" w:type="dxa"/>
            <w:vAlign w:val="center"/>
          </w:tcPr>
          <w:p w:rsidR="004622F6" w:rsidRPr="004622F6" w:rsidRDefault="004622F6" w:rsidP="004622F6">
            <w:pPr>
              <w:spacing w:before="120" w:after="0" w:line="240" w:lineRule="auto"/>
              <w:jc w:val="center"/>
              <w:rPr>
                <w:rFonts w:ascii="Arial" w:eastAsia="Times New Roman" w:hAnsi="Arial" w:cs="Arial"/>
                <w:lang w:val="ro-RO"/>
              </w:rPr>
            </w:pPr>
            <w:r w:rsidRPr="004622F6">
              <w:rPr>
                <w:rFonts w:ascii="Arial" w:eastAsia="Times New Roman" w:hAnsi="Arial" w:cs="Arial"/>
                <w:lang w:val="ro-RO"/>
              </w:rPr>
              <w:t>Iunie</w:t>
            </w:r>
          </w:p>
        </w:tc>
      </w:tr>
      <w:tr w:rsidR="004622F6" w:rsidRPr="004622F6" w:rsidTr="00D92384">
        <w:trPr>
          <w:trHeight w:val="314"/>
          <w:jc w:val="center"/>
        </w:trPr>
        <w:tc>
          <w:tcPr>
            <w:tcW w:w="1750"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Depuneri  atmosferice</w:t>
            </w:r>
          </w:p>
        </w:tc>
        <w:tc>
          <w:tcPr>
            <w:tcW w:w="1122"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Bq/m</w:t>
            </w:r>
            <w:r w:rsidRPr="004622F6">
              <w:rPr>
                <w:rFonts w:ascii="Arial" w:eastAsia="Times New Roman" w:hAnsi="Arial" w:cs="Arial"/>
                <w:color w:val="000000"/>
                <w:sz w:val="24"/>
                <w:szCs w:val="24"/>
                <w:vertAlign w:val="superscript"/>
                <w:lang w:val="ro-RO"/>
              </w:rPr>
              <w:t>2</w:t>
            </w:r>
            <w:r w:rsidRPr="004622F6">
              <w:rPr>
                <w:rFonts w:ascii="Arial" w:eastAsia="Times New Roman" w:hAnsi="Arial" w:cs="Arial"/>
                <w:color w:val="000000"/>
                <w:sz w:val="24"/>
                <w:szCs w:val="24"/>
                <w:lang w:val="ro-RO"/>
              </w:rPr>
              <w:t>/zi</w:t>
            </w:r>
          </w:p>
        </w:tc>
        <w:tc>
          <w:tcPr>
            <w:tcW w:w="1541"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200/1000</w:t>
            </w:r>
          </w:p>
        </w:tc>
        <w:tc>
          <w:tcPr>
            <w:tcW w:w="1492" w:type="dxa"/>
            <w:vAlign w:val="center"/>
          </w:tcPr>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t>1,67</w:t>
            </w:r>
          </w:p>
        </w:tc>
        <w:tc>
          <w:tcPr>
            <w:tcW w:w="1327" w:type="dxa"/>
            <w:vAlign w:val="center"/>
          </w:tcPr>
          <w:p w:rsidR="004622F6" w:rsidRPr="004622F6" w:rsidRDefault="004622F6" w:rsidP="004622F6">
            <w:pPr>
              <w:spacing w:before="120" w:after="0" w:line="240" w:lineRule="auto"/>
              <w:jc w:val="center"/>
              <w:rPr>
                <w:rFonts w:ascii="Arial" w:eastAsia="Times New Roman" w:hAnsi="Arial" w:cs="Arial"/>
                <w:sz w:val="24"/>
                <w:szCs w:val="24"/>
                <w:lang w:val="ro-RO"/>
              </w:rPr>
            </w:pPr>
            <w:r w:rsidRPr="004622F6">
              <w:rPr>
                <w:rFonts w:ascii="Arial" w:eastAsia="Times New Roman" w:hAnsi="Arial" w:cs="Arial"/>
                <w:sz w:val="24"/>
                <w:szCs w:val="24"/>
                <w:lang w:val="ro-RO"/>
              </w:rPr>
              <w:t>42,8</w:t>
            </w:r>
          </w:p>
        </w:tc>
        <w:tc>
          <w:tcPr>
            <w:tcW w:w="1359" w:type="dxa"/>
            <w:vAlign w:val="center"/>
          </w:tcPr>
          <w:p w:rsidR="004622F6" w:rsidRPr="004622F6" w:rsidRDefault="004622F6" w:rsidP="004622F6">
            <w:pPr>
              <w:spacing w:before="120" w:after="0" w:line="240" w:lineRule="auto"/>
              <w:jc w:val="center"/>
              <w:rPr>
                <w:rFonts w:ascii="Arial" w:eastAsia="Times New Roman" w:hAnsi="Arial" w:cs="Arial"/>
                <w:lang w:val="ro-RO"/>
              </w:rPr>
            </w:pPr>
            <w:r w:rsidRPr="004622F6">
              <w:rPr>
                <w:rFonts w:ascii="Arial" w:eastAsia="Times New Roman" w:hAnsi="Arial" w:cs="Arial"/>
                <w:lang w:val="ro-RO"/>
              </w:rPr>
              <w:t>Iulie</w:t>
            </w:r>
          </w:p>
        </w:tc>
      </w:tr>
      <w:tr w:rsidR="004622F6" w:rsidRPr="004622F6" w:rsidTr="00D92384">
        <w:trPr>
          <w:trHeight w:val="314"/>
          <w:jc w:val="center"/>
        </w:trPr>
        <w:tc>
          <w:tcPr>
            <w:tcW w:w="1750"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Apă brută (râu Buzău)</w:t>
            </w:r>
          </w:p>
        </w:tc>
        <w:tc>
          <w:tcPr>
            <w:tcW w:w="1122"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Bq/l</w:t>
            </w:r>
          </w:p>
        </w:tc>
        <w:tc>
          <w:tcPr>
            <w:tcW w:w="1541"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2/5</w:t>
            </w:r>
          </w:p>
        </w:tc>
        <w:tc>
          <w:tcPr>
            <w:tcW w:w="1492" w:type="dxa"/>
            <w:vAlign w:val="center"/>
          </w:tcPr>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t>0,270</w:t>
            </w:r>
          </w:p>
        </w:tc>
        <w:tc>
          <w:tcPr>
            <w:tcW w:w="1327" w:type="dxa"/>
            <w:vAlign w:val="center"/>
          </w:tcPr>
          <w:p w:rsidR="004622F6" w:rsidRPr="004622F6" w:rsidRDefault="004622F6" w:rsidP="004622F6">
            <w:pPr>
              <w:spacing w:before="120" w:after="0" w:line="240" w:lineRule="auto"/>
              <w:jc w:val="center"/>
              <w:rPr>
                <w:rFonts w:ascii="Arial" w:eastAsia="Times New Roman" w:hAnsi="Arial" w:cs="Arial"/>
                <w:sz w:val="24"/>
                <w:szCs w:val="24"/>
                <w:lang w:val="ro-RO"/>
              </w:rPr>
            </w:pPr>
            <w:r w:rsidRPr="004622F6">
              <w:rPr>
                <w:rFonts w:ascii="Arial" w:eastAsia="Times New Roman" w:hAnsi="Arial" w:cs="Arial"/>
                <w:sz w:val="24"/>
                <w:szCs w:val="24"/>
                <w:lang w:val="ro-RO"/>
              </w:rPr>
              <w:t>1,699</w:t>
            </w:r>
          </w:p>
        </w:tc>
        <w:tc>
          <w:tcPr>
            <w:tcW w:w="1359" w:type="dxa"/>
            <w:vAlign w:val="center"/>
          </w:tcPr>
          <w:p w:rsidR="004622F6" w:rsidRPr="004622F6" w:rsidRDefault="004622F6" w:rsidP="004622F6">
            <w:pPr>
              <w:spacing w:before="120" w:after="0" w:line="240" w:lineRule="auto"/>
              <w:jc w:val="center"/>
              <w:rPr>
                <w:rFonts w:ascii="Arial" w:eastAsia="Times New Roman" w:hAnsi="Arial" w:cs="Arial"/>
                <w:lang w:val="ro-RO"/>
              </w:rPr>
            </w:pPr>
            <w:r w:rsidRPr="004622F6">
              <w:rPr>
                <w:rFonts w:ascii="Arial" w:eastAsia="Times New Roman" w:hAnsi="Arial" w:cs="Arial"/>
                <w:lang w:val="ro-RO"/>
              </w:rPr>
              <w:t>Decembrie</w:t>
            </w:r>
          </w:p>
        </w:tc>
      </w:tr>
      <w:tr w:rsidR="004622F6" w:rsidRPr="004622F6" w:rsidTr="00D92384">
        <w:trPr>
          <w:trHeight w:val="314"/>
          <w:jc w:val="center"/>
        </w:trPr>
        <w:tc>
          <w:tcPr>
            <w:tcW w:w="1750"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Vegetaţie</w:t>
            </w:r>
          </w:p>
        </w:tc>
        <w:tc>
          <w:tcPr>
            <w:tcW w:w="1122" w:type="dxa"/>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Bq/kg</w:t>
            </w:r>
          </w:p>
        </w:tc>
        <w:tc>
          <w:tcPr>
            <w:tcW w:w="1541" w:type="dxa"/>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w:t>
            </w:r>
          </w:p>
        </w:tc>
        <w:tc>
          <w:tcPr>
            <w:tcW w:w="1492" w:type="dxa"/>
            <w:vAlign w:val="center"/>
          </w:tcPr>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t>273,8</w:t>
            </w:r>
          </w:p>
        </w:tc>
        <w:tc>
          <w:tcPr>
            <w:tcW w:w="1327" w:type="dxa"/>
            <w:vAlign w:val="center"/>
          </w:tcPr>
          <w:p w:rsidR="004622F6" w:rsidRPr="004622F6" w:rsidRDefault="004622F6" w:rsidP="004622F6">
            <w:pPr>
              <w:spacing w:before="120" w:after="0" w:line="240" w:lineRule="auto"/>
              <w:jc w:val="center"/>
              <w:rPr>
                <w:rFonts w:ascii="Arial" w:eastAsia="Times New Roman" w:hAnsi="Arial" w:cs="Arial"/>
                <w:sz w:val="24"/>
                <w:szCs w:val="24"/>
                <w:lang w:val="ro-RO"/>
              </w:rPr>
            </w:pPr>
            <w:r w:rsidRPr="004622F6">
              <w:rPr>
                <w:rFonts w:ascii="Arial" w:eastAsia="Times New Roman" w:hAnsi="Arial" w:cs="Arial"/>
                <w:sz w:val="24"/>
                <w:szCs w:val="24"/>
                <w:lang w:val="ro-RO"/>
              </w:rPr>
              <w:t>609,7</w:t>
            </w:r>
          </w:p>
        </w:tc>
        <w:tc>
          <w:tcPr>
            <w:tcW w:w="1359" w:type="dxa"/>
            <w:vAlign w:val="center"/>
          </w:tcPr>
          <w:p w:rsidR="004622F6" w:rsidRPr="004622F6" w:rsidRDefault="004622F6" w:rsidP="004622F6">
            <w:pPr>
              <w:spacing w:before="120" w:after="0" w:line="240" w:lineRule="auto"/>
              <w:jc w:val="center"/>
              <w:rPr>
                <w:rFonts w:ascii="Arial" w:eastAsia="Times New Roman" w:hAnsi="Arial" w:cs="Arial"/>
                <w:lang w:val="ro-RO"/>
              </w:rPr>
            </w:pPr>
            <w:r w:rsidRPr="004622F6">
              <w:rPr>
                <w:rFonts w:ascii="Arial" w:eastAsia="Times New Roman" w:hAnsi="Arial" w:cs="Arial"/>
                <w:lang w:val="ro-RO"/>
              </w:rPr>
              <w:t>Iunie</w:t>
            </w:r>
          </w:p>
        </w:tc>
      </w:tr>
      <w:tr w:rsidR="004622F6" w:rsidRPr="004622F6" w:rsidTr="00D92384">
        <w:trPr>
          <w:trHeight w:val="314"/>
          <w:jc w:val="center"/>
        </w:trPr>
        <w:tc>
          <w:tcPr>
            <w:tcW w:w="1750" w:type="dxa"/>
            <w:vAlign w:val="center"/>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Sol</w:t>
            </w:r>
          </w:p>
        </w:tc>
        <w:tc>
          <w:tcPr>
            <w:tcW w:w="1122" w:type="dxa"/>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Bq/kg</w:t>
            </w:r>
          </w:p>
        </w:tc>
        <w:tc>
          <w:tcPr>
            <w:tcW w:w="1541" w:type="dxa"/>
          </w:tcPr>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w:t>
            </w:r>
          </w:p>
        </w:tc>
        <w:tc>
          <w:tcPr>
            <w:tcW w:w="1492" w:type="dxa"/>
            <w:vAlign w:val="center"/>
          </w:tcPr>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t>325,2</w:t>
            </w:r>
          </w:p>
        </w:tc>
        <w:tc>
          <w:tcPr>
            <w:tcW w:w="1327" w:type="dxa"/>
            <w:vAlign w:val="center"/>
          </w:tcPr>
          <w:p w:rsidR="004622F6" w:rsidRPr="004622F6" w:rsidRDefault="004622F6" w:rsidP="004622F6">
            <w:pPr>
              <w:spacing w:before="120" w:after="0" w:line="240" w:lineRule="auto"/>
              <w:jc w:val="center"/>
              <w:rPr>
                <w:rFonts w:ascii="Arial" w:eastAsia="Times New Roman" w:hAnsi="Arial" w:cs="Arial"/>
                <w:sz w:val="24"/>
                <w:szCs w:val="24"/>
                <w:lang w:val="ro-RO"/>
              </w:rPr>
            </w:pPr>
            <w:r w:rsidRPr="004622F6">
              <w:rPr>
                <w:rFonts w:ascii="Arial" w:eastAsia="Times New Roman" w:hAnsi="Arial" w:cs="Arial"/>
                <w:sz w:val="24"/>
                <w:szCs w:val="24"/>
                <w:lang w:val="ro-RO"/>
              </w:rPr>
              <w:t>627,8</w:t>
            </w:r>
          </w:p>
        </w:tc>
        <w:tc>
          <w:tcPr>
            <w:tcW w:w="1359" w:type="dxa"/>
            <w:vAlign w:val="center"/>
          </w:tcPr>
          <w:p w:rsidR="004622F6" w:rsidRPr="004622F6" w:rsidRDefault="004622F6" w:rsidP="004622F6">
            <w:pPr>
              <w:spacing w:before="120" w:after="0" w:line="240" w:lineRule="auto"/>
              <w:jc w:val="center"/>
              <w:rPr>
                <w:rFonts w:ascii="Arial" w:eastAsia="Times New Roman" w:hAnsi="Arial" w:cs="Arial"/>
                <w:lang w:val="ro-RO"/>
              </w:rPr>
            </w:pPr>
            <w:r w:rsidRPr="004622F6">
              <w:rPr>
                <w:rFonts w:ascii="Arial" w:eastAsia="Times New Roman" w:hAnsi="Arial" w:cs="Arial"/>
                <w:lang w:val="ro-RO"/>
              </w:rPr>
              <w:t>Martie</w:t>
            </w:r>
          </w:p>
        </w:tc>
      </w:tr>
    </w:tbl>
    <w:p w:rsidR="004622F6" w:rsidRPr="004622F6" w:rsidRDefault="004622F6" w:rsidP="004622F6">
      <w:pPr>
        <w:spacing w:before="120" w:after="0" w:line="240" w:lineRule="auto"/>
        <w:jc w:val="center"/>
        <w:rPr>
          <w:rFonts w:ascii="Arial" w:eastAsia="Times New Roman" w:hAnsi="Arial" w:cs="Arial"/>
          <w:b/>
          <w:sz w:val="24"/>
          <w:szCs w:val="24"/>
          <w:lang w:val="ro-RO"/>
        </w:rPr>
      </w:pPr>
      <w:r w:rsidRPr="004622F6">
        <w:rPr>
          <w:rFonts w:ascii="Arial" w:eastAsia="Times New Roman" w:hAnsi="Arial" w:cs="Arial"/>
          <w:b/>
          <w:sz w:val="24"/>
          <w:szCs w:val="24"/>
          <w:lang w:val="ro-RO"/>
        </w:rPr>
        <w:t xml:space="preserve">Tabel X.1.1. Rezultatele programului de monitorizare a radioactivităţii mediului în </w:t>
      </w:r>
    </w:p>
    <w:p w:rsidR="004622F6" w:rsidRPr="004622F6" w:rsidRDefault="004622F6" w:rsidP="004622F6">
      <w:pPr>
        <w:spacing w:before="120" w:after="0" w:line="240" w:lineRule="auto"/>
        <w:jc w:val="center"/>
        <w:rPr>
          <w:rFonts w:ascii="Arial" w:eastAsia="Times New Roman" w:hAnsi="Arial" w:cs="Arial"/>
          <w:b/>
          <w:szCs w:val="20"/>
          <w:lang w:val="ro-RO"/>
        </w:rPr>
      </w:pPr>
      <w:r w:rsidRPr="004622F6">
        <w:rPr>
          <w:rFonts w:ascii="Arial" w:eastAsia="Times New Roman" w:hAnsi="Arial" w:cs="Arial"/>
          <w:b/>
          <w:sz w:val="24"/>
          <w:szCs w:val="24"/>
          <w:lang w:val="ro-RO"/>
        </w:rPr>
        <w:t>anul 2014</w:t>
      </w:r>
    </w:p>
    <w:p w:rsidR="002068AE" w:rsidRDefault="002068AE" w:rsidP="004622F6">
      <w:pPr>
        <w:autoSpaceDE w:val="0"/>
        <w:autoSpaceDN w:val="0"/>
        <w:adjustRightInd w:val="0"/>
        <w:spacing w:before="120" w:after="0" w:line="240" w:lineRule="auto"/>
        <w:jc w:val="both"/>
        <w:rPr>
          <w:rFonts w:ascii="Arial" w:eastAsia="Times New Roman" w:hAnsi="Arial"/>
          <w:b/>
          <w:sz w:val="24"/>
          <w:szCs w:val="24"/>
          <w:lang w:val="ro-RO"/>
        </w:rPr>
      </w:pPr>
    </w:p>
    <w:p w:rsidR="004622F6" w:rsidRPr="004622F6" w:rsidRDefault="004622F6" w:rsidP="004622F6">
      <w:pPr>
        <w:autoSpaceDE w:val="0"/>
        <w:autoSpaceDN w:val="0"/>
        <w:adjustRightInd w:val="0"/>
        <w:spacing w:before="120" w:after="0" w:line="240" w:lineRule="auto"/>
        <w:jc w:val="both"/>
        <w:rPr>
          <w:rFonts w:ascii="Arial" w:eastAsia="Times New Roman" w:hAnsi="Arial"/>
          <w:b/>
          <w:sz w:val="24"/>
          <w:szCs w:val="24"/>
          <w:lang w:val="ro-RO"/>
        </w:rPr>
      </w:pPr>
      <w:r w:rsidRPr="004622F6">
        <w:rPr>
          <w:rFonts w:ascii="Arial" w:eastAsia="Times New Roman" w:hAnsi="Arial"/>
          <w:b/>
          <w:sz w:val="24"/>
          <w:szCs w:val="24"/>
          <w:lang w:val="ro-RO"/>
        </w:rPr>
        <w:lastRenderedPageBreak/>
        <w:t>X.1.1.  Radioactivitatea  aerului</w:t>
      </w: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lang w:val="ro-RO"/>
        </w:rPr>
        <w:t xml:space="preserve">Radioactivitatea naturală a mediului înconjurător este sursa majoră de iradiere (internă şi </w:t>
      </w:r>
      <w:r w:rsidRPr="004622F6">
        <w:rPr>
          <w:rFonts w:ascii="Arial" w:eastAsia="Times New Roman" w:hAnsi="Arial" w:cs="Arial"/>
          <w:sz w:val="24"/>
          <w:szCs w:val="24"/>
          <w:lang w:val="en-AU"/>
        </w:rPr>
        <w:t>e</w:t>
      </w:r>
      <w:r w:rsidRPr="004622F6">
        <w:rPr>
          <w:rFonts w:ascii="Arial" w:eastAsia="Times New Roman" w:hAnsi="Arial" w:cs="Arial"/>
          <w:sz w:val="24"/>
          <w:szCs w:val="24"/>
          <w:lang w:val="en-AU"/>
        </w:rPr>
        <w:t>x</w:t>
      </w:r>
      <w:r w:rsidRPr="004622F6">
        <w:rPr>
          <w:rFonts w:ascii="Arial" w:eastAsia="Times New Roman" w:hAnsi="Arial" w:cs="Arial"/>
          <w:sz w:val="24"/>
          <w:szCs w:val="24"/>
          <w:lang w:val="en-AU"/>
        </w:rPr>
        <w:t>ternă) a organismului uman. Radioactivitatea naturală este determinată de prezenţa în aer, apă, sol, vegetaţie, organisme animale, a substanţelor radioactive de origine terestră, exi</w:t>
      </w:r>
      <w:r w:rsidRPr="004622F6">
        <w:rPr>
          <w:rFonts w:ascii="Arial" w:eastAsia="Times New Roman" w:hAnsi="Arial" w:cs="Arial"/>
          <w:sz w:val="24"/>
          <w:szCs w:val="24"/>
          <w:lang w:val="en-AU"/>
        </w:rPr>
        <w:t>s</w:t>
      </w:r>
      <w:r w:rsidRPr="004622F6">
        <w:rPr>
          <w:rFonts w:ascii="Arial" w:eastAsia="Times New Roman" w:hAnsi="Arial" w:cs="Arial"/>
          <w:sz w:val="24"/>
          <w:szCs w:val="24"/>
          <w:lang w:val="en-AU"/>
        </w:rPr>
        <w:t>tente în mod natural din cele mai vechi timpuri, la care se adaugă radiaţia cosmică.</w:t>
      </w: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lang w:val="en-AU"/>
        </w:rPr>
        <w:t>Radioactivitatea atmosferei este dată, în perioade normale de timp, în principal de desce</w:t>
      </w:r>
      <w:r w:rsidRPr="004622F6">
        <w:rPr>
          <w:rFonts w:ascii="Arial" w:eastAsia="Times New Roman" w:hAnsi="Arial" w:cs="Arial"/>
          <w:sz w:val="24"/>
          <w:szCs w:val="24"/>
          <w:lang w:val="en-AU"/>
        </w:rPr>
        <w:t>n</w:t>
      </w:r>
      <w:r w:rsidRPr="004622F6">
        <w:rPr>
          <w:rFonts w:ascii="Arial" w:eastAsia="Times New Roman" w:hAnsi="Arial" w:cs="Arial"/>
          <w:sz w:val="24"/>
          <w:szCs w:val="24"/>
          <w:lang w:val="en-AU"/>
        </w:rPr>
        <w:t>denţii gazelor radioactive Radon şi Toron. În atmosferă, Radonul şi Toronul (gaze nobile) su</w:t>
      </w:r>
      <w:r w:rsidRPr="004622F6">
        <w:rPr>
          <w:rFonts w:ascii="Arial" w:eastAsia="Times New Roman" w:hAnsi="Arial" w:cs="Arial"/>
          <w:sz w:val="24"/>
          <w:szCs w:val="24"/>
          <w:lang w:val="en-AU"/>
        </w:rPr>
        <w:t>f</w:t>
      </w:r>
      <w:r w:rsidRPr="004622F6">
        <w:rPr>
          <w:rFonts w:ascii="Arial" w:eastAsia="Times New Roman" w:hAnsi="Arial" w:cs="Arial"/>
          <w:sz w:val="24"/>
          <w:szCs w:val="24"/>
          <w:lang w:val="en-AU"/>
        </w:rPr>
        <w:t>eră procesul de dezintegrare radioactivă, dând naştere descendenţilor de viaţă scurtă sau de viaţă lungă. În momentul formării, aceşti descendenţi sunt ionizaţi pozitiv şi pot forma co</w:t>
      </w:r>
      <w:r w:rsidRPr="004622F6">
        <w:rPr>
          <w:rFonts w:ascii="Arial" w:eastAsia="Times New Roman" w:hAnsi="Arial" w:cs="Arial"/>
          <w:sz w:val="24"/>
          <w:szCs w:val="24"/>
          <w:lang w:val="en-AU"/>
        </w:rPr>
        <w:t>m</w:t>
      </w:r>
      <w:r w:rsidRPr="004622F6">
        <w:rPr>
          <w:rFonts w:ascii="Arial" w:eastAsia="Times New Roman" w:hAnsi="Arial" w:cs="Arial"/>
          <w:sz w:val="24"/>
          <w:szCs w:val="24"/>
          <w:lang w:val="en-AU"/>
        </w:rPr>
        <w:t xml:space="preserve">plexe care se pot ataşa de particulele de aerosoli. </w:t>
      </w: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lang w:val="en-AU"/>
        </w:rPr>
        <w:t>Atât din cauza pericolului reprezentat de un accident nuclear, cât şi datorită impactului ps</w:t>
      </w:r>
      <w:r w:rsidRPr="004622F6">
        <w:rPr>
          <w:rFonts w:ascii="Arial" w:eastAsia="Times New Roman" w:hAnsi="Arial" w:cs="Arial"/>
          <w:sz w:val="24"/>
          <w:szCs w:val="24"/>
          <w:lang w:val="en-AU"/>
        </w:rPr>
        <w:t>i</w:t>
      </w:r>
      <w:r w:rsidRPr="004622F6">
        <w:rPr>
          <w:rFonts w:ascii="Arial" w:eastAsia="Times New Roman" w:hAnsi="Arial" w:cs="Arial"/>
          <w:sz w:val="24"/>
          <w:szCs w:val="24"/>
          <w:lang w:val="en-AU"/>
        </w:rPr>
        <w:t>hologic deosebit asupra populaţiei, este esenţial ca aceste variaţii naturale să se cunoască şi să poată fi deosebite de creşteri ale radioactivităţii rezultate din eventuale accidente.</w:t>
      </w:r>
    </w:p>
    <w:p w:rsidR="004622F6" w:rsidRPr="004622F6" w:rsidRDefault="004622F6" w:rsidP="004622F6">
      <w:pPr>
        <w:spacing w:after="0" w:line="240" w:lineRule="auto"/>
        <w:rPr>
          <w:rFonts w:ascii="Arial" w:eastAsia="Times New Roman" w:hAnsi="Arial" w:cs="Arial"/>
          <w:b/>
          <w:bCs/>
          <w:color w:val="000000"/>
          <w:sz w:val="24"/>
          <w:szCs w:val="24"/>
          <w:lang w:val="en-AU"/>
        </w:rPr>
      </w:pPr>
    </w:p>
    <w:p w:rsidR="004622F6" w:rsidRPr="004622F6" w:rsidRDefault="004622F6" w:rsidP="004622F6">
      <w:pPr>
        <w:spacing w:after="0" w:line="240" w:lineRule="auto"/>
        <w:rPr>
          <w:rFonts w:ascii="Arial" w:eastAsia="Times New Roman" w:hAnsi="Arial" w:cs="Arial"/>
          <w:b/>
          <w:i/>
          <w:sz w:val="24"/>
          <w:szCs w:val="24"/>
          <w:lang w:val="it-IT"/>
        </w:rPr>
      </w:pPr>
      <w:r w:rsidRPr="004622F6">
        <w:rPr>
          <w:rFonts w:ascii="Arial" w:eastAsia="Times New Roman" w:hAnsi="Arial" w:cs="Arial"/>
          <w:sz w:val="24"/>
          <w:szCs w:val="24"/>
          <w:lang w:val="it-IT"/>
        </w:rPr>
        <w:t xml:space="preserve"> </w:t>
      </w:r>
      <w:r w:rsidRPr="004622F6">
        <w:rPr>
          <w:rFonts w:ascii="Arial" w:eastAsia="Times New Roman" w:hAnsi="Arial" w:cs="Arial"/>
          <w:b/>
          <w:sz w:val="24"/>
          <w:szCs w:val="24"/>
          <w:lang w:val="it-IT"/>
        </w:rPr>
        <w:t>X.1.1.1. Aerosoli atmosferici</w:t>
      </w:r>
      <w:r w:rsidRPr="004622F6">
        <w:rPr>
          <w:rFonts w:ascii="Arial" w:eastAsia="Times New Roman" w:hAnsi="Arial" w:cs="Arial"/>
          <w:b/>
          <w:i/>
          <w:sz w:val="24"/>
          <w:szCs w:val="24"/>
          <w:lang w:val="it-IT"/>
        </w:rPr>
        <w:t xml:space="preserve">  </w:t>
      </w:r>
    </w:p>
    <w:p w:rsidR="004622F6" w:rsidRPr="004622F6" w:rsidRDefault="004622F6" w:rsidP="004622F6">
      <w:pPr>
        <w:spacing w:after="0" w:line="240" w:lineRule="auto"/>
        <w:jc w:val="both"/>
        <w:rPr>
          <w:rFonts w:ascii="Arial" w:eastAsia="Times New Roman" w:hAnsi="Arial" w:cs="Arial"/>
          <w:b/>
          <w:bCs/>
          <w:color w:val="000000"/>
          <w:sz w:val="24"/>
          <w:szCs w:val="24"/>
          <w:lang w:val="ro-RO"/>
        </w:rPr>
      </w:pPr>
      <w:r w:rsidRPr="004622F6">
        <w:rPr>
          <w:rFonts w:ascii="Arial" w:eastAsia="Times New Roman" w:hAnsi="Arial" w:cs="Arial"/>
          <w:bCs/>
          <w:color w:val="000000"/>
          <w:sz w:val="24"/>
          <w:szCs w:val="24"/>
          <w:lang w:val="ro-RO"/>
        </w:rPr>
        <w:t>Una din procedurile de determinare a radioactivităţii naturale a atmosferei constă în aspirarea pe filtre a aerosolilor atmosferici şi măsurarea beta globală a radioactivităţii aerosolilor la diferite intervale de timp.</w:t>
      </w:r>
    </w:p>
    <w:p w:rsidR="004622F6" w:rsidRPr="004622F6" w:rsidRDefault="004622F6" w:rsidP="004622F6">
      <w:pPr>
        <w:spacing w:after="0" w:line="240" w:lineRule="auto"/>
        <w:jc w:val="both"/>
        <w:rPr>
          <w:rFonts w:ascii="Arial" w:eastAsia="Times New Roman" w:hAnsi="Arial" w:cs="Arial"/>
          <w:color w:val="000000"/>
          <w:sz w:val="24"/>
          <w:szCs w:val="24"/>
          <w:lang w:val="fr-FR"/>
        </w:rPr>
      </w:pPr>
      <w:r w:rsidRPr="004622F6">
        <w:rPr>
          <w:rFonts w:ascii="Arial" w:eastAsia="Times New Roman" w:hAnsi="Arial" w:cs="Arial"/>
          <w:color w:val="000000"/>
          <w:sz w:val="24"/>
          <w:szCs w:val="24"/>
          <w:lang w:val="ro-RO"/>
        </w:rPr>
        <w:t xml:space="preserve">În anul 2014 s-au măsurat </w:t>
      </w:r>
      <w:r w:rsidRPr="004622F6">
        <w:rPr>
          <w:rFonts w:ascii="Arial" w:eastAsia="Times New Roman" w:hAnsi="Arial" w:cs="Arial"/>
          <w:sz w:val="24"/>
          <w:szCs w:val="24"/>
          <w:lang w:val="ro-RO"/>
        </w:rPr>
        <w:t>725 d</w:t>
      </w:r>
      <w:r w:rsidRPr="004622F6">
        <w:rPr>
          <w:rFonts w:ascii="Arial" w:eastAsia="Times New Roman" w:hAnsi="Arial" w:cs="Arial"/>
          <w:color w:val="000000"/>
          <w:sz w:val="24"/>
          <w:szCs w:val="24"/>
          <w:lang w:val="ro-RO"/>
        </w:rPr>
        <w:t xml:space="preserve">e probe de aerosoli (2 aspiraţii pe zi) în 3 etape: la 3 minute, la 1 zi şi la 5 zile de la prelevarea probei. </w:t>
      </w:r>
      <w:r w:rsidRPr="004622F6">
        <w:rPr>
          <w:rFonts w:ascii="Arial" w:eastAsia="Times New Roman" w:hAnsi="Arial" w:cs="Arial"/>
          <w:color w:val="000000"/>
          <w:sz w:val="24"/>
          <w:szCs w:val="24"/>
          <w:lang w:val="fr-FR"/>
        </w:rPr>
        <w:t xml:space="preserve">S-au efectuat </w:t>
      </w:r>
      <w:r w:rsidRPr="004622F6">
        <w:rPr>
          <w:rFonts w:ascii="Arial" w:eastAsia="Times New Roman" w:hAnsi="Arial" w:cs="Arial"/>
          <w:sz w:val="24"/>
          <w:szCs w:val="24"/>
          <w:lang w:val="fr-FR"/>
        </w:rPr>
        <w:t xml:space="preserve">361 </w:t>
      </w:r>
      <w:r w:rsidRPr="004622F6">
        <w:rPr>
          <w:rFonts w:ascii="Arial" w:eastAsia="Times New Roman" w:hAnsi="Arial" w:cs="Arial"/>
          <w:color w:val="000000"/>
          <w:sz w:val="24"/>
          <w:szCs w:val="24"/>
          <w:lang w:val="fr-FR"/>
        </w:rPr>
        <w:t xml:space="preserve">de aspiraţii în intervalul (2-7) şi </w:t>
      </w:r>
      <w:r w:rsidRPr="004622F6">
        <w:rPr>
          <w:rFonts w:ascii="Arial" w:eastAsia="Times New Roman" w:hAnsi="Arial" w:cs="Arial"/>
          <w:sz w:val="24"/>
          <w:szCs w:val="24"/>
          <w:lang w:val="fr-FR"/>
        </w:rPr>
        <w:t xml:space="preserve">364 </w:t>
      </w:r>
      <w:r w:rsidRPr="004622F6">
        <w:rPr>
          <w:rFonts w:ascii="Arial" w:eastAsia="Times New Roman" w:hAnsi="Arial" w:cs="Arial"/>
          <w:color w:val="000000"/>
          <w:sz w:val="24"/>
          <w:szCs w:val="24"/>
          <w:lang w:val="fr-FR"/>
        </w:rPr>
        <w:t>de aspiraţii în intervalul  (8-13).</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În figura de mai jos sunt prezentate comparativ cu limita de aten</w:t>
      </w:r>
      <w:r w:rsidRPr="004622F6">
        <w:rPr>
          <w:rFonts w:ascii="Arial" w:eastAsia="Times New Roman" w:hAnsi="Arial" w:cs="Arial"/>
          <w:sz w:val="24"/>
          <w:szCs w:val="24"/>
          <w:lang w:val="ro-RO"/>
        </w:rPr>
        <w:t>ţie</w:t>
      </w:r>
      <w:r w:rsidRPr="004622F6">
        <w:rPr>
          <w:rFonts w:ascii="Arial" w:eastAsia="Times New Roman" w:hAnsi="Arial" w:cs="Arial"/>
          <w:sz w:val="24"/>
          <w:szCs w:val="24"/>
          <w:lang w:val="fr-FR"/>
        </w:rPr>
        <w:t xml:space="preserve"> specifică aerosolilor a</w:t>
      </w:r>
      <w:r w:rsidRPr="004622F6">
        <w:rPr>
          <w:rFonts w:ascii="Arial" w:eastAsia="Times New Roman" w:hAnsi="Arial" w:cs="Arial"/>
          <w:sz w:val="24"/>
          <w:szCs w:val="24"/>
          <w:lang w:val="fr-FR"/>
        </w:rPr>
        <w:t>t</w:t>
      </w:r>
      <w:r w:rsidRPr="004622F6">
        <w:rPr>
          <w:rFonts w:ascii="Arial" w:eastAsia="Times New Roman" w:hAnsi="Arial" w:cs="Arial"/>
          <w:sz w:val="24"/>
          <w:szCs w:val="24"/>
          <w:lang w:val="fr-FR"/>
        </w:rPr>
        <w:t>mosferici (10 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valorile medii lunare ale măsurărilor  imediate, la nivelul anului 2014 :</w:t>
      </w:r>
    </w:p>
    <w:p w:rsidR="004622F6" w:rsidRPr="004622F6" w:rsidRDefault="004622F6" w:rsidP="004622F6">
      <w:pPr>
        <w:spacing w:before="120" w:after="0" w:line="240" w:lineRule="auto"/>
        <w:rPr>
          <w:rFonts w:ascii="Arial" w:eastAsia="Times New Roman" w:hAnsi="Arial" w:cs="Arial"/>
          <w:sz w:val="24"/>
          <w:szCs w:val="24"/>
          <w:lang w:val="fr-FR"/>
        </w:rPr>
      </w:pPr>
    </w:p>
    <w:p w:rsidR="004622F6" w:rsidRPr="004622F6" w:rsidRDefault="004622F6" w:rsidP="004622F6">
      <w:pPr>
        <w:spacing w:after="0" w:line="240" w:lineRule="auto"/>
        <w:rPr>
          <w:rFonts w:ascii="Arial" w:eastAsia="Times New Roman" w:hAnsi="Arial" w:cs="Arial"/>
          <w:b/>
          <w:bCs/>
          <w:color w:val="000000"/>
          <w:sz w:val="24"/>
          <w:szCs w:val="24"/>
          <w:lang w:val="it-IT"/>
        </w:rPr>
      </w:pPr>
      <w:r>
        <w:rPr>
          <w:rFonts w:ascii="Arial" w:eastAsia="Times New Roman" w:hAnsi="Arial" w:cs="Arial"/>
          <w:noProof/>
          <w:sz w:val="24"/>
          <w:szCs w:val="24"/>
          <w:lang w:val="ro-RO" w:eastAsia="ro-RO"/>
        </w:rPr>
        <w:drawing>
          <wp:anchor distT="0" distB="0" distL="114300" distR="114300" simplePos="0" relativeHeight="251677696" behindDoc="0" locked="0" layoutInCell="1" allowOverlap="1">
            <wp:simplePos x="0" y="0"/>
            <wp:positionH relativeFrom="column">
              <wp:posOffset>228600</wp:posOffset>
            </wp:positionH>
            <wp:positionV relativeFrom="paragraph">
              <wp:posOffset>-76200</wp:posOffset>
            </wp:positionV>
            <wp:extent cx="5871210" cy="3057525"/>
            <wp:effectExtent l="0" t="0" r="0" b="0"/>
            <wp:wrapSquare wrapText="right"/>
            <wp:docPr id="367"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anchor>
        </w:drawing>
      </w:r>
      <w:r w:rsidRPr="004622F6">
        <w:rPr>
          <w:rFonts w:ascii="Arial" w:eastAsia="Times New Roman" w:hAnsi="Arial" w:cs="Arial"/>
          <w:b/>
          <w:bCs/>
          <w:color w:val="000000"/>
          <w:sz w:val="24"/>
          <w:szCs w:val="24"/>
          <w:lang w:val="it-IT"/>
        </w:rPr>
        <w:t>Fig. X.1.1.1. Activitatea specifică beta globală medie lunară pentru aerosolii</w:t>
      </w:r>
    </w:p>
    <w:p w:rsidR="004622F6" w:rsidRPr="004622F6" w:rsidRDefault="004622F6" w:rsidP="004622F6">
      <w:pPr>
        <w:spacing w:after="0" w:line="240" w:lineRule="auto"/>
        <w:jc w:val="center"/>
        <w:rPr>
          <w:rFonts w:ascii="Arial" w:eastAsia="Times New Roman" w:hAnsi="Arial" w:cs="Arial"/>
          <w:b/>
          <w:bCs/>
          <w:color w:val="000000"/>
          <w:sz w:val="24"/>
          <w:szCs w:val="24"/>
          <w:lang w:val="it-IT"/>
        </w:rPr>
      </w:pPr>
      <w:r w:rsidRPr="004622F6">
        <w:rPr>
          <w:rFonts w:ascii="Arial" w:eastAsia="Times New Roman" w:hAnsi="Arial" w:cs="Arial"/>
          <w:b/>
          <w:bCs/>
          <w:color w:val="000000"/>
          <w:sz w:val="24"/>
          <w:szCs w:val="24"/>
          <w:lang w:val="it-IT"/>
        </w:rPr>
        <w:t xml:space="preserve">              atmosferici (valori imediate), comparativ cu limita de atenţie, în anul 2014       </w:t>
      </w:r>
    </w:p>
    <w:p w:rsidR="004622F6" w:rsidRPr="004622F6" w:rsidRDefault="004622F6" w:rsidP="004622F6">
      <w:pPr>
        <w:spacing w:after="0" w:line="240" w:lineRule="auto"/>
        <w:rPr>
          <w:rFonts w:ascii="Arial" w:eastAsia="Times New Roman" w:hAnsi="Arial" w:cs="Arial"/>
          <w:b/>
          <w:bCs/>
          <w:color w:val="000000"/>
          <w:sz w:val="24"/>
          <w:szCs w:val="24"/>
          <w:lang w:val="it-IT"/>
        </w:rPr>
      </w:pPr>
      <w:r w:rsidRPr="004622F6">
        <w:rPr>
          <w:rFonts w:ascii="Arial" w:eastAsia="Times New Roman" w:hAnsi="Arial" w:cs="Arial"/>
          <w:b/>
          <w:bCs/>
          <w:color w:val="000000"/>
          <w:sz w:val="24"/>
          <w:szCs w:val="24"/>
          <w:lang w:val="it-IT"/>
        </w:rPr>
        <w:t xml:space="preserve"> </w:t>
      </w:r>
    </w:p>
    <w:p w:rsidR="004622F6" w:rsidRPr="004622F6" w:rsidRDefault="004622F6" w:rsidP="004622F6">
      <w:pPr>
        <w:spacing w:after="0" w:line="240" w:lineRule="auto"/>
        <w:rPr>
          <w:rFonts w:ascii="Arial" w:eastAsia="Times New Roman" w:hAnsi="Arial" w:cs="Arial"/>
          <w:b/>
          <w:bCs/>
          <w:color w:val="000000"/>
          <w:sz w:val="24"/>
          <w:szCs w:val="24"/>
          <w:lang w:val="it-IT"/>
        </w:rPr>
      </w:pPr>
      <w:r w:rsidRPr="004622F6">
        <w:rPr>
          <w:rFonts w:ascii="Arial" w:eastAsia="Times New Roman" w:hAnsi="Arial" w:cs="Arial"/>
          <w:sz w:val="24"/>
          <w:szCs w:val="24"/>
          <w:lang w:val="it-IT"/>
        </w:rPr>
        <w:t>Maxima anuală pentru măsurări imediate ale aerosolilor atmosferici s-a înregistrat în data de 15.10.2014, cu  valoarea de 9,8 Bq/m</w:t>
      </w:r>
      <w:r w:rsidRPr="004622F6">
        <w:rPr>
          <w:rFonts w:ascii="Arial" w:eastAsia="Times New Roman" w:hAnsi="Arial" w:cs="Arial"/>
          <w:sz w:val="24"/>
          <w:szCs w:val="24"/>
          <w:vertAlign w:val="superscript"/>
          <w:lang w:val="it-IT"/>
        </w:rPr>
        <w:t>3</w:t>
      </w:r>
      <w:r w:rsidRPr="004622F6">
        <w:rPr>
          <w:rFonts w:ascii="Arial" w:eastAsia="Times New Roman" w:hAnsi="Arial" w:cs="Arial"/>
          <w:sz w:val="24"/>
          <w:szCs w:val="24"/>
          <w:lang w:val="it-IT"/>
        </w:rPr>
        <w:t xml:space="preserve">. </w:t>
      </w:r>
      <w:r w:rsidRPr="004622F6">
        <w:rPr>
          <w:rFonts w:ascii="Arial" w:eastAsia="Times New Roman" w:hAnsi="Arial" w:cs="Arial"/>
          <w:sz w:val="24"/>
          <w:szCs w:val="24"/>
          <w:lang w:val="it-IT" w:eastAsia="ro-RO"/>
        </w:rPr>
        <w:t>Media  anuală a fost de 1,67 Bq/m</w:t>
      </w:r>
      <w:r w:rsidRPr="004622F6">
        <w:rPr>
          <w:rFonts w:ascii="Arial" w:eastAsia="Times New Roman" w:hAnsi="Arial" w:cs="Arial"/>
          <w:sz w:val="24"/>
          <w:szCs w:val="24"/>
          <w:vertAlign w:val="superscript"/>
          <w:lang w:val="it-IT" w:eastAsia="ro-RO"/>
        </w:rPr>
        <w:t>3</w:t>
      </w:r>
      <w:r w:rsidRPr="004622F6">
        <w:rPr>
          <w:rFonts w:ascii="Arial" w:eastAsia="Times New Roman" w:hAnsi="Arial" w:cs="Arial"/>
          <w:sz w:val="24"/>
          <w:szCs w:val="24"/>
          <w:lang w:val="it-IT" w:eastAsia="ro-RO"/>
        </w:rPr>
        <w:t xml:space="preserve">. </w:t>
      </w:r>
      <w:r w:rsidRPr="004622F6">
        <w:rPr>
          <w:rFonts w:ascii="Arial" w:eastAsia="Times New Roman" w:hAnsi="Arial" w:cs="Arial"/>
          <w:sz w:val="24"/>
          <w:szCs w:val="24"/>
          <w:lang w:val="fr-FR"/>
        </w:rPr>
        <w:t>Toate valorile au fost sub 10 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care este valoarea limitei  de atenţie.</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lastRenderedPageBreak/>
        <w:t>Valorile medii lunare în anul 2014  pentru aerosoli atmosferici sunt cuprinse în următorul tabel:</w:t>
      </w:r>
    </w:p>
    <w:p w:rsidR="004622F6" w:rsidRPr="004622F6" w:rsidRDefault="004622F6" w:rsidP="004622F6">
      <w:pPr>
        <w:spacing w:before="120"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 xml:space="preserve">  </w:t>
      </w:r>
    </w:p>
    <w:tbl>
      <w:tblPr>
        <w:tblW w:w="89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684"/>
        <w:gridCol w:w="630"/>
        <w:gridCol w:w="684"/>
        <w:gridCol w:w="590"/>
        <w:gridCol w:w="603"/>
        <w:gridCol w:w="684"/>
        <w:gridCol w:w="684"/>
        <w:gridCol w:w="684"/>
        <w:gridCol w:w="684"/>
        <w:gridCol w:w="590"/>
        <w:gridCol w:w="643"/>
        <w:gridCol w:w="643"/>
      </w:tblGrid>
      <w:tr w:rsidR="004622F6" w:rsidRPr="004622F6" w:rsidTr="00D92384">
        <w:trPr>
          <w:trHeight w:val="64"/>
        </w:trPr>
        <w:tc>
          <w:tcPr>
            <w:tcW w:w="1190" w:type="dxa"/>
            <w:vAlign w:val="center"/>
          </w:tcPr>
          <w:p w:rsidR="004622F6" w:rsidRPr="004622F6" w:rsidRDefault="004622F6" w:rsidP="004622F6">
            <w:pPr>
              <w:spacing w:before="120" w:after="0" w:line="240" w:lineRule="auto"/>
              <w:jc w:val="center"/>
              <w:rPr>
                <w:rFonts w:ascii="Arial" w:eastAsia="Times New Roman" w:hAnsi="Arial" w:cs="Arial"/>
                <w:sz w:val="24"/>
                <w:szCs w:val="24"/>
                <w:lang w:val="ro-RO"/>
              </w:rPr>
            </w:pPr>
          </w:p>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LUNA</w:t>
            </w:r>
          </w:p>
        </w:tc>
        <w:tc>
          <w:tcPr>
            <w:tcW w:w="684"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Ian</w:t>
            </w:r>
          </w:p>
        </w:tc>
        <w:tc>
          <w:tcPr>
            <w:tcW w:w="630"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Feb</w:t>
            </w:r>
          </w:p>
        </w:tc>
        <w:tc>
          <w:tcPr>
            <w:tcW w:w="684"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Mar</w:t>
            </w:r>
          </w:p>
        </w:tc>
        <w:tc>
          <w:tcPr>
            <w:tcW w:w="590"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Apr</w:t>
            </w:r>
          </w:p>
        </w:tc>
        <w:tc>
          <w:tcPr>
            <w:tcW w:w="603"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Mai</w:t>
            </w:r>
          </w:p>
        </w:tc>
        <w:tc>
          <w:tcPr>
            <w:tcW w:w="550"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Iun</w:t>
            </w:r>
          </w:p>
        </w:tc>
        <w:tc>
          <w:tcPr>
            <w:tcW w:w="684"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Iul</w:t>
            </w:r>
          </w:p>
        </w:tc>
        <w:tc>
          <w:tcPr>
            <w:tcW w:w="644"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Aug</w:t>
            </w:r>
          </w:p>
        </w:tc>
        <w:tc>
          <w:tcPr>
            <w:tcW w:w="684"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Sep</w:t>
            </w:r>
          </w:p>
        </w:tc>
        <w:tc>
          <w:tcPr>
            <w:tcW w:w="590"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Oct</w:t>
            </w:r>
          </w:p>
        </w:tc>
        <w:tc>
          <w:tcPr>
            <w:tcW w:w="643"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Nov</w:t>
            </w:r>
          </w:p>
        </w:tc>
        <w:tc>
          <w:tcPr>
            <w:tcW w:w="724"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Dec</w:t>
            </w:r>
          </w:p>
        </w:tc>
      </w:tr>
      <w:tr w:rsidR="004622F6" w:rsidRPr="004622F6" w:rsidTr="00D92384">
        <w:trPr>
          <w:trHeight w:val="489"/>
        </w:trPr>
        <w:tc>
          <w:tcPr>
            <w:tcW w:w="1190" w:type="dxa"/>
            <w:vAlign w:val="center"/>
          </w:tcPr>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MEDII LUNARE</w:t>
            </w:r>
          </w:p>
        </w:tc>
        <w:tc>
          <w:tcPr>
            <w:tcW w:w="68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2,35</w:t>
            </w:r>
          </w:p>
        </w:tc>
        <w:tc>
          <w:tcPr>
            <w:tcW w:w="630"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1,6</w:t>
            </w:r>
          </w:p>
        </w:tc>
        <w:tc>
          <w:tcPr>
            <w:tcW w:w="68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1,15</w:t>
            </w:r>
          </w:p>
        </w:tc>
        <w:tc>
          <w:tcPr>
            <w:tcW w:w="590"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1,1</w:t>
            </w:r>
          </w:p>
        </w:tc>
        <w:tc>
          <w:tcPr>
            <w:tcW w:w="603"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1,2</w:t>
            </w:r>
          </w:p>
        </w:tc>
        <w:tc>
          <w:tcPr>
            <w:tcW w:w="550"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0,85</w:t>
            </w:r>
          </w:p>
        </w:tc>
        <w:tc>
          <w:tcPr>
            <w:tcW w:w="68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1,33</w:t>
            </w:r>
          </w:p>
        </w:tc>
        <w:tc>
          <w:tcPr>
            <w:tcW w:w="64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1,55</w:t>
            </w:r>
          </w:p>
        </w:tc>
        <w:tc>
          <w:tcPr>
            <w:tcW w:w="68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1,95</w:t>
            </w:r>
          </w:p>
        </w:tc>
        <w:tc>
          <w:tcPr>
            <w:tcW w:w="590"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2,3</w:t>
            </w:r>
          </w:p>
        </w:tc>
        <w:tc>
          <w:tcPr>
            <w:tcW w:w="643"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2,1</w:t>
            </w:r>
          </w:p>
        </w:tc>
        <w:tc>
          <w:tcPr>
            <w:tcW w:w="72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2,6</w:t>
            </w:r>
          </w:p>
        </w:tc>
      </w:tr>
    </w:tbl>
    <w:p w:rsidR="004622F6" w:rsidRPr="004622F6" w:rsidRDefault="004622F6" w:rsidP="004622F6">
      <w:pPr>
        <w:spacing w:before="120" w:after="0" w:line="240" w:lineRule="auto"/>
        <w:rPr>
          <w:rFonts w:ascii="Arial" w:eastAsia="Times New Roman" w:hAnsi="Arial" w:cs="Arial"/>
          <w:b/>
          <w:color w:val="000000"/>
          <w:sz w:val="24"/>
          <w:szCs w:val="24"/>
          <w:lang w:val="it-IT"/>
        </w:rPr>
      </w:pPr>
      <w:r w:rsidRPr="004622F6">
        <w:rPr>
          <w:rFonts w:ascii="Arial" w:eastAsia="Times New Roman" w:hAnsi="Arial" w:cs="Arial"/>
          <w:b/>
          <w:color w:val="000000"/>
          <w:sz w:val="24"/>
          <w:szCs w:val="24"/>
          <w:lang w:val="it-IT"/>
        </w:rPr>
        <w:t xml:space="preserve">   Tabel  X.1.1.1. Valorile medii lunare pentru aerosoli atmosferici în anul 2014</w:t>
      </w:r>
    </w:p>
    <w:p w:rsidR="004622F6" w:rsidRPr="004622F6" w:rsidRDefault="004622F6" w:rsidP="004622F6">
      <w:pPr>
        <w:spacing w:before="120" w:after="0" w:line="240" w:lineRule="auto"/>
        <w:jc w:val="both"/>
        <w:rPr>
          <w:rFonts w:ascii="Arial" w:eastAsia="Times New Roman" w:hAnsi="Arial" w:cs="Arial"/>
          <w:sz w:val="24"/>
          <w:szCs w:val="24"/>
          <w:lang w:val="it-IT"/>
        </w:rPr>
      </w:pPr>
    </w:p>
    <w:p w:rsidR="004622F6" w:rsidRPr="004622F6" w:rsidRDefault="004622F6" w:rsidP="004622F6">
      <w:pPr>
        <w:spacing w:before="120" w:after="0" w:line="240" w:lineRule="auto"/>
        <w:jc w:val="both"/>
        <w:rPr>
          <w:rFonts w:ascii="Arial" w:eastAsia="Times New Roman" w:hAnsi="Arial" w:cs="Arial"/>
          <w:sz w:val="24"/>
          <w:szCs w:val="24"/>
          <w:lang w:val="it-IT"/>
        </w:rPr>
      </w:pPr>
      <w:r w:rsidRPr="004622F6">
        <w:rPr>
          <w:rFonts w:ascii="Arial" w:eastAsia="Times New Roman" w:hAnsi="Arial" w:cs="Arial"/>
          <w:sz w:val="24"/>
          <w:szCs w:val="24"/>
          <w:lang w:val="it-IT"/>
        </w:rPr>
        <w:t>Comparativ, în perioada 2007-2014, valorile activităţii specifice beta globale medii pentru aerosolii atmosferici au evoluat astfel:</w:t>
      </w:r>
    </w:p>
    <w:p w:rsidR="004622F6" w:rsidRPr="004622F6" w:rsidRDefault="004622F6" w:rsidP="004622F6">
      <w:pPr>
        <w:spacing w:before="120" w:after="0" w:line="240" w:lineRule="auto"/>
        <w:jc w:val="center"/>
        <w:rPr>
          <w:rFonts w:ascii="Arial" w:eastAsia="Times New Roman" w:hAnsi="Arial" w:cs="Arial"/>
          <w:sz w:val="24"/>
          <w:szCs w:val="24"/>
        </w:rPr>
      </w:pPr>
      <w:r>
        <w:rPr>
          <w:rFonts w:ascii="Arial" w:eastAsia="Times New Roman" w:hAnsi="Arial" w:cs="Arial"/>
          <w:noProof/>
          <w:sz w:val="24"/>
          <w:szCs w:val="24"/>
          <w:lang w:val="ro-RO" w:eastAsia="ro-RO"/>
        </w:rPr>
        <w:drawing>
          <wp:inline distT="0" distB="0" distL="0" distR="0">
            <wp:extent cx="5791200" cy="3219450"/>
            <wp:effectExtent l="0" t="0" r="0" b="0"/>
            <wp:docPr id="290" name="Object 2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4622F6" w:rsidRPr="004622F6" w:rsidRDefault="004622F6" w:rsidP="004622F6">
      <w:pPr>
        <w:spacing w:after="0" w:line="240" w:lineRule="auto"/>
        <w:jc w:val="center"/>
        <w:rPr>
          <w:rFonts w:ascii="Arial" w:eastAsia="Times New Roman" w:hAnsi="Arial" w:cs="Arial"/>
          <w:b/>
          <w:bCs/>
          <w:color w:val="000000"/>
          <w:sz w:val="24"/>
          <w:szCs w:val="24"/>
          <w:lang w:val="it-IT"/>
        </w:rPr>
      </w:pPr>
      <w:r w:rsidRPr="004622F6">
        <w:rPr>
          <w:rFonts w:ascii="Arial" w:eastAsia="Times New Roman" w:hAnsi="Arial" w:cs="Arial"/>
          <w:b/>
          <w:bCs/>
          <w:color w:val="000000"/>
          <w:sz w:val="24"/>
          <w:szCs w:val="24"/>
          <w:lang w:val="it-IT"/>
        </w:rPr>
        <w:t xml:space="preserve">Fig. X.1.1.2. Activitatea specifică beta globală medie anuală pentru aerosoli </w:t>
      </w:r>
    </w:p>
    <w:p w:rsidR="004622F6" w:rsidRPr="004622F6" w:rsidRDefault="004622F6" w:rsidP="004622F6">
      <w:pPr>
        <w:spacing w:after="0" w:line="240" w:lineRule="auto"/>
        <w:jc w:val="center"/>
        <w:rPr>
          <w:rFonts w:ascii="Arial" w:eastAsia="Times New Roman" w:hAnsi="Arial" w:cs="Arial"/>
          <w:color w:val="000000"/>
          <w:sz w:val="24"/>
          <w:szCs w:val="24"/>
        </w:rPr>
      </w:pPr>
      <w:r w:rsidRPr="004622F6">
        <w:rPr>
          <w:rFonts w:ascii="Arial" w:eastAsia="Times New Roman" w:hAnsi="Arial" w:cs="Arial"/>
          <w:b/>
          <w:bCs/>
          <w:color w:val="000000"/>
          <w:sz w:val="24"/>
          <w:szCs w:val="24"/>
          <w:lang w:val="it-IT"/>
        </w:rPr>
        <w:t xml:space="preserve">                      atmosferici (valori imediate), comparativ în perioada 2007-2014</w:t>
      </w:r>
    </w:p>
    <w:p w:rsidR="004622F6" w:rsidRPr="004622F6" w:rsidRDefault="004622F6" w:rsidP="004622F6">
      <w:pPr>
        <w:spacing w:after="0" w:line="240" w:lineRule="auto"/>
        <w:rPr>
          <w:rFonts w:ascii="Arial" w:eastAsia="Times New Roman" w:hAnsi="Arial" w:cs="Arial"/>
          <w:bCs/>
          <w:sz w:val="24"/>
          <w:szCs w:val="24"/>
        </w:rPr>
      </w:pPr>
    </w:p>
    <w:p w:rsidR="004622F6" w:rsidRPr="004622F6" w:rsidRDefault="004622F6" w:rsidP="00F40B9D">
      <w:pPr>
        <w:spacing w:after="0" w:line="240" w:lineRule="auto"/>
        <w:jc w:val="both"/>
        <w:rPr>
          <w:rFonts w:ascii="Arial" w:eastAsia="Times New Roman" w:hAnsi="Arial" w:cs="Arial"/>
          <w:color w:val="000000"/>
          <w:sz w:val="24"/>
          <w:szCs w:val="24"/>
        </w:rPr>
      </w:pPr>
      <w:r w:rsidRPr="004622F6">
        <w:rPr>
          <w:rFonts w:ascii="Arial" w:eastAsia="Times New Roman" w:hAnsi="Arial" w:cs="Arial"/>
          <w:bCs/>
          <w:sz w:val="24"/>
          <w:szCs w:val="24"/>
        </w:rPr>
        <w:t>Activitatea specifică beta globală a aerosolilor atmosferici (valori după 5 zile) a variat între 2,5±0,80 – 10,4±1,19 mBq/m</w:t>
      </w:r>
      <w:r w:rsidRPr="004622F6">
        <w:rPr>
          <w:rFonts w:ascii="Arial" w:eastAsia="Times New Roman" w:hAnsi="Arial" w:cs="Arial"/>
          <w:bCs/>
          <w:sz w:val="24"/>
          <w:szCs w:val="24"/>
          <w:vertAlign w:val="superscript"/>
        </w:rPr>
        <w:t>3</w:t>
      </w:r>
      <w:r w:rsidRPr="004622F6">
        <w:rPr>
          <w:rFonts w:ascii="Arial" w:eastAsia="Times New Roman" w:hAnsi="Arial" w:cs="Arial"/>
          <w:bCs/>
          <w:sz w:val="24"/>
          <w:szCs w:val="24"/>
        </w:rPr>
        <w:t xml:space="preserve"> (aspiraţia 2-7) şi 2,5±0,80 – 19,6±1,55 mBq/m</w:t>
      </w:r>
      <w:r w:rsidRPr="004622F6">
        <w:rPr>
          <w:rFonts w:ascii="Arial" w:eastAsia="Times New Roman" w:hAnsi="Arial" w:cs="Arial"/>
          <w:bCs/>
          <w:sz w:val="24"/>
          <w:szCs w:val="24"/>
          <w:vertAlign w:val="superscript"/>
        </w:rPr>
        <w:t>3</w:t>
      </w:r>
      <w:r w:rsidRPr="004622F6">
        <w:rPr>
          <w:rFonts w:ascii="Arial" w:eastAsia="Times New Roman" w:hAnsi="Arial" w:cs="Arial"/>
          <w:bCs/>
          <w:sz w:val="24"/>
          <w:szCs w:val="24"/>
        </w:rPr>
        <w:t xml:space="preserve"> (aspiraţia 8-13). </w:t>
      </w:r>
      <w:r w:rsidRPr="004622F6">
        <w:rPr>
          <w:rFonts w:ascii="Arial" w:eastAsia="Times New Roman" w:hAnsi="Arial" w:cs="Arial"/>
          <w:bCs/>
          <w:sz w:val="24"/>
          <w:szCs w:val="24"/>
          <w:lang w:val="fr-FR"/>
        </w:rPr>
        <w:t>Mediile anuale au fost de 3,61mBq/m</w:t>
      </w:r>
      <w:r w:rsidRPr="004622F6">
        <w:rPr>
          <w:rFonts w:ascii="Arial" w:eastAsia="Times New Roman" w:hAnsi="Arial" w:cs="Arial"/>
          <w:bCs/>
          <w:sz w:val="24"/>
          <w:szCs w:val="24"/>
          <w:vertAlign w:val="superscript"/>
          <w:lang w:val="fr-FR"/>
        </w:rPr>
        <w:t>3</w:t>
      </w:r>
      <w:r w:rsidRPr="004622F6">
        <w:rPr>
          <w:rFonts w:ascii="Arial" w:eastAsia="Times New Roman" w:hAnsi="Arial" w:cs="Arial"/>
          <w:b/>
          <w:sz w:val="24"/>
          <w:szCs w:val="24"/>
          <w:lang w:val="fr-FR"/>
        </w:rPr>
        <w:t xml:space="preserve"> </w:t>
      </w:r>
      <w:r w:rsidRPr="004622F6">
        <w:rPr>
          <w:rFonts w:ascii="Arial" w:eastAsia="Times New Roman" w:hAnsi="Arial" w:cs="Arial"/>
          <w:bCs/>
          <w:sz w:val="24"/>
          <w:szCs w:val="24"/>
          <w:lang w:val="fr-FR"/>
        </w:rPr>
        <w:t>(aspiraţia 2-7) şi de 3,86 mBq/m</w:t>
      </w:r>
      <w:r w:rsidRPr="004622F6">
        <w:rPr>
          <w:rFonts w:ascii="Arial" w:eastAsia="Times New Roman" w:hAnsi="Arial" w:cs="Arial"/>
          <w:bCs/>
          <w:sz w:val="24"/>
          <w:szCs w:val="24"/>
          <w:vertAlign w:val="superscript"/>
          <w:lang w:val="fr-FR"/>
        </w:rPr>
        <w:t>3</w:t>
      </w:r>
      <w:r w:rsidRPr="004622F6">
        <w:rPr>
          <w:rFonts w:ascii="Arial" w:eastAsia="Times New Roman" w:hAnsi="Arial" w:cs="Arial"/>
          <w:b/>
          <w:sz w:val="24"/>
          <w:szCs w:val="24"/>
          <w:lang w:val="fr-FR"/>
        </w:rPr>
        <w:t xml:space="preserve"> </w:t>
      </w:r>
      <w:r w:rsidRPr="004622F6">
        <w:rPr>
          <w:rFonts w:ascii="Arial" w:eastAsia="Times New Roman" w:hAnsi="Arial" w:cs="Arial"/>
          <w:bCs/>
          <w:sz w:val="24"/>
          <w:szCs w:val="24"/>
          <w:lang w:val="fr-FR"/>
        </w:rPr>
        <w:t>(aspiraţia 8-13). Maxima anuală s-a înregistrat în luna august  2014 şi a avut valoarea de 19,6±1,55 mBq/m</w:t>
      </w:r>
      <w:r w:rsidRPr="004622F6">
        <w:rPr>
          <w:rFonts w:ascii="Arial" w:eastAsia="Times New Roman" w:hAnsi="Arial" w:cs="Arial"/>
          <w:bCs/>
          <w:sz w:val="24"/>
          <w:szCs w:val="24"/>
          <w:vertAlign w:val="superscript"/>
          <w:lang w:val="fr-FR"/>
        </w:rPr>
        <w:t>3</w:t>
      </w:r>
      <w:r w:rsidRPr="004622F6">
        <w:rPr>
          <w:rFonts w:ascii="Arial" w:eastAsia="Times New Roman" w:hAnsi="Arial" w:cs="Arial"/>
          <w:bCs/>
          <w:sz w:val="24"/>
          <w:szCs w:val="24"/>
          <w:lang w:val="fr-FR"/>
        </w:rPr>
        <w:t xml:space="preserve">, în intervalul de aspiraţie (8-13). </w:t>
      </w:r>
      <w:r w:rsidRPr="004622F6">
        <w:rPr>
          <w:rFonts w:ascii="Arial" w:eastAsia="Times New Roman" w:hAnsi="Arial" w:cs="Arial"/>
          <w:sz w:val="24"/>
          <w:szCs w:val="24"/>
          <w:lang w:val="fr-FR"/>
        </w:rPr>
        <w:t>Intervalul de variaţie a erorilor relative a fost de 7,9 – 34,8 %.</w:t>
      </w:r>
    </w:p>
    <w:p w:rsidR="004622F6" w:rsidRPr="004622F6" w:rsidRDefault="004622F6" w:rsidP="00F40B9D">
      <w:pPr>
        <w:spacing w:after="0" w:line="240" w:lineRule="auto"/>
        <w:jc w:val="both"/>
        <w:rPr>
          <w:rFonts w:ascii="Arial" w:eastAsia="Times New Roman" w:hAnsi="Arial" w:cs="Arial"/>
          <w:color w:val="000000"/>
          <w:sz w:val="24"/>
          <w:szCs w:val="24"/>
          <w:lang w:val="fr-FR"/>
        </w:rPr>
      </w:pPr>
      <w:r w:rsidRPr="004622F6">
        <w:rPr>
          <w:rFonts w:ascii="Arial" w:eastAsia="Times New Roman" w:hAnsi="Arial" w:cs="Arial"/>
          <w:color w:val="000000"/>
          <w:sz w:val="24"/>
          <w:szCs w:val="24"/>
          <w:lang w:val="fr-FR"/>
        </w:rPr>
        <w:t>Concentraţiile descendenţilor gazelor radioactive Radon (Rn 222) şi Toron (Tn) sunt calculate prin măsurarea beta globală a filtrelor la 20(25) ore de la încetarea aspiraţiei.</w:t>
      </w:r>
    </w:p>
    <w:p w:rsidR="004622F6" w:rsidRPr="004622F6" w:rsidRDefault="004622F6" w:rsidP="00F40B9D">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 xml:space="preserve">Pentru </w:t>
      </w:r>
      <w:r w:rsidRPr="004622F6">
        <w:rPr>
          <w:rFonts w:ascii="Arial" w:eastAsia="Times New Roman" w:hAnsi="Arial" w:cs="Arial"/>
          <w:b/>
          <w:bCs/>
          <w:sz w:val="24"/>
          <w:szCs w:val="24"/>
          <w:lang w:val="fr-FR"/>
        </w:rPr>
        <w:t>Radon</w:t>
      </w:r>
      <w:r w:rsidRPr="004622F6">
        <w:rPr>
          <w:rFonts w:ascii="Arial" w:eastAsia="Times New Roman" w:hAnsi="Arial" w:cs="Arial"/>
          <w:sz w:val="24"/>
          <w:szCs w:val="24"/>
          <w:lang w:val="fr-FR"/>
        </w:rPr>
        <w:t xml:space="preserve"> valorile au variat între 468,5,0±34,45 – 28724,6±1607,49  mBq/m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(aspiraţia 2-7) şi 235,6±44,59 –17506±894,53 mBq/m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(aspiraţia 8-13). Mediile anuale au fost de 4792,4 mBq/m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(aspiraţia 2-7) şi</w:t>
      </w:r>
      <w:r w:rsidRPr="004622F6">
        <w:rPr>
          <w:rFonts w:ascii="Arial" w:eastAsia="Times New Roman" w:hAnsi="Arial" w:cs="Arial"/>
          <w:color w:val="FF0000"/>
          <w:sz w:val="24"/>
          <w:szCs w:val="24"/>
          <w:lang w:val="fr-FR"/>
        </w:rPr>
        <w:t xml:space="preserve"> </w:t>
      </w:r>
      <w:r w:rsidRPr="004622F6">
        <w:rPr>
          <w:rFonts w:ascii="Arial" w:eastAsia="Times New Roman" w:hAnsi="Arial" w:cs="Arial"/>
          <w:sz w:val="24"/>
          <w:szCs w:val="24"/>
          <w:lang w:val="fr-FR"/>
        </w:rPr>
        <w:t>4289,02 mBq/m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(aspiraţia 8-13). Valoarea maximă a fost de 28724,6±1607,49  mBq/m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şi s-a înregistrat în luna octombrie  2013, în intervalul de aspiraţie (2-7). Intervalul de variaţie a erorilor relative a fost de 5,1 - 18,9%.</w:t>
      </w:r>
    </w:p>
    <w:p w:rsidR="004622F6" w:rsidRPr="004622F6" w:rsidRDefault="004622F6" w:rsidP="00F40B9D">
      <w:pPr>
        <w:spacing w:after="0" w:line="240" w:lineRule="auto"/>
        <w:jc w:val="both"/>
        <w:rPr>
          <w:rFonts w:ascii="Arial" w:eastAsia="Times New Roman" w:hAnsi="Arial" w:cs="Arial"/>
          <w:sz w:val="24"/>
          <w:szCs w:val="24"/>
          <w:lang w:val="es-ES"/>
        </w:rPr>
      </w:pPr>
      <w:r w:rsidRPr="004622F6">
        <w:rPr>
          <w:rFonts w:ascii="Arial" w:eastAsia="Times New Roman" w:hAnsi="Arial" w:cs="Arial"/>
          <w:sz w:val="24"/>
          <w:szCs w:val="24"/>
          <w:lang w:val="fr-FR"/>
        </w:rPr>
        <w:t xml:space="preserve">Pentru </w:t>
      </w:r>
      <w:r w:rsidRPr="004622F6">
        <w:rPr>
          <w:rFonts w:ascii="Arial" w:eastAsia="Times New Roman" w:hAnsi="Arial" w:cs="Arial"/>
          <w:b/>
          <w:bCs/>
          <w:sz w:val="24"/>
          <w:szCs w:val="24"/>
          <w:lang w:val="fr-FR"/>
        </w:rPr>
        <w:t>Toron</w:t>
      </w:r>
      <w:r w:rsidRPr="004622F6">
        <w:rPr>
          <w:rFonts w:ascii="Arial" w:eastAsia="Times New Roman" w:hAnsi="Arial" w:cs="Arial"/>
          <w:sz w:val="24"/>
          <w:szCs w:val="24"/>
          <w:lang w:val="fr-FR"/>
        </w:rPr>
        <w:t xml:space="preserve"> valorile au variat între 11,2±2,87 – 754,8±39,23 mBq/m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(aspiraţia 2-7) şi  9,6±2,05 – 3710,1±216,49 mBq/m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(aspiraţia 8-13). </w:t>
      </w:r>
      <w:r w:rsidRPr="004622F6">
        <w:rPr>
          <w:rFonts w:ascii="Arial" w:eastAsia="Times New Roman" w:hAnsi="Arial" w:cs="Arial"/>
          <w:sz w:val="24"/>
          <w:szCs w:val="24"/>
          <w:lang w:val="es-ES"/>
        </w:rPr>
        <w:t>Media anuală a fost de 184,44 mBq/m</w:t>
      </w:r>
      <w:r w:rsidRPr="004622F6">
        <w:rPr>
          <w:rFonts w:ascii="Arial" w:eastAsia="Times New Roman" w:hAnsi="Arial" w:cs="Arial"/>
          <w:sz w:val="24"/>
          <w:szCs w:val="24"/>
          <w:vertAlign w:val="superscript"/>
          <w:lang w:val="es-ES"/>
        </w:rPr>
        <w:t>3</w:t>
      </w:r>
      <w:r w:rsidRPr="004622F6">
        <w:rPr>
          <w:rFonts w:ascii="Arial" w:eastAsia="Times New Roman" w:hAnsi="Arial" w:cs="Arial"/>
          <w:sz w:val="24"/>
          <w:szCs w:val="24"/>
          <w:lang w:val="es-ES"/>
        </w:rPr>
        <w:t xml:space="preserve"> </w:t>
      </w:r>
      <w:r w:rsidRPr="004622F6">
        <w:rPr>
          <w:rFonts w:ascii="Arial" w:eastAsia="Times New Roman" w:hAnsi="Arial" w:cs="Arial"/>
          <w:sz w:val="24"/>
          <w:szCs w:val="24"/>
          <w:lang w:val="es-ES"/>
        </w:rPr>
        <w:lastRenderedPageBreak/>
        <w:t>(aspiraţia 2-7) şi 121,92 mBq/m</w:t>
      </w:r>
      <w:r w:rsidRPr="004622F6">
        <w:rPr>
          <w:rFonts w:ascii="Arial" w:eastAsia="Times New Roman" w:hAnsi="Arial" w:cs="Arial"/>
          <w:sz w:val="24"/>
          <w:szCs w:val="24"/>
          <w:vertAlign w:val="superscript"/>
          <w:lang w:val="es-ES"/>
        </w:rPr>
        <w:t>3</w:t>
      </w:r>
      <w:r w:rsidRPr="004622F6">
        <w:rPr>
          <w:rFonts w:ascii="Arial" w:eastAsia="Times New Roman" w:hAnsi="Arial" w:cs="Arial"/>
          <w:sz w:val="24"/>
          <w:szCs w:val="24"/>
          <w:lang w:val="es-ES"/>
        </w:rPr>
        <w:t xml:space="preserve"> (aspiraţia 8-13). Valoarea maximă a fost de 3710,1±216,49 mBq/m</w:t>
      </w:r>
      <w:r w:rsidRPr="004622F6">
        <w:rPr>
          <w:rFonts w:ascii="Arial" w:eastAsia="Times New Roman" w:hAnsi="Arial" w:cs="Arial"/>
          <w:sz w:val="24"/>
          <w:szCs w:val="24"/>
          <w:vertAlign w:val="superscript"/>
          <w:lang w:val="es-ES"/>
        </w:rPr>
        <w:t xml:space="preserve">3 </w:t>
      </w:r>
      <w:r w:rsidRPr="004622F6">
        <w:rPr>
          <w:rFonts w:ascii="Arial" w:eastAsia="Times New Roman" w:hAnsi="Arial" w:cs="Arial"/>
          <w:sz w:val="24"/>
          <w:szCs w:val="24"/>
          <w:lang w:val="es-ES"/>
        </w:rPr>
        <w:t>şi s-a înregistrat  în luna mai 2014, în intervalul de aspiraţie (8-13). Intervalul de variaţie a erorilor relative a fost de 5,1 - 25,6 %.</w:t>
      </w:r>
    </w:p>
    <w:p w:rsidR="004622F6" w:rsidRPr="004622F6" w:rsidRDefault="004622F6" w:rsidP="004622F6">
      <w:pPr>
        <w:spacing w:before="120" w:after="0" w:line="240" w:lineRule="auto"/>
        <w:jc w:val="both"/>
        <w:rPr>
          <w:rFonts w:ascii="Arial" w:eastAsia="Times New Roman" w:hAnsi="Arial" w:cs="Arial"/>
          <w:b/>
          <w:sz w:val="24"/>
          <w:szCs w:val="24"/>
          <w:lang w:val="it-IT"/>
        </w:rPr>
      </w:pPr>
      <w:r w:rsidRPr="004622F6">
        <w:rPr>
          <w:rFonts w:ascii="Arial" w:eastAsia="Times New Roman" w:hAnsi="Arial" w:cs="Arial"/>
          <w:b/>
          <w:sz w:val="24"/>
          <w:szCs w:val="24"/>
          <w:lang w:val="es-ES"/>
        </w:rPr>
        <w:t>X</w:t>
      </w:r>
      <w:r w:rsidRPr="004622F6">
        <w:rPr>
          <w:rFonts w:ascii="Arial" w:eastAsia="Times New Roman" w:hAnsi="Arial" w:cs="Arial"/>
          <w:b/>
          <w:sz w:val="24"/>
          <w:szCs w:val="24"/>
          <w:lang w:val="it-IT"/>
        </w:rPr>
        <w:t>.1.1.2. Debitul dozei gama absorbită în aerul exterior</w:t>
      </w:r>
    </w:p>
    <w:p w:rsidR="004622F6" w:rsidRPr="004622F6" w:rsidRDefault="004622F6" w:rsidP="004622F6">
      <w:pPr>
        <w:spacing w:after="0" w:line="240" w:lineRule="auto"/>
        <w:jc w:val="both"/>
        <w:rPr>
          <w:rFonts w:ascii="Arial" w:eastAsia="Times New Roman" w:hAnsi="Arial" w:cs="Arial"/>
          <w:color w:val="000000"/>
          <w:sz w:val="24"/>
          <w:szCs w:val="24"/>
          <w:lang w:val="ro-RO"/>
        </w:rPr>
      </w:pP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Debitul dozei gama absorbită în aerul exterior a fost determinat prin măsurări cu ajutorul staţiei automate AAMS 14, ca medii orare.</w:t>
      </w:r>
    </w:p>
    <w:p w:rsidR="004622F6" w:rsidRPr="004622F6" w:rsidRDefault="004622F6" w:rsidP="004622F6">
      <w:pPr>
        <w:spacing w:after="0" w:line="240" w:lineRule="auto"/>
        <w:jc w:val="both"/>
        <w:rPr>
          <w:rFonts w:ascii="Arial" w:eastAsia="Times New Roman" w:hAnsi="Arial" w:cs="Arial"/>
          <w:sz w:val="24"/>
          <w:szCs w:val="24"/>
          <w:lang w:val="pl-PL" w:eastAsia="ro-RO"/>
        </w:rPr>
      </w:pPr>
      <w:r w:rsidRPr="004622F6">
        <w:rPr>
          <w:rFonts w:ascii="Arial" w:eastAsia="Times New Roman" w:hAnsi="Arial" w:cs="Arial"/>
          <w:sz w:val="24"/>
          <w:szCs w:val="24"/>
          <w:lang w:val="pl-PL" w:eastAsia="ro-RO"/>
        </w:rPr>
        <w:t xml:space="preserve">Valorile medii orare lunare ale debitului dozei gama în aerul exterior pentru </w:t>
      </w:r>
      <w:r w:rsidRPr="004622F6">
        <w:rPr>
          <w:rFonts w:ascii="Arial" w:eastAsia="Times New Roman" w:hAnsi="Arial" w:cs="Arial"/>
          <w:sz w:val="24"/>
          <w:szCs w:val="24"/>
          <w:lang w:val="ro-RO" w:eastAsia="ro-RO"/>
        </w:rPr>
        <w:t xml:space="preserve"> anul 2014 </w:t>
      </w:r>
      <w:r w:rsidRPr="004622F6">
        <w:rPr>
          <w:rFonts w:ascii="Arial" w:eastAsia="Times New Roman" w:hAnsi="Arial" w:cs="Arial"/>
          <w:sz w:val="24"/>
          <w:szCs w:val="24"/>
          <w:lang w:val="pl-PL" w:eastAsia="ro-RO"/>
        </w:rPr>
        <w:t>sunt redate în tabelul X.1.1.2.1:</w:t>
      </w:r>
    </w:p>
    <w:p w:rsidR="004622F6" w:rsidRPr="004622F6" w:rsidRDefault="004622F6" w:rsidP="004622F6">
      <w:pPr>
        <w:spacing w:before="120" w:after="0" w:line="240" w:lineRule="auto"/>
        <w:jc w:val="both"/>
        <w:rPr>
          <w:rFonts w:ascii="Arial" w:eastAsia="Times New Roman" w:hAnsi="Arial" w:cs="Arial"/>
          <w:sz w:val="24"/>
          <w:szCs w:val="24"/>
          <w:lang w:val="pl-PL" w:eastAsia="ro-RO"/>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8"/>
        <w:gridCol w:w="717"/>
        <w:gridCol w:w="717"/>
        <w:gridCol w:w="717"/>
        <w:gridCol w:w="717"/>
        <w:gridCol w:w="717"/>
        <w:gridCol w:w="717"/>
        <w:gridCol w:w="717"/>
        <w:gridCol w:w="717"/>
        <w:gridCol w:w="717"/>
        <w:gridCol w:w="717"/>
        <w:gridCol w:w="717"/>
        <w:gridCol w:w="717"/>
      </w:tblGrid>
      <w:tr w:rsidR="004622F6" w:rsidRPr="004622F6" w:rsidTr="00D92384">
        <w:trPr>
          <w:trHeight w:val="564"/>
        </w:trPr>
        <w:tc>
          <w:tcPr>
            <w:tcW w:w="1028" w:type="dxa"/>
          </w:tcPr>
          <w:p w:rsidR="004622F6" w:rsidRPr="004622F6" w:rsidRDefault="004622F6" w:rsidP="004622F6">
            <w:pPr>
              <w:spacing w:before="120" w:after="0" w:line="240" w:lineRule="auto"/>
              <w:jc w:val="both"/>
              <w:rPr>
                <w:rFonts w:ascii="Arial" w:eastAsia="Times New Roman" w:hAnsi="Arial" w:cs="Arial"/>
                <w:sz w:val="20"/>
                <w:szCs w:val="20"/>
                <w:lang w:val="it-IT"/>
              </w:rPr>
            </w:pPr>
          </w:p>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lang w:val="it-IT"/>
              </w:rPr>
              <w:t xml:space="preserve">  </w:t>
            </w:r>
            <w:r w:rsidRPr="004622F6">
              <w:rPr>
                <w:rFonts w:ascii="Arial" w:eastAsia="Times New Roman" w:hAnsi="Arial" w:cs="Arial"/>
                <w:sz w:val="20"/>
                <w:szCs w:val="20"/>
              </w:rPr>
              <w:t>LUNA</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Ian</w:t>
            </w:r>
          </w:p>
        </w:tc>
        <w:tc>
          <w:tcPr>
            <w:tcW w:w="63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Feb</w:t>
            </w:r>
          </w:p>
        </w:tc>
        <w:tc>
          <w:tcPr>
            <w:tcW w:w="63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Mar</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Apr</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Mai</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Iun</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Iul</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Aug</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Sep</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Oct</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Nov</w:t>
            </w:r>
          </w:p>
        </w:tc>
        <w:tc>
          <w:tcPr>
            <w:tcW w:w="717"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Dec</w:t>
            </w:r>
          </w:p>
        </w:tc>
      </w:tr>
      <w:tr w:rsidR="004622F6" w:rsidRPr="004622F6" w:rsidTr="00D92384">
        <w:trPr>
          <w:trHeight w:val="517"/>
        </w:trPr>
        <w:tc>
          <w:tcPr>
            <w:tcW w:w="1028" w:type="dxa"/>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MEDII</w:t>
            </w:r>
          </w:p>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LUNARE</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0,111</w:t>
            </w:r>
          </w:p>
        </w:tc>
        <w:tc>
          <w:tcPr>
            <w:tcW w:w="630"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0,105</w:t>
            </w:r>
          </w:p>
        </w:tc>
        <w:tc>
          <w:tcPr>
            <w:tcW w:w="630"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0,111</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0,112</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0,112</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0,110</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0,111</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0,111</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0,112</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0,112</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0,114</w:t>
            </w:r>
          </w:p>
        </w:tc>
        <w:tc>
          <w:tcPr>
            <w:tcW w:w="717"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0,112</w:t>
            </w:r>
          </w:p>
        </w:tc>
      </w:tr>
    </w:tbl>
    <w:p w:rsidR="004622F6" w:rsidRPr="004622F6" w:rsidRDefault="004622F6" w:rsidP="004622F6">
      <w:pPr>
        <w:spacing w:before="120" w:after="0" w:line="240" w:lineRule="auto"/>
        <w:jc w:val="center"/>
        <w:rPr>
          <w:rFonts w:ascii="Arial" w:eastAsia="Times New Roman" w:hAnsi="Arial" w:cs="Arial"/>
          <w:b/>
          <w:color w:val="000000"/>
          <w:sz w:val="24"/>
          <w:szCs w:val="24"/>
          <w:lang w:val="it-IT"/>
        </w:rPr>
      </w:pPr>
      <w:r w:rsidRPr="004622F6">
        <w:rPr>
          <w:rFonts w:ascii="Arial" w:eastAsia="Times New Roman" w:hAnsi="Arial" w:cs="Arial"/>
          <w:b/>
          <w:color w:val="000000"/>
          <w:sz w:val="24"/>
          <w:szCs w:val="24"/>
          <w:lang w:val="it-IT"/>
        </w:rPr>
        <w:t>Tabel  X.1.1.2.1. Valorile medii orare lunare de debit doză gama în anul 2014</w:t>
      </w:r>
    </w:p>
    <w:p w:rsidR="004622F6" w:rsidRPr="004622F6" w:rsidRDefault="004622F6" w:rsidP="004622F6">
      <w:pPr>
        <w:spacing w:after="0" w:line="240" w:lineRule="auto"/>
        <w:jc w:val="both"/>
        <w:rPr>
          <w:rFonts w:ascii="Arial" w:eastAsia="Times New Roman" w:hAnsi="Arial" w:cs="Arial"/>
          <w:sz w:val="24"/>
          <w:szCs w:val="24"/>
          <w:lang w:val="ro-RO"/>
        </w:rPr>
      </w:pPr>
    </w:p>
    <w:p w:rsidR="004622F6" w:rsidRPr="004622F6" w:rsidRDefault="004622F6" w:rsidP="004622F6">
      <w:pPr>
        <w:spacing w:after="0" w:line="240" w:lineRule="auto"/>
        <w:jc w:val="both"/>
        <w:rPr>
          <w:rFonts w:ascii="Arial" w:eastAsia="Times New Roman" w:hAnsi="Arial" w:cs="Arial"/>
          <w:sz w:val="24"/>
          <w:szCs w:val="24"/>
          <w:lang w:val="ro-RO"/>
        </w:rPr>
      </w:pP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 xml:space="preserve">Valorile înregistrate s-au încadrat în intervalul 0,073 – 0,198 </w:t>
      </w:r>
      <w:r w:rsidRPr="004622F6">
        <w:rPr>
          <w:rFonts w:ascii="Arial" w:eastAsia="Times New Roman" w:hAnsi="Arial" w:cs="Arial"/>
          <w:sz w:val="24"/>
          <w:szCs w:val="24"/>
          <w:lang w:val="en-AU"/>
        </w:rPr>
        <w:sym w:font="Symbol" w:char="F06D"/>
      </w:r>
      <w:r w:rsidRPr="004622F6">
        <w:rPr>
          <w:rFonts w:ascii="Arial" w:eastAsia="Times New Roman" w:hAnsi="Arial" w:cs="Arial"/>
          <w:sz w:val="24"/>
          <w:szCs w:val="24"/>
          <w:lang w:val="ro-RO"/>
        </w:rPr>
        <w:t>Sv/h. Valoarea medie anuală a fost de 0,111</w:t>
      </w:r>
      <w:r w:rsidRPr="004622F6">
        <w:rPr>
          <w:rFonts w:ascii="Arial" w:eastAsia="Times New Roman" w:hAnsi="Arial" w:cs="Arial"/>
          <w:sz w:val="24"/>
          <w:szCs w:val="24"/>
          <w:lang w:val="en-AU"/>
        </w:rPr>
        <w:sym w:font="Symbol" w:char="F06D"/>
      </w:r>
      <w:r w:rsidRPr="004622F6">
        <w:rPr>
          <w:rFonts w:ascii="Arial" w:eastAsia="Times New Roman" w:hAnsi="Arial" w:cs="Arial"/>
          <w:sz w:val="24"/>
          <w:szCs w:val="24"/>
          <w:lang w:val="ro-RO"/>
        </w:rPr>
        <w:t xml:space="preserve">Sv/h, iar maxima anuală a fost de 0,198 </w:t>
      </w:r>
      <w:r w:rsidRPr="004622F6">
        <w:rPr>
          <w:rFonts w:ascii="Arial" w:eastAsia="Times New Roman" w:hAnsi="Arial" w:cs="Arial"/>
          <w:sz w:val="24"/>
          <w:szCs w:val="24"/>
          <w:lang w:val="en-AU"/>
        </w:rPr>
        <w:sym w:font="Symbol" w:char="F06D"/>
      </w:r>
      <w:r w:rsidRPr="004622F6">
        <w:rPr>
          <w:rFonts w:ascii="Arial" w:eastAsia="Times New Roman" w:hAnsi="Arial" w:cs="Arial"/>
          <w:sz w:val="24"/>
          <w:szCs w:val="24"/>
          <w:lang w:val="ro-RO"/>
        </w:rPr>
        <w:t>Sv/h, înregistrată în data de 14.06.2014.</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 xml:space="preserve">Nu s-au înregistrat depăşiri ale nivelului de atenţionare de 0,250 </w:t>
      </w:r>
      <w:r w:rsidRPr="004622F6">
        <w:rPr>
          <w:rFonts w:ascii="Arial" w:eastAsia="Times New Roman" w:hAnsi="Arial" w:cs="Arial"/>
          <w:color w:val="000000"/>
          <w:sz w:val="24"/>
          <w:szCs w:val="24"/>
          <w:lang w:val="en-AU"/>
        </w:rPr>
        <w:sym w:font="Symbol" w:char="F06D"/>
      </w:r>
      <w:r w:rsidRPr="004622F6">
        <w:rPr>
          <w:rFonts w:ascii="Arial" w:eastAsia="Times New Roman" w:hAnsi="Arial" w:cs="Arial"/>
          <w:color w:val="000000"/>
          <w:sz w:val="24"/>
          <w:szCs w:val="24"/>
          <w:lang w:val="ro-RO"/>
        </w:rPr>
        <w:t>Sv/h (0,250 µGy/h).</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 xml:space="preserve">Numărul total de măsurări pentru debitul de doză gama externă pe parcursul anului 2014 a fost de </w:t>
      </w:r>
      <w:r w:rsidRPr="004622F6">
        <w:rPr>
          <w:rFonts w:ascii="Arial" w:eastAsia="Times New Roman" w:hAnsi="Arial" w:cs="Arial"/>
          <w:sz w:val="24"/>
          <w:szCs w:val="24"/>
          <w:lang w:val="ro-RO"/>
        </w:rPr>
        <w:t>3284</w:t>
      </w:r>
      <w:r w:rsidRPr="004622F6">
        <w:rPr>
          <w:rFonts w:ascii="Arial" w:eastAsia="Times New Roman" w:hAnsi="Arial" w:cs="Arial"/>
          <w:color w:val="000000"/>
          <w:sz w:val="24"/>
          <w:szCs w:val="24"/>
          <w:lang w:val="ro-RO"/>
        </w:rPr>
        <w:t>.</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În figura de mai jos sunt prezentate valorile medii orare lunare de doză gama,  înregistrate în anul 2014:</w:t>
      </w:r>
    </w:p>
    <w:p w:rsidR="004622F6" w:rsidRPr="004622F6" w:rsidRDefault="004622F6" w:rsidP="004622F6">
      <w:pPr>
        <w:spacing w:before="120" w:after="0" w:line="240" w:lineRule="auto"/>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r>
        <w:rPr>
          <w:rFonts w:ascii="Arial" w:eastAsia="Times New Roman" w:hAnsi="Arial" w:cs="Arial"/>
          <w:noProof/>
          <w:color w:val="000000"/>
          <w:sz w:val="24"/>
          <w:szCs w:val="24"/>
          <w:lang w:val="ro-RO" w:eastAsia="ro-RO"/>
        </w:rPr>
        <w:drawing>
          <wp:anchor distT="0" distB="0" distL="114300" distR="114300" simplePos="0" relativeHeight="251675648" behindDoc="0" locked="0" layoutInCell="1" allowOverlap="1">
            <wp:simplePos x="0" y="0"/>
            <wp:positionH relativeFrom="column">
              <wp:posOffset>228600</wp:posOffset>
            </wp:positionH>
            <wp:positionV relativeFrom="paragraph">
              <wp:posOffset>33020</wp:posOffset>
            </wp:positionV>
            <wp:extent cx="5274310" cy="2533650"/>
            <wp:effectExtent l="0" t="0" r="0" b="0"/>
            <wp:wrapSquare wrapText="right"/>
            <wp:docPr id="366"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anchor>
        </w:drawing>
      </w: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b/>
          <w:bCs/>
          <w:color w:val="000000"/>
          <w:sz w:val="24"/>
          <w:szCs w:val="24"/>
          <w:lang w:val="it-IT"/>
        </w:rPr>
      </w:pPr>
    </w:p>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r w:rsidRPr="004622F6">
        <w:rPr>
          <w:rFonts w:ascii="Arial" w:eastAsia="Times New Roman" w:hAnsi="Arial" w:cs="Arial"/>
          <w:b/>
          <w:bCs/>
          <w:color w:val="000000"/>
          <w:sz w:val="24"/>
          <w:szCs w:val="24"/>
          <w:lang w:val="it-IT"/>
        </w:rPr>
        <w:t>Fig. X.1.1.2.1. Valorile medii orare lunare ale debitului de doză gama externă pentru anul 2014</w:t>
      </w:r>
    </w:p>
    <w:p w:rsidR="004622F6" w:rsidRPr="004622F6" w:rsidRDefault="004622F6" w:rsidP="004622F6">
      <w:pPr>
        <w:spacing w:before="120" w:after="0" w:line="240" w:lineRule="auto"/>
        <w:jc w:val="both"/>
        <w:rPr>
          <w:rFonts w:ascii="Arial" w:eastAsia="Times New Roman" w:hAnsi="Arial" w:cs="Arial"/>
          <w:sz w:val="24"/>
          <w:szCs w:val="24"/>
          <w:lang w:val="it-IT"/>
        </w:rPr>
      </w:pPr>
    </w:p>
    <w:p w:rsidR="004622F6" w:rsidRPr="004622F6" w:rsidRDefault="004622F6" w:rsidP="004622F6">
      <w:pPr>
        <w:spacing w:before="120" w:after="0" w:line="240" w:lineRule="auto"/>
        <w:jc w:val="both"/>
        <w:rPr>
          <w:rFonts w:ascii="Arial" w:eastAsia="Times New Roman" w:hAnsi="Arial" w:cs="Arial"/>
          <w:sz w:val="24"/>
          <w:szCs w:val="24"/>
          <w:lang w:val="it-IT"/>
        </w:rPr>
      </w:pPr>
      <w:r w:rsidRPr="004622F6">
        <w:rPr>
          <w:rFonts w:ascii="Arial" w:eastAsia="Times New Roman" w:hAnsi="Arial" w:cs="Arial"/>
          <w:sz w:val="24"/>
          <w:szCs w:val="24"/>
          <w:lang w:val="it-IT"/>
        </w:rPr>
        <w:lastRenderedPageBreak/>
        <w:t>Comparativ, în perioada 2007-2014, valorile medii anuale ale debitului de doză gama externă sunt prezentate în fig. de mai jos:</w:t>
      </w:r>
    </w:p>
    <w:p w:rsidR="004622F6" w:rsidRPr="004622F6" w:rsidRDefault="004622F6" w:rsidP="004622F6">
      <w:pPr>
        <w:spacing w:before="120" w:after="0" w:line="240" w:lineRule="auto"/>
        <w:jc w:val="both"/>
        <w:rPr>
          <w:rFonts w:ascii="Times New Roman" w:eastAsia="Times New Roman" w:hAnsi="Times New Roman"/>
          <w:sz w:val="20"/>
          <w:szCs w:val="20"/>
          <w:lang w:val="it-IT"/>
        </w:rPr>
      </w:pPr>
    </w:p>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 xml:space="preserve">             </w:t>
      </w:r>
      <w:r>
        <w:rPr>
          <w:rFonts w:ascii="Arial" w:eastAsia="Times New Roman" w:hAnsi="Arial" w:cs="Arial"/>
          <w:noProof/>
          <w:sz w:val="24"/>
          <w:szCs w:val="24"/>
          <w:lang w:val="ro-RO" w:eastAsia="ro-RO"/>
        </w:rPr>
        <w:drawing>
          <wp:inline distT="0" distB="0" distL="0" distR="0">
            <wp:extent cx="5133975" cy="2857500"/>
            <wp:effectExtent l="0" t="0" r="0" b="0"/>
            <wp:docPr id="291" name="Object 2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4622F6" w:rsidRPr="004622F6" w:rsidRDefault="004622F6" w:rsidP="004622F6">
      <w:pPr>
        <w:spacing w:before="120" w:after="0" w:line="240" w:lineRule="auto"/>
        <w:jc w:val="center"/>
        <w:rPr>
          <w:rFonts w:ascii="Arial" w:eastAsia="Times New Roman" w:hAnsi="Arial" w:cs="Arial"/>
          <w:b/>
          <w:bCs/>
          <w:color w:val="000000"/>
          <w:sz w:val="24"/>
          <w:szCs w:val="24"/>
          <w:vertAlign w:val="superscript"/>
          <w:lang w:val="it-IT"/>
        </w:rPr>
      </w:pPr>
      <w:r w:rsidRPr="004622F6">
        <w:rPr>
          <w:rFonts w:ascii="Arial" w:eastAsia="Times New Roman" w:hAnsi="Arial" w:cs="Arial"/>
          <w:b/>
          <w:bCs/>
          <w:color w:val="000000"/>
          <w:sz w:val="24"/>
          <w:szCs w:val="24"/>
          <w:lang w:val="it-IT"/>
        </w:rPr>
        <w:t>Fig. X.1.1.2.2. Valorile medii anuale ale debitului de doză gama, comparativ pentru anii 2007-2014</w:t>
      </w:r>
    </w:p>
    <w:p w:rsidR="004622F6" w:rsidRPr="004622F6" w:rsidRDefault="004622F6" w:rsidP="004622F6">
      <w:pPr>
        <w:spacing w:after="0" w:line="240" w:lineRule="auto"/>
        <w:jc w:val="both"/>
        <w:rPr>
          <w:rFonts w:ascii="Arial" w:eastAsia="Times New Roman" w:hAnsi="Arial" w:cs="Arial"/>
          <w:color w:val="000000"/>
          <w:sz w:val="24"/>
          <w:szCs w:val="24"/>
          <w:lang w:val="it-IT"/>
        </w:rPr>
      </w:pPr>
    </w:p>
    <w:p w:rsidR="004622F6" w:rsidRPr="004622F6" w:rsidRDefault="004622F6" w:rsidP="004622F6">
      <w:pPr>
        <w:spacing w:after="0" w:line="240" w:lineRule="auto"/>
        <w:jc w:val="both"/>
        <w:rPr>
          <w:rFonts w:ascii="Arial" w:eastAsia="Times New Roman" w:hAnsi="Arial" w:cs="Arial"/>
          <w:color w:val="000000"/>
          <w:sz w:val="24"/>
          <w:szCs w:val="24"/>
          <w:lang w:val="it-IT"/>
        </w:rPr>
      </w:pPr>
    </w:p>
    <w:p w:rsidR="004622F6" w:rsidRPr="004622F6" w:rsidRDefault="004622F6" w:rsidP="004622F6">
      <w:pPr>
        <w:spacing w:after="0" w:line="240" w:lineRule="auto"/>
        <w:jc w:val="both"/>
        <w:rPr>
          <w:rFonts w:ascii="Arial" w:eastAsia="Times New Roman" w:hAnsi="Arial" w:cs="Arial"/>
          <w:color w:val="000000"/>
          <w:sz w:val="24"/>
          <w:szCs w:val="24"/>
          <w:lang w:val="it-IT"/>
        </w:rPr>
      </w:pPr>
      <w:r w:rsidRPr="004622F6">
        <w:rPr>
          <w:rFonts w:ascii="Arial" w:eastAsia="Times New Roman" w:hAnsi="Arial" w:cs="Arial"/>
          <w:color w:val="000000"/>
          <w:sz w:val="24"/>
          <w:szCs w:val="24"/>
          <w:lang w:val="it-IT"/>
        </w:rPr>
        <w:t>În anul 2014, debitul dozei gama a fost măsurat şi cu debitmetrul de radiaţii ionizante tip TIEX2. Pe tot parcursul anului 2014 nu s-a înregistrat nicio valoare care să depăşească limita de atenţionare de 0,250 µGy/h.</w:t>
      </w:r>
    </w:p>
    <w:p w:rsidR="004622F6" w:rsidRPr="004622F6" w:rsidRDefault="004622F6" w:rsidP="004622F6">
      <w:pPr>
        <w:spacing w:before="120" w:after="0" w:line="240" w:lineRule="auto"/>
        <w:jc w:val="both"/>
        <w:rPr>
          <w:rFonts w:ascii="Arial" w:eastAsia="Times New Roman" w:hAnsi="Arial" w:cs="Arial"/>
          <w:b/>
          <w:sz w:val="24"/>
          <w:szCs w:val="24"/>
          <w:lang w:val="it-IT"/>
        </w:rPr>
      </w:pPr>
    </w:p>
    <w:p w:rsidR="004622F6" w:rsidRPr="004622F6" w:rsidRDefault="004622F6" w:rsidP="004622F6">
      <w:pPr>
        <w:spacing w:before="120" w:after="0" w:line="240" w:lineRule="auto"/>
        <w:jc w:val="both"/>
        <w:rPr>
          <w:rFonts w:ascii="Arial" w:eastAsia="Times New Roman" w:hAnsi="Arial" w:cs="Arial"/>
          <w:b/>
          <w:sz w:val="24"/>
          <w:szCs w:val="24"/>
          <w:lang w:val="it-IT"/>
        </w:rPr>
      </w:pPr>
      <w:r w:rsidRPr="004622F6">
        <w:rPr>
          <w:rFonts w:ascii="Arial" w:eastAsia="Times New Roman" w:hAnsi="Arial" w:cs="Arial"/>
          <w:b/>
          <w:sz w:val="24"/>
          <w:szCs w:val="24"/>
          <w:lang w:val="it-IT"/>
        </w:rPr>
        <w:t xml:space="preserve">X.1.1.3. Depuneri atmosferice </w:t>
      </w:r>
    </w:p>
    <w:p w:rsidR="004622F6" w:rsidRPr="004622F6" w:rsidRDefault="004622F6" w:rsidP="004622F6">
      <w:pPr>
        <w:spacing w:after="0" w:line="240" w:lineRule="auto"/>
        <w:jc w:val="both"/>
        <w:rPr>
          <w:rFonts w:ascii="Arial" w:eastAsia="Times New Roman" w:hAnsi="Arial" w:cs="Arial"/>
          <w:color w:val="000000"/>
          <w:sz w:val="24"/>
          <w:szCs w:val="24"/>
          <w:lang w:val="ro-RO"/>
        </w:rPr>
      </w:pP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sz w:val="24"/>
          <w:szCs w:val="24"/>
          <w:lang w:val="ro-RO"/>
        </w:rPr>
        <w:t>Prelevarea probelor de depuneri atmosferice totale s-a făcut zilnic, de pe o suprafaţă de 0,3 m</w:t>
      </w:r>
      <w:r w:rsidRPr="004622F6">
        <w:rPr>
          <w:rFonts w:ascii="Arial" w:eastAsia="Times New Roman" w:hAnsi="Arial" w:cs="Arial"/>
          <w:sz w:val="24"/>
          <w:szCs w:val="24"/>
          <w:vertAlign w:val="superscript"/>
          <w:lang w:val="ro-RO"/>
        </w:rPr>
        <w:t>2</w:t>
      </w:r>
      <w:r w:rsidRPr="004622F6">
        <w:rPr>
          <w:rFonts w:ascii="Arial" w:eastAsia="Times New Roman" w:hAnsi="Arial" w:cs="Arial"/>
          <w:sz w:val="24"/>
          <w:szCs w:val="24"/>
          <w:lang w:val="ro-RO"/>
        </w:rPr>
        <w:t xml:space="preserve"> durata de prelevare fiind de 24 ore. Pentru fiecare probă s-au efectuat 2 măsurări: o </w:t>
      </w:r>
      <w:r w:rsidRPr="004622F6">
        <w:rPr>
          <w:rFonts w:ascii="Arial" w:eastAsia="Times New Roman" w:hAnsi="Arial" w:cs="Arial"/>
          <w:color w:val="000000"/>
          <w:sz w:val="24"/>
          <w:szCs w:val="24"/>
          <w:lang w:val="ro-RO"/>
        </w:rPr>
        <w:t>măsurare imediată şi o măsurare la 5 zile de la data colectării.</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Pentru măsurările imediate, valorile au variat între 0,2–42,8 Bq/m</w:t>
      </w:r>
      <w:r w:rsidRPr="004622F6">
        <w:rPr>
          <w:rFonts w:ascii="Arial" w:eastAsia="Times New Roman" w:hAnsi="Arial" w:cs="Arial"/>
          <w:sz w:val="24"/>
          <w:szCs w:val="24"/>
          <w:vertAlign w:val="superscript"/>
          <w:lang w:val="ro-RO"/>
        </w:rPr>
        <w:t>2</w:t>
      </w:r>
      <w:r w:rsidRPr="004622F6">
        <w:rPr>
          <w:rFonts w:ascii="Arial" w:eastAsia="Times New Roman" w:hAnsi="Arial" w:cs="Arial"/>
          <w:sz w:val="24"/>
          <w:szCs w:val="24"/>
          <w:lang w:val="ro-RO"/>
        </w:rPr>
        <w:t>/zi, maxima de 42,8 Bq/m</w:t>
      </w:r>
      <w:r w:rsidRPr="004622F6">
        <w:rPr>
          <w:rFonts w:ascii="Arial" w:eastAsia="Times New Roman" w:hAnsi="Arial" w:cs="Arial"/>
          <w:sz w:val="24"/>
          <w:szCs w:val="24"/>
          <w:vertAlign w:val="superscript"/>
          <w:lang w:val="ro-RO"/>
        </w:rPr>
        <w:t>2</w:t>
      </w:r>
      <w:r w:rsidRPr="004622F6">
        <w:rPr>
          <w:rFonts w:ascii="Arial" w:eastAsia="Times New Roman" w:hAnsi="Arial" w:cs="Arial"/>
          <w:sz w:val="24"/>
          <w:szCs w:val="24"/>
          <w:lang w:val="ro-RO"/>
        </w:rPr>
        <w:t>/zi înregistrându-se în data de 08.07.2014, când volumul precipitaţiilor căzute în perioada colectării a fost mare. Media anuală a fost de 1,67 Bq/m</w:t>
      </w:r>
      <w:r w:rsidRPr="004622F6">
        <w:rPr>
          <w:rFonts w:ascii="Arial" w:eastAsia="Times New Roman" w:hAnsi="Arial" w:cs="Arial"/>
          <w:sz w:val="24"/>
          <w:szCs w:val="24"/>
          <w:vertAlign w:val="superscript"/>
          <w:lang w:val="ro-RO"/>
        </w:rPr>
        <w:t>2</w:t>
      </w:r>
      <w:r w:rsidRPr="004622F6">
        <w:rPr>
          <w:rFonts w:ascii="Arial" w:eastAsia="Times New Roman" w:hAnsi="Arial" w:cs="Arial"/>
          <w:sz w:val="24"/>
          <w:szCs w:val="24"/>
          <w:lang w:val="ro-RO"/>
        </w:rPr>
        <w:t>/zi.</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ro-RO"/>
        </w:rPr>
        <w:t>Numă</w:t>
      </w:r>
      <w:r w:rsidRPr="004622F6">
        <w:rPr>
          <w:rFonts w:ascii="Arial" w:eastAsia="Times New Roman" w:hAnsi="Arial" w:cs="Arial"/>
          <w:sz w:val="24"/>
          <w:szCs w:val="24"/>
          <w:lang w:val="fr-FR"/>
        </w:rPr>
        <w:t>rul de valori semnificative a fost de 270, ceea ce reprezintă  73,97 % din numărul total de probe măsurate.</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În tabelul şi figura de mai jos sunt prezentate valorile medii ale depunerilor atmosferice imediate înregistrate în anul 2014:</w:t>
      </w:r>
    </w:p>
    <w:p w:rsidR="004622F6" w:rsidRPr="004622F6" w:rsidRDefault="004622F6" w:rsidP="004622F6">
      <w:pPr>
        <w:spacing w:before="120" w:after="0" w:line="240" w:lineRule="auto"/>
        <w:jc w:val="center"/>
        <w:rPr>
          <w:rFonts w:ascii="Arial" w:eastAsia="Times New Roman" w:hAnsi="Arial" w:cs="Arial"/>
          <w:color w:val="000000"/>
          <w:sz w:val="24"/>
          <w:szCs w:val="24"/>
          <w:lang w:val="ro-RO"/>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615"/>
        <w:gridCol w:w="648"/>
        <w:gridCol w:w="648"/>
        <w:gridCol w:w="632"/>
        <w:gridCol w:w="637"/>
        <w:gridCol w:w="616"/>
        <w:gridCol w:w="583"/>
        <w:gridCol w:w="654"/>
        <w:gridCol w:w="654"/>
        <w:gridCol w:w="632"/>
        <w:gridCol w:w="654"/>
        <w:gridCol w:w="646"/>
      </w:tblGrid>
      <w:tr w:rsidR="004622F6" w:rsidRPr="004622F6" w:rsidTr="00D92384">
        <w:trPr>
          <w:trHeight w:val="326"/>
        </w:trPr>
        <w:tc>
          <w:tcPr>
            <w:tcW w:w="1589" w:type="dxa"/>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LUNA</w:t>
            </w:r>
          </w:p>
        </w:tc>
        <w:tc>
          <w:tcPr>
            <w:tcW w:w="615"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Ian</w:t>
            </w:r>
          </w:p>
        </w:tc>
        <w:tc>
          <w:tcPr>
            <w:tcW w:w="648"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Feb</w:t>
            </w:r>
          </w:p>
        </w:tc>
        <w:tc>
          <w:tcPr>
            <w:tcW w:w="648"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Mar</w:t>
            </w:r>
          </w:p>
        </w:tc>
        <w:tc>
          <w:tcPr>
            <w:tcW w:w="632"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Apr</w:t>
            </w:r>
          </w:p>
        </w:tc>
        <w:tc>
          <w:tcPr>
            <w:tcW w:w="637"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Mai</w:t>
            </w:r>
          </w:p>
        </w:tc>
        <w:tc>
          <w:tcPr>
            <w:tcW w:w="616"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Iun</w:t>
            </w:r>
          </w:p>
        </w:tc>
        <w:tc>
          <w:tcPr>
            <w:tcW w:w="583"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Iul</w:t>
            </w:r>
          </w:p>
        </w:tc>
        <w:tc>
          <w:tcPr>
            <w:tcW w:w="654"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Aug</w:t>
            </w:r>
          </w:p>
        </w:tc>
        <w:tc>
          <w:tcPr>
            <w:tcW w:w="654"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Sep</w:t>
            </w:r>
          </w:p>
        </w:tc>
        <w:tc>
          <w:tcPr>
            <w:tcW w:w="632"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Oct</w:t>
            </w:r>
          </w:p>
        </w:tc>
        <w:tc>
          <w:tcPr>
            <w:tcW w:w="654"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Nov</w:t>
            </w:r>
          </w:p>
        </w:tc>
        <w:tc>
          <w:tcPr>
            <w:tcW w:w="646" w:type="dxa"/>
            <w:vAlign w:val="bottom"/>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Dec</w:t>
            </w:r>
          </w:p>
        </w:tc>
      </w:tr>
      <w:tr w:rsidR="004622F6" w:rsidRPr="004622F6" w:rsidTr="00D92384">
        <w:trPr>
          <w:trHeight w:val="489"/>
        </w:trPr>
        <w:tc>
          <w:tcPr>
            <w:tcW w:w="1589" w:type="dxa"/>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MEDII</w:t>
            </w:r>
          </w:p>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LUNARE</w:t>
            </w:r>
          </w:p>
        </w:tc>
        <w:tc>
          <w:tcPr>
            <w:tcW w:w="615"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1,1</w:t>
            </w:r>
          </w:p>
        </w:tc>
        <w:tc>
          <w:tcPr>
            <w:tcW w:w="648"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0,4</w:t>
            </w:r>
          </w:p>
        </w:tc>
        <w:tc>
          <w:tcPr>
            <w:tcW w:w="648"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0,9</w:t>
            </w:r>
          </w:p>
        </w:tc>
        <w:tc>
          <w:tcPr>
            <w:tcW w:w="63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1,6</w:t>
            </w:r>
          </w:p>
        </w:tc>
        <w:tc>
          <w:tcPr>
            <w:tcW w:w="637"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2,2</w:t>
            </w:r>
          </w:p>
        </w:tc>
        <w:tc>
          <w:tcPr>
            <w:tcW w:w="616"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1,5</w:t>
            </w:r>
          </w:p>
        </w:tc>
        <w:tc>
          <w:tcPr>
            <w:tcW w:w="583"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5,3</w:t>
            </w:r>
          </w:p>
        </w:tc>
        <w:tc>
          <w:tcPr>
            <w:tcW w:w="65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1,8</w:t>
            </w:r>
          </w:p>
        </w:tc>
        <w:tc>
          <w:tcPr>
            <w:tcW w:w="65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0,9</w:t>
            </w:r>
          </w:p>
        </w:tc>
        <w:tc>
          <w:tcPr>
            <w:tcW w:w="63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0,4</w:t>
            </w:r>
          </w:p>
        </w:tc>
        <w:tc>
          <w:tcPr>
            <w:tcW w:w="65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0,7</w:t>
            </w:r>
          </w:p>
        </w:tc>
        <w:tc>
          <w:tcPr>
            <w:tcW w:w="646"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3,0</w:t>
            </w:r>
          </w:p>
        </w:tc>
      </w:tr>
    </w:tbl>
    <w:p w:rsidR="004622F6" w:rsidRPr="004622F6" w:rsidRDefault="004622F6" w:rsidP="004622F6">
      <w:pPr>
        <w:spacing w:before="120" w:after="0" w:line="240" w:lineRule="auto"/>
        <w:rPr>
          <w:rFonts w:ascii="Arial" w:eastAsia="Times New Roman" w:hAnsi="Arial" w:cs="Arial"/>
          <w:b/>
          <w:color w:val="000000"/>
          <w:sz w:val="24"/>
          <w:szCs w:val="24"/>
          <w:lang w:val="it-IT"/>
        </w:rPr>
      </w:pPr>
      <w:r w:rsidRPr="004622F6">
        <w:rPr>
          <w:rFonts w:ascii="Arial" w:eastAsia="Times New Roman" w:hAnsi="Arial" w:cs="Arial"/>
          <w:b/>
          <w:color w:val="000000"/>
          <w:sz w:val="24"/>
          <w:szCs w:val="24"/>
          <w:lang w:val="it-IT"/>
        </w:rPr>
        <w:t xml:space="preserve">     Tabel  X.1.1.3.1. Valorile medii lunare pentru depuneri atmosferice imediate pentru</w:t>
      </w:r>
    </w:p>
    <w:p w:rsidR="004622F6" w:rsidRPr="004622F6" w:rsidRDefault="004622F6" w:rsidP="004622F6">
      <w:pPr>
        <w:spacing w:before="120" w:after="0" w:line="240" w:lineRule="auto"/>
        <w:jc w:val="center"/>
        <w:rPr>
          <w:rFonts w:ascii="Arial" w:eastAsia="Times New Roman" w:hAnsi="Arial" w:cs="Arial"/>
          <w:sz w:val="20"/>
          <w:szCs w:val="20"/>
          <w:lang w:val="ro-RO"/>
        </w:rPr>
      </w:pPr>
      <w:r w:rsidRPr="004622F6">
        <w:rPr>
          <w:rFonts w:ascii="Arial" w:eastAsia="Times New Roman" w:hAnsi="Arial" w:cs="Arial"/>
          <w:b/>
          <w:color w:val="000000"/>
          <w:sz w:val="24"/>
          <w:szCs w:val="24"/>
          <w:lang w:val="it-IT"/>
        </w:rPr>
        <w:t>anul 2014</w:t>
      </w:r>
    </w:p>
    <w:p w:rsidR="004622F6" w:rsidRPr="004622F6" w:rsidRDefault="004622F6" w:rsidP="004622F6">
      <w:pPr>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lastRenderedPageBreak/>
        <w:drawing>
          <wp:inline distT="0" distB="0" distL="0" distR="0">
            <wp:extent cx="6096000" cy="3295650"/>
            <wp:effectExtent l="0" t="0" r="0" b="0"/>
            <wp:docPr id="292" name="Object 2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4622F6" w:rsidRPr="004622F6" w:rsidRDefault="002068AE" w:rsidP="004622F6">
      <w:pPr>
        <w:spacing w:before="120" w:after="0" w:line="240" w:lineRule="auto"/>
        <w:jc w:val="center"/>
        <w:rPr>
          <w:rFonts w:ascii="Arial" w:eastAsia="Times New Roman" w:hAnsi="Arial" w:cs="Arial"/>
          <w:b/>
          <w:bCs/>
          <w:color w:val="000000"/>
          <w:sz w:val="24"/>
          <w:szCs w:val="24"/>
          <w:lang w:val="it-IT"/>
        </w:rPr>
      </w:pPr>
      <w:r>
        <w:rPr>
          <w:rFonts w:ascii="Arial" w:eastAsia="Times New Roman" w:hAnsi="Arial" w:cs="Arial"/>
          <w:b/>
          <w:bCs/>
          <w:color w:val="000000"/>
          <w:sz w:val="24"/>
          <w:szCs w:val="24"/>
          <w:lang w:val="it-IT"/>
        </w:rPr>
        <w:t>F</w:t>
      </w:r>
      <w:r w:rsidR="004622F6" w:rsidRPr="004622F6">
        <w:rPr>
          <w:rFonts w:ascii="Arial" w:eastAsia="Times New Roman" w:hAnsi="Arial" w:cs="Arial"/>
          <w:b/>
          <w:bCs/>
          <w:color w:val="000000"/>
          <w:sz w:val="24"/>
          <w:szCs w:val="24"/>
          <w:lang w:val="it-IT"/>
        </w:rPr>
        <w:t>ig. X.1.1.3.1. Valorile medii lunare pentru depunerile atmosferice imediate în anul 2014</w:t>
      </w:r>
    </w:p>
    <w:p w:rsidR="004622F6" w:rsidRPr="004622F6" w:rsidRDefault="004622F6" w:rsidP="004622F6">
      <w:pPr>
        <w:spacing w:before="120" w:after="0" w:line="240" w:lineRule="auto"/>
        <w:jc w:val="both"/>
        <w:rPr>
          <w:rFonts w:ascii="Arial" w:eastAsia="Times New Roman" w:hAnsi="Arial" w:cs="Arial"/>
          <w:sz w:val="24"/>
          <w:szCs w:val="24"/>
          <w:lang w:val="en-AU"/>
        </w:rPr>
      </w:pP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lang w:val="en-AU"/>
        </w:rPr>
        <w:t>Limita de avertizare în cazul depunerilor atmosferice (măsuratori imediate) este de 1000 Bq/m</w:t>
      </w:r>
      <w:r w:rsidRPr="004622F6">
        <w:rPr>
          <w:rFonts w:ascii="Arial" w:eastAsia="Times New Roman" w:hAnsi="Arial" w:cs="Arial"/>
          <w:sz w:val="24"/>
          <w:szCs w:val="24"/>
          <w:vertAlign w:val="superscript"/>
          <w:lang w:val="en-AU"/>
        </w:rPr>
        <w:t>2</w:t>
      </w:r>
      <w:r w:rsidRPr="004622F6">
        <w:rPr>
          <w:rFonts w:ascii="Arial" w:eastAsia="Times New Roman" w:hAnsi="Arial" w:cs="Arial"/>
          <w:sz w:val="24"/>
          <w:szCs w:val="24"/>
          <w:lang w:val="en-AU"/>
        </w:rPr>
        <w:t>/zi. Pe parcursul anului 2014 nu s-au înregistrat depăşiri ale valorilor de atenţionare, avertizare sau alarmare.</w:t>
      </w:r>
    </w:p>
    <w:p w:rsidR="004622F6" w:rsidRPr="004622F6" w:rsidRDefault="004622F6" w:rsidP="004622F6">
      <w:pPr>
        <w:spacing w:after="0" w:line="240" w:lineRule="auto"/>
        <w:jc w:val="both"/>
        <w:rPr>
          <w:rFonts w:ascii="Arial" w:eastAsia="Times New Roman" w:hAnsi="Arial" w:cs="Arial"/>
          <w:sz w:val="24"/>
          <w:szCs w:val="20"/>
          <w:lang w:val="en-AU"/>
        </w:rPr>
      </w:pPr>
      <w:r w:rsidRPr="004622F6">
        <w:rPr>
          <w:rFonts w:ascii="Arial" w:eastAsia="Times New Roman" w:hAnsi="Arial" w:cs="Arial"/>
          <w:sz w:val="24"/>
          <w:szCs w:val="24"/>
        </w:rPr>
        <w:t>Comparativ, în perioada 200</w:t>
      </w:r>
      <w:r w:rsidRPr="004622F6">
        <w:rPr>
          <w:rFonts w:ascii="Arial" w:eastAsia="Times New Roman" w:hAnsi="Arial" w:cs="Arial"/>
          <w:sz w:val="24"/>
          <w:szCs w:val="24"/>
          <w:lang w:val="en-AU"/>
        </w:rPr>
        <w:t>7-2014 valorile activităţii beta globale medii pentru depuneri a</w:t>
      </w:r>
      <w:r w:rsidRPr="004622F6">
        <w:rPr>
          <w:rFonts w:ascii="Arial" w:eastAsia="Times New Roman" w:hAnsi="Arial" w:cs="Arial"/>
          <w:sz w:val="24"/>
          <w:szCs w:val="24"/>
          <w:lang w:val="en-AU"/>
        </w:rPr>
        <w:t>t</w:t>
      </w:r>
      <w:r w:rsidRPr="004622F6">
        <w:rPr>
          <w:rFonts w:ascii="Arial" w:eastAsia="Times New Roman" w:hAnsi="Arial" w:cs="Arial"/>
          <w:sz w:val="24"/>
          <w:szCs w:val="24"/>
          <w:lang w:val="en-AU"/>
        </w:rPr>
        <w:t>mosferice,  au evoluat astfel:</w:t>
      </w:r>
    </w:p>
    <w:p w:rsidR="004622F6" w:rsidRPr="004622F6" w:rsidRDefault="004622F6" w:rsidP="004622F6">
      <w:pPr>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drawing>
          <wp:inline distT="0" distB="0" distL="0" distR="0">
            <wp:extent cx="5715000" cy="2914650"/>
            <wp:effectExtent l="0" t="0" r="0" b="0"/>
            <wp:docPr id="293" name="Object 2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4622F6" w:rsidRPr="004622F6" w:rsidRDefault="004622F6" w:rsidP="004622F6">
      <w:pPr>
        <w:spacing w:before="120" w:after="0" w:line="240" w:lineRule="auto"/>
        <w:jc w:val="center"/>
        <w:rPr>
          <w:rFonts w:ascii="Arial" w:eastAsia="Times New Roman" w:hAnsi="Arial" w:cs="Arial"/>
          <w:color w:val="000000"/>
          <w:sz w:val="24"/>
          <w:szCs w:val="24"/>
          <w:lang w:val="it-IT"/>
        </w:rPr>
      </w:pPr>
      <w:r w:rsidRPr="004622F6">
        <w:rPr>
          <w:rFonts w:ascii="Arial" w:eastAsia="Times New Roman" w:hAnsi="Arial" w:cs="Arial"/>
          <w:b/>
          <w:bCs/>
          <w:color w:val="000000"/>
          <w:sz w:val="24"/>
          <w:szCs w:val="24"/>
          <w:lang w:val="it-IT"/>
        </w:rPr>
        <w:t>Fig. X.1.1.3.2. Valorile medii anuale ale depunerilor atmosferice, comparativ pentru anii 2007-2014</w:t>
      </w:r>
    </w:p>
    <w:p w:rsidR="004622F6" w:rsidRPr="004622F6" w:rsidRDefault="004622F6" w:rsidP="004622F6">
      <w:pPr>
        <w:spacing w:after="0" w:line="240" w:lineRule="auto"/>
        <w:jc w:val="both"/>
        <w:rPr>
          <w:rFonts w:ascii="Arial" w:eastAsia="Times New Roman" w:hAnsi="Arial" w:cs="Arial"/>
          <w:sz w:val="24"/>
          <w:szCs w:val="24"/>
          <w:lang w:val="fr-FR"/>
        </w:rPr>
      </w:pP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 xml:space="preserve">Pentru măsurările efectuate la 5 zile de la data colectării, valorile au fost cuprinse între 0,2 </w:t>
      </w:r>
      <w:r w:rsidRPr="004622F6">
        <w:rPr>
          <w:rFonts w:ascii="Arial" w:eastAsia="Times New Roman" w:hAnsi="Arial" w:cs="Arial"/>
          <w:sz w:val="24"/>
          <w:szCs w:val="24"/>
          <w:lang w:val="en-AU"/>
        </w:rPr>
        <w:sym w:font="Symbol" w:char="F0B1"/>
      </w:r>
      <w:r w:rsidRPr="004622F6">
        <w:rPr>
          <w:rFonts w:ascii="Arial" w:eastAsia="Times New Roman" w:hAnsi="Arial" w:cs="Arial"/>
          <w:sz w:val="24"/>
          <w:szCs w:val="24"/>
          <w:lang w:val="fr-FR"/>
        </w:rPr>
        <w:t xml:space="preserve"> 0,1–5,1 ± 0,5 Bq/m</w:t>
      </w:r>
      <w:r w:rsidRPr="004622F6">
        <w:rPr>
          <w:rFonts w:ascii="Arial" w:eastAsia="Times New Roman" w:hAnsi="Arial" w:cs="Arial"/>
          <w:sz w:val="24"/>
          <w:szCs w:val="24"/>
          <w:vertAlign w:val="superscript"/>
          <w:lang w:val="fr-FR"/>
        </w:rPr>
        <w:t>2</w:t>
      </w:r>
      <w:r w:rsidRPr="004622F6">
        <w:rPr>
          <w:rFonts w:ascii="Arial" w:eastAsia="Times New Roman" w:hAnsi="Arial" w:cs="Arial"/>
          <w:sz w:val="24"/>
          <w:szCs w:val="24"/>
          <w:lang w:val="fr-FR"/>
        </w:rPr>
        <w:t xml:space="preserve">zi. Valoarea maximă de 5,1 </w:t>
      </w:r>
      <w:r w:rsidRPr="004622F6">
        <w:rPr>
          <w:rFonts w:ascii="Arial" w:eastAsia="Times New Roman" w:hAnsi="Arial" w:cs="Arial"/>
          <w:sz w:val="24"/>
          <w:szCs w:val="24"/>
          <w:lang w:val="en-AU"/>
        </w:rPr>
        <w:sym w:font="Symbol" w:char="F0B1"/>
      </w:r>
      <w:r w:rsidRPr="004622F6">
        <w:rPr>
          <w:rFonts w:ascii="Arial" w:eastAsia="Times New Roman" w:hAnsi="Arial" w:cs="Arial"/>
          <w:sz w:val="24"/>
          <w:szCs w:val="24"/>
          <w:lang w:val="fr-FR"/>
        </w:rPr>
        <w:t xml:space="preserve"> 0,5 Bq/m</w:t>
      </w:r>
      <w:r w:rsidRPr="004622F6">
        <w:rPr>
          <w:rFonts w:ascii="Arial" w:eastAsia="Times New Roman" w:hAnsi="Arial" w:cs="Arial"/>
          <w:sz w:val="24"/>
          <w:szCs w:val="24"/>
          <w:vertAlign w:val="superscript"/>
          <w:lang w:val="fr-FR"/>
        </w:rPr>
        <w:t>2</w:t>
      </w:r>
      <w:r w:rsidRPr="004622F6">
        <w:rPr>
          <w:rFonts w:ascii="Arial" w:eastAsia="Times New Roman" w:hAnsi="Arial" w:cs="Arial"/>
          <w:sz w:val="24"/>
          <w:szCs w:val="24"/>
          <w:lang w:val="fr-FR"/>
        </w:rPr>
        <w:t xml:space="preserve">zi a fost înregistrată pentru proba </w:t>
      </w:r>
      <w:r w:rsidRPr="004622F6">
        <w:rPr>
          <w:rFonts w:ascii="Arial" w:eastAsia="Times New Roman" w:hAnsi="Arial" w:cs="Arial"/>
          <w:sz w:val="24"/>
          <w:szCs w:val="24"/>
          <w:lang w:val="fr-FR"/>
        </w:rPr>
        <w:lastRenderedPageBreak/>
        <w:t>colectată în data de 19.04.2014, când volumul precipitaţiilor a fost de asemenea mare. Valo</w:t>
      </w:r>
      <w:r w:rsidRPr="004622F6">
        <w:rPr>
          <w:rFonts w:ascii="Arial" w:eastAsia="Times New Roman" w:hAnsi="Arial" w:cs="Arial"/>
          <w:sz w:val="24"/>
          <w:szCs w:val="24"/>
          <w:lang w:val="fr-FR"/>
        </w:rPr>
        <w:t>a</w:t>
      </w:r>
      <w:r w:rsidRPr="004622F6">
        <w:rPr>
          <w:rFonts w:ascii="Arial" w:eastAsia="Times New Roman" w:hAnsi="Arial" w:cs="Arial"/>
          <w:sz w:val="24"/>
          <w:szCs w:val="24"/>
          <w:lang w:val="fr-FR"/>
        </w:rPr>
        <w:t>rea medie anuală a fost de 0,545 Bq/m</w:t>
      </w:r>
      <w:r w:rsidRPr="004622F6">
        <w:rPr>
          <w:rFonts w:ascii="Arial" w:eastAsia="Times New Roman" w:hAnsi="Arial" w:cs="Arial"/>
          <w:sz w:val="24"/>
          <w:szCs w:val="24"/>
          <w:vertAlign w:val="superscript"/>
          <w:lang w:val="fr-FR"/>
        </w:rPr>
        <w:t>2</w:t>
      </w:r>
      <w:r w:rsidRPr="004622F6">
        <w:rPr>
          <w:rFonts w:ascii="Arial" w:eastAsia="Times New Roman" w:hAnsi="Arial" w:cs="Arial"/>
          <w:sz w:val="24"/>
          <w:szCs w:val="24"/>
          <w:lang w:val="fr-FR"/>
        </w:rPr>
        <w:t>/zi.</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ro-RO"/>
        </w:rPr>
        <w:t>Numă</w:t>
      </w:r>
      <w:r w:rsidRPr="004622F6">
        <w:rPr>
          <w:rFonts w:ascii="Arial" w:eastAsia="Times New Roman" w:hAnsi="Arial" w:cs="Arial"/>
          <w:sz w:val="24"/>
          <w:szCs w:val="24"/>
          <w:lang w:val="fr-FR"/>
        </w:rPr>
        <w:t>rul de valori semnificative a fost de 44,  ceea ce reprezintă 12,05 % din numărul total de probe măsurate.</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 xml:space="preserve">Intervalul de variaţie a erorilor relative a fost de 9,2-35,0%. </w:t>
      </w:r>
    </w:p>
    <w:p w:rsidR="004622F6" w:rsidRPr="004622F6" w:rsidRDefault="004622F6" w:rsidP="004622F6">
      <w:pPr>
        <w:spacing w:after="0" w:line="240" w:lineRule="auto"/>
        <w:jc w:val="both"/>
        <w:rPr>
          <w:rFonts w:ascii="Arial" w:eastAsia="Times New Roman" w:hAnsi="Arial" w:cs="Arial"/>
          <w:color w:val="000000"/>
          <w:sz w:val="24"/>
          <w:szCs w:val="24"/>
          <w:lang w:val="fr-FR"/>
        </w:rPr>
      </w:pPr>
      <w:r w:rsidRPr="004622F6">
        <w:rPr>
          <w:rFonts w:ascii="Arial" w:eastAsia="Times New Roman" w:hAnsi="Arial" w:cs="Arial"/>
          <w:color w:val="000000"/>
          <w:sz w:val="24"/>
          <w:szCs w:val="24"/>
          <w:lang w:val="fr-FR"/>
        </w:rPr>
        <w:t xml:space="preserve">Radioactivitatea beta globală a probelor de depuneri atmosferice totale, prelevate în cursul anului 2014, s-a situat sub valoarea limitei de atenţie, atât la măsurările imediate, cât şi la  măsurările întârziate. </w:t>
      </w:r>
    </w:p>
    <w:p w:rsidR="004622F6" w:rsidRPr="004622F6" w:rsidRDefault="004622F6" w:rsidP="004622F6">
      <w:pPr>
        <w:autoSpaceDE w:val="0"/>
        <w:autoSpaceDN w:val="0"/>
        <w:adjustRightInd w:val="0"/>
        <w:spacing w:before="120" w:after="0" w:line="240" w:lineRule="auto"/>
        <w:jc w:val="both"/>
        <w:rPr>
          <w:rFonts w:ascii="Arial" w:eastAsia="Times New Roman" w:hAnsi="Arial"/>
          <w:b/>
          <w:sz w:val="24"/>
          <w:szCs w:val="24"/>
          <w:lang w:val="ro-RO"/>
        </w:rPr>
      </w:pPr>
      <w:r w:rsidRPr="004622F6">
        <w:rPr>
          <w:rFonts w:ascii="Arial" w:eastAsia="Times New Roman" w:hAnsi="Arial"/>
          <w:b/>
          <w:sz w:val="24"/>
          <w:szCs w:val="24"/>
          <w:lang w:val="ro-RO"/>
        </w:rPr>
        <w:t>X.1.2.  Radioactivitatea apelor</w:t>
      </w:r>
    </w:p>
    <w:p w:rsidR="004622F6" w:rsidRPr="004622F6" w:rsidRDefault="004622F6" w:rsidP="004622F6">
      <w:pPr>
        <w:autoSpaceDE w:val="0"/>
        <w:autoSpaceDN w:val="0"/>
        <w:adjustRightInd w:val="0"/>
        <w:spacing w:before="120" w:after="0" w:line="240" w:lineRule="auto"/>
        <w:jc w:val="both"/>
        <w:rPr>
          <w:rFonts w:ascii="Arial" w:eastAsia="Times New Roman" w:hAnsi="Arial"/>
          <w:b/>
          <w:sz w:val="24"/>
          <w:szCs w:val="24"/>
          <w:lang w:val="ro-RO"/>
        </w:rPr>
      </w:pPr>
      <w:r w:rsidRPr="004622F6">
        <w:rPr>
          <w:rFonts w:ascii="Arial" w:eastAsia="Times New Roman" w:hAnsi="Arial"/>
          <w:b/>
          <w:color w:val="000000"/>
          <w:sz w:val="24"/>
          <w:szCs w:val="24"/>
          <w:lang w:val="ro-RO"/>
        </w:rPr>
        <w:t xml:space="preserve">X.1.2.1. </w:t>
      </w:r>
      <w:r w:rsidRPr="004622F6">
        <w:rPr>
          <w:rFonts w:ascii="Arial" w:eastAsia="Times New Roman" w:hAnsi="Arial"/>
          <w:b/>
          <w:sz w:val="24"/>
          <w:szCs w:val="24"/>
          <w:lang w:val="ro-RO"/>
        </w:rPr>
        <w:t>Radioactivitatea apei de suprafaţă - râu Buzău</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sz w:val="24"/>
          <w:szCs w:val="24"/>
          <w:lang w:val="ro-RO"/>
        </w:rPr>
        <w:t>În cursul anului 2014 a</w:t>
      </w:r>
      <w:r w:rsidRPr="004622F6">
        <w:rPr>
          <w:rFonts w:ascii="Arial" w:eastAsia="Times New Roman" w:hAnsi="Arial" w:cs="Arial"/>
          <w:color w:val="000000"/>
          <w:sz w:val="24"/>
          <w:szCs w:val="24"/>
          <w:lang w:val="ro-RO"/>
        </w:rPr>
        <w:t xml:space="preserve">u fost prelevate în total </w:t>
      </w:r>
      <w:r w:rsidRPr="004622F6">
        <w:rPr>
          <w:rFonts w:ascii="Arial" w:eastAsia="Times New Roman" w:hAnsi="Arial" w:cs="Arial"/>
          <w:sz w:val="24"/>
          <w:szCs w:val="24"/>
          <w:lang w:val="ro-RO"/>
        </w:rPr>
        <w:t>364</w:t>
      </w:r>
      <w:r w:rsidRPr="004622F6">
        <w:rPr>
          <w:rFonts w:ascii="Arial" w:eastAsia="Times New Roman" w:hAnsi="Arial" w:cs="Arial"/>
          <w:color w:val="000000"/>
          <w:sz w:val="24"/>
          <w:szCs w:val="24"/>
          <w:lang w:val="ro-RO"/>
        </w:rPr>
        <w:t xml:space="preserve"> probe din apa de suprafaţă (râul Buzău), punctul de prelevare fiind Podul Mărăcineni, pentru care s-au efectuat măsurări imediate şi măsurări întârziate (la 5 zile de la prelevarea probei).</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Pentru măsurările imediate, valorile înregistrate s-au situat în intervalul 105,5 – 1699,0 Bq/m</w:t>
      </w:r>
      <w:r w:rsidRPr="004622F6">
        <w:rPr>
          <w:rFonts w:ascii="Arial" w:eastAsia="Times New Roman" w:hAnsi="Arial" w:cs="Arial"/>
          <w:sz w:val="24"/>
          <w:szCs w:val="24"/>
          <w:vertAlign w:val="superscript"/>
          <w:lang w:val="ro-RO"/>
        </w:rPr>
        <w:t>3</w:t>
      </w:r>
      <w:r w:rsidRPr="004622F6">
        <w:rPr>
          <w:rFonts w:ascii="Arial" w:eastAsia="Times New Roman" w:hAnsi="Arial" w:cs="Arial"/>
          <w:sz w:val="24"/>
          <w:szCs w:val="24"/>
          <w:lang w:val="ro-RO"/>
        </w:rPr>
        <w:t>, maxima de 1699,0 Bq/m</w:t>
      </w:r>
      <w:r w:rsidRPr="004622F6">
        <w:rPr>
          <w:rFonts w:ascii="Arial" w:eastAsia="Times New Roman" w:hAnsi="Arial" w:cs="Arial"/>
          <w:sz w:val="24"/>
          <w:szCs w:val="24"/>
          <w:vertAlign w:val="superscript"/>
          <w:lang w:val="ro-RO"/>
        </w:rPr>
        <w:t xml:space="preserve">3 </w:t>
      </w:r>
      <w:r w:rsidRPr="004622F6">
        <w:rPr>
          <w:rFonts w:ascii="Arial" w:eastAsia="Times New Roman" w:hAnsi="Arial" w:cs="Arial"/>
          <w:sz w:val="24"/>
          <w:szCs w:val="24"/>
          <w:lang w:val="ro-RO"/>
        </w:rPr>
        <w:t>înregistrându-se în data de 13.12.2014. Valoarea activităţii beta globale medie anuală pentru anul 2014 a fost de 234,4 Bq/m</w:t>
      </w:r>
      <w:r w:rsidRPr="004622F6">
        <w:rPr>
          <w:rFonts w:ascii="Arial" w:eastAsia="Times New Roman" w:hAnsi="Arial" w:cs="Arial"/>
          <w:sz w:val="24"/>
          <w:szCs w:val="24"/>
          <w:vertAlign w:val="superscript"/>
          <w:lang w:val="ro-RO"/>
        </w:rPr>
        <w:t xml:space="preserve">3 </w:t>
      </w:r>
      <w:r w:rsidRPr="004622F6">
        <w:rPr>
          <w:rFonts w:ascii="Arial" w:eastAsia="Times New Roman" w:hAnsi="Arial" w:cs="Arial"/>
          <w:sz w:val="24"/>
          <w:szCs w:val="24"/>
          <w:lang w:val="ro-RO"/>
        </w:rPr>
        <w:t>.</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ro-RO"/>
        </w:rPr>
        <w:t>Numă</w:t>
      </w:r>
      <w:r w:rsidRPr="004622F6">
        <w:rPr>
          <w:rFonts w:ascii="Arial" w:eastAsia="Times New Roman" w:hAnsi="Arial" w:cs="Arial"/>
          <w:sz w:val="24"/>
          <w:szCs w:val="24"/>
          <w:lang w:val="fr-FR"/>
        </w:rPr>
        <w:t>rul de valori semnificative a fost de 316, ceea ce reprezintă  85,57 % din numărul total de probe măsurate.</w:t>
      </w:r>
    </w:p>
    <w:p w:rsidR="004622F6" w:rsidRPr="004622F6" w:rsidRDefault="004622F6" w:rsidP="004622F6">
      <w:pPr>
        <w:spacing w:after="0" w:line="240" w:lineRule="auto"/>
        <w:jc w:val="both"/>
        <w:rPr>
          <w:rFonts w:ascii="Arial" w:eastAsia="Times New Roman" w:hAnsi="Arial" w:cs="Arial"/>
          <w:color w:val="000000"/>
          <w:sz w:val="24"/>
          <w:szCs w:val="24"/>
          <w:lang w:val="ro-RO"/>
        </w:rPr>
      </w:pPr>
      <w:r w:rsidRPr="004622F6">
        <w:rPr>
          <w:rFonts w:ascii="Arial" w:eastAsia="Times New Roman" w:hAnsi="Arial" w:cs="Arial"/>
          <w:color w:val="000000"/>
          <w:sz w:val="24"/>
          <w:szCs w:val="24"/>
          <w:lang w:val="ro-RO"/>
        </w:rPr>
        <w:t>În figura şi tabelul de mai jos sunt prezentate valorile medii lunare ale masurărilor imediate, la nivelul anului 2014:</w:t>
      </w:r>
    </w:p>
    <w:p w:rsidR="004622F6" w:rsidRPr="004622F6" w:rsidRDefault="004622F6" w:rsidP="004622F6">
      <w:pPr>
        <w:spacing w:before="120" w:after="0" w:line="240" w:lineRule="auto"/>
        <w:jc w:val="both"/>
        <w:rPr>
          <w:rFonts w:ascii="Arial" w:eastAsia="Times New Roman" w:hAnsi="Arial" w:cs="Arial"/>
          <w:color w:val="000000"/>
          <w:sz w:val="24"/>
          <w:szCs w:val="24"/>
          <w:lang w:val="ro-RO"/>
        </w:rPr>
      </w:pPr>
    </w:p>
    <w:p w:rsidR="004622F6" w:rsidRPr="004622F6" w:rsidRDefault="004622F6" w:rsidP="004622F6">
      <w:pPr>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drawing>
          <wp:inline distT="0" distB="0" distL="0" distR="0">
            <wp:extent cx="5743575" cy="3009900"/>
            <wp:effectExtent l="0" t="0" r="0" b="0"/>
            <wp:docPr id="294" name="Object 2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4622F6" w:rsidRPr="004622F6" w:rsidRDefault="004622F6" w:rsidP="004622F6">
      <w:pPr>
        <w:spacing w:before="120" w:after="0" w:line="240" w:lineRule="auto"/>
        <w:jc w:val="center"/>
        <w:rPr>
          <w:rFonts w:ascii="Arial" w:eastAsia="Times New Roman" w:hAnsi="Arial" w:cs="Arial"/>
          <w:b/>
          <w:bCs/>
          <w:color w:val="000000"/>
          <w:sz w:val="24"/>
          <w:szCs w:val="24"/>
          <w:lang w:val="ro-RO"/>
        </w:rPr>
      </w:pPr>
      <w:r w:rsidRPr="004622F6">
        <w:rPr>
          <w:rFonts w:ascii="Arial" w:eastAsia="Times New Roman" w:hAnsi="Arial" w:cs="Arial"/>
          <w:b/>
          <w:bCs/>
          <w:color w:val="000000"/>
          <w:sz w:val="24"/>
          <w:szCs w:val="24"/>
          <w:lang w:val="ro-RO"/>
        </w:rPr>
        <w:t>Fig. X.1.2.1.1. Activitatea specifică beta globală medie lunară pentru apa brută - Râu     Buzău (valori imediate), comparativ cu limita de avertizare, în anul 2014</w:t>
      </w:r>
    </w:p>
    <w:p w:rsidR="004622F6" w:rsidRPr="004622F6" w:rsidRDefault="004622F6" w:rsidP="004622F6">
      <w:pPr>
        <w:spacing w:before="120" w:after="0" w:line="240" w:lineRule="auto"/>
        <w:jc w:val="both"/>
        <w:rPr>
          <w:rFonts w:ascii="Arial" w:eastAsia="Times New Roman" w:hAnsi="Arial" w:cs="Arial"/>
          <w:b/>
          <w:sz w:val="24"/>
          <w:szCs w:val="24"/>
          <w:lang w:val="ro-RO" w:eastAsia="pl-PL"/>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735"/>
        <w:gridCol w:w="672"/>
        <w:gridCol w:w="719"/>
        <w:gridCol w:w="709"/>
        <w:gridCol w:w="672"/>
        <w:gridCol w:w="745"/>
        <w:gridCol w:w="709"/>
        <w:gridCol w:w="755"/>
        <w:gridCol w:w="756"/>
        <w:gridCol w:w="720"/>
        <w:gridCol w:w="720"/>
        <w:gridCol w:w="720"/>
      </w:tblGrid>
      <w:tr w:rsidR="004622F6" w:rsidRPr="004622F6" w:rsidTr="00D92384">
        <w:trPr>
          <w:trHeight w:val="326"/>
        </w:trPr>
        <w:tc>
          <w:tcPr>
            <w:tcW w:w="993" w:type="dxa"/>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lang w:val="ro-RO"/>
              </w:rPr>
              <w:t xml:space="preserve">  </w:t>
            </w:r>
            <w:r w:rsidRPr="004622F6">
              <w:rPr>
                <w:rFonts w:ascii="Arial" w:eastAsia="Times New Roman" w:hAnsi="Arial" w:cs="Arial"/>
                <w:sz w:val="20"/>
                <w:szCs w:val="20"/>
              </w:rPr>
              <w:t>LUNA</w:t>
            </w:r>
          </w:p>
        </w:tc>
        <w:tc>
          <w:tcPr>
            <w:tcW w:w="735"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Ian</w:t>
            </w:r>
          </w:p>
        </w:tc>
        <w:tc>
          <w:tcPr>
            <w:tcW w:w="672"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Feb</w:t>
            </w:r>
          </w:p>
        </w:tc>
        <w:tc>
          <w:tcPr>
            <w:tcW w:w="719"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Mar</w:t>
            </w:r>
          </w:p>
        </w:tc>
        <w:tc>
          <w:tcPr>
            <w:tcW w:w="709"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Apr</w:t>
            </w:r>
          </w:p>
        </w:tc>
        <w:tc>
          <w:tcPr>
            <w:tcW w:w="672"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Mai</w:t>
            </w:r>
          </w:p>
        </w:tc>
        <w:tc>
          <w:tcPr>
            <w:tcW w:w="745"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Iun</w:t>
            </w:r>
          </w:p>
        </w:tc>
        <w:tc>
          <w:tcPr>
            <w:tcW w:w="709"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Iul</w:t>
            </w:r>
          </w:p>
        </w:tc>
        <w:tc>
          <w:tcPr>
            <w:tcW w:w="755"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Aug</w:t>
            </w:r>
          </w:p>
        </w:tc>
        <w:tc>
          <w:tcPr>
            <w:tcW w:w="756"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Sep</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Oct</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Nov</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Dec</w:t>
            </w:r>
          </w:p>
        </w:tc>
      </w:tr>
      <w:tr w:rsidR="004622F6" w:rsidRPr="004622F6" w:rsidTr="00D92384">
        <w:trPr>
          <w:trHeight w:val="900"/>
        </w:trPr>
        <w:tc>
          <w:tcPr>
            <w:tcW w:w="993" w:type="dxa"/>
          </w:tcPr>
          <w:p w:rsidR="004622F6" w:rsidRPr="004622F6" w:rsidRDefault="004622F6" w:rsidP="004622F6">
            <w:pPr>
              <w:spacing w:before="120" w:after="0" w:line="240" w:lineRule="auto"/>
              <w:rPr>
                <w:rFonts w:ascii="Arial" w:eastAsia="Times New Roman" w:hAnsi="Arial" w:cs="Arial"/>
                <w:sz w:val="18"/>
                <w:szCs w:val="18"/>
              </w:rPr>
            </w:pPr>
            <w:r w:rsidRPr="004622F6">
              <w:rPr>
                <w:rFonts w:ascii="Arial" w:eastAsia="Times New Roman" w:hAnsi="Arial" w:cs="Arial"/>
                <w:sz w:val="18"/>
                <w:szCs w:val="18"/>
              </w:rPr>
              <w:t>MEDII</w:t>
            </w:r>
          </w:p>
          <w:p w:rsidR="004622F6" w:rsidRPr="004622F6" w:rsidRDefault="004622F6" w:rsidP="004622F6">
            <w:pPr>
              <w:spacing w:before="120" w:after="0" w:line="240" w:lineRule="auto"/>
              <w:rPr>
                <w:rFonts w:ascii="Arial" w:eastAsia="Times New Roman" w:hAnsi="Arial" w:cs="Arial"/>
                <w:sz w:val="18"/>
                <w:szCs w:val="18"/>
              </w:rPr>
            </w:pPr>
            <w:r w:rsidRPr="004622F6">
              <w:rPr>
                <w:rFonts w:ascii="Arial" w:eastAsia="Times New Roman" w:hAnsi="Arial" w:cs="Arial"/>
                <w:sz w:val="18"/>
                <w:szCs w:val="18"/>
              </w:rPr>
              <w:t>LUNARE</w:t>
            </w:r>
          </w:p>
          <w:p w:rsidR="004622F6" w:rsidRPr="004622F6" w:rsidRDefault="004622F6" w:rsidP="004622F6">
            <w:pPr>
              <w:spacing w:before="120" w:after="0" w:line="240" w:lineRule="auto"/>
              <w:rPr>
                <w:rFonts w:ascii="Arial" w:eastAsia="Times New Roman" w:hAnsi="Arial" w:cs="Arial"/>
                <w:sz w:val="18"/>
                <w:szCs w:val="18"/>
              </w:rPr>
            </w:pPr>
          </w:p>
        </w:tc>
        <w:tc>
          <w:tcPr>
            <w:tcW w:w="735"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221,5</w:t>
            </w:r>
          </w:p>
        </w:tc>
        <w:tc>
          <w:tcPr>
            <w:tcW w:w="672"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195,1</w:t>
            </w:r>
          </w:p>
        </w:tc>
        <w:tc>
          <w:tcPr>
            <w:tcW w:w="719"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242,6</w:t>
            </w:r>
          </w:p>
        </w:tc>
        <w:tc>
          <w:tcPr>
            <w:tcW w:w="709" w:type="dxa"/>
            <w:vAlign w:val="center"/>
          </w:tcPr>
          <w:p w:rsidR="004622F6" w:rsidRPr="004622F6" w:rsidRDefault="004622F6" w:rsidP="004622F6">
            <w:pPr>
              <w:spacing w:before="120" w:after="0" w:line="240" w:lineRule="auto"/>
              <w:jc w:val="center"/>
              <w:rPr>
                <w:rFonts w:ascii="Arial" w:eastAsia="Times New Roman" w:hAnsi="Arial" w:cs="Arial"/>
                <w:sz w:val="18"/>
                <w:szCs w:val="18"/>
              </w:rPr>
            </w:pPr>
            <w:r w:rsidRPr="004622F6">
              <w:rPr>
                <w:rFonts w:ascii="Arial" w:eastAsia="Times New Roman" w:hAnsi="Arial" w:cs="Arial"/>
                <w:sz w:val="18"/>
                <w:szCs w:val="18"/>
              </w:rPr>
              <w:t>281,4</w:t>
            </w:r>
          </w:p>
        </w:tc>
        <w:tc>
          <w:tcPr>
            <w:tcW w:w="672"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272,1</w:t>
            </w:r>
          </w:p>
        </w:tc>
        <w:tc>
          <w:tcPr>
            <w:tcW w:w="745"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247,5</w:t>
            </w:r>
          </w:p>
        </w:tc>
        <w:tc>
          <w:tcPr>
            <w:tcW w:w="709"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247,9</w:t>
            </w:r>
          </w:p>
        </w:tc>
        <w:tc>
          <w:tcPr>
            <w:tcW w:w="755"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 xml:space="preserve">  233</w:t>
            </w:r>
          </w:p>
        </w:tc>
        <w:tc>
          <w:tcPr>
            <w:tcW w:w="756"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 xml:space="preserve">  278</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224,6</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 xml:space="preserve">  208</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879,7</w:t>
            </w:r>
          </w:p>
        </w:tc>
      </w:tr>
    </w:tbl>
    <w:p w:rsidR="004622F6" w:rsidRPr="004622F6" w:rsidRDefault="004622F6" w:rsidP="004622F6">
      <w:pPr>
        <w:spacing w:before="120" w:after="0" w:line="240" w:lineRule="auto"/>
        <w:rPr>
          <w:rFonts w:ascii="Arial" w:eastAsia="Times New Roman" w:hAnsi="Arial" w:cs="Arial"/>
          <w:b/>
          <w:color w:val="000000"/>
          <w:sz w:val="24"/>
          <w:szCs w:val="24"/>
          <w:lang w:val="it-IT"/>
        </w:rPr>
      </w:pPr>
      <w:r w:rsidRPr="004622F6">
        <w:rPr>
          <w:rFonts w:ascii="Arial" w:eastAsia="Times New Roman" w:hAnsi="Arial" w:cs="Arial"/>
          <w:b/>
          <w:color w:val="000000"/>
          <w:sz w:val="24"/>
          <w:szCs w:val="24"/>
          <w:lang w:val="it-IT"/>
        </w:rPr>
        <w:t xml:space="preserve">     Tabel  X.1.2.1.1. Valorile medii lunare pentru apa brută - Râu Buzău în anul 2014</w:t>
      </w:r>
    </w:p>
    <w:p w:rsidR="004622F6" w:rsidRPr="004622F6" w:rsidRDefault="004622F6" w:rsidP="004622F6">
      <w:pPr>
        <w:spacing w:before="120"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lastRenderedPageBreak/>
        <w:t>În perioada 2007-2014, valorile activităţii beta globale  medii anuale  pentru apa râului Buzău, au evoluat astfel:</w:t>
      </w:r>
    </w:p>
    <w:p w:rsidR="004622F6" w:rsidRPr="004622F6" w:rsidRDefault="004622F6" w:rsidP="004622F6">
      <w:pPr>
        <w:spacing w:before="120" w:after="0" w:line="240" w:lineRule="auto"/>
        <w:jc w:val="both"/>
        <w:rPr>
          <w:rFonts w:ascii="Arial" w:eastAsia="Times New Roman" w:hAnsi="Arial" w:cs="Arial"/>
          <w:sz w:val="24"/>
          <w:szCs w:val="24"/>
          <w:lang w:val="ro-RO"/>
        </w:rPr>
      </w:pPr>
    </w:p>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 xml:space="preserve">        </w:t>
      </w:r>
      <w:r>
        <w:rPr>
          <w:rFonts w:ascii="Arial" w:eastAsia="Times New Roman" w:hAnsi="Arial" w:cs="Arial"/>
          <w:noProof/>
          <w:sz w:val="20"/>
          <w:szCs w:val="20"/>
          <w:lang w:val="ro-RO" w:eastAsia="ro-RO"/>
        </w:rPr>
        <w:drawing>
          <wp:inline distT="0" distB="0" distL="0" distR="0">
            <wp:extent cx="5457825" cy="2609850"/>
            <wp:effectExtent l="0" t="0" r="0" b="0"/>
            <wp:docPr id="295" name="Object 2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4622F6" w:rsidRPr="004622F6" w:rsidRDefault="004622F6" w:rsidP="004622F6">
      <w:pPr>
        <w:spacing w:before="120" w:after="0" w:line="240" w:lineRule="auto"/>
        <w:rPr>
          <w:rFonts w:ascii="Arial" w:eastAsia="Times New Roman" w:hAnsi="Arial" w:cs="Arial"/>
          <w:color w:val="000000"/>
          <w:sz w:val="20"/>
          <w:szCs w:val="20"/>
          <w:lang w:val="ro-RO"/>
        </w:rPr>
      </w:pPr>
      <w:r w:rsidRPr="004622F6">
        <w:rPr>
          <w:rFonts w:ascii="Arial" w:eastAsia="Times New Roman" w:hAnsi="Arial" w:cs="Arial"/>
          <w:b/>
          <w:bCs/>
          <w:color w:val="000000"/>
          <w:sz w:val="24"/>
          <w:szCs w:val="24"/>
          <w:lang w:val="ro-RO"/>
        </w:rPr>
        <w:t xml:space="preserve">Fig. X.1.2.1.2. Activitatea specifică beta globală medie anuală pentru apa râului    </w:t>
      </w:r>
    </w:p>
    <w:p w:rsidR="004622F6" w:rsidRPr="004622F6" w:rsidRDefault="004622F6" w:rsidP="004622F6">
      <w:pPr>
        <w:spacing w:before="120" w:after="0" w:line="240" w:lineRule="auto"/>
        <w:rPr>
          <w:rFonts w:ascii="Arial" w:eastAsia="Times New Roman" w:hAnsi="Arial" w:cs="Arial"/>
          <w:color w:val="000000"/>
          <w:sz w:val="20"/>
          <w:szCs w:val="20"/>
          <w:lang w:val="ro-RO"/>
        </w:rPr>
      </w:pPr>
      <w:r w:rsidRPr="004622F6">
        <w:rPr>
          <w:rFonts w:ascii="Arial" w:eastAsia="Times New Roman" w:hAnsi="Arial" w:cs="Arial"/>
          <w:sz w:val="24"/>
          <w:szCs w:val="24"/>
          <w:lang w:val="en-AU"/>
        </w:rPr>
        <w:t xml:space="preserve">                               </w:t>
      </w:r>
      <w:r w:rsidRPr="004622F6">
        <w:rPr>
          <w:rFonts w:ascii="Arial" w:eastAsia="Times New Roman" w:hAnsi="Arial" w:cs="Arial"/>
          <w:b/>
          <w:bCs/>
          <w:color w:val="000000"/>
          <w:sz w:val="24"/>
          <w:szCs w:val="24"/>
          <w:lang w:val="ro-RO"/>
        </w:rPr>
        <w:t>Buzău (valori imediate), comparativ în perioada 2007-2014</w:t>
      </w:r>
    </w:p>
    <w:p w:rsidR="004622F6" w:rsidRPr="004622F6" w:rsidRDefault="004622F6" w:rsidP="004622F6">
      <w:pPr>
        <w:spacing w:before="120" w:after="0" w:line="240" w:lineRule="auto"/>
        <w:jc w:val="both"/>
        <w:rPr>
          <w:rFonts w:ascii="Arial" w:eastAsia="Times New Roman" w:hAnsi="Arial" w:cs="Arial"/>
          <w:sz w:val="24"/>
          <w:szCs w:val="24"/>
          <w:lang w:val="en-AU"/>
        </w:rPr>
      </w:pP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lang w:val="en-AU"/>
        </w:rPr>
        <w:t>Pentru măsurările după 5 zile, valorile au variat între 74,6±24,09 – 276,3</w:t>
      </w:r>
      <w:r w:rsidRPr="004622F6">
        <w:rPr>
          <w:rFonts w:ascii="Arial" w:eastAsia="Times New Roman" w:hAnsi="Arial" w:cs="Arial"/>
          <w:sz w:val="24"/>
          <w:szCs w:val="24"/>
          <w:lang w:val="en-AU"/>
        </w:rPr>
        <w:sym w:font="Symbol" w:char="F0B1"/>
      </w:r>
      <w:r w:rsidRPr="004622F6">
        <w:rPr>
          <w:rFonts w:ascii="Arial" w:eastAsia="Times New Roman" w:hAnsi="Arial" w:cs="Arial"/>
          <w:sz w:val="24"/>
          <w:szCs w:val="24"/>
          <w:lang w:val="en-AU"/>
        </w:rPr>
        <w:t>33,94 Bq/m</w:t>
      </w:r>
      <w:r w:rsidRPr="004622F6">
        <w:rPr>
          <w:rFonts w:ascii="Arial" w:eastAsia="Times New Roman" w:hAnsi="Arial" w:cs="Arial"/>
          <w:sz w:val="24"/>
          <w:szCs w:val="24"/>
          <w:vertAlign w:val="superscript"/>
          <w:lang w:val="en-AU"/>
        </w:rPr>
        <w:t>3</w:t>
      </w:r>
      <w:r w:rsidRPr="004622F6">
        <w:rPr>
          <w:rFonts w:ascii="Arial" w:eastAsia="Times New Roman" w:hAnsi="Arial" w:cs="Arial"/>
          <w:sz w:val="24"/>
          <w:szCs w:val="24"/>
          <w:lang w:val="en-AU"/>
        </w:rPr>
        <w:t>, media anuală fiind de 92,12 Bq/m</w:t>
      </w:r>
      <w:r w:rsidRPr="004622F6">
        <w:rPr>
          <w:rFonts w:ascii="Arial" w:eastAsia="Times New Roman" w:hAnsi="Arial" w:cs="Arial"/>
          <w:sz w:val="24"/>
          <w:szCs w:val="24"/>
          <w:vertAlign w:val="superscript"/>
          <w:lang w:val="en-AU"/>
        </w:rPr>
        <w:t>3</w:t>
      </w:r>
      <w:r w:rsidRPr="004622F6">
        <w:rPr>
          <w:rFonts w:ascii="Arial" w:eastAsia="Times New Roman" w:hAnsi="Arial" w:cs="Arial"/>
          <w:sz w:val="24"/>
          <w:szCs w:val="24"/>
          <w:lang w:val="en-AU"/>
        </w:rPr>
        <w:t>.</w:t>
      </w: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rPr>
        <w:t xml:space="preserve">Valoarea maximă anuală a fost de </w:t>
      </w:r>
      <w:r w:rsidRPr="004622F6">
        <w:rPr>
          <w:rFonts w:ascii="Arial" w:eastAsia="Times New Roman" w:hAnsi="Arial" w:cs="Arial"/>
          <w:sz w:val="24"/>
          <w:szCs w:val="24"/>
          <w:lang w:val="en-AU"/>
        </w:rPr>
        <w:t>276,3</w:t>
      </w:r>
      <w:r w:rsidRPr="004622F6">
        <w:rPr>
          <w:rFonts w:ascii="Arial" w:eastAsia="Times New Roman" w:hAnsi="Arial" w:cs="Arial"/>
          <w:sz w:val="24"/>
          <w:szCs w:val="24"/>
          <w:lang w:val="en-AU"/>
        </w:rPr>
        <w:sym w:font="Symbol" w:char="F0B1"/>
      </w:r>
      <w:r w:rsidRPr="004622F6">
        <w:rPr>
          <w:rFonts w:ascii="Arial" w:eastAsia="Times New Roman" w:hAnsi="Arial" w:cs="Arial"/>
          <w:sz w:val="24"/>
          <w:szCs w:val="24"/>
          <w:lang w:val="en-AU"/>
        </w:rPr>
        <w:t>33,94Bq/m</w:t>
      </w:r>
      <w:r w:rsidRPr="004622F6">
        <w:rPr>
          <w:rFonts w:ascii="Arial" w:eastAsia="Times New Roman" w:hAnsi="Arial" w:cs="Arial"/>
          <w:sz w:val="24"/>
          <w:szCs w:val="24"/>
          <w:vertAlign w:val="superscript"/>
          <w:lang w:val="en-AU"/>
        </w:rPr>
        <w:t>3</w:t>
      </w:r>
      <w:r w:rsidRPr="004622F6">
        <w:rPr>
          <w:rFonts w:ascii="Arial" w:eastAsia="Times New Roman" w:hAnsi="Arial" w:cs="Arial"/>
          <w:sz w:val="24"/>
          <w:szCs w:val="24"/>
          <w:lang w:val="en-AU"/>
        </w:rPr>
        <w:t xml:space="preserve"> şi s-a înregistrat pentru proba colectată în data de 07.03.2014.</w:t>
      </w: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lang w:val="en-AU"/>
        </w:rPr>
        <w:t>Numărul valorilor  semnificative a fost de 29, care raportat la numărul total de probe măsurate (365), reprezintă 7,95 %.</w:t>
      </w:r>
    </w:p>
    <w:p w:rsidR="004622F6" w:rsidRPr="004622F6" w:rsidRDefault="004622F6" w:rsidP="004622F6">
      <w:pPr>
        <w:spacing w:after="0" w:line="240" w:lineRule="auto"/>
        <w:jc w:val="both"/>
        <w:rPr>
          <w:rFonts w:ascii="Arial" w:eastAsia="Times New Roman" w:hAnsi="Arial" w:cs="Arial"/>
          <w:sz w:val="24"/>
          <w:szCs w:val="24"/>
          <w:lang w:val="en-AU"/>
        </w:rPr>
      </w:pPr>
      <w:r w:rsidRPr="004622F6">
        <w:rPr>
          <w:rFonts w:ascii="Arial" w:eastAsia="Times New Roman" w:hAnsi="Arial" w:cs="Arial"/>
          <w:sz w:val="24"/>
          <w:szCs w:val="24"/>
          <w:lang w:val="en-AU"/>
        </w:rPr>
        <w:t>Intervalul de variaţie a erorilor relative a fost de 12,3 – 33,8%.</w:t>
      </w:r>
    </w:p>
    <w:p w:rsidR="004622F6" w:rsidRPr="004622F6" w:rsidRDefault="004622F6" w:rsidP="004622F6">
      <w:pPr>
        <w:spacing w:after="0" w:line="240" w:lineRule="auto"/>
        <w:jc w:val="both"/>
        <w:rPr>
          <w:rFonts w:ascii="Arial" w:eastAsia="Times New Roman" w:hAnsi="Arial" w:cs="Arial"/>
          <w:color w:val="000000"/>
          <w:sz w:val="24"/>
          <w:szCs w:val="24"/>
          <w:lang w:val="fr-FR"/>
        </w:rPr>
      </w:pPr>
      <w:r w:rsidRPr="004622F6">
        <w:rPr>
          <w:rFonts w:ascii="Arial" w:eastAsia="Times New Roman" w:hAnsi="Arial" w:cs="Arial"/>
          <w:color w:val="000000"/>
          <w:sz w:val="24"/>
          <w:szCs w:val="24"/>
          <w:lang w:val="fr-FR"/>
        </w:rPr>
        <w:t xml:space="preserve">Pe parcursul anului 2014, radioactivitatea specifică beta globală a probelor de apă de suprafaţă (râu Buzău), s-a situat sub valoarea limitei de atenţie, atât la măsurările imediate cât şi la  măsurările întârziate. </w:t>
      </w:r>
    </w:p>
    <w:p w:rsidR="004622F6" w:rsidRPr="004622F6" w:rsidRDefault="004622F6" w:rsidP="004622F6">
      <w:pPr>
        <w:autoSpaceDE w:val="0"/>
        <w:autoSpaceDN w:val="0"/>
        <w:adjustRightInd w:val="0"/>
        <w:spacing w:after="0" w:line="240" w:lineRule="auto"/>
        <w:jc w:val="both"/>
        <w:rPr>
          <w:rFonts w:ascii="Arial" w:eastAsia="Times New Roman" w:hAnsi="Arial"/>
          <w:b/>
          <w:color w:val="000000"/>
          <w:sz w:val="24"/>
          <w:szCs w:val="24"/>
          <w:lang w:val="en-AU"/>
        </w:rPr>
      </w:pPr>
    </w:p>
    <w:p w:rsidR="004622F6" w:rsidRPr="004622F6" w:rsidRDefault="004622F6" w:rsidP="004622F6">
      <w:pPr>
        <w:autoSpaceDE w:val="0"/>
        <w:autoSpaceDN w:val="0"/>
        <w:adjustRightInd w:val="0"/>
        <w:spacing w:before="120" w:after="0" w:line="240" w:lineRule="auto"/>
        <w:jc w:val="both"/>
        <w:rPr>
          <w:rFonts w:ascii="Arial" w:eastAsia="Times New Roman" w:hAnsi="Arial"/>
          <w:b/>
          <w:color w:val="000000"/>
          <w:sz w:val="24"/>
          <w:szCs w:val="24"/>
          <w:lang w:val="en-AU"/>
        </w:rPr>
      </w:pPr>
      <w:r w:rsidRPr="004622F6">
        <w:rPr>
          <w:rFonts w:ascii="Arial" w:eastAsia="Times New Roman" w:hAnsi="Arial"/>
          <w:b/>
          <w:color w:val="000000"/>
          <w:sz w:val="24"/>
          <w:szCs w:val="24"/>
          <w:lang w:val="en-AU"/>
        </w:rPr>
        <w:t>X.1.2.2. Radioactivitatea Dunării</w:t>
      </w:r>
    </w:p>
    <w:p w:rsidR="004622F6" w:rsidRPr="004622F6" w:rsidRDefault="004622F6" w:rsidP="004622F6">
      <w:pPr>
        <w:spacing w:before="120"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Nu este cazul.</w:t>
      </w:r>
    </w:p>
    <w:p w:rsidR="004622F6" w:rsidRPr="004622F6" w:rsidRDefault="004622F6" w:rsidP="004622F6">
      <w:pPr>
        <w:spacing w:before="120" w:after="0" w:line="240" w:lineRule="auto"/>
        <w:jc w:val="both"/>
        <w:rPr>
          <w:rFonts w:ascii="Arial" w:eastAsia="Times New Roman" w:hAnsi="Arial" w:cs="Arial"/>
          <w:b/>
          <w:sz w:val="24"/>
          <w:szCs w:val="24"/>
          <w:lang w:val="ro-RO"/>
        </w:rPr>
      </w:pPr>
      <w:r w:rsidRPr="004622F6">
        <w:rPr>
          <w:rFonts w:ascii="Arial" w:eastAsia="Times New Roman" w:hAnsi="Arial"/>
          <w:b/>
          <w:color w:val="000000"/>
          <w:sz w:val="24"/>
          <w:szCs w:val="24"/>
          <w:lang w:val="ro-RO"/>
        </w:rPr>
        <w:t>X</w:t>
      </w:r>
      <w:r w:rsidRPr="004622F6">
        <w:rPr>
          <w:rFonts w:ascii="Arial" w:eastAsia="Times New Roman" w:hAnsi="Arial"/>
          <w:b/>
          <w:color w:val="000000"/>
          <w:sz w:val="24"/>
          <w:szCs w:val="24"/>
          <w:lang w:val="en-AU"/>
        </w:rPr>
        <w:t xml:space="preserve">.1.2.3. </w:t>
      </w:r>
      <w:r w:rsidRPr="004622F6">
        <w:rPr>
          <w:rFonts w:ascii="Arial" w:eastAsia="Times New Roman" w:hAnsi="Arial" w:cs="Arial"/>
          <w:b/>
          <w:sz w:val="24"/>
          <w:szCs w:val="24"/>
          <w:lang w:val="ro-RO"/>
        </w:rPr>
        <w:t>Apă de adâncime (subterană) - foraj F12 Crâng Buzău</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Staţia de supraveghere a radioactivităţii mediului Buzău determină zilnic activitatea beta globală a probelor de apă de adâncime prelevată din forajul F12 zona Crâng Buzău.</w:t>
      </w:r>
    </w:p>
    <w:p w:rsidR="004622F6" w:rsidRPr="004622F6" w:rsidRDefault="004622F6" w:rsidP="004622F6">
      <w:pPr>
        <w:spacing w:after="0" w:line="240" w:lineRule="auto"/>
        <w:jc w:val="both"/>
        <w:rPr>
          <w:rFonts w:ascii="Arial" w:eastAsia="Times New Roman" w:hAnsi="Arial" w:cs="Arial"/>
          <w:sz w:val="24"/>
          <w:szCs w:val="24"/>
        </w:rPr>
      </w:pPr>
      <w:r w:rsidRPr="004622F6">
        <w:rPr>
          <w:rFonts w:ascii="Arial" w:eastAsia="Times New Roman" w:hAnsi="Arial" w:cs="Arial"/>
          <w:sz w:val="24"/>
          <w:szCs w:val="24"/>
        </w:rPr>
        <w:t xml:space="preserve">În anul 2014 s-au efectuat 365 recoltări zilnice de </w:t>
      </w:r>
      <w:r w:rsidRPr="004622F6">
        <w:rPr>
          <w:rFonts w:ascii="Arial" w:eastAsia="Times New Roman" w:hAnsi="Arial" w:cs="Arial"/>
          <w:bCs/>
          <w:sz w:val="24"/>
          <w:szCs w:val="24"/>
        </w:rPr>
        <w:t>apă de adâncime</w:t>
      </w:r>
      <w:r w:rsidRPr="004622F6">
        <w:rPr>
          <w:rFonts w:ascii="Arial" w:eastAsia="Times New Roman" w:hAnsi="Arial" w:cs="Arial"/>
          <w:sz w:val="24"/>
          <w:szCs w:val="24"/>
        </w:rPr>
        <w:t xml:space="preserve"> provenind de la forajul F12 din zona Crâng a oraşului Buzău. </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Măsurările pentru apa de adâncime au fost numai măsurări imediate.</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Valorile măsurate au variat în intervalul  95,5–621,4 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maxima de 621,4 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xml:space="preserve"> a fost înregistrată în data de 08.12.2014. </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Media anuală a fost de 219,35 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iar numărul de valori semnificative a fost de 261, ceea ce reprezintă  71,51 % din numărul total de probe măsurate.</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Se menţionează că, la nivelul anului 2014 nu s-au înregistrat depăşiri ale limitei de atenţionare (2000 Bq/m</w:t>
      </w:r>
      <w:r w:rsidRPr="004622F6">
        <w:rPr>
          <w:rFonts w:ascii="Arial" w:eastAsia="Times New Roman" w:hAnsi="Arial" w:cs="Arial"/>
          <w:sz w:val="24"/>
          <w:szCs w:val="24"/>
          <w:vertAlign w:val="superscript"/>
          <w:lang w:val="fr-FR"/>
        </w:rPr>
        <w:t>3</w:t>
      </w:r>
      <w:r w:rsidRPr="004622F6">
        <w:rPr>
          <w:rFonts w:ascii="Arial" w:eastAsia="Times New Roman" w:hAnsi="Arial" w:cs="Arial"/>
          <w:sz w:val="24"/>
          <w:szCs w:val="24"/>
          <w:lang w:val="fr-FR"/>
        </w:rPr>
        <w:t>)  pentru acest factor de mediu.</w:t>
      </w:r>
    </w:p>
    <w:p w:rsidR="004622F6" w:rsidRPr="004622F6" w:rsidRDefault="004622F6" w:rsidP="004622F6">
      <w:pPr>
        <w:spacing w:after="0" w:line="240" w:lineRule="auto"/>
        <w:jc w:val="both"/>
        <w:rPr>
          <w:rFonts w:ascii="Arial" w:eastAsia="Times New Roman" w:hAnsi="Arial"/>
          <w:sz w:val="24"/>
          <w:szCs w:val="24"/>
          <w:lang w:val="pl-PL" w:eastAsia="pl-PL"/>
        </w:rPr>
      </w:pPr>
      <w:r w:rsidRPr="004622F6">
        <w:rPr>
          <w:rFonts w:ascii="Arial" w:eastAsia="Times New Roman" w:hAnsi="Arial"/>
          <w:sz w:val="24"/>
          <w:szCs w:val="24"/>
          <w:lang w:val="pl-PL" w:eastAsia="pl-PL"/>
        </w:rPr>
        <w:lastRenderedPageBreak/>
        <w:t>Valorile medii lunare</w:t>
      </w:r>
      <w:r w:rsidRPr="004622F6">
        <w:rPr>
          <w:rFonts w:ascii="Arial" w:eastAsia="Times New Roman" w:hAnsi="Arial"/>
          <w:sz w:val="24"/>
          <w:szCs w:val="24"/>
          <w:lang w:val="ro-RO" w:eastAsia="pl-PL"/>
        </w:rPr>
        <w:t xml:space="preserve"> </w:t>
      </w:r>
      <w:r w:rsidRPr="004622F6">
        <w:rPr>
          <w:rFonts w:ascii="Arial" w:eastAsia="Times New Roman" w:hAnsi="Arial"/>
          <w:sz w:val="24"/>
          <w:szCs w:val="24"/>
          <w:lang w:val="pl-PL" w:eastAsia="pl-PL"/>
        </w:rPr>
        <w:t>ale activităţii beta globale pentru apa de adâncime sunt redate în tabelul de mai jos:</w:t>
      </w:r>
    </w:p>
    <w:p w:rsidR="004622F6" w:rsidRPr="004622F6" w:rsidRDefault="004622F6" w:rsidP="004622F6">
      <w:pPr>
        <w:spacing w:before="120" w:after="0" w:line="240" w:lineRule="auto"/>
        <w:jc w:val="both"/>
        <w:rPr>
          <w:rFonts w:ascii="Arial" w:eastAsia="Times New Roman" w:hAnsi="Arial"/>
          <w:sz w:val="24"/>
          <w:szCs w:val="24"/>
          <w:lang w:val="pl-PL" w:eastAsia="pl-PL"/>
        </w:rPr>
      </w:pP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2"/>
        <w:gridCol w:w="884"/>
        <w:gridCol w:w="736"/>
        <w:gridCol w:w="720"/>
        <w:gridCol w:w="720"/>
        <w:gridCol w:w="720"/>
        <w:gridCol w:w="720"/>
        <w:gridCol w:w="720"/>
        <w:gridCol w:w="720"/>
        <w:gridCol w:w="720"/>
        <w:gridCol w:w="720"/>
        <w:gridCol w:w="720"/>
        <w:gridCol w:w="720"/>
      </w:tblGrid>
      <w:tr w:rsidR="004622F6" w:rsidRPr="004622F6" w:rsidTr="00D92384">
        <w:trPr>
          <w:trHeight w:val="326"/>
        </w:trPr>
        <w:tc>
          <w:tcPr>
            <w:tcW w:w="1042" w:type="dxa"/>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lang w:val="ro-RO"/>
              </w:rPr>
              <w:t xml:space="preserve">  </w:t>
            </w:r>
            <w:r w:rsidRPr="004622F6">
              <w:rPr>
                <w:rFonts w:ascii="Arial" w:eastAsia="Times New Roman" w:hAnsi="Arial" w:cs="Arial"/>
                <w:sz w:val="20"/>
                <w:szCs w:val="20"/>
              </w:rPr>
              <w:t>LUNA</w:t>
            </w:r>
          </w:p>
        </w:tc>
        <w:tc>
          <w:tcPr>
            <w:tcW w:w="884"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Ian</w:t>
            </w:r>
          </w:p>
        </w:tc>
        <w:tc>
          <w:tcPr>
            <w:tcW w:w="736"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Feb</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Mar</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Apr</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Mai</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Iun</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Iul</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Aug</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Sep</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Oct</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Nov</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Dec</w:t>
            </w:r>
          </w:p>
        </w:tc>
      </w:tr>
      <w:tr w:rsidR="004622F6" w:rsidRPr="004622F6" w:rsidTr="00D92384">
        <w:trPr>
          <w:trHeight w:val="900"/>
        </w:trPr>
        <w:tc>
          <w:tcPr>
            <w:tcW w:w="1042"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MEDII</w:t>
            </w:r>
          </w:p>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LUNARE</w:t>
            </w:r>
          </w:p>
          <w:p w:rsidR="004622F6" w:rsidRPr="004622F6" w:rsidRDefault="004622F6" w:rsidP="004622F6">
            <w:pPr>
              <w:spacing w:before="120" w:after="0" w:line="240" w:lineRule="auto"/>
              <w:jc w:val="both"/>
              <w:rPr>
                <w:rFonts w:ascii="Arial" w:eastAsia="Times New Roman" w:hAnsi="Arial" w:cs="Arial"/>
                <w:sz w:val="20"/>
                <w:szCs w:val="20"/>
              </w:rPr>
            </w:pPr>
          </w:p>
        </w:tc>
        <w:tc>
          <w:tcPr>
            <w:tcW w:w="884"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193,7</w:t>
            </w:r>
          </w:p>
        </w:tc>
        <w:tc>
          <w:tcPr>
            <w:tcW w:w="736"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172,5</w:t>
            </w:r>
          </w:p>
        </w:tc>
        <w:tc>
          <w:tcPr>
            <w:tcW w:w="720"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186,5</w:t>
            </w:r>
          </w:p>
        </w:tc>
        <w:tc>
          <w:tcPr>
            <w:tcW w:w="720"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210,3</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212,4</w:t>
            </w:r>
          </w:p>
        </w:tc>
        <w:tc>
          <w:tcPr>
            <w:tcW w:w="720" w:type="dxa"/>
            <w:vAlign w:val="center"/>
          </w:tcPr>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sz w:val="20"/>
                <w:szCs w:val="20"/>
              </w:rPr>
              <w:t>202,5</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187,6</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174,7</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188,7</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168,3</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162,8</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562,6</w:t>
            </w:r>
          </w:p>
        </w:tc>
      </w:tr>
    </w:tbl>
    <w:p w:rsidR="004622F6" w:rsidRPr="004622F6" w:rsidRDefault="004622F6" w:rsidP="004622F6">
      <w:pPr>
        <w:spacing w:before="120" w:after="0" w:line="240" w:lineRule="auto"/>
        <w:rPr>
          <w:rFonts w:ascii="Arial" w:eastAsia="Times New Roman" w:hAnsi="Arial" w:cs="Arial"/>
          <w:b/>
          <w:color w:val="000000"/>
          <w:sz w:val="24"/>
          <w:szCs w:val="24"/>
        </w:rPr>
      </w:pPr>
      <w:r w:rsidRPr="004622F6">
        <w:rPr>
          <w:rFonts w:ascii="Arial" w:eastAsia="Times New Roman" w:hAnsi="Arial" w:cs="Arial"/>
          <w:b/>
          <w:color w:val="000000"/>
          <w:sz w:val="24"/>
          <w:szCs w:val="24"/>
        </w:rPr>
        <w:t xml:space="preserve">Tabel  X.1.2.3.1. Valorile medii lunare pentru apa de adâncime – foraj F12 Crâng  </w:t>
      </w:r>
    </w:p>
    <w:p w:rsidR="004622F6" w:rsidRPr="004622F6" w:rsidRDefault="004622F6" w:rsidP="004622F6">
      <w:pPr>
        <w:spacing w:before="120" w:after="0" w:line="240" w:lineRule="auto"/>
        <w:jc w:val="center"/>
        <w:rPr>
          <w:rFonts w:ascii="Arial" w:eastAsia="Times New Roman" w:hAnsi="Arial" w:cs="Arial"/>
          <w:b/>
          <w:color w:val="000000"/>
          <w:sz w:val="24"/>
          <w:szCs w:val="24"/>
        </w:rPr>
      </w:pPr>
      <w:r w:rsidRPr="004622F6">
        <w:rPr>
          <w:rFonts w:ascii="Arial" w:eastAsia="Times New Roman" w:hAnsi="Arial" w:cs="Arial"/>
          <w:b/>
          <w:color w:val="000000"/>
          <w:sz w:val="24"/>
          <w:szCs w:val="24"/>
        </w:rPr>
        <w:t>în anul 2014</w:t>
      </w:r>
    </w:p>
    <w:p w:rsidR="004622F6" w:rsidRPr="004622F6" w:rsidRDefault="004622F6" w:rsidP="004622F6">
      <w:pPr>
        <w:spacing w:before="120" w:after="0" w:line="240" w:lineRule="auto"/>
        <w:jc w:val="both"/>
        <w:rPr>
          <w:rFonts w:ascii="Arial" w:eastAsia="Times New Roman" w:hAnsi="Arial" w:cs="Arial"/>
          <w:sz w:val="24"/>
          <w:szCs w:val="24"/>
        </w:rPr>
      </w:pPr>
    </w:p>
    <w:p w:rsidR="004622F6" w:rsidRPr="004622F6" w:rsidRDefault="004622F6" w:rsidP="004622F6">
      <w:pPr>
        <w:spacing w:before="120" w:after="0" w:line="240" w:lineRule="auto"/>
        <w:jc w:val="both"/>
        <w:rPr>
          <w:rFonts w:ascii="Arial" w:eastAsia="Times New Roman" w:hAnsi="Arial" w:cs="Arial"/>
          <w:sz w:val="24"/>
          <w:szCs w:val="24"/>
        </w:rPr>
      </w:pPr>
      <w:r w:rsidRPr="004622F6">
        <w:rPr>
          <w:rFonts w:ascii="Arial" w:eastAsia="Times New Roman" w:hAnsi="Arial" w:cs="Arial"/>
          <w:sz w:val="24"/>
          <w:szCs w:val="24"/>
        </w:rPr>
        <w:t>În figura de mai jos sunt prezentate valorile medii lunare ale măsurărilor imediate, la nivelul anului 2014:</w:t>
      </w:r>
    </w:p>
    <w:p w:rsidR="004622F6" w:rsidRPr="004622F6" w:rsidRDefault="004622F6" w:rsidP="004622F6">
      <w:pPr>
        <w:tabs>
          <w:tab w:val="left" w:pos="7797"/>
        </w:tabs>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drawing>
          <wp:inline distT="0" distB="0" distL="0" distR="0">
            <wp:extent cx="6191250" cy="2533650"/>
            <wp:effectExtent l="0" t="0" r="0" b="0"/>
            <wp:docPr id="296" name="Object 2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4622F6" w:rsidRPr="004622F6" w:rsidRDefault="004622F6" w:rsidP="004622F6">
      <w:pPr>
        <w:spacing w:before="120" w:after="0" w:line="240" w:lineRule="auto"/>
        <w:jc w:val="center"/>
        <w:rPr>
          <w:rFonts w:ascii="Arial" w:eastAsia="Times New Roman" w:hAnsi="Arial" w:cs="Arial"/>
          <w:color w:val="000000"/>
          <w:sz w:val="24"/>
          <w:szCs w:val="24"/>
          <w:lang w:val="fr-FR"/>
        </w:rPr>
      </w:pPr>
      <w:r w:rsidRPr="004622F6">
        <w:rPr>
          <w:rFonts w:ascii="Arial" w:eastAsia="Times New Roman" w:hAnsi="Arial" w:cs="Arial"/>
          <w:b/>
          <w:bCs/>
          <w:color w:val="000000"/>
          <w:sz w:val="24"/>
          <w:szCs w:val="24"/>
          <w:lang w:val="fr-FR"/>
        </w:rPr>
        <w:t>Fig. X.1.2.3.1. Activitatea specifică beta globală medie lunară pentru apa de adâncime, foraj F12 CRÂNG  în anul 2014</w:t>
      </w:r>
    </w:p>
    <w:p w:rsidR="004622F6" w:rsidRPr="004622F6" w:rsidRDefault="004622F6" w:rsidP="004622F6">
      <w:pPr>
        <w:spacing w:before="120" w:after="0" w:line="240" w:lineRule="auto"/>
        <w:jc w:val="both"/>
        <w:rPr>
          <w:rFonts w:ascii="Arial" w:eastAsia="Times New Roman" w:hAnsi="Arial" w:cs="Arial"/>
          <w:sz w:val="24"/>
          <w:szCs w:val="24"/>
          <w:lang w:val="fr-FR"/>
        </w:rPr>
      </w:pPr>
    </w:p>
    <w:p w:rsidR="004622F6" w:rsidRPr="004622F6" w:rsidRDefault="004622F6" w:rsidP="004622F6">
      <w:pPr>
        <w:spacing w:before="120"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În perioada 2007-2014, valorile activităţii medii anuale beta globale pentru apa de adâncime foraj F12 Crâng Buzău, au evoluat ca în figura de mai jos :</w:t>
      </w:r>
    </w:p>
    <w:p w:rsidR="004622F6" w:rsidRPr="004622F6" w:rsidRDefault="004622F6" w:rsidP="004622F6">
      <w:pPr>
        <w:spacing w:before="120" w:after="0" w:line="240" w:lineRule="auto"/>
        <w:jc w:val="both"/>
        <w:rPr>
          <w:rFonts w:ascii="Arial" w:eastAsia="Times New Roman" w:hAnsi="Arial" w:cs="Arial"/>
          <w:sz w:val="24"/>
          <w:szCs w:val="24"/>
          <w:lang w:val="fr-FR"/>
        </w:rPr>
      </w:pPr>
    </w:p>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lastRenderedPageBreak/>
        <w:t xml:space="preserve">        </w:t>
      </w:r>
      <w:r>
        <w:rPr>
          <w:rFonts w:ascii="Arial" w:eastAsia="Times New Roman" w:hAnsi="Arial" w:cs="Arial"/>
          <w:noProof/>
          <w:sz w:val="20"/>
          <w:szCs w:val="20"/>
          <w:lang w:val="ro-RO" w:eastAsia="ro-RO"/>
        </w:rPr>
        <w:drawing>
          <wp:inline distT="0" distB="0" distL="0" distR="0">
            <wp:extent cx="5457825" cy="2609850"/>
            <wp:effectExtent l="0" t="0" r="0" b="0"/>
            <wp:docPr id="297" name="Object 2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4622F6" w:rsidRPr="004622F6" w:rsidRDefault="004622F6" w:rsidP="004622F6">
      <w:pPr>
        <w:spacing w:before="120" w:after="0" w:line="240" w:lineRule="auto"/>
        <w:jc w:val="center"/>
        <w:rPr>
          <w:rFonts w:ascii="Arial" w:eastAsia="Times New Roman" w:hAnsi="Arial" w:cs="Arial"/>
          <w:b/>
          <w:bCs/>
          <w:color w:val="000000"/>
          <w:sz w:val="24"/>
          <w:szCs w:val="24"/>
        </w:rPr>
      </w:pPr>
      <w:r w:rsidRPr="004622F6">
        <w:rPr>
          <w:rFonts w:ascii="Arial" w:eastAsia="Times New Roman" w:hAnsi="Arial" w:cs="Arial"/>
          <w:b/>
          <w:bCs/>
          <w:color w:val="000000"/>
          <w:sz w:val="24"/>
          <w:szCs w:val="24"/>
        </w:rPr>
        <w:t>Fig. X.1.2.3.2. Activitatea specifică beta globală medie anuală pentru apa de   adâncime foraj Crâng-Buzău, comparativ în perioada 2006-2014</w:t>
      </w:r>
    </w:p>
    <w:p w:rsidR="004622F6" w:rsidRPr="004622F6" w:rsidRDefault="004622F6" w:rsidP="004622F6">
      <w:pPr>
        <w:spacing w:before="120" w:after="0" w:line="240" w:lineRule="auto"/>
        <w:jc w:val="both"/>
        <w:rPr>
          <w:rFonts w:ascii="Arial" w:eastAsia="Times New Roman" w:hAnsi="Arial"/>
          <w:b/>
          <w:sz w:val="24"/>
          <w:szCs w:val="24"/>
          <w:lang w:val="it-IT"/>
        </w:rPr>
      </w:pP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b/>
          <w:sz w:val="24"/>
          <w:szCs w:val="24"/>
          <w:lang w:val="ro-RO"/>
        </w:rPr>
      </w:pPr>
      <w:r w:rsidRPr="004622F6">
        <w:rPr>
          <w:rFonts w:ascii="Arial" w:eastAsia="Times New Roman" w:hAnsi="Arial" w:cs="Arial"/>
          <w:b/>
          <w:sz w:val="24"/>
          <w:szCs w:val="24"/>
          <w:lang w:val="ro-RO"/>
        </w:rPr>
        <w:t>X1.2.4. Monitorizarea radioactivităţii apei potabile</w:t>
      </w: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sz w:val="24"/>
          <w:szCs w:val="24"/>
          <w:lang w:val="ro-RO"/>
        </w:rPr>
      </w:pPr>
      <w:r w:rsidRPr="004622F6">
        <w:rPr>
          <w:rFonts w:ascii="Arial" w:eastAsia="Times New Roman" w:hAnsi="Arial" w:cs="Arial"/>
          <w:sz w:val="24"/>
          <w:szCs w:val="24"/>
          <w:lang w:val="ro-RO"/>
        </w:rPr>
        <w:t>Începând cu data de 01.01.2011, conform Ordinului Ministrului Mediului şi Pădurilor nr. 1978/19.11.2010, privind aprobarea Regulamentului de organizare şi funcţionare a Reţelei Naţionale de Supraveghere a Radioactivităţii Mediului, apa potabilă nu mai este monitorizată  din punct de vedere radioactiv.</w:t>
      </w:r>
    </w:p>
    <w:p w:rsidR="004622F6" w:rsidRPr="004622F6" w:rsidRDefault="004622F6" w:rsidP="004622F6">
      <w:pPr>
        <w:spacing w:before="120" w:after="0" w:line="240" w:lineRule="auto"/>
        <w:jc w:val="both"/>
        <w:rPr>
          <w:rFonts w:ascii="Arial" w:eastAsia="Times New Roman" w:hAnsi="Arial"/>
          <w:b/>
          <w:sz w:val="24"/>
          <w:szCs w:val="24"/>
          <w:lang w:val="it-IT"/>
        </w:rPr>
      </w:pPr>
    </w:p>
    <w:p w:rsidR="004622F6" w:rsidRPr="004622F6" w:rsidRDefault="004622F6" w:rsidP="004622F6">
      <w:pPr>
        <w:spacing w:before="120" w:after="0" w:line="240" w:lineRule="auto"/>
        <w:jc w:val="both"/>
        <w:rPr>
          <w:rFonts w:ascii="Arial" w:eastAsia="Times New Roman" w:hAnsi="Arial" w:cs="Arial"/>
          <w:sz w:val="20"/>
          <w:lang w:val="en-AU"/>
        </w:rPr>
      </w:pPr>
      <w:r w:rsidRPr="004622F6">
        <w:rPr>
          <w:rFonts w:ascii="Arial" w:eastAsia="Times New Roman" w:hAnsi="Arial"/>
          <w:b/>
          <w:sz w:val="24"/>
          <w:szCs w:val="24"/>
          <w:lang w:val="it-IT"/>
        </w:rPr>
        <w:t>X.1.3. Radioactivitatea  solului</w:t>
      </w:r>
    </w:p>
    <w:p w:rsidR="004622F6" w:rsidRPr="004622F6" w:rsidRDefault="004622F6" w:rsidP="004622F6">
      <w:pPr>
        <w:spacing w:after="0" w:line="240" w:lineRule="auto"/>
        <w:jc w:val="both"/>
        <w:rPr>
          <w:rFonts w:ascii="Arial" w:eastAsia="Times New Roman" w:hAnsi="Arial" w:cs="Arial"/>
          <w:color w:val="000000"/>
          <w:sz w:val="24"/>
          <w:szCs w:val="24"/>
          <w:lang w:val="it-IT"/>
        </w:rPr>
      </w:pPr>
      <w:r w:rsidRPr="004622F6">
        <w:rPr>
          <w:rFonts w:ascii="Arial" w:eastAsia="Times New Roman" w:hAnsi="Arial" w:cs="Arial"/>
          <w:color w:val="000000"/>
          <w:sz w:val="24"/>
          <w:szCs w:val="24"/>
          <w:lang w:val="it-IT"/>
        </w:rPr>
        <w:t>Gradul de contaminare radioactivă a solului furnizează date de referinţă pentru nivelul de contaminare a culturilor, a vegetaţiei în general, verigă importantă a lanţului alimentar.</w:t>
      </w:r>
    </w:p>
    <w:p w:rsidR="004622F6" w:rsidRPr="004622F6" w:rsidRDefault="004622F6" w:rsidP="004622F6">
      <w:pPr>
        <w:spacing w:after="0" w:line="240" w:lineRule="auto"/>
        <w:jc w:val="both"/>
        <w:rPr>
          <w:rFonts w:ascii="Arial" w:eastAsia="Times New Roman" w:hAnsi="Arial" w:cs="Arial"/>
          <w:color w:val="000000"/>
          <w:sz w:val="24"/>
          <w:szCs w:val="24"/>
          <w:lang w:val="it-IT"/>
        </w:rPr>
      </w:pPr>
      <w:r w:rsidRPr="004622F6">
        <w:rPr>
          <w:rFonts w:ascii="Arial" w:eastAsia="Times New Roman" w:hAnsi="Arial" w:cs="Arial"/>
          <w:color w:val="000000"/>
          <w:sz w:val="24"/>
          <w:szCs w:val="24"/>
          <w:lang w:val="it-IT"/>
        </w:rPr>
        <w:t>Probele de sol necultivat s-au prelevat săptămânal din perimetrul amplasamentului SSRM Buzău, pe toată perioada anului, c</w:t>
      </w:r>
      <w:r w:rsidRPr="004622F6">
        <w:rPr>
          <w:rFonts w:ascii="Arial" w:eastAsia="Times New Roman" w:hAnsi="Arial" w:cs="Arial"/>
          <w:color w:val="000000"/>
          <w:sz w:val="24"/>
          <w:szCs w:val="24"/>
          <w:lang w:val="ro-RO"/>
        </w:rPr>
        <w:t>ând solul nu este acoperit de zăpadă şi gheaţă</w:t>
      </w:r>
      <w:r w:rsidRPr="004622F6">
        <w:rPr>
          <w:rFonts w:ascii="Arial" w:eastAsia="Times New Roman" w:hAnsi="Arial" w:cs="Arial"/>
          <w:color w:val="000000"/>
          <w:sz w:val="24"/>
          <w:szCs w:val="24"/>
          <w:lang w:val="it-IT"/>
        </w:rPr>
        <w:t>, conform Ordinului 1978/2010.</w:t>
      </w:r>
    </w:p>
    <w:p w:rsidR="004622F6" w:rsidRPr="004622F6" w:rsidRDefault="004622F6" w:rsidP="004622F6">
      <w:pPr>
        <w:spacing w:after="0" w:line="240" w:lineRule="auto"/>
        <w:jc w:val="both"/>
        <w:rPr>
          <w:rFonts w:ascii="Arial" w:eastAsia="Times New Roman" w:hAnsi="Arial" w:cs="Arial"/>
          <w:color w:val="000000"/>
          <w:sz w:val="24"/>
          <w:szCs w:val="24"/>
          <w:lang w:val="fr-FR"/>
        </w:rPr>
      </w:pPr>
      <w:r w:rsidRPr="004622F6">
        <w:rPr>
          <w:rFonts w:ascii="Arial" w:eastAsia="Times New Roman" w:hAnsi="Arial" w:cs="Arial"/>
          <w:color w:val="000000"/>
          <w:sz w:val="24"/>
          <w:szCs w:val="24"/>
          <w:lang w:val="fr-FR"/>
        </w:rPr>
        <w:t xml:space="preserve">S-a prelucrat şi măsurat beta global 1g de sol pentru fiecare probă. Au fost prelevate </w:t>
      </w:r>
      <w:r w:rsidRPr="004622F6">
        <w:rPr>
          <w:rFonts w:ascii="Arial" w:eastAsia="Times New Roman" w:hAnsi="Arial" w:cs="Arial"/>
          <w:sz w:val="24"/>
          <w:szCs w:val="24"/>
          <w:lang w:val="fr-FR"/>
        </w:rPr>
        <w:t xml:space="preserve">45 </w:t>
      </w:r>
      <w:r w:rsidRPr="004622F6">
        <w:rPr>
          <w:rFonts w:ascii="Arial" w:eastAsia="Times New Roman" w:hAnsi="Arial" w:cs="Arial"/>
          <w:color w:val="000000"/>
          <w:sz w:val="24"/>
          <w:szCs w:val="24"/>
          <w:lang w:val="fr-FR"/>
        </w:rPr>
        <w:t>probe de sol, măsurarea lor făcându-se la 5 zile de la colectare.</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 xml:space="preserve">Valorile înregistrate s-au situat în intervalul 119,6 </w:t>
      </w:r>
      <w:r w:rsidRPr="004622F6">
        <w:rPr>
          <w:rFonts w:ascii="Arial" w:eastAsia="Times New Roman" w:hAnsi="Arial" w:cs="Arial"/>
          <w:sz w:val="24"/>
          <w:szCs w:val="24"/>
        </w:rPr>
        <w:sym w:font="Symbol" w:char="F0B1"/>
      </w:r>
      <w:r w:rsidRPr="004622F6">
        <w:rPr>
          <w:rFonts w:ascii="Arial" w:eastAsia="Times New Roman" w:hAnsi="Arial" w:cs="Arial"/>
          <w:sz w:val="24"/>
          <w:szCs w:val="24"/>
          <w:lang w:val="fr-FR"/>
        </w:rPr>
        <w:t xml:space="preserve"> 27,23 – 627,8 </w:t>
      </w:r>
      <w:r w:rsidRPr="004622F6">
        <w:rPr>
          <w:rFonts w:ascii="Arial" w:eastAsia="Times New Roman" w:hAnsi="Arial" w:cs="Arial"/>
          <w:sz w:val="24"/>
          <w:szCs w:val="24"/>
        </w:rPr>
        <w:sym w:font="Symbol" w:char="F0B1"/>
      </w:r>
      <w:r w:rsidRPr="004622F6">
        <w:rPr>
          <w:rFonts w:ascii="Arial" w:eastAsia="Times New Roman" w:hAnsi="Arial" w:cs="Arial"/>
          <w:sz w:val="24"/>
          <w:szCs w:val="24"/>
          <w:lang w:val="fr-FR"/>
        </w:rPr>
        <w:t xml:space="preserve"> 46,35 Bq/kg, iar  maxima de  627,8</w:t>
      </w:r>
      <w:r w:rsidRPr="004622F6">
        <w:rPr>
          <w:rFonts w:ascii="Arial" w:eastAsia="Times New Roman" w:hAnsi="Arial" w:cs="Arial"/>
          <w:sz w:val="24"/>
          <w:szCs w:val="24"/>
        </w:rPr>
        <w:sym w:font="Symbol" w:char="F0B1"/>
      </w:r>
      <w:r w:rsidRPr="004622F6">
        <w:rPr>
          <w:rFonts w:ascii="Arial" w:eastAsia="Times New Roman" w:hAnsi="Arial" w:cs="Arial"/>
          <w:sz w:val="24"/>
          <w:szCs w:val="24"/>
          <w:lang w:val="fr-FR"/>
        </w:rPr>
        <w:t xml:space="preserve"> 46,35 Bq/kg s-a înregistrat pentru proba colectată în data de 21.03.2014. </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 xml:space="preserve">Valoarea medie anuală a fost de 325,23 Bq/kg. </w:t>
      </w:r>
    </w:p>
    <w:p w:rsidR="004622F6" w:rsidRPr="004622F6" w:rsidRDefault="004622F6" w:rsidP="004622F6">
      <w:pPr>
        <w:spacing w:after="0" w:line="240" w:lineRule="auto"/>
        <w:jc w:val="both"/>
        <w:rPr>
          <w:rFonts w:ascii="Arial" w:eastAsia="Times New Roman" w:hAnsi="Arial" w:cs="Arial"/>
          <w:color w:val="000000"/>
          <w:sz w:val="24"/>
          <w:szCs w:val="24"/>
          <w:lang w:val="fr-FR"/>
        </w:rPr>
      </w:pPr>
      <w:r w:rsidRPr="004622F6">
        <w:rPr>
          <w:rFonts w:ascii="Arial" w:eastAsia="Times New Roman" w:hAnsi="Arial" w:cs="Arial"/>
          <w:sz w:val="24"/>
          <w:szCs w:val="24"/>
          <w:lang w:val="fr-FR"/>
        </w:rPr>
        <w:t xml:space="preserve">Valorile medii lunare </w:t>
      </w:r>
      <w:r w:rsidRPr="004622F6">
        <w:rPr>
          <w:rFonts w:ascii="Arial" w:eastAsia="Times New Roman" w:hAnsi="Arial" w:cs="Arial"/>
          <w:sz w:val="24"/>
          <w:szCs w:val="24"/>
          <w:lang w:val="ro-RO"/>
        </w:rPr>
        <w:t>înregistrate în 2014 sunt prezentate în tabelul următor:</w:t>
      </w:r>
    </w:p>
    <w:p w:rsidR="004622F6" w:rsidRPr="004622F6" w:rsidRDefault="004622F6" w:rsidP="004622F6">
      <w:pPr>
        <w:spacing w:before="120" w:after="0" w:line="240" w:lineRule="auto"/>
        <w:jc w:val="both"/>
        <w:rPr>
          <w:rFonts w:ascii="Arial" w:eastAsia="Times New Roman" w:hAnsi="Arial" w:cs="Arial"/>
          <w:color w:val="FF0000"/>
          <w:sz w:val="24"/>
          <w:szCs w:val="24"/>
          <w:lang w:val="ro-RO"/>
        </w:rPr>
      </w:pPr>
    </w:p>
    <w:tbl>
      <w:tblPr>
        <w:tblW w:w="9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2"/>
        <w:gridCol w:w="801"/>
        <w:gridCol w:w="709"/>
        <w:gridCol w:w="709"/>
        <w:gridCol w:w="709"/>
        <w:gridCol w:w="688"/>
        <w:gridCol w:w="720"/>
        <w:gridCol w:w="720"/>
        <w:gridCol w:w="720"/>
        <w:gridCol w:w="720"/>
        <w:gridCol w:w="720"/>
        <w:gridCol w:w="720"/>
        <w:gridCol w:w="720"/>
      </w:tblGrid>
      <w:tr w:rsidR="004622F6" w:rsidRPr="004622F6" w:rsidTr="00D92384">
        <w:trPr>
          <w:trHeight w:val="326"/>
        </w:trPr>
        <w:tc>
          <w:tcPr>
            <w:tcW w:w="1042" w:type="dxa"/>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lang w:val="ro-RO"/>
              </w:rPr>
              <w:t xml:space="preserve">  </w:t>
            </w:r>
            <w:r w:rsidRPr="004622F6">
              <w:rPr>
                <w:rFonts w:ascii="Arial" w:eastAsia="Times New Roman" w:hAnsi="Arial" w:cs="Arial"/>
                <w:sz w:val="20"/>
                <w:szCs w:val="20"/>
              </w:rPr>
              <w:t>LUNA</w:t>
            </w:r>
          </w:p>
        </w:tc>
        <w:tc>
          <w:tcPr>
            <w:tcW w:w="801"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Ian</w:t>
            </w:r>
          </w:p>
        </w:tc>
        <w:tc>
          <w:tcPr>
            <w:tcW w:w="709" w:type="dxa"/>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Feb</w:t>
            </w:r>
          </w:p>
        </w:tc>
        <w:tc>
          <w:tcPr>
            <w:tcW w:w="709" w:type="dxa"/>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Mar</w:t>
            </w:r>
          </w:p>
        </w:tc>
        <w:tc>
          <w:tcPr>
            <w:tcW w:w="709"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Apr</w:t>
            </w:r>
          </w:p>
        </w:tc>
        <w:tc>
          <w:tcPr>
            <w:tcW w:w="688"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Mai</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Iun</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Iul</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Aug</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Sep</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Oct</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Nov</w:t>
            </w:r>
          </w:p>
        </w:tc>
        <w:tc>
          <w:tcPr>
            <w:tcW w:w="720" w:type="dxa"/>
            <w:vAlign w:val="bottom"/>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Dec</w:t>
            </w:r>
          </w:p>
        </w:tc>
      </w:tr>
      <w:tr w:rsidR="004622F6" w:rsidRPr="004622F6" w:rsidTr="00D92384">
        <w:trPr>
          <w:trHeight w:val="900"/>
        </w:trPr>
        <w:tc>
          <w:tcPr>
            <w:tcW w:w="1042" w:type="dxa"/>
            <w:vAlign w:val="center"/>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MEDII</w:t>
            </w:r>
          </w:p>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LUNARE</w:t>
            </w:r>
          </w:p>
          <w:p w:rsidR="004622F6" w:rsidRPr="004622F6" w:rsidRDefault="004622F6" w:rsidP="004622F6">
            <w:pPr>
              <w:spacing w:before="120" w:after="0" w:line="240" w:lineRule="auto"/>
              <w:jc w:val="both"/>
              <w:rPr>
                <w:rFonts w:ascii="Arial" w:eastAsia="Times New Roman" w:hAnsi="Arial" w:cs="Arial"/>
                <w:sz w:val="18"/>
                <w:szCs w:val="18"/>
              </w:rPr>
            </w:pPr>
          </w:p>
        </w:tc>
        <w:tc>
          <w:tcPr>
            <w:tcW w:w="801"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381,6</w:t>
            </w:r>
          </w:p>
        </w:tc>
        <w:tc>
          <w:tcPr>
            <w:tcW w:w="709" w:type="dxa"/>
          </w:tcPr>
          <w:p w:rsidR="004622F6" w:rsidRPr="004622F6" w:rsidRDefault="004622F6" w:rsidP="004622F6">
            <w:pPr>
              <w:spacing w:before="120" w:after="0" w:line="240" w:lineRule="auto"/>
              <w:jc w:val="center"/>
              <w:rPr>
                <w:rFonts w:ascii="Arial" w:eastAsia="Times New Roman" w:hAnsi="Arial" w:cs="Arial"/>
                <w:sz w:val="18"/>
                <w:szCs w:val="18"/>
              </w:rPr>
            </w:pPr>
          </w:p>
          <w:p w:rsidR="004622F6" w:rsidRPr="004622F6" w:rsidRDefault="004622F6" w:rsidP="004622F6">
            <w:pPr>
              <w:spacing w:before="120" w:after="0" w:line="240" w:lineRule="auto"/>
              <w:jc w:val="center"/>
              <w:rPr>
                <w:rFonts w:ascii="Arial" w:eastAsia="Times New Roman" w:hAnsi="Arial" w:cs="Arial"/>
                <w:sz w:val="18"/>
                <w:szCs w:val="18"/>
              </w:rPr>
            </w:pPr>
            <w:r w:rsidRPr="004622F6">
              <w:rPr>
                <w:rFonts w:ascii="Arial" w:eastAsia="Times New Roman" w:hAnsi="Arial" w:cs="Arial"/>
                <w:sz w:val="18"/>
                <w:szCs w:val="18"/>
              </w:rPr>
              <w:t>361,7</w:t>
            </w:r>
          </w:p>
        </w:tc>
        <w:tc>
          <w:tcPr>
            <w:tcW w:w="709" w:type="dxa"/>
          </w:tcPr>
          <w:p w:rsidR="004622F6" w:rsidRPr="004622F6" w:rsidRDefault="004622F6" w:rsidP="004622F6">
            <w:pPr>
              <w:spacing w:before="120" w:after="0" w:line="240" w:lineRule="auto"/>
              <w:jc w:val="both"/>
              <w:rPr>
                <w:rFonts w:ascii="Arial" w:eastAsia="Times New Roman" w:hAnsi="Arial" w:cs="Arial"/>
                <w:sz w:val="18"/>
                <w:szCs w:val="18"/>
              </w:rPr>
            </w:pPr>
          </w:p>
          <w:p w:rsidR="004622F6" w:rsidRPr="004622F6" w:rsidRDefault="004622F6" w:rsidP="004622F6">
            <w:pPr>
              <w:spacing w:before="120" w:after="0" w:line="240" w:lineRule="auto"/>
              <w:jc w:val="center"/>
              <w:rPr>
                <w:rFonts w:ascii="Arial" w:eastAsia="Times New Roman" w:hAnsi="Arial" w:cs="Arial"/>
                <w:sz w:val="18"/>
                <w:szCs w:val="18"/>
              </w:rPr>
            </w:pPr>
            <w:r w:rsidRPr="004622F6">
              <w:rPr>
                <w:rFonts w:ascii="Arial" w:eastAsia="Times New Roman" w:hAnsi="Arial" w:cs="Arial"/>
                <w:sz w:val="18"/>
                <w:szCs w:val="18"/>
              </w:rPr>
              <w:t>436,8</w:t>
            </w:r>
          </w:p>
        </w:tc>
        <w:tc>
          <w:tcPr>
            <w:tcW w:w="709"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287,2</w:t>
            </w:r>
          </w:p>
        </w:tc>
        <w:tc>
          <w:tcPr>
            <w:tcW w:w="688"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337,1</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278,9</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369,6</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288,8</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323,3</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451,0</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347,1</w:t>
            </w:r>
          </w:p>
        </w:tc>
        <w:tc>
          <w:tcPr>
            <w:tcW w:w="720" w:type="dxa"/>
            <w:vAlign w:val="center"/>
          </w:tcPr>
          <w:p w:rsidR="004622F6" w:rsidRPr="004622F6" w:rsidRDefault="004622F6" w:rsidP="004622F6">
            <w:pPr>
              <w:spacing w:before="120" w:after="0" w:line="240" w:lineRule="auto"/>
              <w:jc w:val="both"/>
              <w:rPr>
                <w:rFonts w:ascii="Arial" w:eastAsia="Times New Roman" w:hAnsi="Arial" w:cs="Arial"/>
                <w:sz w:val="18"/>
                <w:szCs w:val="18"/>
              </w:rPr>
            </w:pPr>
            <w:r w:rsidRPr="004622F6">
              <w:rPr>
                <w:rFonts w:ascii="Arial" w:eastAsia="Times New Roman" w:hAnsi="Arial" w:cs="Arial"/>
                <w:sz w:val="18"/>
                <w:szCs w:val="18"/>
              </w:rPr>
              <w:t>422,0</w:t>
            </w:r>
          </w:p>
        </w:tc>
      </w:tr>
    </w:tbl>
    <w:p w:rsidR="004622F6" w:rsidRPr="004622F6" w:rsidRDefault="004622F6" w:rsidP="004622F6">
      <w:pPr>
        <w:spacing w:before="120" w:after="0" w:line="240" w:lineRule="auto"/>
        <w:rPr>
          <w:rFonts w:ascii="Arial" w:eastAsia="Times New Roman" w:hAnsi="Arial"/>
          <w:noProof/>
          <w:color w:val="000000"/>
          <w:sz w:val="20"/>
          <w:szCs w:val="20"/>
          <w:lang w:val="ro-RO"/>
        </w:rPr>
      </w:pPr>
      <w:r w:rsidRPr="004622F6">
        <w:rPr>
          <w:rFonts w:ascii="Arial" w:eastAsia="Times New Roman" w:hAnsi="Arial" w:cs="Arial"/>
          <w:b/>
          <w:color w:val="000000"/>
          <w:sz w:val="24"/>
          <w:szCs w:val="24"/>
          <w:lang w:val="it-IT"/>
        </w:rPr>
        <w:t xml:space="preserve">        Tabel  X.1.3.1. Valorile medii lunare pentru sol necultivat în anul 2014</w:t>
      </w:r>
    </w:p>
    <w:p w:rsidR="004622F6" w:rsidRPr="004622F6" w:rsidRDefault="004622F6" w:rsidP="004622F6">
      <w:pPr>
        <w:spacing w:before="120" w:after="0" w:line="240" w:lineRule="auto"/>
        <w:jc w:val="both"/>
        <w:rPr>
          <w:rFonts w:ascii="Arial" w:eastAsia="Times New Roman" w:hAnsi="Arial" w:cs="Arial"/>
          <w:color w:val="000000"/>
          <w:sz w:val="24"/>
          <w:szCs w:val="24"/>
          <w:lang w:val="it-IT"/>
        </w:rPr>
      </w:pPr>
    </w:p>
    <w:p w:rsidR="004622F6" w:rsidRPr="004622F6" w:rsidRDefault="004622F6" w:rsidP="004622F6">
      <w:pPr>
        <w:spacing w:before="120" w:after="0" w:line="240" w:lineRule="auto"/>
        <w:jc w:val="both"/>
        <w:rPr>
          <w:rFonts w:ascii="Arial" w:eastAsia="Times New Roman" w:hAnsi="Arial" w:cs="Arial"/>
          <w:color w:val="000000"/>
          <w:sz w:val="24"/>
          <w:szCs w:val="24"/>
          <w:lang w:val="it-IT"/>
        </w:rPr>
      </w:pPr>
      <w:r w:rsidRPr="004622F6">
        <w:rPr>
          <w:rFonts w:ascii="Arial" w:eastAsia="Times New Roman" w:hAnsi="Arial" w:cs="Arial"/>
          <w:color w:val="000000"/>
          <w:sz w:val="24"/>
          <w:szCs w:val="24"/>
          <w:lang w:val="it-IT"/>
        </w:rPr>
        <w:t>În figura de mai jos sunt prezentate valorile medii lunare  ale solului înregistrate în anul 2014:</w:t>
      </w:r>
    </w:p>
    <w:p w:rsidR="004622F6" w:rsidRPr="004622F6" w:rsidRDefault="004622F6" w:rsidP="004622F6">
      <w:pPr>
        <w:spacing w:before="120" w:after="0" w:line="240" w:lineRule="auto"/>
        <w:jc w:val="both"/>
        <w:rPr>
          <w:rFonts w:ascii="Arial" w:eastAsia="Times New Roman" w:hAnsi="Arial" w:cs="Arial"/>
          <w:sz w:val="20"/>
          <w:szCs w:val="20"/>
          <w:lang w:val="it-IT"/>
        </w:rPr>
      </w:pPr>
    </w:p>
    <w:p w:rsidR="004622F6" w:rsidRPr="004622F6" w:rsidRDefault="004622F6" w:rsidP="004622F6">
      <w:pPr>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lastRenderedPageBreak/>
        <w:drawing>
          <wp:inline distT="0" distB="0" distL="0" distR="0">
            <wp:extent cx="6096000" cy="3295650"/>
            <wp:effectExtent l="0" t="0" r="0" b="0"/>
            <wp:docPr id="298" name="Object 2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4622F6" w:rsidRPr="004622F6" w:rsidRDefault="004622F6" w:rsidP="004622F6">
      <w:pPr>
        <w:spacing w:before="120" w:after="0" w:line="240" w:lineRule="auto"/>
        <w:jc w:val="center"/>
        <w:rPr>
          <w:rFonts w:ascii="Arial" w:eastAsia="Times New Roman" w:hAnsi="Arial" w:cs="Arial"/>
          <w:sz w:val="20"/>
          <w:szCs w:val="20"/>
          <w:lang w:val="en-AU"/>
        </w:rPr>
      </w:pPr>
      <w:r w:rsidRPr="004622F6">
        <w:rPr>
          <w:rFonts w:ascii="Arial" w:eastAsia="Times New Roman" w:hAnsi="Arial" w:cs="Arial"/>
          <w:b/>
          <w:bCs/>
          <w:color w:val="000000"/>
          <w:sz w:val="24"/>
          <w:szCs w:val="24"/>
          <w:lang w:val="it-IT"/>
        </w:rPr>
        <w:t>Fig. X</w:t>
      </w:r>
      <w:r w:rsidRPr="004622F6">
        <w:rPr>
          <w:rFonts w:ascii="Arial" w:eastAsia="Times New Roman" w:hAnsi="Arial" w:cs="Arial"/>
          <w:b/>
          <w:bCs/>
          <w:color w:val="000000"/>
          <w:sz w:val="24"/>
          <w:szCs w:val="24"/>
        </w:rPr>
        <w:t>.1.3.1. Activitatea specifică beta globală medie lunară pentru sol în anul 2014</w:t>
      </w:r>
    </w:p>
    <w:p w:rsidR="004622F6" w:rsidRPr="004622F6" w:rsidRDefault="004622F6" w:rsidP="004622F6">
      <w:pPr>
        <w:spacing w:before="120" w:after="0" w:line="240" w:lineRule="auto"/>
        <w:jc w:val="both"/>
        <w:rPr>
          <w:rFonts w:ascii="Arial" w:eastAsia="Times New Roman" w:hAnsi="Arial" w:cs="Arial"/>
          <w:color w:val="000000"/>
          <w:sz w:val="24"/>
          <w:szCs w:val="24"/>
        </w:rPr>
      </w:pPr>
    </w:p>
    <w:p w:rsidR="004622F6" w:rsidRPr="004622F6" w:rsidRDefault="004622F6" w:rsidP="004622F6">
      <w:pPr>
        <w:spacing w:before="120" w:after="0" w:line="240" w:lineRule="auto"/>
        <w:jc w:val="both"/>
        <w:rPr>
          <w:rFonts w:ascii="Arial" w:eastAsia="Times New Roman" w:hAnsi="Arial" w:cs="Arial"/>
          <w:color w:val="000000"/>
          <w:sz w:val="24"/>
          <w:szCs w:val="24"/>
        </w:rPr>
      </w:pPr>
      <w:r w:rsidRPr="004622F6">
        <w:rPr>
          <w:rFonts w:ascii="Arial" w:eastAsia="Times New Roman" w:hAnsi="Arial" w:cs="Arial"/>
          <w:color w:val="000000"/>
          <w:sz w:val="24"/>
          <w:szCs w:val="24"/>
        </w:rPr>
        <w:t>Pentru perioada 2007-2014, valorile activităţii beta globale medii anuale pentru solul necult</w:t>
      </w:r>
      <w:r w:rsidRPr="004622F6">
        <w:rPr>
          <w:rFonts w:ascii="Arial" w:eastAsia="Times New Roman" w:hAnsi="Arial" w:cs="Arial"/>
          <w:color w:val="000000"/>
          <w:sz w:val="24"/>
          <w:szCs w:val="24"/>
        </w:rPr>
        <w:t>i</w:t>
      </w:r>
      <w:r w:rsidRPr="004622F6">
        <w:rPr>
          <w:rFonts w:ascii="Arial" w:eastAsia="Times New Roman" w:hAnsi="Arial" w:cs="Arial"/>
          <w:color w:val="000000"/>
          <w:sz w:val="24"/>
          <w:szCs w:val="24"/>
        </w:rPr>
        <w:t>vat,  sunt redate în fig. de mai jos:</w:t>
      </w:r>
    </w:p>
    <w:p w:rsidR="004622F6" w:rsidRPr="004622F6" w:rsidRDefault="004622F6" w:rsidP="004622F6">
      <w:pPr>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drawing>
          <wp:inline distT="0" distB="0" distL="0" distR="0">
            <wp:extent cx="5715000" cy="2914650"/>
            <wp:effectExtent l="0" t="0" r="0" b="0"/>
            <wp:docPr id="299" name="Object 2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4622F6" w:rsidRPr="004622F6" w:rsidRDefault="004622F6" w:rsidP="004622F6">
      <w:pPr>
        <w:spacing w:before="120" w:after="0" w:line="240" w:lineRule="auto"/>
        <w:jc w:val="center"/>
        <w:rPr>
          <w:rFonts w:ascii="Arial" w:eastAsia="Times New Roman" w:hAnsi="Arial" w:cs="Arial"/>
          <w:sz w:val="20"/>
          <w:szCs w:val="20"/>
        </w:rPr>
      </w:pPr>
      <w:r w:rsidRPr="004622F6">
        <w:rPr>
          <w:rFonts w:ascii="Arial" w:eastAsia="Times New Roman" w:hAnsi="Arial" w:cs="Arial"/>
          <w:b/>
          <w:bCs/>
          <w:color w:val="000000"/>
          <w:sz w:val="24"/>
          <w:szCs w:val="24"/>
        </w:rPr>
        <w:t>Fig. X.1.3.2. Activitatea specifică beta globală medie anuală pentru solul necultivat, comparativ în perioada 2007-2014</w:t>
      </w:r>
    </w:p>
    <w:p w:rsidR="004622F6" w:rsidRPr="004622F6" w:rsidRDefault="004622F6" w:rsidP="004622F6">
      <w:pPr>
        <w:spacing w:after="0" w:line="240" w:lineRule="auto"/>
        <w:jc w:val="both"/>
        <w:rPr>
          <w:rFonts w:ascii="Arial" w:eastAsia="Times New Roman" w:hAnsi="Arial" w:cs="Arial"/>
          <w:sz w:val="24"/>
          <w:szCs w:val="24"/>
        </w:rPr>
      </w:pPr>
    </w:p>
    <w:p w:rsidR="004622F6" w:rsidRPr="004622F6" w:rsidRDefault="004622F6" w:rsidP="004622F6">
      <w:pPr>
        <w:spacing w:after="0" w:line="240" w:lineRule="auto"/>
        <w:jc w:val="both"/>
        <w:rPr>
          <w:rFonts w:ascii="Arial" w:eastAsia="Times New Roman" w:hAnsi="Arial" w:cs="Arial"/>
          <w:sz w:val="24"/>
          <w:szCs w:val="24"/>
        </w:rPr>
      </w:pPr>
      <w:r w:rsidRPr="004622F6">
        <w:rPr>
          <w:rFonts w:ascii="Arial" w:eastAsia="Times New Roman" w:hAnsi="Arial" w:cs="Arial"/>
          <w:sz w:val="24"/>
          <w:szCs w:val="24"/>
        </w:rPr>
        <w:t>Cele 45 de măsurări reprezintă  valori semnificative, intervalul de variaţie a erorilor relative fiind cuprins între  7,4 – 22,8 %.</w:t>
      </w:r>
    </w:p>
    <w:p w:rsidR="004622F6" w:rsidRPr="004622F6" w:rsidRDefault="004622F6" w:rsidP="004622F6">
      <w:pPr>
        <w:spacing w:after="0" w:line="240" w:lineRule="auto"/>
        <w:jc w:val="both"/>
        <w:rPr>
          <w:rFonts w:ascii="Arial" w:eastAsia="Times New Roman" w:hAnsi="Arial"/>
          <w:sz w:val="24"/>
          <w:szCs w:val="24"/>
          <w:lang w:val="ro-RO"/>
        </w:rPr>
      </w:pPr>
      <w:r w:rsidRPr="004622F6">
        <w:rPr>
          <w:rFonts w:ascii="Arial" w:eastAsia="Times New Roman" w:hAnsi="Arial"/>
          <w:sz w:val="24"/>
          <w:szCs w:val="24"/>
          <w:lang w:val="ro-RO"/>
        </w:rPr>
        <w:t>În fiecare an, după 15 iunie se prelevează o probă anuală de sol necultivat, dintr-o zonă nepoluată. Astfel, în luna iunie 2014 a fost recoltată o probă de sol din zona pădurii Spătaru -Buzău, de pe o suprafaţă de (10x10) cm</w:t>
      </w:r>
      <w:r w:rsidRPr="004622F6">
        <w:rPr>
          <w:rFonts w:ascii="Arial" w:eastAsia="Times New Roman" w:hAnsi="Arial"/>
          <w:sz w:val="24"/>
          <w:szCs w:val="24"/>
          <w:vertAlign w:val="superscript"/>
          <w:lang w:val="ro-RO"/>
        </w:rPr>
        <w:t>2</w:t>
      </w:r>
      <w:r w:rsidRPr="004622F6">
        <w:rPr>
          <w:rFonts w:ascii="Arial" w:eastAsia="Times New Roman" w:hAnsi="Arial"/>
          <w:sz w:val="24"/>
          <w:szCs w:val="24"/>
          <w:lang w:val="ro-RO"/>
        </w:rPr>
        <w:t xml:space="preserve"> la o adâncime de 5 cm. </w:t>
      </w:r>
    </w:p>
    <w:p w:rsidR="004622F6" w:rsidRPr="004622F6" w:rsidRDefault="004622F6" w:rsidP="004622F6">
      <w:pPr>
        <w:spacing w:after="0" w:line="240" w:lineRule="auto"/>
        <w:jc w:val="both"/>
        <w:rPr>
          <w:rFonts w:ascii="Arial" w:eastAsia="Times New Roman" w:hAnsi="Arial"/>
          <w:sz w:val="24"/>
          <w:szCs w:val="24"/>
          <w:lang w:val="ro-RO"/>
        </w:rPr>
      </w:pPr>
      <w:r w:rsidRPr="004622F6">
        <w:rPr>
          <w:rFonts w:ascii="Arial" w:eastAsia="Times New Roman" w:hAnsi="Arial"/>
          <w:sz w:val="24"/>
          <w:szCs w:val="24"/>
          <w:lang w:val="ro-RO"/>
        </w:rPr>
        <w:lastRenderedPageBreak/>
        <w:t xml:space="preserve">Solul a fost curăţat de rădăcini, frunze, pietre, uscat în aer liber pe o poliţă de lemn, apoi a fost mărunţit, mojarat, cernut, cântărit şi ambalat. Astfel pregătită, proba de sol a fost trimisă prin colet poştal la APM Constanţa pentru efectuarea analizelor specifice, deoarece laboratorul SSRM Buzău nu are în dotare echipamente pentru efectuarea acestor analize. </w:t>
      </w:r>
    </w:p>
    <w:p w:rsidR="004622F6" w:rsidRPr="004622F6" w:rsidRDefault="004622F6" w:rsidP="004622F6">
      <w:pPr>
        <w:spacing w:before="120" w:after="0" w:line="240" w:lineRule="auto"/>
        <w:jc w:val="both"/>
        <w:rPr>
          <w:rFonts w:ascii="Arial" w:eastAsia="Times New Roman" w:hAnsi="Arial"/>
          <w:b/>
          <w:sz w:val="24"/>
          <w:szCs w:val="24"/>
          <w:lang w:val="ro-RO"/>
        </w:rPr>
      </w:pPr>
      <w:r w:rsidRPr="004622F6">
        <w:rPr>
          <w:rFonts w:ascii="Arial" w:eastAsia="Times New Roman" w:hAnsi="Arial"/>
          <w:b/>
          <w:sz w:val="24"/>
          <w:szCs w:val="24"/>
          <w:lang w:val="ro-RO"/>
        </w:rPr>
        <w:t>X.1.4. Radioactivitatea vegetaţiei</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Prin vegetaţie se înţelege vegetaţia spontană, plante furajere, produse vegetale (legume, fructe). În cadrul SSRM Buzău se determină radioactivitatea beta globală a probelor de vegetaţie spontană.</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ro-RO"/>
        </w:rPr>
        <w:t xml:space="preserve">Probele de vegetaţie spontană au fost prelevate în cursul anului 2014 din perimetrul amplasamentului SSRM Buzău, cu o frecvenţă săptămânală, în perioada 1 aprilie - 31 octombrie 2014. </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 xml:space="preserve">Au fost prelevate 31 de probe, care  au fost prelucrate şi măsurate beta global, măsurarea făcându-se la 5 zile de la data colectării. </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Valorile măsurate au fost cuprinse în intervalul  101,0</w:t>
      </w:r>
      <w:r w:rsidRPr="004622F6">
        <w:rPr>
          <w:rFonts w:ascii="Arial" w:eastAsia="Times New Roman" w:hAnsi="Arial" w:cs="Arial"/>
          <w:sz w:val="24"/>
          <w:szCs w:val="24"/>
        </w:rPr>
        <w:sym w:font="Symbol" w:char="F0B1"/>
      </w:r>
      <w:r w:rsidRPr="004622F6">
        <w:rPr>
          <w:rFonts w:ascii="Arial" w:eastAsia="Times New Roman" w:hAnsi="Arial" w:cs="Arial"/>
          <w:sz w:val="24"/>
          <w:szCs w:val="24"/>
          <w:lang w:val="fr-FR"/>
        </w:rPr>
        <w:t>28,54 – 609,7</w:t>
      </w:r>
      <w:r w:rsidRPr="004622F6">
        <w:rPr>
          <w:rFonts w:ascii="Arial" w:eastAsia="Times New Roman" w:hAnsi="Arial" w:cs="Arial"/>
          <w:sz w:val="24"/>
          <w:szCs w:val="24"/>
        </w:rPr>
        <w:sym w:font="Symbol" w:char="F0B1"/>
      </w:r>
      <w:r w:rsidRPr="004622F6">
        <w:rPr>
          <w:rFonts w:ascii="Arial" w:eastAsia="Times New Roman" w:hAnsi="Arial" w:cs="Arial"/>
          <w:sz w:val="24"/>
          <w:szCs w:val="24"/>
        </w:rPr>
        <w:t>46,88</w:t>
      </w:r>
      <w:r w:rsidRPr="004622F6">
        <w:rPr>
          <w:rFonts w:ascii="Arial" w:eastAsia="Times New Roman" w:hAnsi="Arial" w:cs="Arial"/>
          <w:sz w:val="24"/>
          <w:szCs w:val="24"/>
          <w:lang w:val="fr-FR"/>
        </w:rPr>
        <w:t xml:space="preserve"> Bq/kg. </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 xml:space="preserve">Media anuală a fost de 273,53 Bq/kg, iar maxima anuală de 609,7±46,88 Bq/kg a fost înregistrată pentru proba prelevată în data de 19.06.2014. </w:t>
      </w:r>
    </w:p>
    <w:p w:rsidR="004622F6" w:rsidRPr="004622F6" w:rsidRDefault="004622F6" w:rsidP="004622F6">
      <w:pPr>
        <w:spacing w:after="0" w:line="240" w:lineRule="auto"/>
        <w:jc w:val="both"/>
        <w:rPr>
          <w:rFonts w:ascii="Arial" w:eastAsia="Times New Roman" w:hAnsi="Arial" w:cs="Arial"/>
          <w:sz w:val="24"/>
          <w:szCs w:val="24"/>
          <w:lang w:val="ro-RO"/>
        </w:rPr>
      </w:pPr>
      <w:r w:rsidRPr="004622F6">
        <w:rPr>
          <w:rFonts w:ascii="Arial" w:eastAsia="Times New Roman" w:hAnsi="Arial" w:cs="Arial"/>
          <w:sz w:val="24"/>
          <w:szCs w:val="24"/>
          <w:lang w:val="it-IT"/>
        </w:rPr>
        <w:t xml:space="preserve">Valorile medii lunare </w:t>
      </w:r>
      <w:r w:rsidRPr="004622F6">
        <w:rPr>
          <w:rFonts w:ascii="Arial" w:eastAsia="Times New Roman" w:hAnsi="Arial" w:cs="Arial"/>
          <w:sz w:val="24"/>
          <w:szCs w:val="24"/>
          <w:lang w:val="ro-RO"/>
        </w:rPr>
        <w:t>înregistrate în 2014 sunt prezentate în tabelul următor:</w:t>
      </w:r>
    </w:p>
    <w:p w:rsidR="004622F6" w:rsidRPr="004622F6" w:rsidRDefault="004622F6" w:rsidP="004622F6">
      <w:pPr>
        <w:spacing w:before="120" w:after="0" w:line="240" w:lineRule="auto"/>
        <w:jc w:val="both"/>
        <w:rPr>
          <w:rFonts w:ascii="Arial" w:eastAsia="Times New Roman" w:hAnsi="Arial" w:cs="Arial"/>
          <w:sz w:val="24"/>
          <w:szCs w:val="24"/>
          <w:lang w:val="it-IT"/>
        </w:rPr>
      </w:pPr>
      <w:r w:rsidRPr="004622F6">
        <w:rPr>
          <w:rFonts w:ascii="Arial" w:eastAsia="Times New Roman" w:hAnsi="Arial" w:cs="Arial"/>
          <w:sz w:val="24"/>
          <w:szCs w:val="24"/>
          <w:lang w:val="it-IT"/>
        </w:rPr>
        <w:t xml:space="preserve">                                                                                                        </w:t>
      </w:r>
    </w:p>
    <w:tbl>
      <w:tblPr>
        <w:tblW w:w="9800" w:type="dxa"/>
        <w:jc w:val="center"/>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8"/>
        <w:gridCol w:w="1092"/>
        <w:gridCol w:w="1099"/>
        <w:gridCol w:w="1094"/>
        <w:gridCol w:w="1087"/>
        <w:gridCol w:w="1102"/>
        <w:gridCol w:w="1102"/>
        <w:gridCol w:w="1098"/>
        <w:gridCol w:w="1098"/>
      </w:tblGrid>
      <w:tr w:rsidR="004622F6" w:rsidRPr="004622F6" w:rsidTr="00D92384">
        <w:trPr>
          <w:trHeight w:val="408"/>
          <w:jc w:val="center"/>
        </w:trPr>
        <w:tc>
          <w:tcPr>
            <w:tcW w:w="1028" w:type="dxa"/>
            <w:vAlign w:val="center"/>
          </w:tcPr>
          <w:p w:rsidR="004622F6" w:rsidRPr="004622F6" w:rsidRDefault="004622F6" w:rsidP="004622F6">
            <w:pPr>
              <w:spacing w:before="120" w:after="0" w:line="240" w:lineRule="auto"/>
              <w:rPr>
                <w:rFonts w:ascii="Arial" w:eastAsia="Times New Roman" w:hAnsi="Arial" w:cs="Arial"/>
                <w:sz w:val="20"/>
                <w:szCs w:val="20"/>
              </w:rPr>
            </w:pPr>
            <w:r w:rsidRPr="004622F6">
              <w:rPr>
                <w:rFonts w:ascii="Arial" w:eastAsia="Times New Roman" w:hAnsi="Arial" w:cs="Arial"/>
                <w:sz w:val="20"/>
                <w:szCs w:val="20"/>
                <w:lang w:val="it-IT"/>
              </w:rPr>
              <w:t xml:space="preserve"> </w:t>
            </w:r>
            <w:r w:rsidRPr="004622F6">
              <w:rPr>
                <w:rFonts w:ascii="Arial" w:eastAsia="Times New Roman" w:hAnsi="Arial" w:cs="Arial"/>
                <w:sz w:val="20"/>
                <w:szCs w:val="20"/>
              </w:rPr>
              <w:t>LUNA</w:t>
            </w:r>
          </w:p>
        </w:tc>
        <w:tc>
          <w:tcPr>
            <w:tcW w:w="109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Apr</w:t>
            </w:r>
          </w:p>
        </w:tc>
        <w:tc>
          <w:tcPr>
            <w:tcW w:w="1099"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Mai</w:t>
            </w:r>
          </w:p>
        </w:tc>
        <w:tc>
          <w:tcPr>
            <w:tcW w:w="109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Iun</w:t>
            </w:r>
          </w:p>
        </w:tc>
        <w:tc>
          <w:tcPr>
            <w:tcW w:w="1087"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Iul</w:t>
            </w:r>
          </w:p>
        </w:tc>
        <w:tc>
          <w:tcPr>
            <w:tcW w:w="110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Aug</w:t>
            </w:r>
          </w:p>
        </w:tc>
        <w:tc>
          <w:tcPr>
            <w:tcW w:w="110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Sept</w:t>
            </w:r>
          </w:p>
        </w:tc>
        <w:tc>
          <w:tcPr>
            <w:tcW w:w="1098"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Oct</w:t>
            </w:r>
          </w:p>
        </w:tc>
        <w:tc>
          <w:tcPr>
            <w:tcW w:w="1098" w:type="dxa"/>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Nov</w:t>
            </w:r>
          </w:p>
        </w:tc>
      </w:tr>
      <w:tr w:rsidR="004622F6" w:rsidRPr="004622F6" w:rsidTr="00D92384">
        <w:trPr>
          <w:trHeight w:val="218"/>
          <w:jc w:val="center"/>
        </w:trPr>
        <w:tc>
          <w:tcPr>
            <w:tcW w:w="1028" w:type="dxa"/>
          </w:tcPr>
          <w:p w:rsidR="004622F6" w:rsidRPr="004622F6" w:rsidRDefault="004622F6" w:rsidP="004622F6">
            <w:pPr>
              <w:spacing w:before="120" w:after="0" w:line="240" w:lineRule="auto"/>
              <w:jc w:val="both"/>
              <w:rPr>
                <w:rFonts w:ascii="Arial" w:eastAsia="Times New Roman" w:hAnsi="Arial" w:cs="Arial"/>
                <w:sz w:val="20"/>
                <w:szCs w:val="20"/>
              </w:rPr>
            </w:pPr>
            <w:r w:rsidRPr="004622F6">
              <w:rPr>
                <w:rFonts w:ascii="Arial" w:eastAsia="Times New Roman" w:hAnsi="Arial" w:cs="Arial"/>
                <w:sz w:val="20"/>
                <w:szCs w:val="20"/>
              </w:rPr>
              <w:t xml:space="preserve"> MEDII  LUNARE</w:t>
            </w:r>
          </w:p>
        </w:tc>
        <w:tc>
          <w:tcPr>
            <w:tcW w:w="109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342,7</w:t>
            </w:r>
          </w:p>
        </w:tc>
        <w:tc>
          <w:tcPr>
            <w:tcW w:w="1099"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268,8</w:t>
            </w:r>
          </w:p>
        </w:tc>
        <w:tc>
          <w:tcPr>
            <w:tcW w:w="1094"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390,2</w:t>
            </w:r>
          </w:p>
        </w:tc>
        <w:tc>
          <w:tcPr>
            <w:tcW w:w="1087"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183,5</w:t>
            </w:r>
          </w:p>
        </w:tc>
        <w:tc>
          <w:tcPr>
            <w:tcW w:w="110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199,7</w:t>
            </w:r>
          </w:p>
        </w:tc>
        <w:tc>
          <w:tcPr>
            <w:tcW w:w="1102"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254,6</w:t>
            </w:r>
          </w:p>
        </w:tc>
        <w:tc>
          <w:tcPr>
            <w:tcW w:w="1098"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296,1</w:t>
            </w:r>
          </w:p>
        </w:tc>
        <w:tc>
          <w:tcPr>
            <w:tcW w:w="1098" w:type="dxa"/>
            <w:vAlign w:val="center"/>
          </w:tcPr>
          <w:p w:rsidR="004622F6" w:rsidRPr="004622F6" w:rsidRDefault="004622F6" w:rsidP="004622F6">
            <w:pPr>
              <w:spacing w:before="120" w:after="0" w:line="240" w:lineRule="auto"/>
              <w:jc w:val="center"/>
              <w:rPr>
                <w:rFonts w:ascii="Arial" w:eastAsia="Times New Roman" w:hAnsi="Arial" w:cs="Arial"/>
                <w:sz w:val="24"/>
                <w:szCs w:val="24"/>
              </w:rPr>
            </w:pPr>
            <w:r w:rsidRPr="004622F6">
              <w:rPr>
                <w:rFonts w:ascii="Arial" w:eastAsia="Times New Roman" w:hAnsi="Arial" w:cs="Arial"/>
                <w:sz w:val="24"/>
                <w:szCs w:val="24"/>
              </w:rPr>
              <w:t>131,9</w:t>
            </w:r>
          </w:p>
        </w:tc>
      </w:tr>
    </w:tbl>
    <w:p w:rsidR="004622F6" w:rsidRPr="004622F6" w:rsidRDefault="004622F6" w:rsidP="004622F6">
      <w:pPr>
        <w:spacing w:before="120" w:after="0" w:line="240" w:lineRule="auto"/>
        <w:jc w:val="center"/>
        <w:rPr>
          <w:rFonts w:ascii="Arial" w:eastAsia="Times New Roman" w:hAnsi="Arial"/>
          <w:noProof/>
          <w:color w:val="000000"/>
          <w:sz w:val="20"/>
          <w:szCs w:val="20"/>
          <w:lang w:val="ro-RO"/>
        </w:rPr>
      </w:pPr>
      <w:r w:rsidRPr="004622F6">
        <w:rPr>
          <w:rFonts w:ascii="Arial" w:eastAsia="Times New Roman" w:hAnsi="Arial" w:cs="Arial"/>
          <w:b/>
          <w:color w:val="000000"/>
          <w:sz w:val="24"/>
          <w:szCs w:val="24"/>
          <w:lang w:val="it-IT"/>
        </w:rPr>
        <w:t>Tabel  X.1.4.1. Valorile medii lunare pentru vegeta</w:t>
      </w:r>
      <w:r w:rsidRPr="004622F6">
        <w:rPr>
          <w:rFonts w:ascii="Arial" w:eastAsia="Times New Roman" w:hAnsi="Arial" w:cs="Arial"/>
          <w:b/>
          <w:color w:val="000000"/>
          <w:sz w:val="24"/>
          <w:szCs w:val="24"/>
          <w:lang w:val="ro-RO"/>
        </w:rPr>
        <w:t>ţie spontană</w:t>
      </w:r>
      <w:r w:rsidRPr="004622F6">
        <w:rPr>
          <w:rFonts w:ascii="Arial" w:eastAsia="Times New Roman" w:hAnsi="Arial" w:cs="Arial"/>
          <w:b/>
          <w:color w:val="000000"/>
          <w:sz w:val="24"/>
          <w:szCs w:val="24"/>
          <w:lang w:val="it-IT"/>
        </w:rPr>
        <w:t xml:space="preserve"> în anul 2014</w:t>
      </w:r>
    </w:p>
    <w:p w:rsidR="004622F6" w:rsidRPr="004622F6" w:rsidRDefault="004622F6" w:rsidP="004622F6">
      <w:pPr>
        <w:spacing w:before="120" w:after="0" w:line="240" w:lineRule="auto"/>
        <w:jc w:val="both"/>
        <w:rPr>
          <w:rFonts w:ascii="Arial" w:eastAsia="Times New Roman" w:hAnsi="Arial" w:cs="Arial"/>
          <w:sz w:val="24"/>
          <w:szCs w:val="24"/>
          <w:lang w:val="it-IT"/>
        </w:rPr>
      </w:pPr>
    </w:p>
    <w:p w:rsidR="004622F6" w:rsidRPr="004622F6" w:rsidRDefault="004622F6" w:rsidP="004622F6">
      <w:pPr>
        <w:spacing w:before="120" w:after="0" w:line="240" w:lineRule="auto"/>
        <w:jc w:val="both"/>
        <w:rPr>
          <w:rFonts w:ascii="Arial" w:eastAsia="Times New Roman" w:hAnsi="Arial" w:cs="Arial"/>
          <w:sz w:val="24"/>
          <w:szCs w:val="24"/>
          <w:lang w:val="it-IT"/>
        </w:rPr>
      </w:pPr>
      <w:r w:rsidRPr="004622F6">
        <w:rPr>
          <w:rFonts w:ascii="Arial" w:eastAsia="Times New Roman" w:hAnsi="Arial" w:cs="Arial"/>
          <w:sz w:val="24"/>
          <w:szCs w:val="24"/>
          <w:lang w:val="it-IT"/>
        </w:rPr>
        <w:t>În figura de mai jos este prezentată variaţia valorilor medii lunare pentru  vegetaţia spontană, în anul 2014:</w:t>
      </w:r>
    </w:p>
    <w:p w:rsidR="004622F6" w:rsidRPr="004622F6" w:rsidRDefault="004622F6" w:rsidP="004622F6">
      <w:pPr>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drawing>
          <wp:inline distT="0" distB="0" distL="0" distR="0">
            <wp:extent cx="6096000" cy="3295650"/>
            <wp:effectExtent l="0" t="0" r="0" b="0"/>
            <wp:docPr id="300" name="Object 3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4622F6" w:rsidRPr="004622F6" w:rsidRDefault="004622F6" w:rsidP="004622F6">
      <w:pPr>
        <w:spacing w:before="120" w:after="0" w:line="240" w:lineRule="auto"/>
        <w:jc w:val="center"/>
        <w:rPr>
          <w:rFonts w:ascii="Arial" w:eastAsia="Times New Roman" w:hAnsi="Arial" w:cs="Arial"/>
          <w:color w:val="000000"/>
          <w:sz w:val="24"/>
          <w:szCs w:val="24"/>
          <w:lang w:val="it-IT"/>
        </w:rPr>
      </w:pPr>
      <w:r w:rsidRPr="004622F6">
        <w:rPr>
          <w:rFonts w:ascii="Arial" w:eastAsia="Times New Roman" w:hAnsi="Arial" w:cs="Arial"/>
          <w:b/>
          <w:bCs/>
          <w:color w:val="000000"/>
          <w:sz w:val="24"/>
          <w:szCs w:val="24"/>
          <w:lang w:val="it-IT"/>
        </w:rPr>
        <w:t>Fig. X.1.4.1. Activitatea specifică beta globală medie lunară pentru vegetaţia spontană în anul 2014</w:t>
      </w:r>
    </w:p>
    <w:p w:rsidR="004622F6" w:rsidRPr="004622F6" w:rsidRDefault="004622F6" w:rsidP="004622F6">
      <w:pPr>
        <w:spacing w:before="120" w:after="0" w:line="240" w:lineRule="auto"/>
        <w:jc w:val="both"/>
        <w:rPr>
          <w:rFonts w:ascii="Arial" w:eastAsia="Times New Roman" w:hAnsi="Arial" w:cs="Arial"/>
          <w:sz w:val="24"/>
          <w:szCs w:val="24"/>
          <w:lang w:val="it-IT"/>
        </w:rPr>
      </w:pPr>
      <w:r w:rsidRPr="004622F6">
        <w:rPr>
          <w:rFonts w:ascii="Arial" w:eastAsia="Times New Roman" w:hAnsi="Arial" w:cs="Arial"/>
          <w:sz w:val="24"/>
          <w:szCs w:val="24"/>
          <w:lang w:val="it-IT"/>
        </w:rPr>
        <w:lastRenderedPageBreak/>
        <w:t>În perioada 2007-2014, valorile activităţii medii anuale beta globale pentru vegetaţia spontană, au evoluat astfel:</w:t>
      </w:r>
    </w:p>
    <w:p w:rsidR="004622F6" w:rsidRPr="004622F6" w:rsidRDefault="004622F6" w:rsidP="004622F6">
      <w:pPr>
        <w:spacing w:before="120" w:after="0" w:line="240" w:lineRule="auto"/>
        <w:jc w:val="both"/>
        <w:rPr>
          <w:rFonts w:ascii="Arial" w:eastAsia="Times New Roman" w:hAnsi="Arial" w:cs="Arial"/>
          <w:sz w:val="24"/>
          <w:szCs w:val="24"/>
          <w:lang w:val="it-IT"/>
        </w:rPr>
      </w:pPr>
    </w:p>
    <w:p w:rsidR="004622F6" w:rsidRPr="004622F6" w:rsidRDefault="004622F6" w:rsidP="004622F6">
      <w:pPr>
        <w:spacing w:before="120" w:after="0" w:line="240" w:lineRule="auto"/>
        <w:jc w:val="center"/>
        <w:rPr>
          <w:rFonts w:ascii="Arial" w:eastAsia="Times New Roman" w:hAnsi="Arial" w:cs="Arial"/>
          <w:sz w:val="20"/>
          <w:szCs w:val="20"/>
        </w:rPr>
      </w:pPr>
      <w:r>
        <w:rPr>
          <w:rFonts w:ascii="Arial" w:eastAsia="Times New Roman" w:hAnsi="Arial" w:cs="Arial"/>
          <w:noProof/>
          <w:sz w:val="20"/>
          <w:szCs w:val="20"/>
          <w:lang w:val="ro-RO" w:eastAsia="ro-RO"/>
        </w:rPr>
        <w:drawing>
          <wp:inline distT="0" distB="0" distL="0" distR="0">
            <wp:extent cx="5715000" cy="2914650"/>
            <wp:effectExtent l="0" t="0" r="0" b="0"/>
            <wp:docPr id="301" name="Object 3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4622F6" w:rsidRPr="004622F6" w:rsidRDefault="004622F6" w:rsidP="004622F6">
      <w:pPr>
        <w:spacing w:before="120" w:after="0" w:line="240" w:lineRule="auto"/>
        <w:jc w:val="center"/>
        <w:rPr>
          <w:rFonts w:ascii="Arial" w:eastAsia="Times New Roman" w:hAnsi="Arial" w:cs="Arial"/>
          <w:color w:val="000000"/>
          <w:sz w:val="24"/>
          <w:szCs w:val="24"/>
        </w:rPr>
      </w:pPr>
      <w:r w:rsidRPr="004622F6">
        <w:rPr>
          <w:rFonts w:ascii="Arial" w:eastAsia="Times New Roman" w:hAnsi="Arial" w:cs="Arial"/>
          <w:b/>
          <w:bCs/>
          <w:color w:val="000000"/>
          <w:sz w:val="24"/>
          <w:szCs w:val="24"/>
        </w:rPr>
        <w:t>Fig. X.1.4.2. Activitatea specifică beta globală medie anuală pentru vegetaţia spontană, comparativ în perioada 2007-2014</w:t>
      </w:r>
    </w:p>
    <w:p w:rsidR="004622F6" w:rsidRPr="004622F6" w:rsidRDefault="004622F6" w:rsidP="004622F6">
      <w:pPr>
        <w:spacing w:before="120" w:after="0" w:line="240" w:lineRule="auto"/>
        <w:jc w:val="both"/>
        <w:rPr>
          <w:rFonts w:ascii="Arial" w:eastAsia="Times New Roman" w:hAnsi="Arial"/>
          <w:b/>
          <w:sz w:val="24"/>
          <w:szCs w:val="24"/>
        </w:rPr>
      </w:pPr>
    </w:p>
    <w:p w:rsidR="004622F6" w:rsidRPr="004622F6" w:rsidRDefault="004622F6" w:rsidP="004622F6">
      <w:pPr>
        <w:spacing w:after="0" w:line="240" w:lineRule="auto"/>
        <w:jc w:val="both"/>
        <w:rPr>
          <w:rFonts w:ascii="Arial" w:eastAsia="Times New Roman" w:hAnsi="Arial" w:cs="Arial"/>
          <w:sz w:val="24"/>
          <w:szCs w:val="24"/>
        </w:rPr>
      </w:pPr>
      <w:r w:rsidRPr="004622F6">
        <w:rPr>
          <w:rFonts w:ascii="Arial" w:eastAsia="Times New Roman" w:hAnsi="Arial" w:cs="Arial"/>
          <w:sz w:val="24"/>
          <w:szCs w:val="24"/>
        </w:rPr>
        <w:t>Toate cele 31 de măsurări efectuate în cursul anului 2014 reprezintă  valori semnificative, intervalul de variaţie a erorilor relative fiind 6,5– 28,3 %.</w:t>
      </w:r>
    </w:p>
    <w:p w:rsidR="004622F6" w:rsidRPr="004622F6" w:rsidRDefault="004622F6" w:rsidP="004622F6">
      <w:pPr>
        <w:spacing w:after="0" w:line="240" w:lineRule="auto"/>
        <w:jc w:val="both"/>
        <w:rPr>
          <w:rFonts w:ascii="Arial" w:eastAsia="Times New Roman" w:hAnsi="Arial"/>
          <w:sz w:val="24"/>
          <w:szCs w:val="24"/>
        </w:rPr>
      </w:pPr>
      <w:r w:rsidRPr="004622F6">
        <w:rPr>
          <w:rFonts w:ascii="Arial" w:eastAsia="Times New Roman" w:hAnsi="Arial"/>
          <w:sz w:val="24"/>
          <w:szCs w:val="24"/>
        </w:rPr>
        <w:t xml:space="preserve">După data de 15 iunie a fiecărui an, se recoltează o probă anuală de vegetaţie spontană, dintr-o zonă nepoluată. </w:t>
      </w:r>
    </w:p>
    <w:p w:rsidR="004622F6" w:rsidRPr="004622F6" w:rsidRDefault="004622F6" w:rsidP="004622F6">
      <w:pPr>
        <w:spacing w:after="0" w:line="240" w:lineRule="auto"/>
        <w:jc w:val="both"/>
        <w:rPr>
          <w:rFonts w:ascii="Arial" w:eastAsia="Times New Roman" w:hAnsi="Arial"/>
          <w:sz w:val="24"/>
          <w:szCs w:val="24"/>
        </w:rPr>
      </w:pPr>
      <w:r w:rsidRPr="004622F6">
        <w:rPr>
          <w:rFonts w:ascii="Arial" w:eastAsia="Times New Roman" w:hAnsi="Arial"/>
          <w:sz w:val="24"/>
          <w:szCs w:val="24"/>
        </w:rPr>
        <w:t>Astfel, în luna iunie 2014 a fost recoltată o probă de vegetaţie spontană de pe o suprafaţă de 1m</w:t>
      </w:r>
      <w:r w:rsidRPr="004622F6">
        <w:rPr>
          <w:rFonts w:ascii="Arial" w:eastAsia="Times New Roman" w:hAnsi="Arial"/>
          <w:sz w:val="24"/>
          <w:szCs w:val="24"/>
          <w:vertAlign w:val="superscript"/>
        </w:rPr>
        <w:t>2</w:t>
      </w:r>
      <w:r w:rsidRPr="004622F6">
        <w:rPr>
          <w:rFonts w:ascii="Arial" w:eastAsia="Times New Roman" w:hAnsi="Arial"/>
          <w:sz w:val="24"/>
          <w:szCs w:val="24"/>
        </w:rPr>
        <w:t xml:space="preserve"> din zona pădurii Spătaru-Buzău, probă care a fost tăiată la lungime de 5 cm, uscată  în etuvă la o temperatură de 90</w:t>
      </w:r>
      <w:r w:rsidRPr="004622F6">
        <w:rPr>
          <w:rFonts w:eastAsia="Times New Roman"/>
          <w:sz w:val="24"/>
          <w:szCs w:val="24"/>
        </w:rPr>
        <w:t>°</w:t>
      </w:r>
      <w:r w:rsidRPr="004622F6">
        <w:rPr>
          <w:rFonts w:ascii="Arial" w:eastAsia="Times New Roman" w:hAnsi="Arial"/>
          <w:sz w:val="24"/>
          <w:szCs w:val="24"/>
        </w:rPr>
        <w:t xml:space="preserve">C şi apoi cântărită pentru determinarea  masei de vegetaţie uscată. </w:t>
      </w:r>
    </w:p>
    <w:p w:rsidR="004622F6" w:rsidRPr="004622F6" w:rsidRDefault="004622F6" w:rsidP="004622F6">
      <w:pPr>
        <w:spacing w:after="0" w:line="240" w:lineRule="auto"/>
        <w:jc w:val="both"/>
        <w:rPr>
          <w:rFonts w:ascii="Arial" w:eastAsia="Times New Roman" w:hAnsi="Arial"/>
          <w:sz w:val="24"/>
          <w:szCs w:val="24"/>
        </w:rPr>
      </w:pPr>
      <w:r w:rsidRPr="004622F6">
        <w:rPr>
          <w:rFonts w:ascii="Arial" w:eastAsia="Times New Roman" w:hAnsi="Arial"/>
          <w:sz w:val="24"/>
          <w:szCs w:val="24"/>
        </w:rPr>
        <w:t>Astfel pregătită, proba a fost ambalată şi trimisă prin colet poştal la APM Constanţa pentru efectuarea analizelor gamaspectrometrice, laboratorul SSRM Buzău neavând în dotare ech</w:t>
      </w:r>
      <w:r w:rsidRPr="004622F6">
        <w:rPr>
          <w:rFonts w:ascii="Arial" w:eastAsia="Times New Roman" w:hAnsi="Arial"/>
          <w:sz w:val="24"/>
          <w:szCs w:val="24"/>
        </w:rPr>
        <w:t>i</w:t>
      </w:r>
      <w:r w:rsidRPr="004622F6">
        <w:rPr>
          <w:rFonts w:ascii="Arial" w:eastAsia="Times New Roman" w:hAnsi="Arial"/>
          <w:sz w:val="24"/>
          <w:szCs w:val="24"/>
        </w:rPr>
        <w:t>pamentele  necesare  pentru efectuarea acestor analize.</w:t>
      </w:r>
    </w:p>
    <w:p w:rsidR="004622F6" w:rsidRPr="004622F6" w:rsidRDefault="004622F6" w:rsidP="004622F6">
      <w:pPr>
        <w:spacing w:before="120" w:after="0" w:line="240" w:lineRule="auto"/>
        <w:jc w:val="both"/>
        <w:rPr>
          <w:rFonts w:ascii="Arial" w:eastAsia="Times New Roman" w:hAnsi="Arial"/>
          <w:b/>
          <w:color w:val="000000"/>
          <w:sz w:val="24"/>
          <w:szCs w:val="24"/>
          <w:lang w:val="ro-RO"/>
        </w:rPr>
      </w:pPr>
    </w:p>
    <w:p w:rsidR="004622F6" w:rsidRPr="004622F6" w:rsidRDefault="004622F6" w:rsidP="004622F6">
      <w:pPr>
        <w:spacing w:before="120" w:after="0" w:line="240" w:lineRule="auto"/>
        <w:jc w:val="both"/>
        <w:rPr>
          <w:rFonts w:ascii="Arial" w:eastAsia="Times New Roman" w:hAnsi="Arial"/>
          <w:b/>
          <w:color w:val="000000"/>
          <w:sz w:val="24"/>
          <w:szCs w:val="24"/>
          <w:lang w:val="ro-RO"/>
        </w:rPr>
      </w:pPr>
      <w:r w:rsidRPr="004622F6">
        <w:rPr>
          <w:rFonts w:ascii="Arial" w:eastAsia="Times New Roman" w:hAnsi="Arial"/>
          <w:b/>
          <w:color w:val="000000"/>
          <w:sz w:val="24"/>
          <w:szCs w:val="24"/>
          <w:lang w:val="ro-RO"/>
        </w:rPr>
        <w:t xml:space="preserve">CONCLUZII:                              </w:t>
      </w:r>
    </w:p>
    <w:p w:rsidR="004622F6" w:rsidRPr="004622F6" w:rsidRDefault="004622F6" w:rsidP="004622F6">
      <w:pPr>
        <w:spacing w:after="0" w:line="240" w:lineRule="auto"/>
        <w:jc w:val="both"/>
        <w:rPr>
          <w:rFonts w:ascii="Arial" w:eastAsia="Times New Roman" w:hAnsi="Arial"/>
          <w:b/>
          <w:color w:val="000000"/>
          <w:sz w:val="24"/>
          <w:szCs w:val="24"/>
          <w:lang w:val="ro-RO"/>
        </w:rPr>
      </w:pPr>
      <w:r w:rsidRPr="004622F6">
        <w:rPr>
          <w:rFonts w:ascii="Arial" w:eastAsia="Times New Roman" w:hAnsi="Arial" w:cs="Arial"/>
          <w:sz w:val="24"/>
          <w:szCs w:val="24"/>
          <w:lang w:val="ro-RO"/>
        </w:rPr>
        <w:t>În anul 2014 s-au efectuat măsurări pentru determinarea activităţii beta globale pentru următorii factori de mediu: aerosoli atmosferici, depuneri atmosferice, apă de suprafaţă - râu Buzău, apă de adâncime (subterană) - F12 foraj Crâng Buzău, sol necultivat şi vegetaţie spontană. S-au determinat concentraţii ale radioizotopilor naturali Radon222 şi Toron, s-au supravegheat şi înregistrat zilnic mediile orare pentru debitul de doză gama absorbită în aerul exterior.</w:t>
      </w:r>
    </w:p>
    <w:p w:rsidR="004622F6" w:rsidRPr="004622F6" w:rsidRDefault="004622F6" w:rsidP="004622F6">
      <w:pPr>
        <w:spacing w:after="0" w:line="240" w:lineRule="auto"/>
        <w:jc w:val="both"/>
        <w:rPr>
          <w:rFonts w:ascii="Arial" w:eastAsia="Times New Roman" w:hAnsi="Arial"/>
          <w:b/>
          <w:color w:val="000000"/>
          <w:sz w:val="24"/>
          <w:szCs w:val="24"/>
          <w:lang w:val="ro-RO"/>
        </w:rPr>
      </w:pPr>
      <w:r w:rsidRPr="004622F6">
        <w:rPr>
          <w:rFonts w:ascii="Arial" w:eastAsia="Times New Roman" w:hAnsi="Arial" w:cs="Arial"/>
          <w:sz w:val="24"/>
          <w:szCs w:val="24"/>
          <w:lang w:val="ro-RO"/>
        </w:rPr>
        <w:t>Valorile măsurate nu au evidenţiat abateri de la media multianuală şi nici nu au fost înregistrate depăşiri ale limitelor de atenţionare/avertizare/alarmare.</w:t>
      </w:r>
    </w:p>
    <w:p w:rsidR="004622F6" w:rsidRPr="004622F6" w:rsidRDefault="004622F6" w:rsidP="004622F6">
      <w:pPr>
        <w:spacing w:after="0" w:line="240" w:lineRule="auto"/>
        <w:jc w:val="both"/>
        <w:rPr>
          <w:rFonts w:ascii="Arial" w:eastAsia="Times New Roman" w:hAnsi="Arial" w:cs="Arial"/>
          <w:sz w:val="24"/>
          <w:szCs w:val="24"/>
          <w:lang w:val="fr-FR"/>
        </w:rPr>
      </w:pPr>
      <w:r w:rsidRPr="004622F6">
        <w:rPr>
          <w:rFonts w:ascii="Arial" w:eastAsia="Times New Roman" w:hAnsi="Arial" w:cs="Arial"/>
          <w:sz w:val="24"/>
          <w:szCs w:val="24"/>
          <w:lang w:val="fr-FR"/>
        </w:rPr>
        <w:t>Comparativ cu anul 2013, valorile înregistrate în anul 2014 au fost apropiate ca ordin de mărime.</w:t>
      </w: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b/>
          <w:sz w:val="24"/>
          <w:szCs w:val="24"/>
          <w:lang w:val="ro-RO"/>
        </w:rPr>
      </w:pPr>
    </w:p>
    <w:p w:rsidR="002068AE" w:rsidRDefault="004622F6" w:rsidP="004622F6">
      <w:pPr>
        <w:tabs>
          <w:tab w:val="left" w:pos="709"/>
          <w:tab w:val="left" w:pos="2520"/>
        </w:tabs>
        <w:spacing w:after="0" w:line="240" w:lineRule="auto"/>
        <w:jc w:val="both"/>
        <w:outlineLvl w:val="0"/>
        <w:rPr>
          <w:rFonts w:ascii="Arial" w:eastAsia="Times New Roman" w:hAnsi="Arial" w:cs="Arial"/>
          <w:b/>
          <w:sz w:val="24"/>
          <w:szCs w:val="24"/>
          <w:lang w:val="ro-RO"/>
        </w:rPr>
      </w:pPr>
      <w:r w:rsidRPr="004622F6">
        <w:rPr>
          <w:rFonts w:ascii="Arial" w:eastAsia="Times New Roman" w:hAnsi="Arial" w:cs="Arial"/>
          <w:b/>
          <w:sz w:val="24"/>
          <w:szCs w:val="24"/>
          <w:lang w:val="ro-RO"/>
        </w:rPr>
        <w:t xml:space="preserve"> </w:t>
      </w: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b/>
          <w:sz w:val="24"/>
          <w:szCs w:val="24"/>
          <w:lang w:val="ro-RO"/>
        </w:rPr>
      </w:pPr>
      <w:r w:rsidRPr="004622F6">
        <w:rPr>
          <w:rFonts w:ascii="Arial" w:eastAsia="Times New Roman" w:hAnsi="Arial" w:cs="Arial"/>
          <w:b/>
          <w:sz w:val="24"/>
          <w:szCs w:val="24"/>
          <w:lang w:val="ro-RO"/>
        </w:rPr>
        <w:lastRenderedPageBreak/>
        <w:t>Programele de monitorizare a zonelor cu fondul natural modificat antropic</w:t>
      </w: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sz w:val="24"/>
          <w:szCs w:val="24"/>
          <w:lang w:val="ro-RO"/>
        </w:rPr>
      </w:pPr>
      <w:r w:rsidRPr="004622F6">
        <w:rPr>
          <w:rFonts w:ascii="Arial" w:eastAsia="Times New Roman" w:hAnsi="Arial" w:cs="Arial"/>
          <w:sz w:val="24"/>
          <w:szCs w:val="24"/>
          <w:lang w:val="ro-RO"/>
        </w:rPr>
        <w:t>În urma analizei documentaţiilor care au stat la baza emiterii autorizaţiilor de mediu pentru anul 2014, a rezultat că nu au apărut probleme cu privire la modificarea fondului natural din punct de vedere al radioactivităţii mediului.</w:t>
      </w: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sz w:val="24"/>
          <w:szCs w:val="24"/>
          <w:lang w:val="ro-RO"/>
        </w:rPr>
      </w:pPr>
      <w:r w:rsidRPr="004622F6">
        <w:rPr>
          <w:rFonts w:ascii="Arial" w:eastAsia="Times New Roman" w:hAnsi="Arial" w:cs="Arial"/>
          <w:sz w:val="24"/>
          <w:szCs w:val="24"/>
          <w:lang w:val="ro-RO"/>
        </w:rPr>
        <w:t>Ca urmare, considerăm că pe teritoriul judeţului Buzău nu au fost depistate până în prezent surse cu impact radiologic asupra mediului înconjurător, care să necesite un program de supraveghere a fondului natural modificat antropic.</w:t>
      </w: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sz w:val="24"/>
          <w:szCs w:val="24"/>
          <w:lang w:val="ro-RO"/>
        </w:rPr>
      </w:pP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b/>
          <w:sz w:val="24"/>
          <w:szCs w:val="24"/>
          <w:lang w:val="ro-RO"/>
        </w:rPr>
      </w:pP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sz w:val="24"/>
          <w:szCs w:val="24"/>
          <w:lang w:val="ro-RO"/>
        </w:rPr>
      </w:pPr>
    </w:p>
    <w:p w:rsidR="004622F6" w:rsidRPr="004622F6" w:rsidRDefault="004622F6" w:rsidP="004622F6">
      <w:pPr>
        <w:tabs>
          <w:tab w:val="left" w:pos="709"/>
          <w:tab w:val="left" w:pos="2520"/>
        </w:tabs>
        <w:spacing w:after="0" w:line="240" w:lineRule="auto"/>
        <w:jc w:val="both"/>
        <w:outlineLvl w:val="0"/>
        <w:rPr>
          <w:rFonts w:ascii="Arial" w:eastAsia="Times New Roman" w:hAnsi="Arial" w:cs="Arial"/>
          <w:b/>
          <w:sz w:val="24"/>
          <w:szCs w:val="24"/>
          <w:lang w:val="ro-RO"/>
        </w:rPr>
      </w:pPr>
    </w:p>
    <w:p w:rsidR="00563A74" w:rsidRDefault="00563A74" w:rsidP="00232324">
      <w:pPr>
        <w:spacing w:before="120" w:line="60" w:lineRule="atLeast"/>
        <w:jc w:val="center"/>
        <w:outlineLvl w:val="0"/>
        <w:rPr>
          <w:rFonts w:ascii="Times New Roman" w:hAnsi="Times New Roman"/>
          <w:b/>
          <w:sz w:val="28"/>
          <w:szCs w:val="28"/>
          <w:lang w:val="ro-RO"/>
        </w:rPr>
        <w:sectPr w:rsidR="00563A74" w:rsidSect="002F5025">
          <w:footerReference w:type="even" r:id="rId179"/>
          <w:footerReference w:type="default" r:id="rId180"/>
          <w:pgSz w:w="12240" w:h="15840"/>
          <w:pgMar w:top="851" w:right="851" w:bottom="851" w:left="1418" w:header="709" w:footer="709" w:gutter="0"/>
          <w:cols w:space="708"/>
          <w:docGrid w:linePitch="360"/>
        </w:sectPr>
      </w:pPr>
    </w:p>
    <w:p w:rsidR="00563A74" w:rsidRPr="00563A74" w:rsidRDefault="000A7F82" w:rsidP="00563A74">
      <w:pPr>
        <w:tabs>
          <w:tab w:val="left" w:pos="540"/>
          <w:tab w:val="left" w:leader="dot" w:pos="9356"/>
        </w:tabs>
        <w:spacing w:after="0" w:line="360" w:lineRule="auto"/>
        <w:rPr>
          <w:rFonts w:ascii="Arial" w:eastAsia="SimSun" w:hAnsi="Arial" w:cs="Arial"/>
          <w:b/>
          <w:sz w:val="24"/>
          <w:szCs w:val="24"/>
          <w:lang w:val="ro-RO"/>
        </w:rPr>
      </w:pPr>
      <w:r>
        <w:rPr>
          <w:rFonts w:ascii="Arial" w:eastAsia="SimSun" w:hAnsi="Arial" w:cs="Arial"/>
          <w:b/>
          <w:sz w:val="24"/>
          <w:szCs w:val="24"/>
        </w:rPr>
        <w:lastRenderedPageBreak/>
        <w:t>XI.</w:t>
      </w:r>
      <w:r w:rsidR="00563A74" w:rsidRPr="00563A74">
        <w:rPr>
          <w:rFonts w:ascii="Arial" w:eastAsia="SimSun" w:hAnsi="Arial" w:cs="Arial"/>
          <w:b/>
          <w:sz w:val="24"/>
          <w:szCs w:val="24"/>
        </w:rPr>
        <w:t xml:space="preserve"> </w:t>
      </w:r>
      <w:r w:rsidR="00563A74" w:rsidRPr="00563A74">
        <w:rPr>
          <w:rFonts w:ascii="Arial" w:eastAsia="SimSun" w:hAnsi="Arial" w:cs="Arial"/>
          <w:b/>
          <w:sz w:val="24"/>
          <w:szCs w:val="24"/>
          <w:lang w:val="ro-RO"/>
        </w:rPr>
        <w:t xml:space="preserve">CONSUMUL ŞI MEDIUL ÎNCONJURĂTOR </w:t>
      </w:r>
    </w:p>
    <w:p w:rsidR="00563A74" w:rsidRPr="00563A74" w:rsidRDefault="00563A74" w:rsidP="00563A74">
      <w:pPr>
        <w:tabs>
          <w:tab w:val="left" w:pos="540"/>
          <w:tab w:val="left" w:leader="dot" w:pos="9356"/>
        </w:tabs>
        <w:spacing w:after="0" w:line="360" w:lineRule="auto"/>
        <w:rPr>
          <w:rFonts w:ascii="Arial" w:eastAsia="SimSun" w:hAnsi="Arial" w:cs="Arial"/>
          <w:b/>
          <w:sz w:val="24"/>
          <w:szCs w:val="24"/>
          <w:lang w:val="ro-RO"/>
        </w:rPr>
      </w:pPr>
      <w:r w:rsidRPr="00563A74">
        <w:rPr>
          <w:rFonts w:ascii="Arial" w:eastAsia="SimSun" w:hAnsi="Arial" w:cs="Arial"/>
          <w:b/>
          <w:sz w:val="24"/>
          <w:szCs w:val="24"/>
        </w:rPr>
        <w:t xml:space="preserve">XI.1 </w:t>
      </w:r>
      <w:r w:rsidRPr="00563A74">
        <w:rPr>
          <w:rFonts w:ascii="Arial" w:eastAsia="SimSun" w:hAnsi="Arial" w:cs="Arial"/>
          <w:b/>
          <w:sz w:val="24"/>
          <w:szCs w:val="24"/>
          <w:lang w:val="ro-RO"/>
        </w:rPr>
        <w:t xml:space="preserve">Tendinţe în consum  </w:t>
      </w:r>
    </w:p>
    <w:p w:rsidR="00563A74" w:rsidRPr="00563A74" w:rsidRDefault="00563A74" w:rsidP="00563A74">
      <w:pPr>
        <w:spacing w:after="0" w:line="240" w:lineRule="auto"/>
        <w:rPr>
          <w:rFonts w:ascii="Arial" w:eastAsia="SimSun" w:hAnsi="Arial" w:cs="Arial"/>
          <w:b/>
          <w:sz w:val="24"/>
          <w:szCs w:val="24"/>
          <w:lang w:val="ro-RO"/>
        </w:rPr>
      </w:pPr>
      <w:r w:rsidRPr="00563A74">
        <w:rPr>
          <w:rFonts w:ascii="Arial" w:eastAsia="SimSun" w:hAnsi="Arial" w:cs="Arial"/>
          <w:b/>
          <w:sz w:val="24"/>
          <w:szCs w:val="24"/>
          <w:lang w:val="ro-RO"/>
        </w:rPr>
        <w:t xml:space="preserve">XI.1.1. Alimente şi băuturi </w:t>
      </w:r>
    </w:p>
    <w:p w:rsidR="00563A74" w:rsidRPr="00563A74" w:rsidRDefault="00563A74" w:rsidP="00563A74">
      <w:pPr>
        <w:autoSpaceDE w:val="0"/>
        <w:autoSpaceDN w:val="0"/>
        <w:adjustRightInd w:val="0"/>
        <w:spacing w:after="0" w:line="240" w:lineRule="auto"/>
        <w:jc w:val="both"/>
        <w:rPr>
          <w:rFonts w:ascii="Arial" w:eastAsia="SimSun" w:hAnsi="Arial" w:cs="Arial"/>
          <w:color w:val="000000"/>
          <w:sz w:val="24"/>
          <w:szCs w:val="24"/>
          <w:lang w:val="en-GB"/>
        </w:rPr>
      </w:pPr>
      <w:r w:rsidRPr="00563A74">
        <w:rPr>
          <w:rFonts w:ascii="Arial" w:eastAsia="SimSun" w:hAnsi="Arial" w:cs="Arial"/>
          <w:color w:val="000000"/>
          <w:sz w:val="24"/>
          <w:szCs w:val="24"/>
          <w:lang w:val="en-GB"/>
        </w:rPr>
        <w:t xml:space="preserve">Consumul mediu anual pe locuitor al principalelor produse alimentare şi băuturi. </w:t>
      </w:r>
    </w:p>
    <w:p w:rsidR="00563A74" w:rsidRPr="00563A74" w:rsidRDefault="00563A74" w:rsidP="00563A74">
      <w:pPr>
        <w:autoSpaceDE w:val="0"/>
        <w:autoSpaceDN w:val="0"/>
        <w:adjustRightInd w:val="0"/>
        <w:spacing w:after="0" w:line="240" w:lineRule="auto"/>
        <w:jc w:val="both"/>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 xml:space="preserve">Consumul (disponibilul de consum) mediu anual de produse alimentare (în unităţi fizice) pe cap de locuitor, la nivelul judeţului Buzău, reprezintă cantitatea dintr-un produs sau grupă de produse agroalimentare (primare sau prelucrate) consumată anual de un locuitor, indiferent de sursa de aprovizionare (comerţ cu ridicata, comerţ cu amănuntul, restaurante, cantine, producţia proprie etc.), precum şi de locul unde se consumă (gospodării individuale, restaurante, cantine, cofetării, gospodării instituţionale etc.); </w:t>
      </w:r>
    </w:p>
    <w:p w:rsidR="00563A74" w:rsidRPr="00563A74" w:rsidRDefault="00563A74" w:rsidP="00563A74">
      <w:pPr>
        <w:autoSpaceDE w:val="0"/>
        <w:autoSpaceDN w:val="0"/>
        <w:adjustRightInd w:val="0"/>
        <w:spacing w:after="0" w:line="240" w:lineRule="auto"/>
        <w:jc w:val="both"/>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 xml:space="preserve">Consumul (disponibilul de consum) mediu anual de băuturi pe cap de locuitor, la nivelul judeţului Buzău, reprezintă cantităţile de băuturi alcoolice şi nealcoolice, consumate anual de un locuitor, indiferent de sursa de aprovizionare (comerţ cu ridicata, comerţ cu amănuntul, restaurante, cantine, producţia proprie etc.) şi de locul unde se consumă (gospodării individuale, restaurante, cantine, cofetării, gospodării instituţionale etc); </w:t>
      </w:r>
    </w:p>
    <w:p w:rsidR="00563A74" w:rsidRPr="00563A74" w:rsidRDefault="00563A74" w:rsidP="00563A74">
      <w:pPr>
        <w:spacing w:after="0" w:line="240" w:lineRule="auto"/>
        <w:jc w:val="both"/>
        <w:rPr>
          <w:rFonts w:ascii="Arial" w:eastAsia="SimSun" w:hAnsi="Arial" w:cs="Arial"/>
          <w:sz w:val="24"/>
          <w:szCs w:val="24"/>
          <w:lang w:val="en-GB"/>
        </w:rPr>
      </w:pPr>
    </w:p>
    <w:p w:rsidR="00563A74" w:rsidRPr="00563A74" w:rsidRDefault="00563A74" w:rsidP="00563A74">
      <w:pPr>
        <w:spacing w:after="0" w:line="240" w:lineRule="auto"/>
        <w:jc w:val="both"/>
        <w:rPr>
          <w:rFonts w:ascii="Arial" w:eastAsia="SimSun" w:hAnsi="Arial" w:cs="Arial"/>
          <w:sz w:val="24"/>
          <w:szCs w:val="24"/>
          <w:lang w:val="en-GB"/>
        </w:rPr>
      </w:pPr>
      <w:r w:rsidRPr="00563A74">
        <w:rPr>
          <w:rFonts w:ascii="Arial" w:eastAsia="SimSun" w:hAnsi="Arial" w:cs="Arial"/>
          <w:sz w:val="24"/>
          <w:szCs w:val="24"/>
          <w:lang w:val="en-GB"/>
        </w:rPr>
        <w:t>În tabelul XI.1.1.1. sunt prezentate consumurile medii anuale pentru principalele produse alimentare şi băuturi, la nivel naţional în perioada 2010-2013</w:t>
      </w:r>
    </w:p>
    <w:p w:rsidR="00563A74" w:rsidRPr="00563A74" w:rsidRDefault="00563A74" w:rsidP="00563A74">
      <w:pPr>
        <w:spacing w:after="0" w:line="240" w:lineRule="auto"/>
        <w:jc w:val="both"/>
        <w:rPr>
          <w:rFonts w:ascii="Arial" w:eastAsia="SimSun" w:hAnsi="Arial" w:cs="Arial"/>
          <w:sz w:val="24"/>
          <w:szCs w:val="24"/>
          <w:lang w:val="en-GB"/>
        </w:rPr>
      </w:pPr>
    </w:p>
    <w:tbl>
      <w:tblPr>
        <w:tblStyle w:val="TableGrid5"/>
        <w:tblW w:w="0" w:type="auto"/>
        <w:tblLayout w:type="fixed"/>
        <w:tblLook w:val="04A0"/>
      </w:tblPr>
      <w:tblGrid>
        <w:gridCol w:w="4644"/>
        <w:gridCol w:w="1843"/>
        <w:gridCol w:w="851"/>
        <w:gridCol w:w="850"/>
        <w:gridCol w:w="851"/>
        <w:gridCol w:w="850"/>
      </w:tblGrid>
      <w:tr w:rsidR="00563A74" w:rsidRPr="00563A74" w:rsidTr="00D92384">
        <w:tc>
          <w:tcPr>
            <w:tcW w:w="4644" w:type="dxa"/>
            <w:vMerge w:val="restart"/>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Principalele produse alimentare şi băuturi</w:t>
            </w:r>
          </w:p>
        </w:tc>
        <w:tc>
          <w:tcPr>
            <w:tcW w:w="1843" w:type="dxa"/>
            <w:vMerge w:val="restart"/>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Unităţi de măsură</w:t>
            </w:r>
          </w:p>
        </w:tc>
        <w:tc>
          <w:tcPr>
            <w:tcW w:w="3402" w:type="dxa"/>
            <w:gridSpan w:val="4"/>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Ani</w:t>
            </w:r>
          </w:p>
        </w:tc>
      </w:tr>
      <w:tr w:rsidR="00563A74" w:rsidRPr="00563A74" w:rsidTr="00D92384">
        <w:tc>
          <w:tcPr>
            <w:tcW w:w="4644" w:type="dxa"/>
            <w:vMerge/>
          </w:tcPr>
          <w:p w:rsidR="00563A74" w:rsidRPr="00563A74" w:rsidRDefault="00563A74" w:rsidP="00563A74">
            <w:pPr>
              <w:spacing w:after="0" w:line="240" w:lineRule="auto"/>
              <w:rPr>
                <w:rFonts w:ascii="Arial" w:eastAsia="SimSun" w:hAnsi="Arial" w:cs="Arial"/>
                <w:sz w:val="24"/>
                <w:szCs w:val="24"/>
                <w:lang w:val="en-GB"/>
              </w:rPr>
            </w:pPr>
          </w:p>
        </w:tc>
        <w:tc>
          <w:tcPr>
            <w:tcW w:w="1843" w:type="dxa"/>
            <w:vMerge/>
          </w:tcPr>
          <w:p w:rsidR="00563A74" w:rsidRPr="00563A74" w:rsidRDefault="00563A74" w:rsidP="00563A74">
            <w:pPr>
              <w:spacing w:after="0" w:line="240" w:lineRule="auto"/>
              <w:rPr>
                <w:rFonts w:ascii="Arial" w:eastAsia="SimSun" w:hAnsi="Arial" w:cs="Arial"/>
                <w:sz w:val="24"/>
                <w:szCs w:val="24"/>
                <w:lang w:val="en-GB"/>
              </w:rPr>
            </w:pP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2010</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2011</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2012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2013</w:t>
            </w:r>
          </w:p>
        </w:tc>
      </w:tr>
      <w:tr w:rsidR="00563A74" w:rsidRPr="00563A74" w:rsidTr="00D92384">
        <w:tc>
          <w:tcPr>
            <w:tcW w:w="4644" w:type="dxa"/>
          </w:tcPr>
          <w:p w:rsidR="00563A74" w:rsidRPr="00563A74" w:rsidRDefault="00563A74" w:rsidP="00563A74">
            <w:pPr>
              <w:spacing w:after="0" w:line="240" w:lineRule="auto"/>
              <w:rPr>
                <w:rFonts w:ascii="Arial" w:eastAsia="SimSun" w:hAnsi="Arial" w:cs="Arial"/>
                <w:sz w:val="24"/>
                <w:szCs w:val="24"/>
                <w:lang w:val="en-GB"/>
              </w:rPr>
            </w:pPr>
            <w:r w:rsidRPr="00563A74">
              <w:rPr>
                <w:rFonts w:ascii="Arial" w:eastAsia="SimSun" w:hAnsi="Arial" w:cs="Arial"/>
                <w:sz w:val="24"/>
                <w:szCs w:val="24"/>
                <w:lang w:val="en-GB"/>
              </w:rPr>
              <w:t>Cereale şi produse din cereale în echiv</w:t>
            </w:r>
            <w:r w:rsidRPr="00563A74">
              <w:rPr>
                <w:rFonts w:ascii="Arial" w:eastAsia="SimSun" w:hAnsi="Arial" w:cs="Arial"/>
                <w:sz w:val="24"/>
                <w:szCs w:val="24"/>
                <w:lang w:val="en-GB"/>
              </w:rPr>
              <w:t>a</w:t>
            </w:r>
            <w:r w:rsidRPr="00563A74">
              <w:rPr>
                <w:rFonts w:ascii="Arial" w:eastAsia="SimSun" w:hAnsi="Arial" w:cs="Arial"/>
                <w:sz w:val="24"/>
                <w:szCs w:val="24"/>
                <w:lang w:val="en-GB"/>
              </w:rPr>
              <w:t>lent boabe</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211,3</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217,7</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208,5</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218,1</w:t>
            </w:r>
          </w:p>
        </w:tc>
      </w:tr>
      <w:tr w:rsidR="00563A74" w:rsidRPr="00563A74" w:rsidTr="00D92384">
        <w:tc>
          <w:tcPr>
            <w:tcW w:w="4644" w:type="dxa"/>
          </w:tcPr>
          <w:p w:rsidR="00563A74" w:rsidRPr="00563A74" w:rsidRDefault="00563A74" w:rsidP="00563A74">
            <w:pPr>
              <w:spacing w:after="0" w:line="240" w:lineRule="auto"/>
              <w:rPr>
                <w:rFonts w:ascii="Arial" w:eastAsia="SimSun" w:hAnsi="Arial" w:cs="Arial"/>
                <w:sz w:val="24"/>
                <w:szCs w:val="24"/>
                <w:lang w:val="en-GB"/>
              </w:rPr>
            </w:pPr>
            <w:r w:rsidRPr="00563A74">
              <w:rPr>
                <w:rFonts w:ascii="Arial" w:eastAsia="SimSun" w:hAnsi="Arial" w:cs="Arial"/>
                <w:sz w:val="24"/>
                <w:szCs w:val="24"/>
                <w:lang w:val="en-GB"/>
              </w:rPr>
              <w:t>Cereale şi produse din cereale în echiv</w:t>
            </w:r>
            <w:r w:rsidRPr="00563A74">
              <w:rPr>
                <w:rFonts w:ascii="Arial" w:eastAsia="SimSun" w:hAnsi="Arial" w:cs="Arial"/>
                <w:sz w:val="24"/>
                <w:szCs w:val="24"/>
                <w:lang w:val="en-GB"/>
              </w:rPr>
              <w:t>a</w:t>
            </w:r>
            <w:r w:rsidRPr="00563A74">
              <w:rPr>
                <w:rFonts w:ascii="Arial" w:eastAsia="SimSun" w:hAnsi="Arial" w:cs="Arial"/>
                <w:sz w:val="24"/>
                <w:szCs w:val="24"/>
                <w:lang w:val="en-GB"/>
              </w:rPr>
              <w:t>lent făină</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noProof/>
                <w:sz w:val="24"/>
                <w:szCs w:val="24"/>
                <w:lang w:val="en-GB"/>
              </w:rPr>
              <w:t>159,2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164,4</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157</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164,6</w:t>
            </w:r>
          </w:p>
        </w:tc>
      </w:tr>
      <w:tr w:rsidR="00563A74" w:rsidRPr="00563A74" w:rsidTr="00D92384">
        <w:tc>
          <w:tcPr>
            <w:tcW w:w="4644" w:type="dxa"/>
            <w:vAlign w:val="center"/>
          </w:tcPr>
          <w:p w:rsidR="00563A74" w:rsidRPr="00563A74" w:rsidRDefault="00563A74" w:rsidP="00563A74">
            <w:pPr>
              <w:spacing w:after="0" w:line="240" w:lineRule="auto"/>
              <w:rPr>
                <w:rFonts w:ascii="Arial" w:eastAsia="SimSun" w:hAnsi="Arial" w:cs="Arial"/>
                <w:sz w:val="24"/>
                <w:szCs w:val="24"/>
                <w:lang w:val="en-GB"/>
              </w:rPr>
            </w:pPr>
            <w:r w:rsidRPr="00563A74">
              <w:rPr>
                <w:rFonts w:ascii="Arial" w:eastAsia="SimSun" w:hAnsi="Arial" w:cs="Arial"/>
                <w:sz w:val="24"/>
                <w:szCs w:val="24"/>
                <w:lang w:val="en-GB"/>
              </w:rPr>
              <w:t>Cartofi</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103,9</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103,3</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104,7</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103</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Leguminoase boabe</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3</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3,2</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3,5</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3,3</w:t>
            </w:r>
          </w:p>
        </w:tc>
      </w:tr>
      <w:tr w:rsidR="00563A74" w:rsidRPr="00563A74" w:rsidTr="00D92384">
        <w:tc>
          <w:tcPr>
            <w:tcW w:w="4644" w:type="dxa"/>
          </w:tcPr>
          <w:p w:rsidR="00563A74" w:rsidRPr="00563A74" w:rsidRDefault="00563A74" w:rsidP="00563A74">
            <w:pPr>
              <w:spacing w:after="0" w:line="240" w:lineRule="auto"/>
              <w:rPr>
                <w:rFonts w:ascii="Arial" w:eastAsia="SimSun" w:hAnsi="Arial" w:cs="Arial"/>
                <w:sz w:val="24"/>
                <w:szCs w:val="24"/>
                <w:lang w:val="en-GB"/>
              </w:rPr>
            </w:pPr>
            <w:r w:rsidRPr="00563A74">
              <w:rPr>
                <w:rFonts w:ascii="Arial" w:eastAsia="SimSun" w:hAnsi="Arial" w:cs="Arial"/>
                <w:sz w:val="24"/>
                <w:szCs w:val="24"/>
                <w:lang w:val="en-GB"/>
              </w:rPr>
              <w:t>Legume şi produse din legume în echiv</w:t>
            </w:r>
            <w:r w:rsidRPr="00563A74">
              <w:rPr>
                <w:rFonts w:ascii="Arial" w:eastAsia="SimSun" w:hAnsi="Arial" w:cs="Arial"/>
                <w:sz w:val="24"/>
                <w:szCs w:val="24"/>
                <w:lang w:val="en-GB"/>
              </w:rPr>
              <w:t>a</w:t>
            </w:r>
            <w:r w:rsidRPr="00563A74">
              <w:rPr>
                <w:rFonts w:ascii="Arial" w:eastAsia="SimSun" w:hAnsi="Arial" w:cs="Arial"/>
                <w:sz w:val="24"/>
                <w:szCs w:val="24"/>
                <w:lang w:val="en-GB"/>
              </w:rPr>
              <w:t>lent legume proaspete</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155,7</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162,9</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151,4</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152</w:t>
            </w:r>
          </w:p>
        </w:tc>
      </w:tr>
      <w:tr w:rsidR="00563A74" w:rsidRPr="00563A74" w:rsidTr="00D92384">
        <w:tc>
          <w:tcPr>
            <w:tcW w:w="4644" w:type="dxa"/>
          </w:tcPr>
          <w:p w:rsidR="00563A74" w:rsidRPr="00563A74" w:rsidRDefault="00563A74" w:rsidP="00563A74">
            <w:pPr>
              <w:spacing w:after="0" w:line="240" w:lineRule="auto"/>
              <w:rPr>
                <w:rFonts w:ascii="Arial" w:eastAsia="SimSun" w:hAnsi="Arial" w:cs="Arial"/>
                <w:sz w:val="24"/>
                <w:szCs w:val="24"/>
                <w:lang w:val="en-GB"/>
              </w:rPr>
            </w:pPr>
            <w:r w:rsidRPr="00563A74">
              <w:rPr>
                <w:rFonts w:ascii="Arial" w:eastAsia="SimSun" w:hAnsi="Arial" w:cs="Arial"/>
                <w:sz w:val="24"/>
                <w:szCs w:val="24"/>
                <w:lang w:val="en-GB"/>
              </w:rPr>
              <w:t>Fructe şi produse din fructe în echivalent fructe proaspete</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67</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74,7</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71,1</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73,7</w:t>
            </w:r>
          </w:p>
        </w:tc>
      </w:tr>
      <w:tr w:rsidR="00563A74" w:rsidRPr="00563A74" w:rsidTr="00D92384">
        <w:tc>
          <w:tcPr>
            <w:tcW w:w="4644" w:type="dxa"/>
          </w:tcPr>
          <w:p w:rsidR="00563A74" w:rsidRPr="00563A74" w:rsidRDefault="00563A74" w:rsidP="00563A74">
            <w:pPr>
              <w:spacing w:after="0" w:line="240" w:lineRule="auto"/>
              <w:rPr>
                <w:rFonts w:ascii="Arial" w:eastAsia="SimSun" w:hAnsi="Arial" w:cs="Arial"/>
                <w:sz w:val="24"/>
                <w:szCs w:val="24"/>
                <w:lang w:val="en-GB"/>
              </w:rPr>
            </w:pPr>
            <w:r w:rsidRPr="00563A74">
              <w:rPr>
                <w:rFonts w:ascii="Arial" w:eastAsia="SimSun" w:hAnsi="Arial" w:cs="Arial"/>
                <w:sz w:val="24"/>
                <w:szCs w:val="24"/>
                <w:lang w:val="en-GB"/>
              </w:rPr>
              <w:t>Zahăr şi produse din zahăr în echivalent zahăr (inclusiv miere)</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23,4</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23,7</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21,1</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Carne şi produse din carne în echivalent carne proaspata</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59,9</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56</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55,3</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54,4</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Grăsimi vegetale şi animale (greutate brută)</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19,3</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19,8</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18,1</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Lapte şi produse din lapte în echivalent lapte 3,5% grăsime (exclusiv unt)</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244,2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248,5</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241,1</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244,5</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Ouă</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Bucăţi</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253</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264</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245</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247</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Peşte şi produse din peşte în echivalent peşte proaspat</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Kilograme</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4,9</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3,9</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4,2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4,3</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Vin şi produse din vin</w:t>
            </w:r>
          </w:p>
        </w:tc>
        <w:tc>
          <w:tcPr>
            <w:tcW w:w="1843"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Litri</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22,2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21,3</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21,1</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21,7</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Bere</w:t>
            </w:r>
          </w:p>
        </w:tc>
        <w:tc>
          <w:tcPr>
            <w:tcW w:w="1843"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Litri</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81,3</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84,3</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90,2</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86,8</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Băuturi alcoolice distilate (alcool 100%)</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Litri alcool pur (100%)</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1,7</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1,3</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1,1</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1,2</w:t>
            </w:r>
          </w:p>
        </w:tc>
      </w:tr>
      <w:tr w:rsidR="00563A74" w:rsidRPr="00563A74" w:rsidTr="00D92384">
        <w:tc>
          <w:tcPr>
            <w:tcW w:w="4644" w:type="dxa"/>
            <w:vAlign w:val="center"/>
          </w:tcPr>
          <w:p w:rsidR="00563A74" w:rsidRPr="00563A74" w:rsidRDefault="00563A74" w:rsidP="00563A74">
            <w:pPr>
              <w:autoSpaceDE w:val="0"/>
              <w:autoSpaceDN w:val="0"/>
              <w:adjustRightInd w:val="0"/>
              <w:spacing w:after="0" w:line="240" w:lineRule="auto"/>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Băuturi nealcoolice</w:t>
            </w:r>
          </w:p>
        </w:tc>
        <w:tc>
          <w:tcPr>
            <w:tcW w:w="1843" w:type="dxa"/>
            <w:vAlign w:val="center"/>
          </w:tcPr>
          <w:p w:rsidR="00563A74" w:rsidRPr="00563A74" w:rsidRDefault="00563A74" w:rsidP="00563A74">
            <w:pPr>
              <w:autoSpaceDE w:val="0"/>
              <w:autoSpaceDN w:val="0"/>
              <w:adjustRightInd w:val="0"/>
              <w:spacing w:after="0" w:line="240" w:lineRule="auto"/>
              <w:jc w:val="center"/>
              <w:rPr>
                <w:rFonts w:ascii="Arial" w:eastAsiaTheme="minorEastAsia" w:hAnsi="Arial" w:cs="Arial"/>
                <w:color w:val="000000"/>
                <w:sz w:val="24"/>
                <w:szCs w:val="24"/>
                <w:lang w:val="ro-RO" w:eastAsia="ro-RO"/>
              </w:rPr>
            </w:pPr>
            <w:r w:rsidRPr="00563A74">
              <w:rPr>
                <w:rFonts w:ascii="Arial" w:eastAsiaTheme="minorEastAsia" w:hAnsi="Arial" w:cs="Arial"/>
                <w:color w:val="000000"/>
                <w:sz w:val="24"/>
                <w:szCs w:val="24"/>
                <w:lang w:val="ro-RO" w:eastAsia="ro-RO"/>
              </w:rPr>
              <w:t>Litri</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163,7</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148,8</w:t>
            </w:r>
          </w:p>
        </w:tc>
        <w:tc>
          <w:tcPr>
            <w:tcW w:w="851"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150,8</w:t>
            </w:r>
          </w:p>
        </w:tc>
        <w:tc>
          <w:tcPr>
            <w:tcW w:w="850" w:type="dxa"/>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154,4</w:t>
            </w:r>
          </w:p>
        </w:tc>
      </w:tr>
    </w:tbl>
    <w:p w:rsidR="00563A74" w:rsidRPr="00563A74" w:rsidRDefault="00563A74" w:rsidP="00563A74">
      <w:pPr>
        <w:spacing w:after="0" w:line="240" w:lineRule="auto"/>
        <w:jc w:val="both"/>
        <w:rPr>
          <w:rFonts w:ascii="Arial" w:eastAsia="SimSun" w:hAnsi="Arial" w:cs="Arial"/>
          <w:b/>
          <w:sz w:val="24"/>
          <w:szCs w:val="24"/>
          <w:lang w:val="en-GB"/>
        </w:rPr>
      </w:pPr>
      <w:r w:rsidRPr="00563A74">
        <w:rPr>
          <w:rFonts w:ascii="Arial" w:eastAsia="SimSun" w:hAnsi="Arial" w:cs="Arial"/>
          <w:b/>
          <w:sz w:val="24"/>
          <w:szCs w:val="24"/>
          <w:lang w:val="en-GB"/>
        </w:rPr>
        <w:t>Tabel XI.1.1.1 Consumurile medii anuale pentru principalele produse alimentare şi băuturi, la nivelul judeţului Buzău în perioada 2010-2013</w:t>
      </w:r>
    </w:p>
    <w:p w:rsidR="00563A74" w:rsidRPr="00563A74" w:rsidRDefault="00563A74" w:rsidP="00563A74">
      <w:pPr>
        <w:spacing w:after="0" w:line="240" w:lineRule="auto"/>
        <w:jc w:val="right"/>
        <w:rPr>
          <w:rFonts w:ascii="Arial" w:eastAsia="SimSun" w:hAnsi="Arial" w:cs="Arial"/>
          <w:sz w:val="24"/>
          <w:szCs w:val="24"/>
          <w:lang w:val="ro-RO"/>
        </w:rPr>
      </w:pPr>
      <w:r w:rsidRPr="00563A74">
        <w:rPr>
          <w:rFonts w:ascii="Arial" w:eastAsia="SimSun" w:hAnsi="Arial" w:cs="Arial"/>
          <w:sz w:val="24"/>
          <w:szCs w:val="24"/>
          <w:lang w:val="ro-RO"/>
        </w:rPr>
        <w:t xml:space="preserve">Sursa: INS            </w:t>
      </w:r>
    </w:p>
    <w:p w:rsidR="00563A74" w:rsidRPr="00563A74" w:rsidRDefault="00563A74" w:rsidP="00563A74">
      <w:pPr>
        <w:spacing w:after="0" w:line="240" w:lineRule="auto"/>
        <w:rPr>
          <w:rFonts w:ascii="Arial" w:eastAsia="SimSun" w:hAnsi="Arial" w:cs="Arial"/>
          <w:b/>
          <w:sz w:val="24"/>
          <w:szCs w:val="24"/>
          <w:lang w:val="ro-RO"/>
        </w:rPr>
      </w:pPr>
    </w:p>
    <w:p w:rsidR="00563A74" w:rsidRPr="00563A74" w:rsidRDefault="00563A74" w:rsidP="00563A74">
      <w:pPr>
        <w:spacing w:after="0" w:line="240" w:lineRule="auto"/>
        <w:rPr>
          <w:rFonts w:ascii="Arial" w:eastAsia="SimSun" w:hAnsi="Arial" w:cs="Arial"/>
          <w:b/>
          <w:sz w:val="24"/>
          <w:szCs w:val="24"/>
          <w:lang w:val="ro-RO"/>
        </w:rPr>
      </w:pPr>
    </w:p>
    <w:p w:rsidR="00563A74" w:rsidRPr="00563A74" w:rsidRDefault="00563A74" w:rsidP="00563A74">
      <w:pPr>
        <w:spacing w:after="0" w:line="240" w:lineRule="auto"/>
        <w:rPr>
          <w:rFonts w:ascii="Arial" w:eastAsia="SimSun" w:hAnsi="Arial" w:cs="Arial"/>
          <w:b/>
          <w:sz w:val="24"/>
          <w:szCs w:val="24"/>
          <w:lang w:val="ro-RO"/>
        </w:rPr>
      </w:pPr>
      <w:r w:rsidRPr="00563A74">
        <w:rPr>
          <w:rFonts w:ascii="Arial" w:eastAsia="SimSun" w:hAnsi="Arial" w:cs="Arial"/>
          <w:b/>
          <w:sz w:val="24"/>
          <w:szCs w:val="24"/>
          <w:lang w:val="ro-RO"/>
        </w:rPr>
        <w:lastRenderedPageBreak/>
        <w:t>XI.1.2 Locuinţe</w:t>
      </w:r>
    </w:p>
    <w:p w:rsidR="00563A74" w:rsidRPr="00563A74" w:rsidRDefault="00563A74" w:rsidP="00563A74">
      <w:pPr>
        <w:spacing w:after="0" w:line="240" w:lineRule="auto"/>
        <w:rPr>
          <w:rFonts w:ascii="Times New Roman" w:eastAsia="SimSun" w:hAnsi="Times New Roman"/>
          <w:i/>
          <w:lang w:val="ro-RO"/>
        </w:rPr>
      </w:pPr>
    </w:p>
    <w:p w:rsidR="00563A74" w:rsidRPr="00563A74" w:rsidRDefault="00563A74" w:rsidP="00563A74">
      <w:pPr>
        <w:spacing w:after="0" w:line="240" w:lineRule="auto"/>
        <w:rPr>
          <w:rFonts w:ascii="Arial" w:eastAsia="SimSun" w:hAnsi="Arial" w:cs="Arial"/>
          <w:sz w:val="24"/>
          <w:szCs w:val="24"/>
          <w:lang w:val="ro-RO"/>
        </w:rPr>
      </w:pPr>
      <w:r w:rsidRPr="00563A74">
        <w:rPr>
          <w:rFonts w:ascii="Arial" w:eastAsia="SimSun" w:hAnsi="Arial" w:cs="Arial"/>
          <w:sz w:val="24"/>
          <w:szCs w:val="24"/>
          <w:lang w:val="ro-RO"/>
        </w:rPr>
        <w:t xml:space="preserve">Locuinţa  este construcţia formată din una sau mai mute camere de locuit , independentă din punct de vedere functional </w:t>
      </w:r>
    </w:p>
    <w:p w:rsidR="00563A74" w:rsidRPr="00563A74" w:rsidRDefault="00563A74" w:rsidP="00563A74">
      <w:pPr>
        <w:spacing w:after="0" w:line="240" w:lineRule="auto"/>
        <w:rPr>
          <w:rFonts w:ascii="Arial" w:eastAsia="SimSun" w:hAnsi="Arial" w:cs="Arial"/>
          <w:sz w:val="24"/>
          <w:szCs w:val="24"/>
          <w:lang w:val="ro-RO"/>
        </w:rPr>
      </w:pPr>
      <w:r w:rsidRPr="00563A74">
        <w:rPr>
          <w:rFonts w:ascii="Arial" w:eastAsia="SimSun" w:hAnsi="Arial" w:cs="Arial"/>
          <w:sz w:val="24"/>
          <w:szCs w:val="24"/>
          <w:lang w:val="ro-RO"/>
        </w:rPr>
        <w:t xml:space="preserve"> </w:t>
      </w:r>
    </w:p>
    <w:p w:rsidR="00563A74" w:rsidRPr="00563A74" w:rsidRDefault="00563A74" w:rsidP="00563A74">
      <w:pPr>
        <w:spacing w:after="0" w:line="240" w:lineRule="auto"/>
        <w:rPr>
          <w:rFonts w:ascii="Arial" w:eastAsia="SimSun" w:hAnsi="Arial" w:cs="Arial"/>
          <w:b/>
          <w:sz w:val="24"/>
          <w:szCs w:val="24"/>
          <w:lang w:val="en-GB"/>
        </w:rPr>
      </w:pPr>
      <w:r w:rsidRPr="00563A74">
        <w:rPr>
          <w:rFonts w:ascii="Arial" w:eastAsia="SimSun" w:hAnsi="Arial" w:cs="Arial"/>
          <w:b/>
          <w:sz w:val="24"/>
          <w:szCs w:val="24"/>
          <w:lang w:val="en-GB"/>
        </w:rPr>
        <w:t>Tabel XI.1.2.1. Număr mediu de persoane pe locuinţă  în judeţul Buzău în perioada 2010-2014</w:t>
      </w:r>
    </w:p>
    <w:tbl>
      <w:tblPr>
        <w:tblStyle w:val="TableGrid5"/>
        <w:tblW w:w="0" w:type="auto"/>
        <w:jc w:val="center"/>
        <w:tblLook w:val="04A0"/>
      </w:tblPr>
      <w:tblGrid>
        <w:gridCol w:w="2322"/>
        <w:gridCol w:w="2322"/>
        <w:gridCol w:w="2322"/>
        <w:gridCol w:w="2322"/>
      </w:tblGrid>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Anul</w:t>
            </w:r>
          </w:p>
        </w:tc>
        <w:tc>
          <w:tcPr>
            <w:tcW w:w="2322" w:type="dxa"/>
            <w:vAlign w:val="center"/>
          </w:tcPr>
          <w:p w:rsidR="00563A74" w:rsidRPr="00563A74" w:rsidRDefault="00563A74" w:rsidP="00563A74">
            <w:pPr>
              <w:spacing w:after="0" w:line="240" w:lineRule="auto"/>
              <w:jc w:val="center"/>
              <w:rPr>
                <w:rFonts w:ascii="Arial" w:eastAsia="SimSun" w:hAnsi="Arial" w:cs="Arial"/>
                <w:b/>
                <w:lang w:val="ro-RO"/>
              </w:rPr>
            </w:pPr>
            <w:r w:rsidRPr="00563A74">
              <w:rPr>
                <w:rFonts w:ascii="Arial" w:eastAsia="SimSun" w:hAnsi="Arial" w:cs="Arial"/>
                <w:b/>
              </w:rPr>
              <w:t>Persoane/total gospod</w:t>
            </w:r>
            <w:r w:rsidRPr="00563A74">
              <w:rPr>
                <w:rFonts w:ascii="Arial" w:eastAsia="SimSun" w:hAnsi="Arial" w:cs="Arial"/>
                <w:b/>
                <w:lang w:val="ro-RO"/>
              </w:rPr>
              <w:t>ării</w:t>
            </w:r>
          </w:p>
        </w:tc>
        <w:tc>
          <w:tcPr>
            <w:tcW w:w="2322"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Persoane/total gospod</w:t>
            </w:r>
            <w:r w:rsidRPr="00563A74">
              <w:rPr>
                <w:rFonts w:ascii="Arial" w:eastAsia="SimSun" w:hAnsi="Arial" w:cs="Arial"/>
                <w:b/>
                <w:lang w:val="ro-RO"/>
              </w:rPr>
              <w:t>ării urban</w:t>
            </w:r>
          </w:p>
        </w:tc>
        <w:tc>
          <w:tcPr>
            <w:tcW w:w="2322"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Persoane/total gospod</w:t>
            </w:r>
            <w:r w:rsidRPr="00563A74">
              <w:rPr>
                <w:rFonts w:ascii="Arial" w:eastAsia="SimSun" w:hAnsi="Arial" w:cs="Arial"/>
                <w:b/>
                <w:lang w:val="ro-RO"/>
              </w:rPr>
              <w:t>ării rural</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2010</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2,58</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2,93</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2,34</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2011</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2,46</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2,77</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2,27</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2012</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2,44</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2,75</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2,25</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2013</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2,42</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2,73</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2,24</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2014</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2,4</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2,7</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2,21</w:t>
            </w:r>
          </w:p>
        </w:tc>
      </w:tr>
    </w:tbl>
    <w:p w:rsidR="00563A74" w:rsidRPr="00563A74" w:rsidRDefault="00563A74" w:rsidP="00563A74">
      <w:pPr>
        <w:spacing w:after="0" w:line="240" w:lineRule="auto"/>
        <w:jc w:val="both"/>
        <w:rPr>
          <w:rFonts w:ascii="Arial" w:eastAsia="SimSun" w:hAnsi="Arial" w:cs="Arial"/>
          <w:bCs/>
          <w:sz w:val="24"/>
          <w:szCs w:val="24"/>
          <w:lang w:val="en-GB"/>
        </w:rPr>
      </w:pPr>
      <w:r w:rsidRPr="00563A74">
        <w:rPr>
          <w:rFonts w:ascii="Arial" w:eastAsia="SimSun" w:hAnsi="Arial" w:cs="Arial"/>
          <w:bCs/>
          <w:sz w:val="24"/>
          <w:szCs w:val="24"/>
          <w:lang w:val="en-GB"/>
        </w:rPr>
        <w:t xml:space="preserve">                                                  Sursa datelor :Direcţia Judeţeană de Statistică Buzău</w:t>
      </w:r>
    </w:p>
    <w:p w:rsidR="00563A74" w:rsidRPr="00563A74" w:rsidRDefault="00563A74" w:rsidP="00563A74">
      <w:pPr>
        <w:shd w:val="clear" w:color="auto" w:fill="FFFFFF" w:themeFill="background1"/>
        <w:spacing w:after="0" w:line="240" w:lineRule="auto"/>
        <w:rPr>
          <w:rFonts w:ascii="Arial" w:eastAsia="SimSun" w:hAnsi="Arial" w:cs="Arial"/>
          <w:sz w:val="24"/>
          <w:szCs w:val="24"/>
        </w:rPr>
      </w:pPr>
    </w:p>
    <w:p w:rsidR="00563A74" w:rsidRPr="00563A74" w:rsidRDefault="00563A74" w:rsidP="00563A74">
      <w:pPr>
        <w:spacing w:after="0" w:line="240" w:lineRule="auto"/>
        <w:rPr>
          <w:rFonts w:ascii="Arial" w:eastAsia="SimSun" w:hAnsi="Arial" w:cs="Arial"/>
          <w:b/>
          <w:sz w:val="24"/>
          <w:szCs w:val="24"/>
          <w:lang w:val="en-GB"/>
        </w:rPr>
      </w:pPr>
    </w:p>
    <w:p w:rsidR="00563A74" w:rsidRPr="00563A74" w:rsidRDefault="00563A74" w:rsidP="00563A74">
      <w:pPr>
        <w:spacing w:after="0" w:line="240" w:lineRule="auto"/>
        <w:rPr>
          <w:rFonts w:ascii="Arial" w:eastAsia="SimSun" w:hAnsi="Arial" w:cs="Arial"/>
          <w:b/>
          <w:sz w:val="24"/>
          <w:szCs w:val="24"/>
          <w:lang w:val="en-GB"/>
        </w:rPr>
      </w:pPr>
      <w:r w:rsidRPr="00563A74">
        <w:rPr>
          <w:rFonts w:ascii="Arial" w:eastAsia="SimSun" w:hAnsi="Arial" w:cs="Arial"/>
          <w:b/>
          <w:sz w:val="24"/>
          <w:szCs w:val="24"/>
          <w:lang w:val="en-GB"/>
        </w:rPr>
        <w:t>Figura XI.1.2.1. Număr mediu de persoane pe locuinţă  în judeţul Buzău în perioada 2010-2014</w:t>
      </w:r>
    </w:p>
    <w:p w:rsidR="00563A74" w:rsidRPr="00563A74" w:rsidRDefault="00563A74" w:rsidP="00563A74">
      <w:pPr>
        <w:spacing w:after="0" w:line="240" w:lineRule="auto"/>
        <w:jc w:val="center"/>
        <w:rPr>
          <w:rFonts w:ascii="Arial" w:eastAsia="SimSun" w:hAnsi="Arial" w:cs="Arial"/>
          <w:sz w:val="24"/>
          <w:szCs w:val="24"/>
        </w:rPr>
      </w:pPr>
      <w:r w:rsidRPr="00563A74">
        <w:rPr>
          <w:rFonts w:ascii="Arial" w:eastAsia="SimSun" w:hAnsi="Arial" w:cs="Arial"/>
          <w:noProof/>
          <w:sz w:val="24"/>
          <w:szCs w:val="24"/>
          <w:lang w:val="ro-RO" w:eastAsia="ro-RO"/>
        </w:rPr>
        <w:drawing>
          <wp:inline distT="0" distB="0" distL="0" distR="0">
            <wp:extent cx="5486400" cy="3200400"/>
            <wp:effectExtent l="19050" t="0" r="19050" b="0"/>
            <wp:docPr id="2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563A74" w:rsidRPr="00563A74" w:rsidRDefault="00563A74" w:rsidP="00563A74">
      <w:pPr>
        <w:spacing w:after="0" w:line="240" w:lineRule="auto"/>
        <w:rPr>
          <w:rFonts w:ascii="Arial" w:eastAsia="SimSun" w:hAnsi="Arial" w:cs="Arial"/>
          <w:sz w:val="24"/>
          <w:szCs w:val="24"/>
          <w:lang w:val="en-GB"/>
        </w:rPr>
      </w:pPr>
      <w:r w:rsidRPr="00563A74">
        <w:rPr>
          <w:rFonts w:ascii="Arial" w:eastAsia="SimSun" w:hAnsi="Arial" w:cs="Arial"/>
          <w:sz w:val="24"/>
          <w:szCs w:val="24"/>
          <w:lang w:val="en-GB"/>
        </w:rPr>
        <w:t xml:space="preserve">                                      </w:t>
      </w:r>
      <w:r w:rsidRPr="00563A74">
        <w:rPr>
          <w:rFonts w:ascii="Arial" w:eastAsia="SimSun" w:hAnsi="Arial" w:cs="Arial"/>
          <w:bCs/>
          <w:sz w:val="24"/>
          <w:szCs w:val="24"/>
          <w:lang w:val="en-GB"/>
        </w:rPr>
        <w:t>Sursa datelor : Direcţia Judeţeană de Statistică Buzău</w:t>
      </w:r>
    </w:p>
    <w:p w:rsidR="00563A74" w:rsidRPr="00563A74" w:rsidRDefault="00563A74" w:rsidP="00563A74">
      <w:pPr>
        <w:spacing w:after="0" w:line="240" w:lineRule="auto"/>
        <w:rPr>
          <w:rFonts w:ascii="Arial" w:eastAsia="SimSun" w:hAnsi="Arial" w:cs="Arial"/>
          <w:sz w:val="24"/>
          <w:szCs w:val="24"/>
          <w:lang w:val="en-GB"/>
        </w:rPr>
      </w:pPr>
    </w:p>
    <w:p w:rsidR="00563A74" w:rsidRPr="00563A74" w:rsidRDefault="00563A74" w:rsidP="00563A74">
      <w:pPr>
        <w:spacing w:after="0" w:line="240" w:lineRule="auto"/>
        <w:rPr>
          <w:rFonts w:ascii="Arial" w:eastAsia="SimSun" w:hAnsi="Arial" w:cs="Arial"/>
          <w:b/>
          <w:sz w:val="24"/>
          <w:szCs w:val="24"/>
          <w:lang w:val="en-GB"/>
        </w:rPr>
      </w:pPr>
    </w:p>
    <w:p w:rsidR="00563A74" w:rsidRPr="00563A74" w:rsidRDefault="00563A74" w:rsidP="00563A74">
      <w:pPr>
        <w:spacing w:after="0" w:line="240" w:lineRule="auto"/>
        <w:rPr>
          <w:rFonts w:ascii="Arial" w:eastAsia="SimSun" w:hAnsi="Arial" w:cs="Arial"/>
          <w:b/>
          <w:sz w:val="24"/>
          <w:szCs w:val="24"/>
          <w:lang w:val="ro-RO"/>
        </w:rPr>
      </w:pPr>
      <w:r w:rsidRPr="00563A74">
        <w:rPr>
          <w:rFonts w:ascii="Arial" w:eastAsia="SimSun" w:hAnsi="Arial" w:cs="Arial"/>
          <w:b/>
          <w:sz w:val="24"/>
          <w:szCs w:val="24"/>
          <w:lang w:val="en-GB"/>
        </w:rPr>
        <w:t>Tabel XI.1.2.2. Consumul de energie electrică în gospodării  în judeţul Buzău în p</w:t>
      </w:r>
      <w:r w:rsidRPr="00563A74">
        <w:rPr>
          <w:rFonts w:ascii="Arial" w:eastAsia="SimSun" w:hAnsi="Arial" w:cs="Arial"/>
          <w:b/>
          <w:sz w:val="24"/>
          <w:szCs w:val="24"/>
          <w:lang w:val="en-GB"/>
        </w:rPr>
        <w:t>e</w:t>
      </w:r>
      <w:r w:rsidRPr="00563A74">
        <w:rPr>
          <w:rFonts w:ascii="Arial" w:eastAsia="SimSun" w:hAnsi="Arial" w:cs="Arial"/>
          <w:b/>
          <w:sz w:val="24"/>
          <w:szCs w:val="24"/>
          <w:lang w:val="en-GB"/>
        </w:rPr>
        <w:t xml:space="preserve">rioada 2010-2013 </w:t>
      </w:r>
      <w:r w:rsidRPr="00563A74">
        <w:rPr>
          <w:rFonts w:ascii="Arial" w:eastAsia="SimSun" w:hAnsi="Arial" w:cs="Arial"/>
          <w:b/>
          <w:sz w:val="24"/>
          <w:szCs w:val="24"/>
        </w:rPr>
        <w:t xml:space="preserve">( MWh </w:t>
      </w:r>
      <w:r w:rsidRPr="00563A74">
        <w:rPr>
          <w:rFonts w:ascii="Arial" w:eastAsia="SimSun" w:hAnsi="Arial" w:cs="Arial"/>
          <w:b/>
          <w:sz w:val="24"/>
          <w:szCs w:val="24"/>
          <w:lang w:val="ro-RO"/>
        </w:rPr>
        <w:t xml:space="preserve"> şi  mii tep)</w:t>
      </w:r>
    </w:p>
    <w:tbl>
      <w:tblPr>
        <w:tblStyle w:val="TableGrid5"/>
        <w:tblW w:w="0" w:type="auto"/>
        <w:tblLook w:val="04A0"/>
      </w:tblPr>
      <w:tblGrid>
        <w:gridCol w:w="3096"/>
        <w:gridCol w:w="3096"/>
        <w:gridCol w:w="3096"/>
      </w:tblGrid>
      <w:tr w:rsidR="00563A74" w:rsidRPr="00563A74" w:rsidTr="00D92384">
        <w:tc>
          <w:tcPr>
            <w:tcW w:w="3096"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Anul</w:t>
            </w:r>
          </w:p>
        </w:tc>
        <w:tc>
          <w:tcPr>
            <w:tcW w:w="3096"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MWh</w:t>
            </w:r>
          </w:p>
        </w:tc>
        <w:tc>
          <w:tcPr>
            <w:tcW w:w="3096"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mii tep</w:t>
            </w:r>
          </w:p>
        </w:tc>
      </w:tr>
      <w:tr w:rsidR="00563A74" w:rsidRPr="00563A74" w:rsidTr="00D92384">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2010</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99194,04</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8124</w:t>
            </w:r>
          </w:p>
        </w:tc>
      </w:tr>
      <w:tr w:rsidR="00563A74" w:rsidRPr="00563A74" w:rsidTr="00D92384">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2011</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96251,43</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7883</w:t>
            </w:r>
          </w:p>
        </w:tc>
      </w:tr>
      <w:tr w:rsidR="00563A74" w:rsidRPr="00563A74" w:rsidTr="00D92384">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2012</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98839,95</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8095</w:t>
            </w:r>
          </w:p>
        </w:tc>
      </w:tr>
      <w:tr w:rsidR="00563A74" w:rsidRPr="00563A74" w:rsidTr="00D92384">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2013</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94603,08</w:t>
            </w:r>
          </w:p>
        </w:tc>
        <w:tc>
          <w:tcPr>
            <w:tcW w:w="3096"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7748</w:t>
            </w:r>
          </w:p>
        </w:tc>
      </w:tr>
    </w:tbl>
    <w:p w:rsidR="00563A74" w:rsidRPr="00563A74" w:rsidRDefault="00563A74" w:rsidP="00563A74">
      <w:pPr>
        <w:spacing w:after="0" w:line="240" w:lineRule="auto"/>
        <w:rPr>
          <w:rFonts w:ascii="Arial" w:eastAsia="SimSun" w:hAnsi="Arial" w:cs="Arial"/>
          <w:sz w:val="24"/>
          <w:szCs w:val="24"/>
        </w:rPr>
      </w:pPr>
      <w:r w:rsidRPr="00563A74">
        <w:rPr>
          <w:rFonts w:ascii="Arial" w:eastAsia="SimSun" w:hAnsi="Arial" w:cs="Arial"/>
          <w:bCs/>
          <w:sz w:val="24"/>
          <w:szCs w:val="24"/>
          <w:lang w:val="en-GB"/>
        </w:rPr>
        <w:t xml:space="preserve">                                                  Sursa datelor :Direcţia Judeţeană de Statistică Buzău</w:t>
      </w:r>
    </w:p>
    <w:p w:rsidR="00563A74" w:rsidRPr="00563A74" w:rsidRDefault="00563A74" w:rsidP="00563A74">
      <w:pPr>
        <w:spacing w:after="0" w:line="240" w:lineRule="auto"/>
        <w:rPr>
          <w:rFonts w:ascii="Arial" w:eastAsia="SimSun" w:hAnsi="Arial" w:cs="Arial"/>
          <w:sz w:val="24"/>
          <w:szCs w:val="24"/>
        </w:rPr>
      </w:pPr>
    </w:p>
    <w:p w:rsidR="00563A74" w:rsidRPr="00563A74" w:rsidRDefault="00563A74" w:rsidP="00563A74">
      <w:pPr>
        <w:spacing w:after="0" w:line="240" w:lineRule="auto"/>
        <w:rPr>
          <w:rFonts w:ascii="Arial" w:eastAsia="SimSun" w:hAnsi="Arial" w:cs="Arial"/>
          <w:sz w:val="24"/>
          <w:szCs w:val="24"/>
          <w:lang w:val="ro-RO"/>
        </w:rPr>
      </w:pPr>
      <w:r w:rsidRPr="00563A74">
        <w:rPr>
          <w:rFonts w:ascii="Arial" w:eastAsia="SimSun" w:hAnsi="Arial" w:cs="Arial"/>
          <w:b/>
          <w:sz w:val="24"/>
          <w:szCs w:val="24"/>
        </w:rPr>
        <w:lastRenderedPageBreak/>
        <w:t xml:space="preserve">Figura XI .1.2.2 </w:t>
      </w:r>
      <w:r w:rsidRPr="00563A74">
        <w:rPr>
          <w:rFonts w:ascii="Arial" w:eastAsia="SimSun" w:hAnsi="Arial" w:cs="Arial"/>
          <w:b/>
          <w:sz w:val="24"/>
          <w:szCs w:val="24"/>
          <w:lang w:val="en-GB"/>
        </w:rPr>
        <w:t xml:space="preserve">Consumul de energie electrică în gospodării </w:t>
      </w:r>
      <w:r w:rsidRPr="00563A74">
        <w:rPr>
          <w:rFonts w:ascii="Arial" w:eastAsia="SimSun" w:hAnsi="Arial" w:cs="Arial"/>
          <w:b/>
          <w:sz w:val="24"/>
          <w:szCs w:val="24"/>
        </w:rPr>
        <w:t xml:space="preserve">( MWh </w:t>
      </w:r>
      <w:r w:rsidRPr="00563A74">
        <w:rPr>
          <w:rFonts w:ascii="Arial" w:eastAsia="SimSun" w:hAnsi="Arial" w:cs="Arial"/>
          <w:b/>
          <w:sz w:val="24"/>
          <w:szCs w:val="24"/>
          <w:lang w:val="ro-RO"/>
        </w:rPr>
        <w:t xml:space="preserve"> şi  mii tep) </w:t>
      </w:r>
      <w:r w:rsidRPr="00563A74">
        <w:rPr>
          <w:rFonts w:ascii="Arial" w:eastAsia="SimSun" w:hAnsi="Arial" w:cs="Arial"/>
          <w:b/>
          <w:sz w:val="24"/>
          <w:szCs w:val="24"/>
          <w:lang w:val="en-GB"/>
        </w:rPr>
        <w:t>în judeţul Buzău în perioada 2010-2014</w:t>
      </w:r>
      <w:r w:rsidRPr="00563A74">
        <w:rPr>
          <w:rFonts w:ascii="Arial" w:eastAsia="SimSun" w:hAnsi="Arial" w:cs="Arial"/>
          <w:sz w:val="24"/>
          <w:szCs w:val="24"/>
        </w:rPr>
        <w:tab/>
      </w:r>
      <w:r w:rsidRPr="00563A74">
        <w:rPr>
          <w:rFonts w:ascii="Arial" w:eastAsia="SimSun" w:hAnsi="Arial" w:cs="Arial"/>
          <w:noProof/>
          <w:sz w:val="24"/>
          <w:szCs w:val="24"/>
          <w:lang w:val="ro-RO" w:eastAsia="ro-RO"/>
        </w:rPr>
        <w:drawing>
          <wp:inline distT="0" distB="0" distL="0" distR="0">
            <wp:extent cx="5486400" cy="2752725"/>
            <wp:effectExtent l="19050" t="0" r="19050" b="0"/>
            <wp:docPr id="2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563A74" w:rsidRPr="00563A74" w:rsidRDefault="00563A74" w:rsidP="00563A74">
      <w:pPr>
        <w:tabs>
          <w:tab w:val="left" w:pos="960"/>
        </w:tabs>
        <w:spacing w:after="0" w:line="240" w:lineRule="auto"/>
        <w:rPr>
          <w:rFonts w:ascii="Arial" w:eastAsia="SimSun" w:hAnsi="Arial" w:cs="Arial"/>
          <w:sz w:val="24"/>
          <w:szCs w:val="24"/>
        </w:rPr>
      </w:pPr>
      <w:r w:rsidRPr="00563A74">
        <w:rPr>
          <w:rFonts w:ascii="Arial" w:eastAsia="SimSun" w:hAnsi="Arial" w:cs="Arial"/>
          <w:sz w:val="24"/>
          <w:szCs w:val="24"/>
        </w:rPr>
        <w:t xml:space="preserve">                                                </w:t>
      </w:r>
      <w:r w:rsidRPr="00563A74">
        <w:rPr>
          <w:rFonts w:ascii="Arial" w:eastAsia="SimSun" w:hAnsi="Arial" w:cs="Arial"/>
          <w:bCs/>
          <w:sz w:val="24"/>
          <w:szCs w:val="24"/>
          <w:lang w:val="en-GB"/>
        </w:rPr>
        <w:t>Sursa datelor :Direcţia Judeţeană de Statistică Buzău</w:t>
      </w:r>
    </w:p>
    <w:p w:rsidR="00563A74" w:rsidRPr="00563A74" w:rsidRDefault="00563A74" w:rsidP="00563A74">
      <w:pPr>
        <w:tabs>
          <w:tab w:val="left" w:pos="960"/>
        </w:tabs>
        <w:spacing w:after="0" w:line="240" w:lineRule="auto"/>
        <w:rPr>
          <w:rFonts w:ascii="Arial" w:eastAsia="SimSun" w:hAnsi="Arial" w:cs="Arial"/>
          <w:sz w:val="24"/>
          <w:szCs w:val="24"/>
        </w:rPr>
      </w:pPr>
    </w:p>
    <w:p w:rsidR="00563A74" w:rsidRPr="00563A74" w:rsidRDefault="00563A74" w:rsidP="00563A74">
      <w:pPr>
        <w:tabs>
          <w:tab w:val="left" w:pos="960"/>
        </w:tabs>
        <w:spacing w:after="0" w:line="240" w:lineRule="auto"/>
        <w:rPr>
          <w:rFonts w:ascii="Arial" w:eastAsia="SimSun" w:hAnsi="Arial" w:cs="Arial"/>
          <w:b/>
          <w:sz w:val="24"/>
          <w:szCs w:val="24"/>
        </w:rPr>
      </w:pPr>
      <w:r w:rsidRPr="00563A74">
        <w:rPr>
          <w:rFonts w:ascii="Arial" w:eastAsia="SimSun" w:hAnsi="Arial" w:cs="Arial"/>
          <w:b/>
          <w:sz w:val="24"/>
          <w:szCs w:val="24"/>
        </w:rPr>
        <w:t>Tabelul XI .1.2.3. Cheltuielile de consum medii pe o persoană în judeţul Buzău în p</w:t>
      </w:r>
      <w:r w:rsidRPr="00563A74">
        <w:rPr>
          <w:rFonts w:ascii="Arial" w:eastAsia="SimSun" w:hAnsi="Arial" w:cs="Arial"/>
          <w:b/>
          <w:sz w:val="24"/>
          <w:szCs w:val="24"/>
        </w:rPr>
        <w:t>e</w:t>
      </w:r>
      <w:r w:rsidRPr="00563A74">
        <w:rPr>
          <w:rFonts w:ascii="Arial" w:eastAsia="SimSun" w:hAnsi="Arial" w:cs="Arial"/>
          <w:b/>
          <w:sz w:val="24"/>
          <w:szCs w:val="24"/>
        </w:rPr>
        <w:t>rioada 2010-2014</w:t>
      </w:r>
    </w:p>
    <w:tbl>
      <w:tblPr>
        <w:tblStyle w:val="TableGrid5"/>
        <w:tblW w:w="0" w:type="auto"/>
        <w:jc w:val="center"/>
        <w:tblLook w:val="04A0"/>
      </w:tblPr>
      <w:tblGrid>
        <w:gridCol w:w="2322"/>
        <w:gridCol w:w="2322"/>
        <w:gridCol w:w="2322"/>
        <w:gridCol w:w="2322"/>
      </w:tblGrid>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Anul</w:t>
            </w:r>
          </w:p>
        </w:tc>
        <w:tc>
          <w:tcPr>
            <w:tcW w:w="2322"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Total cheltuieli pe gospodarie</w:t>
            </w:r>
          </w:p>
        </w:tc>
        <w:tc>
          <w:tcPr>
            <w:tcW w:w="2322"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Total cheltuieli pe gospodarie în m</w:t>
            </w:r>
            <w:r w:rsidRPr="00563A74">
              <w:rPr>
                <w:rFonts w:ascii="Arial" w:eastAsia="SimSun" w:hAnsi="Arial" w:cs="Arial"/>
                <w:b/>
              </w:rPr>
              <w:t>e</w:t>
            </w:r>
            <w:r w:rsidRPr="00563A74">
              <w:rPr>
                <w:rFonts w:ascii="Arial" w:eastAsia="SimSun" w:hAnsi="Arial" w:cs="Arial"/>
                <w:b/>
              </w:rPr>
              <w:t>diul urban</w:t>
            </w:r>
          </w:p>
        </w:tc>
        <w:tc>
          <w:tcPr>
            <w:tcW w:w="2322" w:type="dxa"/>
            <w:vAlign w:val="center"/>
          </w:tcPr>
          <w:p w:rsidR="00563A74" w:rsidRPr="00563A74" w:rsidRDefault="00563A74" w:rsidP="00563A74">
            <w:pPr>
              <w:spacing w:after="0" w:line="240" w:lineRule="auto"/>
              <w:jc w:val="center"/>
              <w:rPr>
                <w:rFonts w:ascii="Arial" w:eastAsia="SimSun" w:hAnsi="Arial" w:cs="Arial"/>
                <w:b/>
              </w:rPr>
            </w:pPr>
            <w:r w:rsidRPr="00563A74">
              <w:rPr>
                <w:rFonts w:ascii="Arial" w:eastAsia="SimSun" w:hAnsi="Arial" w:cs="Arial"/>
                <w:b/>
              </w:rPr>
              <w:t>Total cheltuieli pe gospodarie în m</w:t>
            </w:r>
            <w:r w:rsidRPr="00563A74">
              <w:rPr>
                <w:rFonts w:ascii="Arial" w:eastAsia="SimSun" w:hAnsi="Arial" w:cs="Arial"/>
                <w:b/>
              </w:rPr>
              <w:t>e</w:t>
            </w:r>
            <w:r w:rsidRPr="00563A74">
              <w:rPr>
                <w:rFonts w:ascii="Arial" w:eastAsia="SimSun" w:hAnsi="Arial" w:cs="Arial"/>
                <w:b/>
              </w:rPr>
              <w:t>diul rural</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2010</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2488,62</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1538,08</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950,54</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2011</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2562,26</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1574,44</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987,82</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2012</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2690,67</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1639,29</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1052,38</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2013</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2793,13</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1725,58</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1067,55</w:t>
            </w:r>
          </w:p>
        </w:tc>
      </w:tr>
      <w:tr w:rsidR="00563A74" w:rsidRPr="00563A74" w:rsidTr="00D92384">
        <w:trPr>
          <w:jc w:val="center"/>
        </w:trPr>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2014</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2761,3</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1689,68</w:t>
            </w:r>
          </w:p>
        </w:tc>
        <w:tc>
          <w:tcPr>
            <w:tcW w:w="2322" w:type="dxa"/>
            <w:vAlign w:val="center"/>
          </w:tcPr>
          <w:p w:rsidR="00563A74" w:rsidRPr="00563A74" w:rsidRDefault="00563A74" w:rsidP="00563A74">
            <w:pPr>
              <w:spacing w:after="0" w:line="240" w:lineRule="auto"/>
              <w:jc w:val="center"/>
              <w:rPr>
                <w:rFonts w:ascii="Arial" w:eastAsia="SimSun" w:hAnsi="Arial" w:cs="Arial"/>
              </w:rPr>
            </w:pPr>
            <w:r w:rsidRPr="00563A74">
              <w:rPr>
                <w:rFonts w:ascii="Arial" w:eastAsia="SimSun" w:hAnsi="Arial" w:cs="Arial"/>
              </w:rPr>
              <w:t>1071,62</w:t>
            </w:r>
          </w:p>
        </w:tc>
      </w:tr>
    </w:tbl>
    <w:p w:rsidR="00563A74" w:rsidRPr="00563A74" w:rsidRDefault="00563A74" w:rsidP="00563A74">
      <w:pPr>
        <w:tabs>
          <w:tab w:val="left" w:pos="960"/>
        </w:tabs>
        <w:spacing w:after="0" w:line="240" w:lineRule="auto"/>
        <w:rPr>
          <w:rFonts w:ascii="Arial" w:eastAsia="SimSun" w:hAnsi="Arial" w:cs="Arial"/>
          <w:sz w:val="24"/>
          <w:szCs w:val="24"/>
        </w:rPr>
      </w:pPr>
      <w:r w:rsidRPr="00563A74">
        <w:rPr>
          <w:rFonts w:ascii="Arial" w:eastAsia="SimSun" w:hAnsi="Arial" w:cs="Arial"/>
          <w:sz w:val="24"/>
          <w:szCs w:val="24"/>
        </w:rPr>
        <w:t xml:space="preserve">                                                </w:t>
      </w:r>
      <w:r w:rsidRPr="00563A74">
        <w:rPr>
          <w:rFonts w:ascii="Arial" w:eastAsia="SimSun" w:hAnsi="Arial" w:cs="Arial"/>
          <w:bCs/>
          <w:sz w:val="24"/>
          <w:szCs w:val="24"/>
          <w:lang w:val="en-GB"/>
        </w:rPr>
        <w:t>Sursa datelor :Direcţia Judeţeană de Statistică Buzău</w:t>
      </w:r>
    </w:p>
    <w:p w:rsidR="00563A74" w:rsidRPr="00563A74" w:rsidRDefault="00563A74" w:rsidP="00563A74">
      <w:pPr>
        <w:spacing w:after="0" w:line="240" w:lineRule="auto"/>
        <w:ind w:firstLine="708"/>
        <w:rPr>
          <w:rFonts w:ascii="Arial" w:eastAsia="SimSun" w:hAnsi="Arial" w:cs="Arial"/>
          <w:sz w:val="24"/>
          <w:szCs w:val="24"/>
        </w:rPr>
      </w:pPr>
    </w:p>
    <w:p w:rsidR="00563A74" w:rsidRPr="00563A74" w:rsidRDefault="00563A74" w:rsidP="00563A74">
      <w:pPr>
        <w:tabs>
          <w:tab w:val="left" w:pos="960"/>
        </w:tabs>
        <w:spacing w:after="0" w:line="240" w:lineRule="auto"/>
        <w:rPr>
          <w:rFonts w:ascii="Arial" w:eastAsia="SimSun" w:hAnsi="Arial" w:cs="Arial"/>
          <w:b/>
          <w:sz w:val="24"/>
          <w:szCs w:val="24"/>
        </w:rPr>
      </w:pPr>
      <w:r w:rsidRPr="00563A74">
        <w:rPr>
          <w:rFonts w:ascii="Arial" w:eastAsia="SimSun" w:hAnsi="Arial" w:cs="Arial"/>
          <w:b/>
          <w:sz w:val="24"/>
          <w:szCs w:val="24"/>
        </w:rPr>
        <w:t>Figura  XI .1.2.3. Cheltuielile de consum medii pe o persoană în judeţul Buzău în p</w:t>
      </w:r>
      <w:r w:rsidRPr="00563A74">
        <w:rPr>
          <w:rFonts w:ascii="Arial" w:eastAsia="SimSun" w:hAnsi="Arial" w:cs="Arial"/>
          <w:b/>
          <w:sz w:val="24"/>
          <w:szCs w:val="24"/>
        </w:rPr>
        <w:t>e</w:t>
      </w:r>
      <w:r w:rsidRPr="00563A74">
        <w:rPr>
          <w:rFonts w:ascii="Arial" w:eastAsia="SimSun" w:hAnsi="Arial" w:cs="Arial"/>
          <w:b/>
          <w:sz w:val="24"/>
          <w:szCs w:val="24"/>
        </w:rPr>
        <w:t>rioada 2010-2014</w:t>
      </w:r>
    </w:p>
    <w:p w:rsidR="00563A74" w:rsidRPr="00563A74" w:rsidRDefault="00563A74" w:rsidP="00563A74">
      <w:pPr>
        <w:spacing w:after="0" w:line="240" w:lineRule="auto"/>
        <w:jc w:val="center"/>
        <w:rPr>
          <w:rFonts w:ascii="Arial" w:eastAsia="SimSun" w:hAnsi="Arial" w:cs="Arial"/>
          <w:sz w:val="24"/>
          <w:szCs w:val="24"/>
        </w:rPr>
      </w:pPr>
      <w:r w:rsidRPr="00563A74">
        <w:rPr>
          <w:rFonts w:ascii="Arial" w:eastAsia="SimSun" w:hAnsi="Arial" w:cs="Arial"/>
          <w:noProof/>
          <w:sz w:val="24"/>
          <w:szCs w:val="24"/>
          <w:lang w:val="ro-RO" w:eastAsia="ro-RO"/>
        </w:rPr>
        <w:drawing>
          <wp:inline distT="0" distB="0" distL="0" distR="0">
            <wp:extent cx="5486400" cy="3200400"/>
            <wp:effectExtent l="19050" t="0" r="19050" b="0"/>
            <wp:docPr id="25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563A74" w:rsidRPr="00563A74" w:rsidRDefault="00563A74" w:rsidP="00563A74">
      <w:pPr>
        <w:tabs>
          <w:tab w:val="left" w:pos="960"/>
        </w:tabs>
        <w:spacing w:after="0" w:line="240" w:lineRule="auto"/>
        <w:rPr>
          <w:rFonts w:ascii="Arial" w:eastAsia="SimSun" w:hAnsi="Arial" w:cs="Arial"/>
          <w:sz w:val="24"/>
          <w:szCs w:val="24"/>
        </w:rPr>
      </w:pPr>
      <w:r w:rsidRPr="00563A74">
        <w:rPr>
          <w:rFonts w:ascii="Arial" w:eastAsia="SimSun" w:hAnsi="Arial" w:cs="Arial"/>
          <w:sz w:val="24"/>
          <w:szCs w:val="24"/>
        </w:rPr>
        <w:t xml:space="preserve">                                                </w:t>
      </w:r>
      <w:r w:rsidRPr="00563A74">
        <w:rPr>
          <w:rFonts w:ascii="Arial" w:eastAsia="SimSun" w:hAnsi="Arial" w:cs="Arial"/>
          <w:bCs/>
          <w:sz w:val="24"/>
          <w:szCs w:val="24"/>
          <w:lang w:val="en-GB"/>
        </w:rPr>
        <w:t>Sursa datelor :Direcţia Judeţeană de Statistică Buzău</w:t>
      </w:r>
    </w:p>
    <w:p w:rsidR="00563A74" w:rsidRPr="00563A74" w:rsidRDefault="00563A74" w:rsidP="00563A74">
      <w:pPr>
        <w:spacing w:after="0" w:line="240" w:lineRule="auto"/>
        <w:ind w:firstLine="708"/>
        <w:rPr>
          <w:rFonts w:ascii="Arial" w:eastAsia="SimSun" w:hAnsi="Arial" w:cs="Arial"/>
          <w:sz w:val="24"/>
          <w:szCs w:val="24"/>
        </w:rPr>
      </w:pPr>
    </w:p>
    <w:p w:rsidR="00563A74" w:rsidRPr="00563A74" w:rsidRDefault="00563A74" w:rsidP="00563A74">
      <w:pPr>
        <w:spacing w:after="0" w:line="240" w:lineRule="auto"/>
        <w:jc w:val="both"/>
        <w:rPr>
          <w:rFonts w:ascii="Arial" w:eastAsia="SimSun" w:hAnsi="Arial" w:cs="Arial"/>
          <w:b/>
          <w:sz w:val="24"/>
          <w:szCs w:val="24"/>
          <w:lang w:val="ro-RO"/>
        </w:rPr>
      </w:pPr>
      <w:r w:rsidRPr="00563A74">
        <w:rPr>
          <w:rFonts w:ascii="Arial" w:eastAsia="SimSun" w:hAnsi="Arial" w:cs="Arial"/>
          <w:b/>
          <w:sz w:val="24"/>
          <w:szCs w:val="24"/>
          <w:lang w:val="ro-RO"/>
        </w:rPr>
        <w:lastRenderedPageBreak/>
        <w:t>XI.1.3. Mobilitate</w:t>
      </w:r>
    </w:p>
    <w:p w:rsidR="00563A74" w:rsidRPr="00563A74" w:rsidRDefault="00563A74" w:rsidP="00563A74">
      <w:pPr>
        <w:spacing w:after="0" w:line="240" w:lineRule="auto"/>
        <w:jc w:val="both"/>
        <w:rPr>
          <w:rFonts w:ascii="Arial" w:eastAsia="SimSun" w:hAnsi="Arial" w:cs="Arial"/>
          <w:sz w:val="24"/>
          <w:szCs w:val="24"/>
          <w:lang w:val="ro-RO"/>
        </w:rPr>
      </w:pPr>
      <w:r w:rsidRPr="00563A74">
        <w:rPr>
          <w:rFonts w:ascii="Arial" w:eastAsia="SimSun" w:hAnsi="Arial" w:cs="Arial"/>
          <w:sz w:val="24"/>
          <w:szCs w:val="24"/>
          <w:lang w:val="ro-RO"/>
        </w:rPr>
        <w:t>Activitatea de transport este una dintre principalele surse de emisii de gaze cu efect de seră şi, de asemenea, dă naştere la poluarea semnificativă a aerului şi la zgomot, care pot afecta grav sănătatea umană şi ecosistemele</w:t>
      </w:r>
    </w:p>
    <w:p w:rsidR="00563A74" w:rsidRPr="00563A74" w:rsidRDefault="00563A74" w:rsidP="00563A74">
      <w:pPr>
        <w:spacing w:after="0" w:line="240" w:lineRule="auto"/>
        <w:jc w:val="both"/>
        <w:rPr>
          <w:rFonts w:ascii="Arial" w:eastAsia="SimSun" w:hAnsi="Arial" w:cs="Arial"/>
          <w:sz w:val="24"/>
          <w:szCs w:val="24"/>
          <w:lang w:val="ro-RO"/>
        </w:rPr>
      </w:pPr>
    </w:p>
    <w:p w:rsidR="00563A74" w:rsidRPr="00563A74" w:rsidRDefault="00563A74" w:rsidP="00563A74">
      <w:pPr>
        <w:spacing w:after="0" w:line="240" w:lineRule="auto"/>
        <w:jc w:val="both"/>
        <w:rPr>
          <w:rFonts w:ascii="Arial" w:eastAsia="SimSun" w:hAnsi="Arial" w:cs="Arial"/>
          <w:b/>
          <w:sz w:val="24"/>
          <w:szCs w:val="24"/>
          <w:lang w:val="ro-RO"/>
        </w:rPr>
      </w:pPr>
      <w:r w:rsidRPr="00563A74">
        <w:rPr>
          <w:rFonts w:ascii="Arial" w:eastAsia="SimSun" w:hAnsi="Arial" w:cs="Arial"/>
          <w:b/>
          <w:sz w:val="24"/>
          <w:szCs w:val="24"/>
          <w:lang w:val="ro-RO"/>
        </w:rPr>
        <w:t>XI.1.3.1. Transportul de pasageri</w:t>
      </w:r>
    </w:p>
    <w:p w:rsidR="00563A74" w:rsidRPr="00563A74" w:rsidRDefault="00563A74" w:rsidP="00563A74">
      <w:pPr>
        <w:spacing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Cererea de transport de pasageri este definită ca suma pasageri-kilometru interni parcurşi în fiecare an.</w:t>
      </w:r>
    </w:p>
    <w:p w:rsidR="00563A74" w:rsidRPr="00563A74" w:rsidRDefault="00563A74" w:rsidP="00563A74">
      <w:pPr>
        <w:spacing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Transportul de pasageri intern include transportul cu autoturisme, autobuze şi autocare şi trenuri.</w:t>
      </w:r>
    </w:p>
    <w:p w:rsidR="00563A74" w:rsidRPr="00563A74" w:rsidRDefault="00563A74" w:rsidP="00563A74">
      <w:pPr>
        <w:spacing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Referitor la volumul transportului de pasageri raportat la PIB nu deţinem date.</w:t>
      </w:r>
    </w:p>
    <w:p w:rsidR="00563A74" w:rsidRPr="00563A74" w:rsidRDefault="00563A74" w:rsidP="00563A74">
      <w:pPr>
        <w:spacing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 Referitor la ponderea fiecărui mod în transportul pasagerilor nu deţinem date.</w:t>
      </w:r>
    </w:p>
    <w:p w:rsidR="00563A74" w:rsidRPr="00563A74" w:rsidRDefault="00563A74" w:rsidP="00563A74">
      <w:pPr>
        <w:spacing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Transportul public local de pasageri cuprinde transportul, în interiorul zonei administrativ-teritoriale a unei localităţi, fără a depăşi limitele acesteia, şi referitor la această problemă nu deţinem date.</w:t>
      </w:r>
    </w:p>
    <w:p w:rsidR="00563A74" w:rsidRPr="00563A74" w:rsidRDefault="00563A74" w:rsidP="00563A74">
      <w:pPr>
        <w:spacing w:after="0" w:line="240" w:lineRule="auto"/>
        <w:jc w:val="both"/>
        <w:rPr>
          <w:rFonts w:ascii="Arial" w:eastAsia="SimSun" w:hAnsi="Arial" w:cs="Arial"/>
          <w:sz w:val="24"/>
          <w:szCs w:val="24"/>
          <w:lang w:val="ro-RO"/>
        </w:rPr>
      </w:pPr>
    </w:p>
    <w:p w:rsidR="00563A74" w:rsidRPr="00563A74" w:rsidRDefault="00563A74" w:rsidP="00563A74">
      <w:pPr>
        <w:spacing w:after="0" w:line="240" w:lineRule="auto"/>
        <w:jc w:val="both"/>
        <w:rPr>
          <w:rFonts w:ascii="Arial" w:eastAsia="SimSun" w:hAnsi="Arial" w:cs="Arial"/>
          <w:b/>
          <w:sz w:val="24"/>
          <w:szCs w:val="24"/>
          <w:lang w:val="ro-RO"/>
        </w:rPr>
      </w:pPr>
      <w:r w:rsidRPr="00563A74">
        <w:rPr>
          <w:rFonts w:ascii="Arial" w:eastAsia="SimSun" w:hAnsi="Arial" w:cs="Arial"/>
          <w:b/>
          <w:sz w:val="24"/>
          <w:szCs w:val="24"/>
          <w:lang w:val="ro-RO"/>
        </w:rPr>
        <w:t>XI.1.3.2. Transportul de mărfuri</w:t>
      </w:r>
    </w:p>
    <w:p w:rsidR="00563A74" w:rsidRPr="00563A74" w:rsidRDefault="00563A74" w:rsidP="00563A74">
      <w:pPr>
        <w:spacing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Cererea de transport de marfă este definită ca suma de tone-kilometri interni parcurşi în fiecare an.</w:t>
      </w:r>
    </w:p>
    <w:p w:rsidR="00563A74" w:rsidRPr="00563A74" w:rsidRDefault="00563A74" w:rsidP="00563A74">
      <w:pPr>
        <w:spacing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Referitor la volumul transportului de mărfuri raportat la PIB şi la ponderea fiecărui mod în transportul mărfurilor nu deţinem date.</w:t>
      </w:r>
    </w:p>
    <w:p w:rsidR="00563A74" w:rsidRPr="00563A74" w:rsidRDefault="00563A74" w:rsidP="00563A74">
      <w:pPr>
        <w:spacing w:after="0" w:line="240" w:lineRule="auto"/>
        <w:ind w:firstLine="708"/>
        <w:rPr>
          <w:rFonts w:ascii="Arial" w:eastAsia="SimSun" w:hAnsi="Arial" w:cs="Arial"/>
          <w:b/>
          <w:sz w:val="24"/>
          <w:szCs w:val="24"/>
        </w:rPr>
      </w:pPr>
    </w:p>
    <w:p w:rsidR="00563A74" w:rsidRPr="00563A74" w:rsidRDefault="00563A74" w:rsidP="00563A74">
      <w:pPr>
        <w:spacing w:after="0" w:line="240" w:lineRule="auto"/>
        <w:jc w:val="both"/>
        <w:rPr>
          <w:rFonts w:ascii="Arial" w:eastAsia="SimSun" w:hAnsi="Arial" w:cs="Arial"/>
          <w:b/>
          <w:sz w:val="24"/>
          <w:szCs w:val="24"/>
        </w:rPr>
      </w:pPr>
      <w:r w:rsidRPr="00563A74">
        <w:rPr>
          <w:rFonts w:ascii="Arial" w:eastAsia="SimSun" w:hAnsi="Arial" w:cs="Arial"/>
          <w:b/>
          <w:sz w:val="24"/>
          <w:szCs w:val="24"/>
        </w:rPr>
        <w:t xml:space="preserve">XI.2. Factori care influentează consumul în judeţul Buzău </w:t>
      </w:r>
    </w:p>
    <w:p w:rsidR="00563A74" w:rsidRPr="00563A74" w:rsidRDefault="00563A74" w:rsidP="00563A74">
      <w:pPr>
        <w:spacing w:after="0" w:line="240" w:lineRule="auto"/>
        <w:ind w:firstLine="708"/>
        <w:jc w:val="both"/>
        <w:rPr>
          <w:rFonts w:ascii="Arial" w:eastAsia="SimSun" w:hAnsi="Arial" w:cs="Arial"/>
          <w:sz w:val="24"/>
          <w:szCs w:val="24"/>
        </w:rPr>
      </w:pPr>
    </w:p>
    <w:p w:rsidR="00563A74" w:rsidRPr="00563A74" w:rsidRDefault="00563A74" w:rsidP="00563A74">
      <w:pPr>
        <w:spacing w:after="0" w:line="240" w:lineRule="auto"/>
        <w:jc w:val="both"/>
        <w:rPr>
          <w:rFonts w:ascii="Arial" w:eastAsia="SimSun" w:hAnsi="Arial" w:cs="Arial"/>
          <w:sz w:val="24"/>
          <w:szCs w:val="24"/>
        </w:rPr>
      </w:pPr>
      <w:r w:rsidRPr="00563A74">
        <w:rPr>
          <w:rFonts w:ascii="Arial" w:eastAsia="SimSun" w:hAnsi="Arial" w:cs="Arial"/>
          <w:sz w:val="24"/>
          <w:szCs w:val="24"/>
        </w:rPr>
        <w:t>Nu deţinem date pentru stabilirea acestor influenţe şi tendinţe.</w:t>
      </w:r>
    </w:p>
    <w:p w:rsidR="00563A74" w:rsidRPr="00563A74" w:rsidRDefault="00563A74" w:rsidP="00563A74">
      <w:pPr>
        <w:spacing w:after="0" w:line="240" w:lineRule="auto"/>
        <w:ind w:firstLine="708"/>
        <w:jc w:val="both"/>
        <w:rPr>
          <w:rFonts w:ascii="Arial" w:eastAsia="SimSun" w:hAnsi="Arial" w:cs="Arial"/>
          <w:sz w:val="24"/>
          <w:szCs w:val="24"/>
        </w:rPr>
      </w:pPr>
    </w:p>
    <w:p w:rsidR="00563A74" w:rsidRPr="00563A74" w:rsidRDefault="00563A74" w:rsidP="00563A74">
      <w:pPr>
        <w:spacing w:after="0" w:line="240" w:lineRule="auto"/>
        <w:jc w:val="both"/>
        <w:rPr>
          <w:rFonts w:ascii="Arial" w:eastAsia="SimSun" w:hAnsi="Arial" w:cs="Arial"/>
          <w:b/>
          <w:sz w:val="24"/>
          <w:szCs w:val="24"/>
        </w:rPr>
      </w:pPr>
      <w:r w:rsidRPr="00563A74">
        <w:rPr>
          <w:rFonts w:ascii="Arial" w:eastAsia="SimSun" w:hAnsi="Arial" w:cs="Arial"/>
          <w:b/>
          <w:sz w:val="24"/>
          <w:szCs w:val="24"/>
        </w:rPr>
        <w:t>XI.3. Presiuni asupra mediului cauzate de consum în judeţul Buzău</w:t>
      </w:r>
    </w:p>
    <w:p w:rsidR="00563A74" w:rsidRPr="00563A74" w:rsidRDefault="00563A74" w:rsidP="00563A74">
      <w:pPr>
        <w:spacing w:after="0" w:line="240" w:lineRule="auto"/>
        <w:jc w:val="both"/>
        <w:rPr>
          <w:rFonts w:ascii="Arial" w:eastAsia="SimSun" w:hAnsi="Arial" w:cs="Arial"/>
          <w:b/>
          <w:sz w:val="24"/>
          <w:szCs w:val="24"/>
        </w:rPr>
      </w:pPr>
    </w:p>
    <w:p w:rsidR="00563A74" w:rsidRPr="00563A74" w:rsidRDefault="00563A74" w:rsidP="00563A74">
      <w:pPr>
        <w:spacing w:after="0" w:line="240" w:lineRule="auto"/>
        <w:jc w:val="both"/>
        <w:rPr>
          <w:rFonts w:ascii="Arial" w:eastAsia="SimSun" w:hAnsi="Arial" w:cs="Arial"/>
          <w:b/>
          <w:sz w:val="24"/>
          <w:szCs w:val="24"/>
        </w:rPr>
      </w:pPr>
      <w:r w:rsidRPr="00563A74">
        <w:rPr>
          <w:rFonts w:ascii="Arial" w:eastAsia="SimSun" w:hAnsi="Arial" w:cs="Arial"/>
          <w:b/>
          <w:sz w:val="24"/>
          <w:szCs w:val="24"/>
        </w:rPr>
        <w:t>XI .3.1 Emisii de gaze cu efect de seră din sectorul rezidenţial</w:t>
      </w:r>
    </w:p>
    <w:p w:rsidR="00563A74" w:rsidRPr="00563A74" w:rsidRDefault="00563A74" w:rsidP="00563A74">
      <w:p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Schimbările climatice reprezintă una dintre cele mai mari ameninţări asupra mediului, societăţii şi economiei. Aşa cum punctează şi Grupul Interguvernamental privind Schimbările Climatice (IPCC, 2007), încălzirea sistemului climatic este fără echivoc. Observaţiile arată creşteri semnificative ale temperaturii medii globale, cât şi creşterea temperaturii apei mărilor şi oceanelor, coroborate cu topirea masivă a zăpezii şi gheţii şi creşterea nivelului mării (Busuioc şi alţii, 2010). Este foarte probabil ca o mare parte a fenomenului încălzirii globale să fie asociat creşterii concentraţiei gazelor cu efect de seră în atmosferă datorată activităţii umane (IPCC, 2007). </w:t>
      </w:r>
    </w:p>
    <w:p w:rsidR="00563A74" w:rsidRPr="00563A74" w:rsidRDefault="00563A74" w:rsidP="00563A74">
      <w:p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Efectul natural de seră are rolul de a regla temperatura medie a Pământului menţinând condiţiile optime de viaţă. Energia solară ajunge pe pământ sub forma radiaţiilor cu lungime de undă scurte. Unele sunt reflectate de atmosferă şi de suprafaţa terestră. Cea mai mare parte trece prin atmosferă şi încălzeşte suprafaţa pământului care, la rândul său, emite radiaţie infraroşie, cu lungime de undă mare (căldura). Modificarea bilanţului radiativ, adică schimbarea echilibrului dintre radiaţia care intră şi cea care iese din conturul alcătuit de Pământ şi atmosfera sa, duce la creşterea temperaturii globale (modificare pozitivă) sau la scăderea sa (modificare negativă). Unele gaze din atmosferă absorb căldura şi, reflectând-o înapoi către suprafaţa pământului, încălzesc atmosfera. Acestea sunt aşa numitele gaze cu efect de seră.</w:t>
      </w:r>
    </w:p>
    <w:p w:rsidR="00563A74" w:rsidRPr="00563A74" w:rsidRDefault="00563A74" w:rsidP="00563A74">
      <w:p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Pentru a minimiza efectul schimbărilor climatice, emisiile globale de gaze cu efect de seră trebuie să fie reduse în mod semnificativ, iar politicile necesare pentru a face acest lucru trebuie să fie puse în aplicare rapid şi integral. </w:t>
      </w:r>
    </w:p>
    <w:p w:rsidR="00563A74" w:rsidRPr="00563A74" w:rsidRDefault="00563A74" w:rsidP="00563A74">
      <w:p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lastRenderedPageBreak/>
        <w:t xml:space="preserve">Principalele surse de gaze cu efect de seră din sectorul rezidential sunt: </w:t>
      </w:r>
    </w:p>
    <w:p w:rsidR="00563A74" w:rsidRPr="00563A74" w:rsidRDefault="00563A74" w:rsidP="00563A74">
      <w:pPr>
        <w:numPr>
          <w:ilvl w:val="0"/>
          <w:numId w:val="44"/>
        </w:num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arderea combustibililor fosili pentru producerea de energie electrică şi termică, în domeniile transporturi, industrie şi în gospodării; </w:t>
      </w:r>
    </w:p>
    <w:p w:rsidR="00563A74" w:rsidRPr="00563A74" w:rsidRDefault="00563A74" w:rsidP="00563A74">
      <w:pPr>
        <w:numPr>
          <w:ilvl w:val="0"/>
          <w:numId w:val="44"/>
        </w:num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depozitarea deşeurilor; </w:t>
      </w:r>
    </w:p>
    <w:p w:rsidR="00563A74" w:rsidRPr="00563A74" w:rsidRDefault="00563A74" w:rsidP="00563A74">
      <w:p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Prezentul indicator prezintă tendinţele totale şi sectoriale, a emisiilor de gaze cu efect de seră la nivelul judeţului Buzău şi pot fi utilizate pentru a evalua progresul înregistrat în reducerea emisiilor gazelor cu efect de seră. </w:t>
      </w:r>
    </w:p>
    <w:p w:rsidR="00563A74" w:rsidRPr="00563A74" w:rsidRDefault="00563A74" w:rsidP="00563A74">
      <w:p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Gazele cu efect de seră prevăzute de Protocolul de la Kyoto sunt: CO2, CH4, N2O, SF6, HFC-uri şi PFC-uri. Această listă nu include gazele cu efect de seră, care sunt, de asemenea, substanţe ce diminuează stratul de ozon şi sunt controlate prin Protocolul de la Montreal. </w:t>
      </w:r>
    </w:p>
    <w:p w:rsidR="00563A74" w:rsidRPr="00563A74" w:rsidRDefault="00563A74" w:rsidP="00563A74">
      <w:pPr>
        <w:spacing w:before="120" w:after="120" w:line="240" w:lineRule="auto"/>
        <w:jc w:val="both"/>
        <w:rPr>
          <w:rFonts w:ascii="Arial" w:eastAsia="SimSun" w:hAnsi="Arial" w:cs="Arial"/>
          <w:sz w:val="24"/>
          <w:szCs w:val="24"/>
          <w:lang w:val="ro-RO"/>
        </w:rPr>
      </w:pPr>
      <w:r w:rsidRPr="00563A74">
        <w:rPr>
          <w:rFonts w:ascii="Arial" w:eastAsia="SimSun" w:hAnsi="Arial" w:cs="Arial"/>
          <w:sz w:val="24"/>
          <w:szCs w:val="24"/>
          <w:lang w:val="ro-RO"/>
        </w:rPr>
        <w:t xml:space="preserve"> În inventarul de emisii la nivelul judeţului Buzău sunt incluse numai emisiile de CO2, CH4 şi N2O, ceilalţi compuşi neputând fi estimaţi din cauza lipsei datelor de intrare necesare calculului. Tendinţa emisiilor de CO2 Eq în judeţul Buzău provenite din sectorul rezidenţial este prezentată în tabelul nr.XI.3.1.1 şi figura nr. XI.3.1.1</w:t>
      </w:r>
    </w:p>
    <w:p w:rsidR="00563A74" w:rsidRPr="00563A74" w:rsidRDefault="00563A74" w:rsidP="00563A74">
      <w:pPr>
        <w:spacing w:before="120" w:after="120" w:line="240" w:lineRule="auto"/>
        <w:jc w:val="both"/>
        <w:rPr>
          <w:rFonts w:ascii="Arial" w:eastAsia="SimSun" w:hAnsi="Arial" w:cs="Arial"/>
          <w:sz w:val="24"/>
          <w:szCs w:val="24"/>
          <w:lang w:val="ro-RO"/>
        </w:rPr>
      </w:pPr>
    </w:p>
    <w:p w:rsidR="00563A74" w:rsidRPr="00563A74" w:rsidRDefault="00563A74" w:rsidP="00563A74">
      <w:pPr>
        <w:spacing w:before="120" w:after="120" w:line="240" w:lineRule="auto"/>
        <w:jc w:val="center"/>
        <w:rPr>
          <w:rFonts w:ascii="Arial" w:eastAsia="SimSun" w:hAnsi="Arial" w:cs="Arial"/>
          <w:b/>
          <w:bCs/>
          <w:sz w:val="24"/>
          <w:szCs w:val="24"/>
          <w:lang w:val="fr-FR"/>
        </w:rPr>
      </w:pPr>
      <w:r w:rsidRPr="00563A74">
        <w:rPr>
          <w:rFonts w:ascii="Arial" w:eastAsia="SimSun" w:hAnsi="Arial" w:cs="Arial"/>
          <w:b/>
          <w:bCs/>
          <w:sz w:val="24"/>
          <w:szCs w:val="24"/>
          <w:lang w:val="fr-FR"/>
        </w:rPr>
        <w:t>Tabel XI.3.1.1 Emisii totale de gaze cu efect de seră</w:t>
      </w:r>
    </w:p>
    <w:tbl>
      <w:tblPr>
        <w:tblW w:w="3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1009"/>
        <w:gridCol w:w="1164"/>
        <w:gridCol w:w="1205"/>
        <w:gridCol w:w="1059"/>
      </w:tblGrid>
      <w:tr w:rsidR="00563A74" w:rsidRPr="00563A74" w:rsidTr="00D92384">
        <w:trPr>
          <w:trHeight w:val="501"/>
          <w:jc w:val="center"/>
        </w:trPr>
        <w:tc>
          <w:tcPr>
            <w:tcW w:w="1578" w:type="pct"/>
            <w:vAlign w:val="center"/>
          </w:tcPr>
          <w:p w:rsidR="00563A74" w:rsidRPr="00563A74" w:rsidRDefault="00563A74" w:rsidP="00563A74">
            <w:pPr>
              <w:spacing w:after="0" w:line="240" w:lineRule="auto"/>
              <w:jc w:val="center"/>
              <w:rPr>
                <w:rFonts w:ascii="Arial" w:eastAsia="Times New Roman" w:hAnsi="Arial" w:cs="Arial"/>
                <w:b/>
                <w:sz w:val="24"/>
                <w:szCs w:val="24"/>
                <w:lang w:val="ro-RO" w:bidi="en-US"/>
              </w:rPr>
            </w:pPr>
            <w:r w:rsidRPr="00563A74">
              <w:rPr>
                <w:rFonts w:ascii="Arial" w:eastAsia="Times New Roman" w:hAnsi="Arial" w:cs="Arial"/>
                <w:b/>
                <w:sz w:val="24"/>
                <w:szCs w:val="24"/>
                <w:lang w:val="pt-BR" w:bidi="en-US"/>
              </w:rPr>
              <w:t>Buz</w:t>
            </w:r>
            <w:r w:rsidRPr="00563A74">
              <w:rPr>
                <w:rFonts w:ascii="Arial" w:eastAsia="Times New Roman" w:hAnsi="Arial" w:cs="Arial"/>
                <w:b/>
                <w:sz w:val="24"/>
                <w:szCs w:val="24"/>
                <w:lang w:val="ro-RO" w:bidi="en-US"/>
              </w:rPr>
              <w:t>ău</w:t>
            </w:r>
          </w:p>
        </w:tc>
        <w:tc>
          <w:tcPr>
            <w:tcW w:w="778" w:type="pct"/>
            <w:vAlign w:val="center"/>
          </w:tcPr>
          <w:p w:rsidR="00563A74" w:rsidRPr="00563A74" w:rsidRDefault="00563A74" w:rsidP="00563A74">
            <w:pPr>
              <w:spacing w:after="0" w:line="240" w:lineRule="auto"/>
              <w:jc w:val="center"/>
              <w:rPr>
                <w:rFonts w:ascii="Arial" w:eastAsia="Times New Roman" w:hAnsi="Arial" w:cs="Arial"/>
                <w:b/>
                <w:sz w:val="24"/>
                <w:szCs w:val="24"/>
                <w:lang w:val="pt-BR" w:bidi="en-US"/>
              </w:rPr>
            </w:pPr>
            <w:r w:rsidRPr="00563A74">
              <w:rPr>
                <w:rFonts w:ascii="Arial" w:eastAsia="Times New Roman" w:hAnsi="Arial" w:cs="Arial"/>
                <w:b/>
                <w:sz w:val="24"/>
                <w:szCs w:val="24"/>
                <w:lang w:val="pt-BR" w:bidi="en-US"/>
              </w:rPr>
              <w:t>2011</w:t>
            </w:r>
          </w:p>
        </w:tc>
        <w:tc>
          <w:tcPr>
            <w:tcW w:w="898" w:type="pct"/>
            <w:vAlign w:val="center"/>
          </w:tcPr>
          <w:p w:rsidR="00563A74" w:rsidRPr="00563A74" w:rsidRDefault="00563A74" w:rsidP="00563A74">
            <w:pPr>
              <w:spacing w:after="0" w:line="240" w:lineRule="auto"/>
              <w:jc w:val="center"/>
              <w:rPr>
                <w:rFonts w:ascii="Arial" w:eastAsia="Times New Roman" w:hAnsi="Arial" w:cs="Arial"/>
                <w:b/>
                <w:sz w:val="24"/>
                <w:szCs w:val="24"/>
                <w:lang w:val="pt-BR" w:bidi="en-US"/>
              </w:rPr>
            </w:pPr>
            <w:r w:rsidRPr="00563A74">
              <w:rPr>
                <w:rFonts w:ascii="Arial" w:eastAsia="Times New Roman" w:hAnsi="Arial" w:cs="Arial"/>
                <w:b/>
                <w:sz w:val="24"/>
                <w:szCs w:val="24"/>
                <w:lang w:val="pt-BR" w:bidi="en-US"/>
              </w:rPr>
              <w:t>2012</w:t>
            </w:r>
          </w:p>
        </w:tc>
        <w:tc>
          <w:tcPr>
            <w:tcW w:w="929" w:type="pct"/>
            <w:vAlign w:val="center"/>
          </w:tcPr>
          <w:p w:rsidR="00563A74" w:rsidRPr="00563A74" w:rsidRDefault="00563A74" w:rsidP="00563A74">
            <w:pPr>
              <w:spacing w:after="0" w:line="240" w:lineRule="auto"/>
              <w:jc w:val="center"/>
              <w:rPr>
                <w:rFonts w:ascii="Arial" w:eastAsia="SimSun" w:hAnsi="Arial" w:cs="Arial"/>
                <w:b/>
                <w:sz w:val="24"/>
                <w:szCs w:val="24"/>
                <w:lang w:val="en-GB"/>
              </w:rPr>
            </w:pPr>
            <w:r w:rsidRPr="00563A74">
              <w:rPr>
                <w:rFonts w:ascii="Arial" w:eastAsia="SimSun" w:hAnsi="Arial" w:cs="Arial"/>
                <w:b/>
                <w:sz w:val="24"/>
                <w:szCs w:val="24"/>
                <w:lang w:val="en-GB"/>
              </w:rPr>
              <w:t>2013</w:t>
            </w:r>
          </w:p>
        </w:tc>
        <w:tc>
          <w:tcPr>
            <w:tcW w:w="817" w:type="pct"/>
            <w:vAlign w:val="center"/>
          </w:tcPr>
          <w:p w:rsidR="00563A74" w:rsidRPr="00563A74" w:rsidRDefault="00563A74" w:rsidP="00563A74">
            <w:pPr>
              <w:spacing w:after="0" w:line="240" w:lineRule="auto"/>
              <w:jc w:val="center"/>
              <w:rPr>
                <w:rFonts w:ascii="Arial" w:eastAsia="SimSun" w:hAnsi="Arial" w:cs="Arial"/>
                <w:b/>
                <w:sz w:val="24"/>
                <w:szCs w:val="24"/>
                <w:lang w:val="en-GB"/>
              </w:rPr>
            </w:pPr>
            <w:r w:rsidRPr="00563A74">
              <w:rPr>
                <w:rFonts w:ascii="Arial" w:eastAsia="SimSun" w:hAnsi="Arial" w:cs="Arial"/>
                <w:b/>
                <w:sz w:val="24"/>
                <w:szCs w:val="24"/>
                <w:lang w:val="en-GB"/>
              </w:rPr>
              <w:t>2014</w:t>
            </w:r>
          </w:p>
        </w:tc>
      </w:tr>
      <w:tr w:rsidR="00563A74" w:rsidRPr="00563A74" w:rsidTr="00D92384">
        <w:trPr>
          <w:jc w:val="center"/>
        </w:trPr>
        <w:tc>
          <w:tcPr>
            <w:tcW w:w="1578" w:type="pct"/>
            <w:vAlign w:val="center"/>
          </w:tcPr>
          <w:p w:rsidR="00563A74" w:rsidRPr="00563A74" w:rsidRDefault="00563A74" w:rsidP="00563A74">
            <w:pPr>
              <w:spacing w:after="0" w:line="240" w:lineRule="auto"/>
              <w:jc w:val="center"/>
              <w:rPr>
                <w:rFonts w:ascii="Arial" w:eastAsia="Times New Roman" w:hAnsi="Arial" w:cs="Arial"/>
                <w:sz w:val="24"/>
                <w:szCs w:val="24"/>
                <w:lang w:val="it-IT" w:bidi="en-US"/>
              </w:rPr>
            </w:pPr>
            <w:r w:rsidRPr="00563A74">
              <w:rPr>
                <w:rFonts w:ascii="Arial" w:eastAsia="Times New Roman" w:hAnsi="Arial" w:cs="Arial"/>
                <w:sz w:val="24"/>
                <w:szCs w:val="24"/>
                <w:lang w:val="it-IT" w:bidi="en-US"/>
              </w:rPr>
              <w:t>Emisii totale (mil. tone CO2 Eq)</w:t>
            </w:r>
          </w:p>
        </w:tc>
        <w:tc>
          <w:tcPr>
            <w:tcW w:w="778" w:type="pct"/>
            <w:vAlign w:val="center"/>
          </w:tcPr>
          <w:p w:rsidR="00563A74" w:rsidRPr="00563A74" w:rsidRDefault="00563A74" w:rsidP="00563A74">
            <w:pPr>
              <w:spacing w:after="0" w:line="240" w:lineRule="auto"/>
              <w:jc w:val="center"/>
              <w:rPr>
                <w:rFonts w:ascii="Arial" w:eastAsia="SimSun" w:hAnsi="Arial" w:cs="Arial"/>
                <w:sz w:val="24"/>
                <w:szCs w:val="24"/>
                <w:lang w:val="ro-RO"/>
              </w:rPr>
            </w:pPr>
            <w:r w:rsidRPr="00563A74">
              <w:rPr>
                <w:rFonts w:ascii="Arial" w:eastAsia="SimSun" w:hAnsi="Arial" w:cs="Arial"/>
                <w:sz w:val="24"/>
                <w:szCs w:val="24"/>
                <w:lang w:val="ro-RO"/>
              </w:rPr>
              <w:t>0,780</w:t>
            </w:r>
          </w:p>
        </w:tc>
        <w:tc>
          <w:tcPr>
            <w:tcW w:w="898" w:type="pct"/>
            <w:vAlign w:val="center"/>
          </w:tcPr>
          <w:p w:rsidR="00563A74" w:rsidRPr="00563A74" w:rsidRDefault="00563A74" w:rsidP="00563A74">
            <w:pPr>
              <w:spacing w:after="0" w:line="240" w:lineRule="auto"/>
              <w:jc w:val="center"/>
              <w:rPr>
                <w:rFonts w:ascii="Arial" w:eastAsia="SimSun" w:hAnsi="Arial" w:cs="Arial"/>
                <w:sz w:val="24"/>
                <w:szCs w:val="24"/>
                <w:lang w:val="ro-RO"/>
              </w:rPr>
            </w:pPr>
            <w:r w:rsidRPr="00563A74">
              <w:rPr>
                <w:rFonts w:ascii="Arial" w:eastAsia="SimSun" w:hAnsi="Arial" w:cs="Arial"/>
                <w:sz w:val="24"/>
                <w:szCs w:val="24"/>
                <w:lang w:val="ro-RO"/>
              </w:rPr>
              <w:t>0,616</w:t>
            </w:r>
          </w:p>
        </w:tc>
        <w:tc>
          <w:tcPr>
            <w:tcW w:w="929" w:type="pct"/>
            <w:tcBorders>
              <w:top w:val="nil"/>
            </w:tcBorders>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1,701</w:t>
            </w:r>
          </w:p>
        </w:tc>
        <w:tc>
          <w:tcPr>
            <w:tcW w:w="817" w:type="pct"/>
            <w:tcBorders>
              <w:top w:val="nil"/>
            </w:tcBorders>
            <w:vAlign w:val="center"/>
          </w:tcPr>
          <w:p w:rsidR="00563A74" w:rsidRPr="00563A74" w:rsidRDefault="00563A74" w:rsidP="00563A74">
            <w:pPr>
              <w:spacing w:after="0" w:line="240" w:lineRule="auto"/>
              <w:jc w:val="center"/>
              <w:rPr>
                <w:rFonts w:ascii="Arial" w:eastAsia="SimSun" w:hAnsi="Arial" w:cs="Arial"/>
                <w:sz w:val="24"/>
                <w:szCs w:val="24"/>
                <w:lang w:val="en-GB"/>
              </w:rPr>
            </w:pPr>
            <w:r w:rsidRPr="00563A74">
              <w:rPr>
                <w:rFonts w:ascii="Arial" w:eastAsia="SimSun" w:hAnsi="Arial" w:cs="Arial"/>
                <w:sz w:val="24"/>
                <w:szCs w:val="24"/>
                <w:lang w:val="en-GB"/>
              </w:rPr>
              <w:t>1,976</w:t>
            </w:r>
          </w:p>
        </w:tc>
      </w:tr>
    </w:tbl>
    <w:p w:rsidR="00563A74" w:rsidRPr="00563A74" w:rsidRDefault="00563A74" w:rsidP="00563A74">
      <w:pPr>
        <w:spacing w:after="0" w:line="240" w:lineRule="auto"/>
        <w:jc w:val="both"/>
        <w:rPr>
          <w:rFonts w:ascii="Arial" w:eastAsia="SimSun" w:hAnsi="Arial" w:cs="Arial"/>
          <w:sz w:val="24"/>
          <w:szCs w:val="24"/>
          <w:lang w:val="pt-BR"/>
        </w:rPr>
      </w:pPr>
    </w:p>
    <w:p w:rsidR="00563A74" w:rsidRPr="00563A74" w:rsidRDefault="00563A74" w:rsidP="00563A74">
      <w:pPr>
        <w:spacing w:before="120" w:after="120" w:line="240" w:lineRule="auto"/>
        <w:jc w:val="both"/>
        <w:rPr>
          <w:rFonts w:ascii="Arial" w:eastAsia="SimSun" w:hAnsi="Arial" w:cs="Arial"/>
          <w:sz w:val="24"/>
          <w:szCs w:val="24"/>
          <w:lang w:val="es-ES"/>
        </w:rPr>
      </w:pPr>
      <w:r w:rsidRPr="00563A74">
        <w:rPr>
          <w:rFonts w:ascii="Arial" w:eastAsia="SimSun" w:hAnsi="Arial" w:cs="Arial"/>
          <w:sz w:val="24"/>
          <w:szCs w:val="24"/>
          <w:lang w:val="es-ES"/>
        </w:rPr>
        <w:t xml:space="preserve">                           </w:t>
      </w:r>
      <w:r w:rsidRPr="00563A74">
        <w:rPr>
          <w:rFonts w:ascii="Arial" w:eastAsia="SimSun" w:hAnsi="Arial" w:cs="Arial"/>
          <w:b/>
          <w:bCs/>
          <w:sz w:val="24"/>
          <w:szCs w:val="24"/>
          <w:lang w:val="es-ES"/>
        </w:rPr>
        <w:t>Figura 7.2.1.1 Emisii totale de gaze cu efect de seră</w:t>
      </w:r>
    </w:p>
    <w:p w:rsidR="00563A74" w:rsidRPr="00563A74" w:rsidRDefault="00563A74" w:rsidP="00563A74">
      <w:pPr>
        <w:spacing w:after="0" w:line="240" w:lineRule="auto"/>
        <w:jc w:val="center"/>
        <w:rPr>
          <w:rFonts w:ascii="Arial" w:eastAsia="SimSun" w:hAnsi="Arial" w:cs="Arial"/>
          <w:sz w:val="24"/>
          <w:szCs w:val="24"/>
          <w:lang w:val="pt-BR"/>
        </w:rPr>
      </w:pPr>
      <w:r w:rsidRPr="00563A74">
        <w:rPr>
          <w:rFonts w:ascii="Arial" w:eastAsia="SimSun" w:hAnsi="Arial" w:cs="Arial"/>
          <w:noProof/>
          <w:sz w:val="24"/>
          <w:szCs w:val="24"/>
          <w:lang w:val="ro-RO" w:eastAsia="ro-RO"/>
        </w:rPr>
        <w:drawing>
          <wp:inline distT="0" distB="0" distL="0" distR="0">
            <wp:extent cx="4572762" cy="2746622"/>
            <wp:effectExtent l="19050" t="0" r="18288" b="0"/>
            <wp:docPr id="2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563A74" w:rsidRPr="00563A74" w:rsidRDefault="00563A74" w:rsidP="00563A74">
      <w:pPr>
        <w:tabs>
          <w:tab w:val="left" w:pos="2835"/>
        </w:tabs>
        <w:spacing w:after="0" w:line="240" w:lineRule="auto"/>
        <w:jc w:val="center"/>
        <w:rPr>
          <w:rFonts w:ascii="Arial" w:eastAsia="SimSun" w:hAnsi="Arial" w:cs="Arial"/>
          <w:sz w:val="24"/>
          <w:szCs w:val="24"/>
          <w:lang w:val="pt-BR"/>
        </w:rPr>
      </w:pPr>
      <w:r w:rsidRPr="00563A74">
        <w:rPr>
          <w:rFonts w:ascii="Arial" w:eastAsia="SimSun" w:hAnsi="Arial" w:cs="Arial"/>
          <w:sz w:val="24"/>
          <w:szCs w:val="24"/>
          <w:lang w:val="pt-BR"/>
        </w:rPr>
        <w:t>Sursa: Inventarele locale de emisii la nivelul judeţului Buzău</w:t>
      </w:r>
    </w:p>
    <w:p w:rsidR="00563A74" w:rsidRPr="00563A74" w:rsidRDefault="00563A74" w:rsidP="00563A74">
      <w:pPr>
        <w:spacing w:after="0" w:line="240" w:lineRule="auto"/>
        <w:jc w:val="both"/>
        <w:rPr>
          <w:rFonts w:ascii="Arial" w:eastAsia="SimSun" w:hAnsi="Arial" w:cs="Arial"/>
          <w:sz w:val="24"/>
          <w:szCs w:val="24"/>
          <w:lang w:val="ro-RO"/>
        </w:rPr>
      </w:pPr>
    </w:p>
    <w:p w:rsidR="00563A74" w:rsidRPr="00563A74" w:rsidRDefault="00563A74" w:rsidP="00563A74">
      <w:pPr>
        <w:spacing w:after="0" w:line="240" w:lineRule="auto"/>
        <w:jc w:val="both"/>
        <w:rPr>
          <w:rFonts w:ascii="Arial" w:eastAsia="SimSun" w:hAnsi="Arial" w:cs="Arial"/>
          <w:sz w:val="24"/>
          <w:szCs w:val="24"/>
          <w:lang w:val="ro-RO"/>
        </w:rPr>
      </w:pPr>
      <w:r w:rsidRPr="00563A74">
        <w:rPr>
          <w:rFonts w:ascii="Arial" w:eastAsia="SimSun" w:hAnsi="Arial" w:cs="Arial"/>
          <w:sz w:val="24"/>
          <w:szCs w:val="24"/>
          <w:lang w:val="ro-RO"/>
        </w:rPr>
        <w:t>Menţionăm că GES au fost calculate cu ajutorul factorilor de emisie IPCC, prin estimarea consumului de gaze naturale şi lemn la nivelul întregului judet. Cantităţile de combustibili din sectorul rezidenţial au fost extrase din Inventarele de emisii la nivelul judeţului Buzău, realizate conform Ordinului MMP 3299/2012. Diferenţa dintre anii 2011-2012 şi 2013-2014 se datorează faptului că în anii 2013 şi 2014, toate primăriile din judeţ au raportat consumul de combustibili la nivel teritorial.</w:t>
      </w:r>
    </w:p>
    <w:p w:rsidR="00563A74" w:rsidRPr="00563A74" w:rsidRDefault="00563A74" w:rsidP="00563A74">
      <w:pPr>
        <w:spacing w:after="0" w:line="240" w:lineRule="auto"/>
        <w:jc w:val="both"/>
        <w:rPr>
          <w:rFonts w:ascii="Arial" w:eastAsia="SimSun" w:hAnsi="Arial" w:cs="Arial"/>
          <w:b/>
          <w:sz w:val="24"/>
          <w:szCs w:val="24"/>
          <w:lang w:val="ro-RO"/>
        </w:rPr>
      </w:pPr>
    </w:p>
    <w:p w:rsidR="00563A74" w:rsidRPr="00563A74" w:rsidRDefault="00563A74" w:rsidP="00563A74">
      <w:pPr>
        <w:spacing w:after="0" w:line="240" w:lineRule="auto"/>
        <w:jc w:val="both"/>
        <w:rPr>
          <w:rFonts w:ascii="Arial" w:eastAsia="SimSun" w:hAnsi="Arial" w:cs="Arial"/>
          <w:b/>
          <w:sz w:val="24"/>
          <w:szCs w:val="24"/>
          <w:lang w:val="ro-RO"/>
        </w:rPr>
      </w:pPr>
    </w:p>
    <w:p w:rsidR="00563A74" w:rsidRPr="00563A74" w:rsidRDefault="00563A74" w:rsidP="00563A74">
      <w:pPr>
        <w:spacing w:after="0" w:line="240" w:lineRule="auto"/>
        <w:jc w:val="both"/>
        <w:rPr>
          <w:rFonts w:ascii="Arial" w:eastAsia="SimSun" w:hAnsi="Arial" w:cs="Arial"/>
          <w:b/>
          <w:sz w:val="24"/>
          <w:szCs w:val="24"/>
          <w:lang w:val="ro-RO"/>
        </w:rPr>
      </w:pPr>
    </w:p>
    <w:p w:rsidR="00563A74" w:rsidRPr="00563A74" w:rsidRDefault="00563A74" w:rsidP="00563A74">
      <w:pPr>
        <w:spacing w:after="0" w:line="240" w:lineRule="auto"/>
        <w:jc w:val="both"/>
        <w:rPr>
          <w:rFonts w:ascii="Arial" w:eastAsia="SimSun" w:hAnsi="Arial" w:cs="Arial"/>
          <w:b/>
          <w:sz w:val="24"/>
          <w:szCs w:val="24"/>
          <w:lang w:val="ro-RO"/>
        </w:rPr>
      </w:pPr>
      <w:r w:rsidRPr="00563A74">
        <w:rPr>
          <w:rFonts w:ascii="Arial" w:eastAsia="SimSun" w:hAnsi="Arial" w:cs="Arial"/>
          <w:b/>
          <w:sz w:val="24"/>
          <w:szCs w:val="24"/>
          <w:lang w:val="ro-RO"/>
        </w:rPr>
        <w:lastRenderedPageBreak/>
        <w:t>XI.3.2. Consumul de energie pe locuitor</w:t>
      </w:r>
    </w:p>
    <w:p w:rsidR="00563A74" w:rsidRDefault="00563A74" w:rsidP="00563A74">
      <w:pPr>
        <w:spacing w:after="0" w:line="240" w:lineRule="auto"/>
        <w:rPr>
          <w:rFonts w:ascii="Arial" w:eastAsia="SimSun" w:hAnsi="Arial" w:cs="Arial"/>
          <w:sz w:val="24"/>
          <w:szCs w:val="24"/>
          <w:lang w:val="ro-RO"/>
        </w:rPr>
      </w:pPr>
    </w:p>
    <w:p w:rsidR="00563A74" w:rsidRPr="00563A74" w:rsidRDefault="00563A74" w:rsidP="00563A74">
      <w:pPr>
        <w:spacing w:after="0" w:line="240" w:lineRule="auto"/>
        <w:rPr>
          <w:rFonts w:ascii="Arial" w:eastAsia="SimSun" w:hAnsi="Arial" w:cs="Arial"/>
          <w:sz w:val="24"/>
          <w:szCs w:val="24"/>
          <w:lang w:val="ro-RO"/>
        </w:rPr>
      </w:pPr>
      <w:r w:rsidRPr="00563A74">
        <w:rPr>
          <w:rFonts w:ascii="Arial" w:eastAsia="SimSun" w:hAnsi="Arial" w:cs="Arial"/>
          <w:sz w:val="24"/>
          <w:szCs w:val="24"/>
          <w:lang w:val="ro-RO"/>
        </w:rPr>
        <w:t>Nu deţinem date referitoare la consumul de energie pe locuitor la nivelul judeţului Buzău.</w:t>
      </w:r>
    </w:p>
    <w:p w:rsidR="00563A74" w:rsidRPr="00563A74" w:rsidRDefault="00563A74" w:rsidP="00563A74">
      <w:pPr>
        <w:spacing w:after="0" w:line="240" w:lineRule="auto"/>
        <w:jc w:val="both"/>
        <w:rPr>
          <w:rFonts w:ascii="Arial" w:eastAsia="SimSun" w:hAnsi="Arial" w:cs="Arial"/>
          <w:b/>
          <w:sz w:val="24"/>
          <w:szCs w:val="24"/>
        </w:rPr>
      </w:pPr>
    </w:p>
    <w:p w:rsidR="00563A74" w:rsidRPr="00563A74" w:rsidRDefault="00563A74" w:rsidP="00563A74">
      <w:pPr>
        <w:spacing w:after="0" w:line="240" w:lineRule="auto"/>
        <w:jc w:val="both"/>
        <w:rPr>
          <w:rFonts w:ascii="Arial" w:eastAsia="SimSun" w:hAnsi="Arial" w:cs="Arial"/>
          <w:b/>
          <w:sz w:val="24"/>
          <w:szCs w:val="24"/>
        </w:rPr>
      </w:pPr>
      <w:r w:rsidRPr="00563A74">
        <w:rPr>
          <w:rFonts w:ascii="Arial" w:eastAsia="SimSun" w:hAnsi="Arial" w:cs="Arial"/>
          <w:b/>
          <w:sz w:val="24"/>
          <w:szCs w:val="24"/>
        </w:rPr>
        <w:t xml:space="preserve">XI.3.3 Utilizarea materialelor </w:t>
      </w:r>
    </w:p>
    <w:p w:rsidR="00563A74" w:rsidRPr="00563A74" w:rsidRDefault="00563A74" w:rsidP="00563A74">
      <w:pPr>
        <w:spacing w:after="0" w:line="240" w:lineRule="auto"/>
        <w:jc w:val="both"/>
        <w:rPr>
          <w:rFonts w:ascii="Arial" w:eastAsia="SimSun" w:hAnsi="Arial" w:cs="Arial"/>
          <w:b/>
          <w:sz w:val="24"/>
          <w:szCs w:val="24"/>
        </w:rPr>
      </w:pPr>
    </w:p>
    <w:p w:rsidR="00563A74" w:rsidRPr="00563A74" w:rsidRDefault="00563A74" w:rsidP="00563A74">
      <w:pPr>
        <w:spacing w:after="0" w:line="240" w:lineRule="auto"/>
        <w:jc w:val="both"/>
        <w:rPr>
          <w:rFonts w:ascii="Arial" w:eastAsia="SimSun" w:hAnsi="Arial" w:cs="Arial"/>
          <w:color w:val="000000"/>
          <w:sz w:val="24"/>
          <w:szCs w:val="24"/>
          <w:lang w:val="en-GB"/>
        </w:rPr>
      </w:pPr>
      <w:r w:rsidRPr="00563A74">
        <w:rPr>
          <w:rFonts w:ascii="Arial" w:eastAsia="SimSun" w:hAnsi="Arial" w:cs="Arial"/>
          <w:color w:val="000000"/>
          <w:sz w:val="24"/>
          <w:szCs w:val="24"/>
          <w:lang w:val="en-GB"/>
        </w:rPr>
        <w:t>Consumul intern de materiale (DMC – Domestic Material Consumption) cuprinde cant</w:t>
      </w:r>
      <w:r w:rsidRPr="00563A74">
        <w:rPr>
          <w:rFonts w:ascii="Arial" w:eastAsia="SimSun" w:hAnsi="Arial" w:cs="Arial"/>
          <w:color w:val="000000"/>
          <w:sz w:val="24"/>
          <w:szCs w:val="24"/>
          <w:lang w:val="en-GB"/>
        </w:rPr>
        <w:t>i</w:t>
      </w:r>
      <w:r w:rsidRPr="00563A74">
        <w:rPr>
          <w:rFonts w:ascii="Arial" w:eastAsia="SimSun" w:hAnsi="Arial" w:cs="Arial"/>
          <w:color w:val="000000"/>
          <w:sz w:val="24"/>
          <w:szCs w:val="24"/>
          <w:lang w:val="en-GB"/>
        </w:rPr>
        <w:t>tatea totală de materiale utilizate direct în economie (extracţia internă utilizată, plus impo</w:t>
      </w:r>
      <w:r w:rsidRPr="00563A74">
        <w:rPr>
          <w:rFonts w:ascii="Arial" w:eastAsia="SimSun" w:hAnsi="Arial" w:cs="Arial"/>
          <w:color w:val="000000"/>
          <w:sz w:val="24"/>
          <w:szCs w:val="24"/>
          <w:lang w:val="en-GB"/>
        </w:rPr>
        <w:t>r</w:t>
      </w:r>
      <w:r w:rsidRPr="00563A74">
        <w:rPr>
          <w:rFonts w:ascii="Arial" w:eastAsia="SimSun" w:hAnsi="Arial" w:cs="Arial"/>
          <w:color w:val="000000"/>
          <w:sz w:val="24"/>
          <w:szCs w:val="24"/>
          <w:lang w:val="en-GB"/>
        </w:rPr>
        <w:t>turile), pe principalele categorii de materiale (resurse minerale, combustibili fosili, bi</w:t>
      </w:r>
      <w:r w:rsidRPr="00563A74">
        <w:rPr>
          <w:rFonts w:ascii="Arial" w:eastAsia="SimSun" w:hAnsi="Arial" w:cs="Arial"/>
          <w:color w:val="000000"/>
          <w:sz w:val="24"/>
          <w:szCs w:val="24"/>
          <w:lang w:val="en-GB"/>
        </w:rPr>
        <w:t>o</w:t>
      </w:r>
      <w:r w:rsidRPr="00563A74">
        <w:rPr>
          <w:rFonts w:ascii="Arial" w:eastAsia="SimSun" w:hAnsi="Arial" w:cs="Arial"/>
          <w:color w:val="000000"/>
          <w:sz w:val="24"/>
          <w:szCs w:val="24"/>
          <w:lang w:val="en-GB"/>
        </w:rPr>
        <w:t>masă).</w:t>
      </w:r>
    </w:p>
    <w:p w:rsidR="00563A74" w:rsidRPr="00563A74" w:rsidRDefault="00563A74" w:rsidP="00563A74">
      <w:pPr>
        <w:spacing w:after="0" w:line="240" w:lineRule="auto"/>
        <w:jc w:val="both"/>
        <w:rPr>
          <w:rFonts w:ascii="Arial" w:eastAsia="SimSun" w:hAnsi="Arial" w:cs="Arial"/>
          <w:sz w:val="24"/>
          <w:szCs w:val="24"/>
          <w:lang w:val="en-GB"/>
        </w:rPr>
      </w:pPr>
      <w:r w:rsidRPr="00563A74">
        <w:rPr>
          <w:rFonts w:ascii="Arial" w:eastAsia="SimSun" w:hAnsi="Arial" w:cs="Arial"/>
          <w:color w:val="000000"/>
          <w:sz w:val="24"/>
          <w:szCs w:val="24"/>
          <w:lang w:val="en-GB"/>
        </w:rPr>
        <w:t xml:space="preserve">Componentele DMC sunt: </w:t>
      </w:r>
      <w:r w:rsidRPr="00563A74">
        <w:rPr>
          <w:rFonts w:ascii="Arial" w:eastAsia="SimSun" w:hAnsi="Arial" w:cs="Arial"/>
          <w:sz w:val="24"/>
          <w:szCs w:val="24"/>
          <w:lang w:val="en-GB"/>
        </w:rPr>
        <w:t>intrarile directe de materiale</w:t>
      </w:r>
      <w:r w:rsidRPr="00563A74">
        <w:rPr>
          <w:rFonts w:ascii="Arial" w:eastAsia="SimSun" w:hAnsi="Arial" w:cs="Arial"/>
          <w:color w:val="000000"/>
          <w:sz w:val="24"/>
          <w:szCs w:val="24"/>
          <w:lang w:val="en-GB"/>
        </w:rPr>
        <w:t xml:space="preserve"> (DMI) şi </w:t>
      </w:r>
      <w:r w:rsidRPr="00563A74">
        <w:rPr>
          <w:rFonts w:ascii="Arial" w:eastAsia="SimSun" w:hAnsi="Arial" w:cs="Arial"/>
          <w:sz w:val="24"/>
          <w:szCs w:val="24"/>
          <w:lang w:val="en-GB"/>
        </w:rPr>
        <w:t xml:space="preserve"> exportul de materiale.</w:t>
      </w:r>
    </w:p>
    <w:p w:rsidR="00563A74" w:rsidRPr="00563A74" w:rsidRDefault="00563A74" w:rsidP="00563A74">
      <w:pPr>
        <w:spacing w:after="0" w:line="240" w:lineRule="auto"/>
        <w:jc w:val="both"/>
        <w:rPr>
          <w:rFonts w:ascii="Arial" w:eastAsia="SimSun" w:hAnsi="Arial" w:cs="Arial"/>
          <w:sz w:val="24"/>
          <w:szCs w:val="24"/>
        </w:rPr>
      </w:pPr>
      <w:r w:rsidRPr="00563A74">
        <w:rPr>
          <w:rFonts w:ascii="Arial" w:eastAsia="SimSun" w:hAnsi="Arial" w:cs="Arial"/>
          <w:sz w:val="24"/>
          <w:szCs w:val="24"/>
          <w:lang w:val="en-GB"/>
        </w:rPr>
        <w:t>La nivelul judeţului Buzău nu deţinem date pentru calculul DMC, acest indicator fiind rel</w:t>
      </w:r>
      <w:r w:rsidRPr="00563A74">
        <w:rPr>
          <w:rFonts w:ascii="Arial" w:eastAsia="SimSun" w:hAnsi="Arial" w:cs="Arial"/>
          <w:sz w:val="24"/>
          <w:szCs w:val="24"/>
          <w:lang w:val="en-GB"/>
        </w:rPr>
        <w:t>e</w:t>
      </w:r>
      <w:r w:rsidRPr="00563A74">
        <w:rPr>
          <w:rFonts w:ascii="Arial" w:eastAsia="SimSun" w:hAnsi="Arial" w:cs="Arial"/>
          <w:sz w:val="24"/>
          <w:szCs w:val="24"/>
          <w:lang w:val="en-GB"/>
        </w:rPr>
        <w:t>vant la nivel naţional.</w:t>
      </w:r>
    </w:p>
    <w:p w:rsidR="00563A74" w:rsidRPr="00563A74" w:rsidRDefault="00563A74" w:rsidP="00563A74">
      <w:pPr>
        <w:spacing w:after="0" w:line="240" w:lineRule="auto"/>
        <w:jc w:val="both"/>
        <w:rPr>
          <w:rFonts w:ascii="Arial" w:eastAsia="SimSun" w:hAnsi="Arial" w:cs="Arial"/>
          <w:b/>
          <w:sz w:val="24"/>
          <w:szCs w:val="24"/>
        </w:rPr>
      </w:pPr>
    </w:p>
    <w:p w:rsidR="00563A74" w:rsidRPr="00563A74" w:rsidRDefault="00563A74" w:rsidP="00563A74">
      <w:pPr>
        <w:spacing w:after="0" w:line="240" w:lineRule="auto"/>
        <w:jc w:val="both"/>
        <w:rPr>
          <w:rFonts w:ascii="Arial" w:eastAsia="SimSun" w:hAnsi="Arial" w:cs="Arial"/>
          <w:b/>
          <w:sz w:val="24"/>
          <w:szCs w:val="24"/>
        </w:rPr>
      </w:pPr>
      <w:r w:rsidRPr="00563A74">
        <w:rPr>
          <w:rFonts w:ascii="Arial" w:eastAsia="SimSun" w:hAnsi="Arial" w:cs="Arial"/>
          <w:b/>
          <w:sz w:val="24"/>
          <w:szCs w:val="24"/>
        </w:rPr>
        <w:t>XI.4. Prognoze, politici şi măsuri privind consumul şi mediul în judeţul Buzău</w:t>
      </w:r>
    </w:p>
    <w:p w:rsidR="00563A74" w:rsidRPr="00563A74" w:rsidRDefault="00563A74" w:rsidP="00563A74">
      <w:pPr>
        <w:spacing w:after="0" w:line="240" w:lineRule="auto"/>
        <w:jc w:val="both"/>
        <w:rPr>
          <w:rFonts w:ascii="Arial" w:eastAsia="SimSun" w:hAnsi="Arial" w:cs="Arial"/>
          <w:sz w:val="24"/>
          <w:szCs w:val="24"/>
        </w:rPr>
      </w:pPr>
    </w:p>
    <w:p w:rsidR="00563A74" w:rsidRPr="00563A74" w:rsidRDefault="00563A74" w:rsidP="00563A74">
      <w:pPr>
        <w:spacing w:after="0" w:line="240" w:lineRule="auto"/>
        <w:jc w:val="both"/>
        <w:rPr>
          <w:rFonts w:ascii="Arial" w:eastAsia="SimSun" w:hAnsi="Arial" w:cs="Arial"/>
          <w:sz w:val="24"/>
          <w:szCs w:val="24"/>
        </w:rPr>
      </w:pPr>
      <w:r w:rsidRPr="00563A74">
        <w:rPr>
          <w:rFonts w:ascii="Arial" w:eastAsia="SimSun" w:hAnsi="Arial" w:cs="Arial"/>
          <w:sz w:val="24"/>
          <w:szCs w:val="24"/>
        </w:rPr>
        <w:t xml:space="preserve">La nivelul APM Buzău nu există monitorizarea obiectivelor pentru consumul şi producţia durabilă şi nici politici şi măsuri privind consumul durabil.  </w:t>
      </w:r>
    </w:p>
    <w:p w:rsidR="00563A74" w:rsidRPr="00563A74" w:rsidRDefault="00563A74" w:rsidP="00563A74">
      <w:pPr>
        <w:spacing w:after="0" w:line="240" w:lineRule="auto"/>
        <w:rPr>
          <w:rFonts w:ascii="Times New Roman" w:eastAsia="SimSun" w:hAnsi="Times New Roman"/>
          <w:sz w:val="24"/>
          <w:szCs w:val="24"/>
          <w:lang w:val="en-GB"/>
        </w:rPr>
      </w:pPr>
    </w:p>
    <w:p w:rsidR="00563A74" w:rsidRPr="00563A74" w:rsidRDefault="00563A74" w:rsidP="00563A74">
      <w:pPr>
        <w:spacing w:after="0" w:line="240" w:lineRule="auto"/>
        <w:ind w:firstLine="708"/>
        <w:rPr>
          <w:rFonts w:ascii="Arial" w:eastAsia="SimSun" w:hAnsi="Arial" w:cs="Arial"/>
          <w:sz w:val="24"/>
          <w:szCs w:val="24"/>
        </w:rPr>
      </w:pPr>
    </w:p>
    <w:p w:rsidR="00787E64" w:rsidRDefault="00787E64" w:rsidP="00232324">
      <w:pPr>
        <w:spacing w:before="120" w:line="60" w:lineRule="atLeast"/>
        <w:jc w:val="center"/>
        <w:outlineLvl w:val="0"/>
        <w:rPr>
          <w:rFonts w:ascii="Times New Roman" w:hAnsi="Times New Roman"/>
          <w:b/>
          <w:sz w:val="28"/>
          <w:szCs w:val="28"/>
          <w:lang w:val="ro-RO"/>
        </w:rPr>
      </w:pPr>
    </w:p>
    <w:sectPr w:rsidR="00787E64" w:rsidSect="00D9238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88D" w:rsidRDefault="004E088D" w:rsidP="0010560A">
      <w:pPr>
        <w:spacing w:after="0" w:line="240" w:lineRule="auto"/>
      </w:pPr>
      <w:r>
        <w:separator/>
      </w:r>
    </w:p>
  </w:endnote>
  <w:endnote w:type="continuationSeparator" w:id="0">
    <w:p w:rsidR="004E088D" w:rsidRDefault="004E088D" w:rsidP="00105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EUAlbertina">
    <w:altName w:val="Times New Roman"/>
    <w:panose1 w:val="00000000000000000000"/>
    <w:charset w:val="EE"/>
    <w:family w:val="roman"/>
    <w:notTrueType/>
    <w:pitch w:val="default"/>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DDC" w:rsidRPr="00256E13" w:rsidRDefault="008F1DDC" w:rsidP="008F1DDC">
    <w:pPr>
      <w:pStyle w:val="Header"/>
      <w:tabs>
        <w:tab w:val="clear" w:pos="4680"/>
      </w:tabs>
      <w:jc w:val="center"/>
      <w:rPr>
        <w:rFonts w:ascii="Times New Roman" w:hAnsi="Times New Roman"/>
        <w:b/>
        <w:sz w:val="24"/>
        <w:szCs w:val="24"/>
        <w:lang w:val="ro-RO"/>
      </w:rPr>
    </w:pPr>
    <w:r w:rsidRPr="004C3BE6">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30" type="#_x0000_t75" style="position:absolute;left:0;text-align:left;margin-left:-46.65pt;margin-top:-33.6pt;width:41.9pt;height:34.45pt;z-index:-251655168">
          <v:imagedata r:id="rId1" o:title=""/>
        </v:shape>
        <o:OLEObject Type="Embed" ProgID="CorelDRAW.Graphic.13" ShapeID="_x0000_s22530" DrawAspect="Content" ObjectID="_1499854698" r:id="rId2"/>
      </w:pict>
    </w:r>
    <w:r w:rsidRPr="004C3BE6">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22529" type="#_x0000_t32" style="position:absolute;left:0;text-align:left;margin-left:-11.25pt;margin-top:-2.75pt;width:492pt;height:.05pt;z-index:251660288" o:connectortype="straight" strokecolor="#00214e" strokeweight="1.5pt"/>
      </w:pict>
    </w:r>
    <w:r w:rsidRPr="00256E13">
      <w:rPr>
        <w:rFonts w:ascii="Times New Roman" w:hAnsi="Times New Roman"/>
        <w:b/>
        <w:sz w:val="24"/>
        <w:szCs w:val="24"/>
        <w:lang w:val="it-IT"/>
      </w:rPr>
      <w:t>AGEN</w:t>
    </w:r>
    <w:r w:rsidRPr="00256E13">
      <w:rPr>
        <w:rFonts w:ascii="Times New Roman" w:hAnsi="Times New Roman"/>
        <w:b/>
        <w:sz w:val="24"/>
        <w:szCs w:val="24"/>
        <w:lang w:val="ro-RO"/>
      </w:rPr>
      <w:t xml:space="preserve">ŢIA PENTRU PROTECŢIA MEDIULUI </w:t>
    </w:r>
    <w:r>
      <w:rPr>
        <w:rFonts w:ascii="Times New Roman" w:hAnsi="Times New Roman"/>
        <w:b/>
        <w:sz w:val="24"/>
        <w:szCs w:val="24"/>
        <w:lang w:val="ro-RO"/>
      </w:rPr>
      <w:t>BUZĂU</w:t>
    </w:r>
  </w:p>
  <w:p w:rsidR="008F1DDC" w:rsidRPr="00256E13" w:rsidRDefault="008F1DDC" w:rsidP="008F1DDC">
    <w:pPr>
      <w:pStyle w:val="Header"/>
      <w:tabs>
        <w:tab w:val="clear" w:pos="4680"/>
      </w:tabs>
      <w:jc w:val="center"/>
      <w:rPr>
        <w:rFonts w:ascii="Times New Roman" w:hAnsi="Times New Roman"/>
        <w:sz w:val="24"/>
        <w:szCs w:val="24"/>
        <w:lang w:val="ro-RO"/>
      </w:rPr>
    </w:pPr>
    <w:r w:rsidRPr="00256E13">
      <w:rPr>
        <w:rFonts w:ascii="Times New Roman" w:hAnsi="Times New Roman"/>
        <w:sz w:val="24"/>
        <w:szCs w:val="24"/>
        <w:lang w:val="ro-RO"/>
      </w:rPr>
      <w:t>Strada</w:t>
    </w:r>
    <w:r>
      <w:rPr>
        <w:rFonts w:ascii="Times New Roman" w:hAnsi="Times New Roman"/>
        <w:sz w:val="24"/>
        <w:szCs w:val="24"/>
        <w:lang w:val="ro-RO"/>
      </w:rPr>
      <w:t xml:space="preserve"> Democraţiei, nr. 11</w:t>
    </w:r>
  </w:p>
  <w:p w:rsidR="008F1DDC" w:rsidRDefault="008F1DDC" w:rsidP="008F1DDC">
    <w:pPr>
      <w:pStyle w:val="Header"/>
      <w:tabs>
        <w:tab w:val="clear" w:pos="4680"/>
      </w:tabs>
      <w:jc w:val="center"/>
      <w:rPr>
        <w:rFonts w:ascii="Times New Roman" w:hAnsi="Times New Roman"/>
        <w:sz w:val="24"/>
        <w:szCs w:val="24"/>
        <w:lang w:val="ro-RO"/>
      </w:rPr>
    </w:pPr>
    <w:r w:rsidRPr="00256E13">
      <w:rPr>
        <w:rFonts w:ascii="Times New Roman" w:hAnsi="Times New Roman"/>
        <w:sz w:val="24"/>
        <w:szCs w:val="24"/>
        <w:lang w:val="ro-RO"/>
      </w:rPr>
      <w:t>E-mail:</w:t>
    </w:r>
    <w:r>
      <w:rPr>
        <w:rFonts w:ascii="Times New Roman" w:hAnsi="Times New Roman"/>
        <w:sz w:val="24"/>
        <w:szCs w:val="24"/>
        <w:lang w:val="ro-RO"/>
      </w:rPr>
      <w:t>office</w:t>
    </w:r>
    <w:r>
      <w:rPr>
        <w:rFonts w:ascii="Times New Roman" w:hAnsi="Times New Roman"/>
        <w:sz w:val="24"/>
        <w:szCs w:val="24"/>
      </w:rPr>
      <w:t>@apmbz.anpm.ro</w:t>
    </w:r>
    <w:r w:rsidRPr="00256E13">
      <w:rPr>
        <w:rFonts w:ascii="Times New Roman" w:hAnsi="Times New Roman"/>
        <w:sz w:val="24"/>
        <w:szCs w:val="24"/>
        <w:lang w:val="ro-RO"/>
      </w:rPr>
      <w:t>; Tel</w:t>
    </w:r>
    <w:r>
      <w:rPr>
        <w:rFonts w:ascii="Times New Roman" w:hAnsi="Times New Roman"/>
        <w:sz w:val="24"/>
        <w:szCs w:val="24"/>
        <w:lang w:val="ro-RO"/>
      </w:rPr>
      <w:t xml:space="preserve">: 02380413117, 0238 719693 Mobil: 07460248536 </w:t>
    </w:r>
  </w:p>
  <w:p w:rsidR="008F1DDC" w:rsidRPr="00256E13" w:rsidRDefault="008F1DDC" w:rsidP="008F1DDC">
    <w:pPr>
      <w:pStyle w:val="Header"/>
      <w:tabs>
        <w:tab w:val="clear" w:pos="4680"/>
      </w:tabs>
      <w:jc w:val="center"/>
      <w:rPr>
        <w:rFonts w:ascii="Times New Roman" w:hAnsi="Times New Roman"/>
        <w:sz w:val="24"/>
        <w:szCs w:val="24"/>
        <w:lang w:val="ro-RO"/>
      </w:rPr>
    </w:pPr>
    <w:r w:rsidRPr="00256E13">
      <w:rPr>
        <w:rFonts w:ascii="Times New Roman" w:hAnsi="Times New Roman"/>
        <w:sz w:val="24"/>
        <w:szCs w:val="24"/>
        <w:lang w:val="ro-RO"/>
      </w:rPr>
      <w:t xml:space="preserve">Fax. </w:t>
    </w:r>
    <w:r>
      <w:rPr>
        <w:rFonts w:ascii="Times New Roman" w:hAnsi="Times New Roman"/>
        <w:sz w:val="24"/>
        <w:szCs w:val="24"/>
        <w:lang w:val="ro-RO"/>
      </w:rPr>
      <w:t>0238 414551</w:t>
    </w:r>
  </w:p>
  <w:p w:rsidR="008F1DDC" w:rsidRPr="00256E13" w:rsidRDefault="008F1DDC" w:rsidP="008F1DDC">
    <w:pPr>
      <w:pStyle w:val="Header"/>
      <w:tabs>
        <w:tab w:val="clear" w:pos="4680"/>
      </w:tabs>
      <w:jc w:val="center"/>
      <w:rPr>
        <w:rFonts w:ascii="Times New Roman" w:hAnsi="Times New Roman"/>
        <w:sz w:val="20"/>
        <w:szCs w:val="20"/>
      </w:rPr>
    </w:pPr>
  </w:p>
  <w:p w:rsidR="00D92384" w:rsidRDefault="00D92384">
    <w:pPr>
      <w:pStyle w:val="Footer"/>
      <w:jc w:val="center"/>
    </w:pPr>
  </w:p>
  <w:p w:rsidR="00D92384" w:rsidRDefault="00D923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76945"/>
      <w:docPartObj>
        <w:docPartGallery w:val="Page Numbers (Bottom of Page)"/>
        <w:docPartUnique/>
      </w:docPartObj>
    </w:sdtPr>
    <w:sdtContent>
      <w:p w:rsidR="00D92384" w:rsidRDefault="00810D5B">
        <w:pPr>
          <w:pStyle w:val="Footer"/>
          <w:jc w:val="center"/>
        </w:pPr>
        <w:fldSimple w:instr=" PAGE   \* MERGEFORMAT ">
          <w:r w:rsidR="008F1DDC">
            <w:rPr>
              <w:noProof/>
            </w:rPr>
            <w:t>222</w:t>
          </w:r>
        </w:fldSimple>
      </w:p>
    </w:sdtContent>
  </w:sdt>
  <w:p w:rsidR="00D92384" w:rsidRDefault="00D923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84" w:rsidRDefault="00810D5B" w:rsidP="00D92384">
    <w:pPr>
      <w:pStyle w:val="Footer"/>
      <w:framePr w:wrap="around" w:vAnchor="text" w:hAnchor="margin" w:xAlign="center" w:y="1"/>
      <w:rPr>
        <w:rStyle w:val="PageNumber"/>
      </w:rPr>
    </w:pPr>
    <w:r>
      <w:rPr>
        <w:rStyle w:val="PageNumber"/>
      </w:rPr>
      <w:fldChar w:fldCharType="begin"/>
    </w:r>
    <w:r w:rsidR="00D92384">
      <w:rPr>
        <w:rStyle w:val="PageNumber"/>
      </w:rPr>
      <w:instrText xml:space="preserve">PAGE  </w:instrText>
    </w:r>
    <w:r>
      <w:rPr>
        <w:rStyle w:val="PageNumber"/>
      </w:rPr>
      <w:fldChar w:fldCharType="end"/>
    </w:r>
  </w:p>
  <w:p w:rsidR="00D92384" w:rsidRDefault="00D9238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384" w:rsidRDefault="00810D5B" w:rsidP="00D92384">
    <w:pPr>
      <w:pStyle w:val="Footer"/>
      <w:framePr w:wrap="around" w:vAnchor="text" w:hAnchor="margin" w:xAlign="center" w:y="1"/>
      <w:rPr>
        <w:rStyle w:val="PageNumber"/>
      </w:rPr>
    </w:pPr>
    <w:r>
      <w:rPr>
        <w:rStyle w:val="PageNumber"/>
      </w:rPr>
      <w:fldChar w:fldCharType="begin"/>
    </w:r>
    <w:r w:rsidR="00D92384">
      <w:rPr>
        <w:rStyle w:val="PageNumber"/>
      </w:rPr>
      <w:instrText xml:space="preserve">PAGE  </w:instrText>
    </w:r>
    <w:r>
      <w:rPr>
        <w:rStyle w:val="PageNumber"/>
      </w:rPr>
      <w:fldChar w:fldCharType="separate"/>
    </w:r>
    <w:r w:rsidR="008F1DDC">
      <w:rPr>
        <w:rStyle w:val="PageNumber"/>
        <w:noProof/>
      </w:rPr>
      <w:t>243</w:t>
    </w:r>
    <w:r>
      <w:rPr>
        <w:rStyle w:val="PageNumber"/>
      </w:rPr>
      <w:fldChar w:fldCharType="end"/>
    </w:r>
  </w:p>
  <w:p w:rsidR="00D92384" w:rsidRDefault="00D923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88D" w:rsidRDefault="004E088D" w:rsidP="0010560A">
      <w:pPr>
        <w:spacing w:after="0" w:line="240" w:lineRule="auto"/>
      </w:pPr>
      <w:r>
        <w:separator/>
      </w:r>
    </w:p>
  </w:footnote>
  <w:footnote w:type="continuationSeparator" w:id="0">
    <w:p w:rsidR="004E088D" w:rsidRDefault="004E088D" w:rsidP="001056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520274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2B2B22"/>
    <w:multiLevelType w:val="multilevel"/>
    <w:tmpl w:val="237A8AC4"/>
    <w:lvl w:ilvl="0">
      <w:start w:val="6"/>
      <w:numFmt w:val="decimal"/>
      <w:lvlText w:val="%1."/>
      <w:lvlJc w:val="left"/>
      <w:pPr>
        <w:tabs>
          <w:tab w:val="num" w:pos="720"/>
        </w:tabs>
        <w:ind w:left="720" w:hanging="720"/>
      </w:pPr>
      <w:rPr>
        <w:rFonts w:hint="default"/>
      </w:rPr>
    </w:lvl>
    <w:lvl w:ilvl="1">
      <w:start w:val="1"/>
      <w:numFmt w:val="decimal"/>
      <w:pStyle w:val="bul2"/>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9BB0CA7"/>
    <w:multiLevelType w:val="hybridMultilevel"/>
    <w:tmpl w:val="073E2FA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F61DD1"/>
    <w:multiLevelType w:val="hybridMultilevel"/>
    <w:tmpl w:val="243C6C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B7B1B93"/>
    <w:multiLevelType w:val="hybridMultilevel"/>
    <w:tmpl w:val="F8E886CC"/>
    <w:lvl w:ilvl="0" w:tplc="04180001">
      <w:start w:val="1"/>
      <w:numFmt w:val="bullet"/>
      <w:lvlText w:val=""/>
      <w:lvlJc w:val="left"/>
      <w:pPr>
        <w:ind w:left="1936" w:hanging="360"/>
      </w:pPr>
      <w:rPr>
        <w:rFonts w:ascii="Symbol" w:hAnsi="Symbol" w:hint="default"/>
      </w:rPr>
    </w:lvl>
    <w:lvl w:ilvl="1" w:tplc="04180003" w:tentative="1">
      <w:start w:val="1"/>
      <w:numFmt w:val="bullet"/>
      <w:lvlText w:val="o"/>
      <w:lvlJc w:val="left"/>
      <w:pPr>
        <w:ind w:left="2656" w:hanging="360"/>
      </w:pPr>
      <w:rPr>
        <w:rFonts w:ascii="Courier New" w:hAnsi="Courier New" w:cs="Courier New" w:hint="default"/>
      </w:rPr>
    </w:lvl>
    <w:lvl w:ilvl="2" w:tplc="04180005" w:tentative="1">
      <w:start w:val="1"/>
      <w:numFmt w:val="bullet"/>
      <w:lvlText w:val=""/>
      <w:lvlJc w:val="left"/>
      <w:pPr>
        <w:ind w:left="3376" w:hanging="360"/>
      </w:pPr>
      <w:rPr>
        <w:rFonts w:ascii="Wingdings" w:hAnsi="Wingdings" w:hint="default"/>
      </w:rPr>
    </w:lvl>
    <w:lvl w:ilvl="3" w:tplc="04180001" w:tentative="1">
      <w:start w:val="1"/>
      <w:numFmt w:val="bullet"/>
      <w:lvlText w:val=""/>
      <w:lvlJc w:val="left"/>
      <w:pPr>
        <w:ind w:left="4096" w:hanging="360"/>
      </w:pPr>
      <w:rPr>
        <w:rFonts w:ascii="Symbol" w:hAnsi="Symbol" w:hint="default"/>
      </w:rPr>
    </w:lvl>
    <w:lvl w:ilvl="4" w:tplc="04180003" w:tentative="1">
      <w:start w:val="1"/>
      <w:numFmt w:val="bullet"/>
      <w:lvlText w:val="o"/>
      <w:lvlJc w:val="left"/>
      <w:pPr>
        <w:ind w:left="4816" w:hanging="360"/>
      </w:pPr>
      <w:rPr>
        <w:rFonts w:ascii="Courier New" w:hAnsi="Courier New" w:cs="Courier New" w:hint="default"/>
      </w:rPr>
    </w:lvl>
    <w:lvl w:ilvl="5" w:tplc="04180005" w:tentative="1">
      <w:start w:val="1"/>
      <w:numFmt w:val="bullet"/>
      <w:lvlText w:val=""/>
      <w:lvlJc w:val="left"/>
      <w:pPr>
        <w:ind w:left="5536" w:hanging="360"/>
      </w:pPr>
      <w:rPr>
        <w:rFonts w:ascii="Wingdings" w:hAnsi="Wingdings" w:hint="default"/>
      </w:rPr>
    </w:lvl>
    <w:lvl w:ilvl="6" w:tplc="04180001" w:tentative="1">
      <w:start w:val="1"/>
      <w:numFmt w:val="bullet"/>
      <w:lvlText w:val=""/>
      <w:lvlJc w:val="left"/>
      <w:pPr>
        <w:ind w:left="6256" w:hanging="360"/>
      </w:pPr>
      <w:rPr>
        <w:rFonts w:ascii="Symbol" w:hAnsi="Symbol" w:hint="default"/>
      </w:rPr>
    </w:lvl>
    <w:lvl w:ilvl="7" w:tplc="04180003" w:tentative="1">
      <w:start w:val="1"/>
      <w:numFmt w:val="bullet"/>
      <w:lvlText w:val="o"/>
      <w:lvlJc w:val="left"/>
      <w:pPr>
        <w:ind w:left="6976" w:hanging="360"/>
      </w:pPr>
      <w:rPr>
        <w:rFonts w:ascii="Courier New" w:hAnsi="Courier New" w:cs="Courier New" w:hint="default"/>
      </w:rPr>
    </w:lvl>
    <w:lvl w:ilvl="8" w:tplc="04180005" w:tentative="1">
      <w:start w:val="1"/>
      <w:numFmt w:val="bullet"/>
      <w:lvlText w:val=""/>
      <w:lvlJc w:val="left"/>
      <w:pPr>
        <w:ind w:left="7696" w:hanging="360"/>
      </w:pPr>
      <w:rPr>
        <w:rFonts w:ascii="Wingdings" w:hAnsi="Wingdings" w:hint="default"/>
      </w:rPr>
    </w:lvl>
  </w:abstractNum>
  <w:abstractNum w:abstractNumId="5">
    <w:nsid w:val="0C9D09BE"/>
    <w:multiLevelType w:val="hybridMultilevel"/>
    <w:tmpl w:val="CCB01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E701826"/>
    <w:multiLevelType w:val="hybridMultilevel"/>
    <w:tmpl w:val="43BCE44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1063D2B"/>
    <w:multiLevelType w:val="hybridMultilevel"/>
    <w:tmpl w:val="D2B63B4E"/>
    <w:lvl w:ilvl="0" w:tplc="2B6C2604">
      <w:start w:val="9"/>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5947AF0"/>
    <w:multiLevelType w:val="hybridMultilevel"/>
    <w:tmpl w:val="B268D82C"/>
    <w:lvl w:ilvl="0" w:tplc="D4A08374">
      <w:start w:val="7"/>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EA577D"/>
    <w:multiLevelType w:val="hybridMultilevel"/>
    <w:tmpl w:val="329CFD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5EB2013"/>
    <w:multiLevelType w:val="hybridMultilevel"/>
    <w:tmpl w:val="A48C3754"/>
    <w:lvl w:ilvl="0" w:tplc="537C1602">
      <w:start w:val="9"/>
      <w:numFmt w:val="bullet"/>
      <w:lvlText w:val="-"/>
      <w:lvlJc w:val="left"/>
      <w:pPr>
        <w:ind w:left="1353" w:hanging="360"/>
      </w:pPr>
      <w:rPr>
        <w:rFonts w:ascii="Arial" w:eastAsia="SimSun" w:hAnsi="Arial" w:cs="Arial" w:hint="default"/>
      </w:rPr>
    </w:lvl>
    <w:lvl w:ilvl="1" w:tplc="04180003" w:tentative="1">
      <w:start w:val="1"/>
      <w:numFmt w:val="bullet"/>
      <w:lvlText w:val="o"/>
      <w:lvlJc w:val="left"/>
      <w:pPr>
        <w:ind w:left="2073" w:hanging="360"/>
      </w:pPr>
      <w:rPr>
        <w:rFonts w:ascii="Courier New" w:hAnsi="Courier New" w:cs="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cs="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cs="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11">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737"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12">
    <w:nsid w:val="1F1408AE"/>
    <w:multiLevelType w:val="hybridMultilevel"/>
    <w:tmpl w:val="8D9E67A4"/>
    <w:lvl w:ilvl="0" w:tplc="01206462">
      <w:start w:val="7"/>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20BC08EC"/>
    <w:multiLevelType w:val="hybridMultilevel"/>
    <w:tmpl w:val="D7B2624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1CD651B"/>
    <w:multiLevelType w:val="hybridMultilevel"/>
    <w:tmpl w:val="2F7035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8C53D83"/>
    <w:multiLevelType w:val="multilevel"/>
    <w:tmpl w:val="FCCC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C741717"/>
    <w:multiLevelType w:val="hybridMultilevel"/>
    <w:tmpl w:val="A7EE0040"/>
    <w:lvl w:ilvl="0" w:tplc="CA42E9D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EBD4A09"/>
    <w:multiLevelType w:val="hybridMultilevel"/>
    <w:tmpl w:val="9A84342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05C7B58"/>
    <w:multiLevelType w:val="hybridMultilevel"/>
    <w:tmpl w:val="26B42A64"/>
    <w:lvl w:ilvl="0" w:tplc="25FA6B9E">
      <w:start w:val="9"/>
      <w:numFmt w:val="upperRoman"/>
      <w:lvlText w:val="%1."/>
      <w:lvlJc w:val="left"/>
      <w:pPr>
        <w:ind w:left="1455" w:hanging="720"/>
      </w:pPr>
      <w:rPr>
        <w:rFonts w:hint="default"/>
      </w:rPr>
    </w:lvl>
    <w:lvl w:ilvl="1" w:tplc="04180019" w:tentative="1">
      <w:start w:val="1"/>
      <w:numFmt w:val="lowerLetter"/>
      <w:lvlText w:val="%2."/>
      <w:lvlJc w:val="left"/>
      <w:pPr>
        <w:ind w:left="1815" w:hanging="360"/>
      </w:pPr>
    </w:lvl>
    <w:lvl w:ilvl="2" w:tplc="0418001B" w:tentative="1">
      <w:start w:val="1"/>
      <w:numFmt w:val="lowerRoman"/>
      <w:lvlText w:val="%3."/>
      <w:lvlJc w:val="right"/>
      <w:pPr>
        <w:ind w:left="2535" w:hanging="180"/>
      </w:pPr>
    </w:lvl>
    <w:lvl w:ilvl="3" w:tplc="0418000F" w:tentative="1">
      <w:start w:val="1"/>
      <w:numFmt w:val="decimal"/>
      <w:lvlText w:val="%4."/>
      <w:lvlJc w:val="left"/>
      <w:pPr>
        <w:ind w:left="3255" w:hanging="360"/>
      </w:pPr>
    </w:lvl>
    <w:lvl w:ilvl="4" w:tplc="04180019" w:tentative="1">
      <w:start w:val="1"/>
      <w:numFmt w:val="lowerLetter"/>
      <w:lvlText w:val="%5."/>
      <w:lvlJc w:val="left"/>
      <w:pPr>
        <w:ind w:left="3975" w:hanging="360"/>
      </w:pPr>
    </w:lvl>
    <w:lvl w:ilvl="5" w:tplc="0418001B" w:tentative="1">
      <w:start w:val="1"/>
      <w:numFmt w:val="lowerRoman"/>
      <w:lvlText w:val="%6."/>
      <w:lvlJc w:val="right"/>
      <w:pPr>
        <w:ind w:left="4695" w:hanging="180"/>
      </w:pPr>
    </w:lvl>
    <w:lvl w:ilvl="6" w:tplc="0418000F" w:tentative="1">
      <w:start w:val="1"/>
      <w:numFmt w:val="decimal"/>
      <w:lvlText w:val="%7."/>
      <w:lvlJc w:val="left"/>
      <w:pPr>
        <w:ind w:left="5415" w:hanging="360"/>
      </w:pPr>
    </w:lvl>
    <w:lvl w:ilvl="7" w:tplc="04180019" w:tentative="1">
      <w:start w:val="1"/>
      <w:numFmt w:val="lowerLetter"/>
      <w:lvlText w:val="%8."/>
      <w:lvlJc w:val="left"/>
      <w:pPr>
        <w:ind w:left="6135" w:hanging="360"/>
      </w:pPr>
    </w:lvl>
    <w:lvl w:ilvl="8" w:tplc="0418001B" w:tentative="1">
      <w:start w:val="1"/>
      <w:numFmt w:val="lowerRoman"/>
      <w:lvlText w:val="%9."/>
      <w:lvlJc w:val="right"/>
      <w:pPr>
        <w:ind w:left="6855" w:hanging="180"/>
      </w:pPr>
    </w:lvl>
  </w:abstractNum>
  <w:abstractNum w:abstractNumId="19">
    <w:nsid w:val="327B5724"/>
    <w:multiLevelType w:val="hybridMultilevel"/>
    <w:tmpl w:val="82CEBF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61575E7"/>
    <w:multiLevelType w:val="hybridMultilevel"/>
    <w:tmpl w:val="328208DC"/>
    <w:lvl w:ilvl="0" w:tplc="0418000B">
      <w:start w:val="1"/>
      <w:numFmt w:val="bullet"/>
      <w:lvlText w:val=""/>
      <w:lvlJc w:val="left"/>
      <w:pPr>
        <w:ind w:left="777" w:hanging="360"/>
      </w:pPr>
      <w:rPr>
        <w:rFonts w:ascii="Wingdings" w:hAnsi="Wingdings" w:hint="default"/>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21">
    <w:nsid w:val="3661603F"/>
    <w:multiLevelType w:val="hybridMultilevel"/>
    <w:tmpl w:val="2EA85840"/>
    <w:lvl w:ilvl="0" w:tplc="3688464C">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7D23FD9"/>
    <w:multiLevelType w:val="hybridMultilevel"/>
    <w:tmpl w:val="529803EE"/>
    <w:lvl w:ilvl="0" w:tplc="8A6A85F4">
      <w:start w:val="4"/>
      <w:numFmt w:val="bullet"/>
      <w:lvlText w:val="-"/>
      <w:lvlJc w:val="left"/>
      <w:pPr>
        <w:tabs>
          <w:tab w:val="num" w:pos="720"/>
        </w:tabs>
        <w:ind w:left="720" w:hanging="360"/>
      </w:pPr>
      <w:rPr>
        <w:rFonts w:ascii="Arial" w:eastAsia="SimSu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39314104"/>
    <w:multiLevelType w:val="hybridMultilevel"/>
    <w:tmpl w:val="3BDCE880"/>
    <w:lvl w:ilvl="0" w:tplc="AF862FAC">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4C31D5"/>
    <w:multiLevelType w:val="hybridMultilevel"/>
    <w:tmpl w:val="B10EE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3BA146E">
      <w:start w:val="4"/>
      <w:numFmt w:val="bullet"/>
      <w:lvlText w:val="-"/>
      <w:lvlJc w:val="left"/>
      <w:pPr>
        <w:tabs>
          <w:tab w:val="num" w:pos="2160"/>
        </w:tabs>
        <w:ind w:left="2160" w:hanging="360"/>
      </w:pPr>
      <w:rPr>
        <w:rFonts w:ascii="Times New Roman" w:eastAsia="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3DC91884"/>
    <w:multiLevelType w:val="hybridMultilevel"/>
    <w:tmpl w:val="CF18562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422552E5"/>
    <w:multiLevelType w:val="hybridMultilevel"/>
    <w:tmpl w:val="818A3368"/>
    <w:lvl w:ilvl="0" w:tplc="16842922">
      <w:start w:val="2"/>
      <w:numFmt w:val="bullet"/>
      <w:lvlText w:val="-"/>
      <w:lvlJc w:val="left"/>
      <w:pPr>
        <w:tabs>
          <w:tab w:val="num" w:pos="945"/>
        </w:tabs>
        <w:ind w:left="94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231038D"/>
    <w:multiLevelType w:val="multilevel"/>
    <w:tmpl w:val="DB38A97E"/>
    <w:lvl w:ilvl="0">
      <w:start w:val="1"/>
      <w:numFmt w:val="bullet"/>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4007954"/>
    <w:multiLevelType w:val="multilevel"/>
    <w:tmpl w:val="E65CEC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6240C33"/>
    <w:multiLevelType w:val="hybridMultilevel"/>
    <w:tmpl w:val="FAF2B6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46BB48AA"/>
    <w:multiLevelType w:val="hybridMultilevel"/>
    <w:tmpl w:val="DD660D96"/>
    <w:lvl w:ilvl="0" w:tplc="0E6E080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473C07E0"/>
    <w:multiLevelType w:val="hybridMultilevel"/>
    <w:tmpl w:val="EB36F668"/>
    <w:lvl w:ilvl="0" w:tplc="36AE376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7A71C0C"/>
    <w:multiLevelType w:val="hybridMultilevel"/>
    <w:tmpl w:val="4440D140"/>
    <w:lvl w:ilvl="0" w:tplc="CC9617DA">
      <w:start w:val="1"/>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0021237"/>
    <w:multiLevelType w:val="multilevel"/>
    <w:tmpl w:val="066E1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34D705E"/>
    <w:multiLevelType w:val="hybridMultilevel"/>
    <w:tmpl w:val="09B832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7633962"/>
    <w:multiLevelType w:val="hybridMultilevel"/>
    <w:tmpl w:val="39FCE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5C7653A4"/>
    <w:multiLevelType w:val="hybridMultilevel"/>
    <w:tmpl w:val="F5849304"/>
    <w:lvl w:ilvl="0" w:tplc="2A846444">
      <w:numFmt w:val="bullet"/>
      <w:lvlText w:val="-"/>
      <w:lvlJc w:val="left"/>
      <w:pPr>
        <w:ind w:left="720" w:hanging="360"/>
      </w:pPr>
      <w:rPr>
        <w:rFonts w:ascii="Calibri" w:eastAsia="Times New Roman"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6A00B1"/>
    <w:multiLevelType w:val="hybridMultilevel"/>
    <w:tmpl w:val="CA0A621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5E302BC1"/>
    <w:multiLevelType w:val="hybridMultilevel"/>
    <w:tmpl w:val="21643ADC"/>
    <w:lvl w:ilvl="0" w:tplc="4F805270">
      <w:start w:val="6"/>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6676048C"/>
    <w:multiLevelType w:val="hybridMultilevel"/>
    <w:tmpl w:val="64686AD8"/>
    <w:lvl w:ilvl="0" w:tplc="9D009BB2">
      <w:start w:val="11"/>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6A047BEB"/>
    <w:multiLevelType w:val="hybridMultilevel"/>
    <w:tmpl w:val="593CEAD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1">
    <w:nsid w:val="6C1C3289"/>
    <w:multiLevelType w:val="hybridMultilevel"/>
    <w:tmpl w:val="DD66250A"/>
    <w:lvl w:ilvl="0" w:tplc="7746528A">
      <w:start w:val="144"/>
      <w:numFmt w:val="bullet"/>
      <w:lvlText w:val="-"/>
      <w:lvlJc w:val="left"/>
      <w:pPr>
        <w:tabs>
          <w:tab w:val="num" w:pos="945"/>
        </w:tabs>
        <w:ind w:left="945" w:hanging="360"/>
      </w:pPr>
      <w:rPr>
        <w:rFonts w:ascii="Arial" w:eastAsia="Times New Roman" w:hAnsi="Arial" w:cs="Arial" w:hint="default"/>
      </w:rPr>
    </w:lvl>
    <w:lvl w:ilvl="1" w:tplc="04180003" w:tentative="1">
      <w:start w:val="1"/>
      <w:numFmt w:val="bullet"/>
      <w:lvlText w:val="o"/>
      <w:lvlJc w:val="left"/>
      <w:pPr>
        <w:tabs>
          <w:tab w:val="num" w:pos="1665"/>
        </w:tabs>
        <w:ind w:left="1665" w:hanging="360"/>
      </w:pPr>
      <w:rPr>
        <w:rFonts w:ascii="Courier New" w:hAnsi="Courier New" w:cs="Courier New" w:hint="default"/>
      </w:rPr>
    </w:lvl>
    <w:lvl w:ilvl="2" w:tplc="04180005" w:tentative="1">
      <w:start w:val="1"/>
      <w:numFmt w:val="bullet"/>
      <w:lvlText w:val=""/>
      <w:lvlJc w:val="left"/>
      <w:pPr>
        <w:tabs>
          <w:tab w:val="num" w:pos="2385"/>
        </w:tabs>
        <w:ind w:left="2385" w:hanging="360"/>
      </w:pPr>
      <w:rPr>
        <w:rFonts w:ascii="Wingdings" w:hAnsi="Wingdings" w:hint="default"/>
      </w:rPr>
    </w:lvl>
    <w:lvl w:ilvl="3" w:tplc="04180001" w:tentative="1">
      <w:start w:val="1"/>
      <w:numFmt w:val="bullet"/>
      <w:lvlText w:val=""/>
      <w:lvlJc w:val="left"/>
      <w:pPr>
        <w:tabs>
          <w:tab w:val="num" w:pos="3105"/>
        </w:tabs>
        <w:ind w:left="3105" w:hanging="360"/>
      </w:pPr>
      <w:rPr>
        <w:rFonts w:ascii="Symbol" w:hAnsi="Symbol" w:hint="default"/>
      </w:rPr>
    </w:lvl>
    <w:lvl w:ilvl="4" w:tplc="04180003" w:tentative="1">
      <w:start w:val="1"/>
      <w:numFmt w:val="bullet"/>
      <w:lvlText w:val="o"/>
      <w:lvlJc w:val="left"/>
      <w:pPr>
        <w:tabs>
          <w:tab w:val="num" w:pos="3825"/>
        </w:tabs>
        <w:ind w:left="3825" w:hanging="360"/>
      </w:pPr>
      <w:rPr>
        <w:rFonts w:ascii="Courier New" w:hAnsi="Courier New" w:cs="Courier New" w:hint="default"/>
      </w:rPr>
    </w:lvl>
    <w:lvl w:ilvl="5" w:tplc="04180005" w:tentative="1">
      <w:start w:val="1"/>
      <w:numFmt w:val="bullet"/>
      <w:lvlText w:val=""/>
      <w:lvlJc w:val="left"/>
      <w:pPr>
        <w:tabs>
          <w:tab w:val="num" w:pos="4545"/>
        </w:tabs>
        <w:ind w:left="4545" w:hanging="360"/>
      </w:pPr>
      <w:rPr>
        <w:rFonts w:ascii="Wingdings" w:hAnsi="Wingdings" w:hint="default"/>
      </w:rPr>
    </w:lvl>
    <w:lvl w:ilvl="6" w:tplc="04180001" w:tentative="1">
      <w:start w:val="1"/>
      <w:numFmt w:val="bullet"/>
      <w:lvlText w:val=""/>
      <w:lvlJc w:val="left"/>
      <w:pPr>
        <w:tabs>
          <w:tab w:val="num" w:pos="5265"/>
        </w:tabs>
        <w:ind w:left="5265" w:hanging="360"/>
      </w:pPr>
      <w:rPr>
        <w:rFonts w:ascii="Symbol" w:hAnsi="Symbol" w:hint="default"/>
      </w:rPr>
    </w:lvl>
    <w:lvl w:ilvl="7" w:tplc="04180003" w:tentative="1">
      <w:start w:val="1"/>
      <w:numFmt w:val="bullet"/>
      <w:lvlText w:val="o"/>
      <w:lvlJc w:val="left"/>
      <w:pPr>
        <w:tabs>
          <w:tab w:val="num" w:pos="5985"/>
        </w:tabs>
        <w:ind w:left="5985" w:hanging="360"/>
      </w:pPr>
      <w:rPr>
        <w:rFonts w:ascii="Courier New" w:hAnsi="Courier New" w:cs="Courier New" w:hint="default"/>
      </w:rPr>
    </w:lvl>
    <w:lvl w:ilvl="8" w:tplc="04180005" w:tentative="1">
      <w:start w:val="1"/>
      <w:numFmt w:val="bullet"/>
      <w:lvlText w:val=""/>
      <w:lvlJc w:val="left"/>
      <w:pPr>
        <w:tabs>
          <w:tab w:val="num" w:pos="6705"/>
        </w:tabs>
        <w:ind w:left="6705" w:hanging="360"/>
      </w:pPr>
      <w:rPr>
        <w:rFonts w:ascii="Wingdings" w:hAnsi="Wingdings" w:hint="default"/>
      </w:rPr>
    </w:lvl>
  </w:abstractNum>
  <w:abstractNum w:abstractNumId="42">
    <w:nsid w:val="6C21052D"/>
    <w:multiLevelType w:val="hybridMultilevel"/>
    <w:tmpl w:val="B2642B6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CE01F2D"/>
    <w:multiLevelType w:val="hybridMultilevel"/>
    <w:tmpl w:val="1F22B3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71977DBF"/>
    <w:multiLevelType w:val="hybridMultilevel"/>
    <w:tmpl w:val="B88C6DA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8AB0B71"/>
    <w:multiLevelType w:val="hybridMultilevel"/>
    <w:tmpl w:val="372A8CE6"/>
    <w:lvl w:ilvl="0" w:tplc="2C4497DC">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7E501CA7"/>
    <w:multiLevelType w:val="hybridMultilevel"/>
    <w:tmpl w:val="F81626E4"/>
    <w:lvl w:ilvl="0" w:tplc="04090001">
      <w:start w:val="1"/>
      <w:numFmt w:val="bullet"/>
      <w:lvlText w:val=""/>
      <w:lvlJc w:val="left"/>
      <w:pPr>
        <w:tabs>
          <w:tab w:val="num" w:pos="780"/>
        </w:tabs>
        <w:ind w:left="780" w:hanging="360"/>
      </w:pPr>
      <w:rPr>
        <w:rFonts w:ascii="Symbol" w:hAnsi="Symbol" w:hint="default"/>
      </w:rPr>
    </w:lvl>
    <w:lvl w:ilvl="1" w:tplc="52FE6020">
      <w:start w:val="8"/>
      <w:numFmt w:val="bullet"/>
      <w:lvlText w:val="-"/>
      <w:lvlJc w:val="left"/>
      <w:pPr>
        <w:tabs>
          <w:tab w:val="num" w:pos="1530"/>
        </w:tabs>
        <w:ind w:left="1530" w:hanging="390"/>
      </w:pPr>
      <w:rPr>
        <w:rFonts w:ascii="Times New Roman" w:eastAsia="Times New Roman" w:hAnsi="Times New Roman"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47">
    <w:nsid w:val="7F292518"/>
    <w:multiLevelType w:val="hybridMultilevel"/>
    <w:tmpl w:val="7898CC18"/>
    <w:lvl w:ilvl="0" w:tplc="0B50526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46"/>
  </w:num>
  <w:num w:numId="4">
    <w:abstractNumId w:val="35"/>
  </w:num>
  <w:num w:numId="5">
    <w:abstractNumId w:val="30"/>
  </w:num>
  <w:num w:numId="6">
    <w:abstractNumId w:val="24"/>
  </w:num>
  <w:num w:numId="7">
    <w:abstractNumId w:val="22"/>
  </w:num>
  <w:num w:numId="8">
    <w:abstractNumId w:val="1"/>
  </w:num>
  <w:num w:numId="9">
    <w:abstractNumId w:val="27"/>
  </w:num>
  <w:num w:numId="10">
    <w:abstractNumId w:val="32"/>
  </w:num>
  <w:num w:numId="11">
    <w:abstractNumId w:val="44"/>
  </w:num>
  <w:num w:numId="12">
    <w:abstractNumId w:val="5"/>
  </w:num>
  <w:num w:numId="13">
    <w:abstractNumId w:val="28"/>
  </w:num>
  <w:num w:numId="14">
    <w:abstractNumId w:val="47"/>
  </w:num>
  <w:num w:numId="15">
    <w:abstractNumId w:val="21"/>
  </w:num>
  <w:num w:numId="16">
    <w:abstractNumId w:val="14"/>
  </w:num>
  <w:num w:numId="17">
    <w:abstractNumId w:val="9"/>
  </w:num>
  <w:num w:numId="18">
    <w:abstractNumId w:val="8"/>
  </w:num>
  <w:num w:numId="19">
    <w:abstractNumId w:val="12"/>
  </w:num>
  <w:num w:numId="20">
    <w:abstractNumId w:val="17"/>
  </w:num>
  <w:num w:numId="21">
    <w:abstractNumId w:val="36"/>
  </w:num>
  <w:num w:numId="22">
    <w:abstractNumId w:val="15"/>
  </w:num>
  <w:num w:numId="23">
    <w:abstractNumId w:val="34"/>
  </w:num>
  <w:num w:numId="24">
    <w:abstractNumId w:val="20"/>
  </w:num>
  <w:num w:numId="25">
    <w:abstractNumId w:val="4"/>
  </w:num>
  <w:num w:numId="26">
    <w:abstractNumId w:val="0"/>
  </w:num>
  <w:num w:numId="27">
    <w:abstractNumId w:val="43"/>
  </w:num>
  <w:num w:numId="28">
    <w:abstractNumId w:val="3"/>
  </w:num>
  <w:num w:numId="29">
    <w:abstractNumId w:val="38"/>
  </w:num>
  <w:num w:numId="30">
    <w:abstractNumId w:val="2"/>
  </w:num>
  <w:num w:numId="31">
    <w:abstractNumId w:val="6"/>
  </w:num>
  <w:num w:numId="32">
    <w:abstractNumId w:val="42"/>
  </w:num>
  <w:num w:numId="33">
    <w:abstractNumId w:val="13"/>
  </w:num>
  <w:num w:numId="34">
    <w:abstractNumId w:val="40"/>
  </w:num>
  <w:num w:numId="35">
    <w:abstractNumId w:val="29"/>
  </w:num>
  <w:num w:numId="36">
    <w:abstractNumId w:val="25"/>
  </w:num>
  <w:num w:numId="37">
    <w:abstractNumId w:val="37"/>
  </w:num>
  <w:num w:numId="38">
    <w:abstractNumId w:val="19"/>
  </w:num>
  <w:num w:numId="39">
    <w:abstractNumId w:val="11"/>
  </w:num>
  <w:num w:numId="40">
    <w:abstractNumId w:val="23"/>
  </w:num>
  <w:num w:numId="41">
    <w:abstractNumId w:val="41"/>
  </w:num>
  <w:num w:numId="42">
    <w:abstractNumId w:val="16"/>
  </w:num>
  <w:num w:numId="43">
    <w:abstractNumId w:val="31"/>
  </w:num>
  <w:num w:numId="44">
    <w:abstractNumId w:val="39"/>
  </w:num>
  <w:num w:numId="45">
    <w:abstractNumId w:val="18"/>
  </w:num>
  <w:num w:numId="46">
    <w:abstractNumId w:val="10"/>
  </w:num>
  <w:num w:numId="47">
    <w:abstractNumId w:val="45"/>
  </w:num>
  <w:num w:numId="48">
    <w:abstractNumId w:val="7"/>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autoHyphenation/>
  <w:hyphenationZone w:val="425"/>
  <w:drawingGridHorizontalSpacing w:val="110"/>
  <w:displayHorizontalDrawingGridEvery w:val="2"/>
  <w:characterSpacingControl w:val="doNotCompress"/>
  <w:hdrShapeDefaults>
    <o:shapedefaults v:ext="edit" spidmax="23554">
      <o:colormru v:ext="edit" colors="#00214e"/>
    </o:shapedefaults>
    <o:shapelayout v:ext="edit">
      <o:idmap v:ext="edit" data="22"/>
      <o:rules v:ext="edit">
        <o:r id="V:Rule1" type="connector" idref="#_x0000_s22529"/>
      </o:rules>
    </o:shapelayout>
  </w:hdrShapeDefaults>
  <w:footnotePr>
    <w:footnote w:id="-1"/>
    <w:footnote w:id="0"/>
  </w:footnotePr>
  <w:endnotePr>
    <w:endnote w:id="-1"/>
    <w:endnote w:id="0"/>
  </w:endnotePr>
  <w:compat/>
  <w:rsids>
    <w:rsidRoot w:val="0010560A"/>
    <w:rsid w:val="000011F8"/>
    <w:rsid w:val="00004D77"/>
    <w:rsid w:val="00023D48"/>
    <w:rsid w:val="00027C73"/>
    <w:rsid w:val="000336A1"/>
    <w:rsid w:val="00041208"/>
    <w:rsid w:val="00046049"/>
    <w:rsid w:val="000567A2"/>
    <w:rsid w:val="0007594F"/>
    <w:rsid w:val="000866DE"/>
    <w:rsid w:val="00086B9A"/>
    <w:rsid w:val="00093049"/>
    <w:rsid w:val="00095760"/>
    <w:rsid w:val="000961A9"/>
    <w:rsid w:val="000A5EAD"/>
    <w:rsid w:val="000A7F82"/>
    <w:rsid w:val="000B4E57"/>
    <w:rsid w:val="000C4375"/>
    <w:rsid w:val="000D0742"/>
    <w:rsid w:val="000D4709"/>
    <w:rsid w:val="000F4697"/>
    <w:rsid w:val="000F5694"/>
    <w:rsid w:val="0010560A"/>
    <w:rsid w:val="00105F17"/>
    <w:rsid w:val="00117CBE"/>
    <w:rsid w:val="001274F0"/>
    <w:rsid w:val="00130855"/>
    <w:rsid w:val="00140DBC"/>
    <w:rsid w:val="00150CB4"/>
    <w:rsid w:val="00163FDA"/>
    <w:rsid w:val="0017069E"/>
    <w:rsid w:val="0017152D"/>
    <w:rsid w:val="001B0834"/>
    <w:rsid w:val="001B23A4"/>
    <w:rsid w:val="001D0270"/>
    <w:rsid w:val="001E720C"/>
    <w:rsid w:val="001E7827"/>
    <w:rsid w:val="00203E90"/>
    <w:rsid w:val="00206333"/>
    <w:rsid w:val="002068AE"/>
    <w:rsid w:val="00211649"/>
    <w:rsid w:val="002176F5"/>
    <w:rsid w:val="00232324"/>
    <w:rsid w:val="0024350A"/>
    <w:rsid w:val="0025420C"/>
    <w:rsid w:val="00255A54"/>
    <w:rsid w:val="00256E13"/>
    <w:rsid w:val="00274875"/>
    <w:rsid w:val="0028053B"/>
    <w:rsid w:val="00284FE2"/>
    <w:rsid w:val="00286C08"/>
    <w:rsid w:val="0029170F"/>
    <w:rsid w:val="002939E9"/>
    <w:rsid w:val="00293FE2"/>
    <w:rsid w:val="00294F9B"/>
    <w:rsid w:val="0029798B"/>
    <w:rsid w:val="002C3198"/>
    <w:rsid w:val="002E68D6"/>
    <w:rsid w:val="002F5025"/>
    <w:rsid w:val="003010DD"/>
    <w:rsid w:val="00312392"/>
    <w:rsid w:val="00320B7E"/>
    <w:rsid w:val="00327C84"/>
    <w:rsid w:val="003319AB"/>
    <w:rsid w:val="00334DE6"/>
    <w:rsid w:val="0033682D"/>
    <w:rsid w:val="003404FC"/>
    <w:rsid w:val="00344E28"/>
    <w:rsid w:val="00347395"/>
    <w:rsid w:val="0036095E"/>
    <w:rsid w:val="00363924"/>
    <w:rsid w:val="00370D56"/>
    <w:rsid w:val="00374A17"/>
    <w:rsid w:val="00377782"/>
    <w:rsid w:val="00383DC2"/>
    <w:rsid w:val="003851EC"/>
    <w:rsid w:val="00394E35"/>
    <w:rsid w:val="003A2D3C"/>
    <w:rsid w:val="003C14A9"/>
    <w:rsid w:val="003C23EE"/>
    <w:rsid w:val="003C6148"/>
    <w:rsid w:val="003D0948"/>
    <w:rsid w:val="003D6F2E"/>
    <w:rsid w:val="003E6903"/>
    <w:rsid w:val="003F19EA"/>
    <w:rsid w:val="003F3DFD"/>
    <w:rsid w:val="003F4A7B"/>
    <w:rsid w:val="004108C0"/>
    <w:rsid w:val="00410C05"/>
    <w:rsid w:val="0041758B"/>
    <w:rsid w:val="00420717"/>
    <w:rsid w:val="00422B76"/>
    <w:rsid w:val="00427179"/>
    <w:rsid w:val="00450CDB"/>
    <w:rsid w:val="00450E53"/>
    <w:rsid w:val="004622F6"/>
    <w:rsid w:val="00473A03"/>
    <w:rsid w:val="00475201"/>
    <w:rsid w:val="004765EB"/>
    <w:rsid w:val="00493A08"/>
    <w:rsid w:val="004976D8"/>
    <w:rsid w:val="00497B0D"/>
    <w:rsid w:val="004A3A25"/>
    <w:rsid w:val="004B7C7C"/>
    <w:rsid w:val="004C4E8D"/>
    <w:rsid w:val="004D0611"/>
    <w:rsid w:val="004D109F"/>
    <w:rsid w:val="004D3491"/>
    <w:rsid w:val="004D6806"/>
    <w:rsid w:val="004E088D"/>
    <w:rsid w:val="004E5A4A"/>
    <w:rsid w:val="004F3DF5"/>
    <w:rsid w:val="0050643F"/>
    <w:rsid w:val="005205EF"/>
    <w:rsid w:val="00525F51"/>
    <w:rsid w:val="00532353"/>
    <w:rsid w:val="0055018D"/>
    <w:rsid w:val="00555B18"/>
    <w:rsid w:val="0056118B"/>
    <w:rsid w:val="00563A74"/>
    <w:rsid w:val="00564AA4"/>
    <w:rsid w:val="00565302"/>
    <w:rsid w:val="00571253"/>
    <w:rsid w:val="00575325"/>
    <w:rsid w:val="005864AC"/>
    <w:rsid w:val="00586D0A"/>
    <w:rsid w:val="0059286F"/>
    <w:rsid w:val="00594D80"/>
    <w:rsid w:val="005A3E32"/>
    <w:rsid w:val="005A57F1"/>
    <w:rsid w:val="005B09B7"/>
    <w:rsid w:val="005B20C8"/>
    <w:rsid w:val="005C1E73"/>
    <w:rsid w:val="005C716F"/>
    <w:rsid w:val="005D3599"/>
    <w:rsid w:val="00610D4E"/>
    <w:rsid w:val="006141B8"/>
    <w:rsid w:val="0061677F"/>
    <w:rsid w:val="00617F2C"/>
    <w:rsid w:val="006241A9"/>
    <w:rsid w:val="00632117"/>
    <w:rsid w:val="0063255B"/>
    <w:rsid w:val="00642360"/>
    <w:rsid w:val="0064599E"/>
    <w:rsid w:val="0065147F"/>
    <w:rsid w:val="00654F2F"/>
    <w:rsid w:val="00667BDA"/>
    <w:rsid w:val="006707E4"/>
    <w:rsid w:val="00677AD1"/>
    <w:rsid w:val="00696713"/>
    <w:rsid w:val="006A7BD0"/>
    <w:rsid w:val="006B1C3A"/>
    <w:rsid w:val="006C097B"/>
    <w:rsid w:val="006C6188"/>
    <w:rsid w:val="006D49F0"/>
    <w:rsid w:val="006D4EF3"/>
    <w:rsid w:val="006E1E1E"/>
    <w:rsid w:val="006F1C5F"/>
    <w:rsid w:val="00702379"/>
    <w:rsid w:val="00706555"/>
    <w:rsid w:val="007153B4"/>
    <w:rsid w:val="00726667"/>
    <w:rsid w:val="00731D4A"/>
    <w:rsid w:val="0073217D"/>
    <w:rsid w:val="0074274F"/>
    <w:rsid w:val="00745D2A"/>
    <w:rsid w:val="00747B0C"/>
    <w:rsid w:val="00763074"/>
    <w:rsid w:val="00764F95"/>
    <w:rsid w:val="00776505"/>
    <w:rsid w:val="0078025D"/>
    <w:rsid w:val="007813E3"/>
    <w:rsid w:val="007839E2"/>
    <w:rsid w:val="00787E64"/>
    <w:rsid w:val="007C3BF2"/>
    <w:rsid w:val="007C3D1D"/>
    <w:rsid w:val="007C72E9"/>
    <w:rsid w:val="007D459B"/>
    <w:rsid w:val="007E0535"/>
    <w:rsid w:val="007E13C8"/>
    <w:rsid w:val="007E616F"/>
    <w:rsid w:val="007E780C"/>
    <w:rsid w:val="007F4B7D"/>
    <w:rsid w:val="007F7B76"/>
    <w:rsid w:val="00810D5B"/>
    <w:rsid w:val="00811026"/>
    <w:rsid w:val="0084548F"/>
    <w:rsid w:val="00851170"/>
    <w:rsid w:val="0085289E"/>
    <w:rsid w:val="00856DAE"/>
    <w:rsid w:val="00856FF9"/>
    <w:rsid w:val="00857A43"/>
    <w:rsid w:val="00862A8E"/>
    <w:rsid w:val="00863168"/>
    <w:rsid w:val="00894587"/>
    <w:rsid w:val="00894D12"/>
    <w:rsid w:val="0089789D"/>
    <w:rsid w:val="008A1902"/>
    <w:rsid w:val="008B52E1"/>
    <w:rsid w:val="008D3017"/>
    <w:rsid w:val="008D7863"/>
    <w:rsid w:val="008F1DDC"/>
    <w:rsid w:val="008F7960"/>
    <w:rsid w:val="00902AB1"/>
    <w:rsid w:val="0091400B"/>
    <w:rsid w:val="009247DF"/>
    <w:rsid w:val="00933190"/>
    <w:rsid w:val="00933232"/>
    <w:rsid w:val="00943E4D"/>
    <w:rsid w:val="00952605"/>
    <w:rsid w:val="009544FB"/>
    <w:rsid w:val="009547FF"/>
    <w:rsid w:val="00957825"/>
    <w:rsid w:val="00970AD4"/>
    <w:rsid w:val="00980622"/>
    <w:rsid w:val="0098206C"/>
    <w:rsid w:val="00983C72"/>
    <w:rsid w:val="0099518F"/>
    <w:rsid w:val="009A60B9"/>
    <w:rsid w:val="009B2AA1"/>
    <w:rsid w:val="009B4193"/>
    <w:rsid w:val="009B648B"/>
    <w:rsid w:val="009C2625"/>
    <w:rsid w:val="009C4D35"/>
    <w:rsid w:val="009E2EA8"/>
    <w:rsid w:val="009E5D72"/>
    <w:rsid w:val="009F3C8F"/>
    <w:rsid w:val="009F4F54"/>
    <w:rsid w:val="009F5473"/>
    <w:rsid w:val="009F7F86"/>
    <w:rsid w:val="00A00C3D"/>
    <w:rsid w:val="00A07BFA"/>
    <w:rsid w:val="00A10FB7"/>
    <w:rsid w:val="00A12076"/>
    <w:rsid w:val="00A15581"/>
    <w:rsid w:val="00A161AA"/>
    <w:rsid w:val="00A16D8A"/>
    <w:rsid w:val="00A31B58"/>
    <w:rsid w:val="00A37490"/>
    <w:rsid w:val="00A42550"/>
    <w:rsid w:val="00A70A56"/>
    <w:rsid w:val="00A70BE8"/>
    <w:rsid w:val="00A77EEC"/>
    <w:rsid w:val="00A87D9C"/>
    <w:rsid w:val="00A93324"/>
    <w:rsid w:val="00A9333B"/>
    <w:rsid w:val="00A96D60"/>
    <w:rsid w:val="00AC19A6"/>
    <w:rsid w:val="00AC39FA"/>
    <w:rsid w:val="00AC7D11"/>
    <w:rsid w:val="00AD1C4E"/>
    <w:rsid w:val="00AD48B4"/>
    <w:rsid w:val="00AD563C"/>
    <w:rsid w:val="00AD762E"/>
    <w:rsid w:val="00B03B20"/>
    <w:rsid w:val="00B05E39"/>
    <w:rsid w:val="00B07278"/>
    <w:rsid w:val="00B1445B"/>
    <w:rsid w:val="00B21B08"/>
    <w:rsid w:val="00B31A49"/>
    <w:rsid w:val="00B40691"/>
    <w:rsid w:val="00B41A08"/>
    <w:rsid w:val="00B42606"/>
    <w:rsid w:val="00B51A05"/>
    <w:rsid w:val="00B529F3"/>
    <w:rsid w:val="00B53C3D"/>
    <w:rsid w:val="00B5419E"/>
    <w:rsid w:val="00B75725"/>
    <w:rsid w:val="00B75E21"/>
    <w:rsid w:val="00B82024"/>
    <w:rsid w:val="00B832DC"/>
    <w:rsid w:val="00B93DB3"/>
    <w:rsid w:val="00B964A4"/>
    <w:rsid w:val="00BA5160"/>
    <w:rsid w:val="00BB0CB3"/>
    <w:rsid w:val="00BC4CF3"/>
    <w:rsid w:val="00BD3677"/>
    <w:rsid w:val="00BD44BB"/>
    <w:rsid w:val="00BD5E3A"/>
    <w:rsid w:val="00BE228F"/>
    <w:rsid w:val="00BE6908"/>
    <w:rsid w:val="00C064E7"/>
    <w:rsid w:val="00C11FCF"/>
    <w:rsid w:val="00C15D36"/>
    <w:rsid w:val="00C204C6"/>
    <w:rsid w:val="00C27BE3"/>
    <w:rsid w:val="00C4392F"/>
    <w:rsid w:val="00C47447"/>
    <w:rsid w:val="00C526D3"/>
    <w:rsid w:val="00C6259D"/>
    <w:rsid w:val="00C639A0"/>
    <w:rsid w:val="00C63F5E"/>
    <w:rsid w:val="00C6462A"/>
    <w:rsid w:val="00C70496"/>
    <w:rsid w:val="00C83093"/>
    <w:rsid w:val="00CA0B63"/>
    <w:rsid w:val="00CA7673"/>
    <w:rsid w:val="00CC19DB"/>
    <w:rsid w:val="00CD517A"/>
    <w:rsid w:val="00CF4A7B"/>
    <w:rsid w:val="00CF7034"/>
    <w:rsid w:val="00D14AF3"/>
    <w:rsid w:val="00D176A7"/>
    <w:rsid w:val="00D351F4"/>
    <w:rsid w:val="00D35CDA"/>
    <w:rsid w:val="00D45BCE"/>
    <w:rsid w:val="00D71325"/>
    <w:rsid w:val="00D74DCC"/>
    <w:rsid w:val="00D92384"/>
    <w:rsid w:val="00D9564E"/>
    <w:rsid w:val="00DB45CE"/>
    <w:rsid w:val="00DB5F76"/>
    <w:rsid w:val="00DB6EE3"/>
    <w:rsid w:val="00DC679A"/>
    <w:rsid w:val="00DD353B"/>
    <w:rsid w:val="00DD4B09"/>
    <w:rsid w:val="00DE258E"/>
    <w:rsid w:val="00DE6C93"/>
    <w:rsid w:val="00DF1C71"/>
    <w:rsid w:val="00E05ED6"/>
    <w:rsid w:val="00E1349F"/>
    <w:rsid w:val="00E20CF7"/>
    <w:rsid w:val="00E3286F"/>
    <w:rsid w:val="00E374C2"/>
    <w:rsid w:val="00E6583A"/>
    <w:rsid w:val="00E7499D"/>
    <w:rsid w:val="00E97B5C"/>
    <w:rsid w:val="00EA2969"/>
    <w:rsid w:val="00EB793E"/>
    <w:rsid w:val="00EC0515"/>
    <w:rsid w:val="00EC1082"/>
    <w:rsid w:val="00ED0040"/>
    <w:rsid w:val="00ED4800"/>
    <w:rsid w:val="00EE5676"/>
    <w:rsid w:val="00F17EA7"/>
    <w:rsid w:val="00F232F6"/>
    <w:rsid w:val="00F251AD"/>
    <w:rsid w:val="00F27EDD"/>
    <w:rsid w:val="00F36C6B"/>
    <w:rsid w:val="00F40B9D"/>
    <w:rsid w:val="00F40DF3"/>
    <w:rsid w:val="00F53375"/>
    <w:rsid w:val="00F5763D"/>
    <w:rsid w:val="00F639DD"/>
    <w:rsid w:val="00F71352"/>
    <w:rsid w:val="00F76DD4"/>
    <w:rsid w:val="00F81B11"/>
    <w:rsid w:val="00F829B5"/>
    <w:rsid w:val="00F846A5"/>
    <w:rsid w:val="00F9524E"/>
    <w:rsid w:val="00F964E0"/>
    <w:rsid w:val="00F96ED2"/>
    <w:rsid w:val="00FA16C8"/>
    <w:rsid w:val="00FA1E00"/>
    <w:rsid w:val="00FA4466"/>
    <w:rsid w:val="00FB07BD"/>
    <w:rsid w:val="00FB2461"/>
    <w:rsid w:val="00FB2FE8"/>
    <w:rsid w:val="00FB5429"/>
    <w:rsid w:val="00FC05F7"/>
    <w:rsid w:val="00FC0E0F"/>
    <w:rsid w:val="00FC4BDA"/>
    <w:rsid w:val="00FD7FB3"/>
    <w:rsid w:val="00FE092A"/>
    <w:rsid w:val="00FF7055"/>
    <w:rsid w:val="00FF72D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3554">
      <o:colormru v:ext="edit" colors="#00214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92"/>
    <w:pPr>
      <w:spacing w:after="200" w:line="276" w:lineRule="auto"/>
    </w:pPr>
    <w:rPr>
      <w:sz w:val="22"/>
      <w:szCs w:val="22"/>
      <w:lang w:val="en-US" w:eastAsia="en-US"/>
    </w:rPr>
  </w:style>
  <w:style w:type="paragraph" w:styleId="Heading1">
    <w:name w:val="heading 1"/>
    <w:basedOn w:val="Normal"/>
    <w:next w:val="Normal"/>
    <w:link w:val="Heading1Char"/>
    <w:qFormat/>
    <w:rsid w:val="00594D8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a Titlu 2"/>
    <w:basedOn w:val="Normal"/>
    <w:next w:val="Normal"/>
    <w:link w:val="Heading2Char"/>
    <w:qFormat/>
    <w:rsid w:val="00F53375"/>
    <w:pPr>
      <w:keepNext/>
      <w:keepLines/>
      <w:spacing w:before="200" w:after="0" w:line="240" w:lineRule="auto"/>
      <w:outlineLvl w:val="1"/>
    </w:pPr>
    <w:rPr>
      <w:rFonts w:ascii="Cambria" w:hAnsi="Cambria"/>
      <w:b/>
      <w:bCs/>
      <w:color w:val="4F81BD"/>
      <w:sz w:val="26"/>
      <w:szCs w:val="26"/>
      <w:lang w:val="en-GB"/>
    </w:rPr>
  </w:style>
  <w:style w:type="paragraph" w:styleId="Heading3">
    <w:name w:val="heading 3"/>
    <w:basedOn w:val="Normal"/>
    <w:next w:val="Normal"/>
    <w:link w:val="Heading3Char"/>
    <w:unhideWhenUsed/>
    <w:qFormat/>
    <w:rsid w:val="00594D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94D80"/>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594D80"/>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594D80"/>
    <w:pPr>
      <w:keepNext/>
      <w:spacing w:after="0" w:line="240" w:lineRule="auto"/>
      <w:ind w:firstLine="708"/>
      <w:jc w:val="both"/>
      <w:outlineLvl w:val="5"/>
    </w:pPr>
    <w:rPr>
      <w:rFonts w:ascii="Arial" w:eastAsia="Times New Roman" w:hAnsi="Arial" w:cs="Arial"/>
      <w:b/>
      <w:bCs/>
      <w:i/>
      <w:iCs/>
      <w:sz w:val="24"/>
      <w:szCs w:val="24"/>
      <w:lang w:val="ro-RO" w:eastAsia="ro-RO"/>
    </w:rPr>
  </w:style>
  <w:style w:type="paragraph" w:styleId="Heading7">
    <w:name w:val="heading 7"/>
    <w:basedOn w:val="Normal"/>
    <w:next w:val="Normal"/>
    <w:link w:val="Heading7Char"/>
    <w:qFormat/>
    <w:rsid w:val="00594D80"/>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594D80"/>
    <w:pPr>
      <w:keepNext/>
      <w:shd w:val="clear" w:color="auto" w:fill="FFFFFF"/>
      <w:spacing w:after="0" w:line="240" w:lineRule="auto"/>
      <w:ind w:left="10" w:right="12" w:firstLine="698"/>
      <w:jc w:val="both"/>
      <w:outlineLvl w:val="7"/>
    </w:pPr>
    <w:rPr>
      <w:rFonts w:ascii="Arial" w:eastAsia="Times New Roman" w:hAnsi="Arial" w:cs="Arial"/>
      <w:b/>
      <w:bCs/>
      <w:i/>
      <w:iCs/>
      <w:color w:val="000000"/>
      <w:spacing w:val="-4"/>
      <w:sz w:val="24"/>
      <w:szCs w:val="24"/>
      <w:lang w:val="ro-RO" w:eastAsia="ro-RO"/>
    </w:rPr>
  </w:style>
  <w:style w:type="paragraph" w:styleId="Heading9">
    <w:name w:val="heading 9"/>
    <w:basedOn w:val="Normal"/>
    <w:next w:val="Normal"/>
    <w:link w:val="Heading9Char"/>
    <w:qFormat/>
    <w:rsid w:val="00594D80"/>
    <w:pPr>
      <w:keepNext/>
      <w:shd w:val="clear" w:color="auto" w:fill="FFFFFF"/>
      <w:spacing w:after="0" w:line="240" w:lineRule="auto"/>
      <w:ind w:left="7"/>
      <w:jc w:val="center"/>
      <w:outlineLvl w:val="8"/>
    </w:pPr>
    <w:rPr>
      <w:rFonts w:ascii="Arial" w:eastAsia="Times New Roman" w:hAnsi="Arial" w:cs="Arial"/>
      <w:b/>
      <w:bCs/>
      <w:i/>
      <w:iCs/>
      <w:color w:val="000000"/>
      <w:spacing w:val="-3"/>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D80"/>
    <w:rPr>
      <w:rFonts w:ascii="Arial" w:eastAsia="Times New Roman" w:hAnsi="Arial" w:cs="Arial"/>
      <w:b/>
      <w:bCs/>
      <w:kern w:val="32"/>
      <w:sz w:val="32"/>
      <w:szCs w:val="32"/>
      <w:lang w:val="en-US" w:eastAsia="en-US"/>
    </w:rPr>
  </w:style>
  <w:style w:type="character" w:customStyle="1" w:styleId="Heading2Char">
    <w:name w:val="Heading 2 Char"/>
    <w:aliases w:val="a Titlu 2 Char"/>
    <w:basedOn w:val="DefaultParagraphFont"/>
    <w:link w:val="Heading2"/>
    <w:rsid w:val="00F53375"/>
    <w:rPr>
      <w:rFonts w:ascii="Cambria" w:hAnsi="Cambria"/>
      <w:b/>
      <w:bCs/>
      <w:color w:val="4F81BD"/>
      <w:sz w:val="26"/>
      <w:szCs w:val="26"/>
      <w:lang w:val="en-GB" w:eastAsia="en-US"/>
    </w:rPr>
  </w:style>
  <w:style w:type="character" w:customStyle="1" w:styleId="Heading3Char">
    <w:name w:val="Heading 3 Char"/>
    <w:basedOn w:val="DefaultParagraphFont"/>
    <w:link w:val="Heading3"/>
    <w:rsid w:val="00594D80"/>
    <w:rPr>
      <w:rFonts w:asciiTheme="majorHAnsi" w:eastAsiaTheme="majorEastAsia" w:hAnsiTheme="majorHAnsi" w:cstheme="majorBidi"/>
      <w:b/>
      <w:bCs/>
      <w:color w:val="4F81BD" w:themeColor="accent1"/>
      <w:sz w:val="22"/>
      <w:szCs w:val="22"/>
      <w:lang w:val="en-US" w:eastAsia="en-US"/>
    </w:rPr>
  </w:style>
  <w:style w:type="character" w:customStyle="1" w:styleId="Heading4Char">
    <w:name w:val="Heading 4 Char"/>
    <w:basedOn w:val="DefaultParagraphFont"/>
    <w:link w:val="Heading4"/>
    <w:rsid w:val="00594D80"/>
    <w:rPr>
      <w:rFonts w:ascii="Times New Roman" w:eastAsia="Times New Roman" w:hAnsi="Times New Roman"/>
      <w:b/>
      <w:bCs/>
      <w:sz w:val="28"/>
      <w:szCs w:val="28"/>
      <w:lang w:val="en-US" w:eastAsia="en-US"/>
    </w:rPr>
  </w:style>
  <w:style w:type="character" w:customStyle="1" w:styleId="Heading5Char">
    <w:name w:val="Heading 5 Char"/>
    <w:basedOn w:val="DefaultParagraphFont"/>
    <w:link w:val="Heading5"/>
    <w:rsid w:val="00594D80"/>
    <w:rPr>
      <w:rFonts w:ascii="Times New Roman" w:eastAsia="Times New Roman" w:hAnsi="Times New Roman"/>
      <w:b/>
      <w:bCs/>
      <w:i/>
      <w:iCs/>
      <w:sz w:val="26"/>
      <w:szCs w:val="26"/>
      <w:lang w:val="en-US" w:eastAsia="en-US"/>
    </w:rPr>
  </w:style>
  <w:style w:type="character" w:customStyle="1" w:styleId="Heading6Char">
    <w:name w:val="Heading 6 Char"/>
    <w:basedOn w:val="DefaultParagraphFont"/>
    <w:link w:val="Heading6"/>
    <w:rsid w:val="00594D80"/>
    <w:rPr>
      <w:rFonts w:ascii="Arial" w:eastAsia="Times New Roman" w:hAnsi="Arial" w:cs="Arial"/>
      <w:b/>
      <w:bCs/>
      <w:i/>
      <w:iCs/>
      <w:sz w:val="24"/>
      <w:szCs w:val="24"/>
    </w:rPr>
  </w:style>
  <w:style w:type="character" w:customStyle="1" w:styleId="Heading7Char">
    <w:name w:val="Heading 7 Char"/>
    <w:basedOn w:val="DefaultParagraphFont"/>
    <w:link w:val="Heading7"/>
    <w:rsid w:val="00594D80"/>
    <w:rPr>
      <w:rFonts w:ascii="Times New Roman" w:eastAsia="Times New Roman" w:hAnsi="Times New Roman"/>
      <w:sz w:val="24"/>
      <w:szCs w:val="24"/>
      <w:lang w:val="en-US" w:eastAsia="en-US"/>
    </w:rPr>
  </w:style>
  <w:style w:type="character" w:customStyle="1" w:styleId="Heading8Char">
    <w:name w:val="Heading 8 Char"/>
    <w:basedOn w:val="DefaultParagraphFont"/>
    <w:link w:val="Heading8"/>
    <w:rsid w:val="00594D80"/>
    <w:rPr>
      <w:rFonts w:ascii="Arial" w:eastAsia="Times New Roman" w:hAnsi="Arial" w:cs="Arial"/>
      <w:b/>
      <w:bCs/>
      <w:i/>
      <w:iCs/>
      <w:color w:val="000000"/>
      <w:spacing w:val="-4"/>
      <w:sz w:val="24"/>
      <w:szCs w:val="24"/>
      <w:shd w:val="clear" w:color="auto" w:fill="FFFFFF"/>
    </w:rPr>
  </w:style>
  <w:style w:type="character" w:customStyle="1" w:styleId="Heading9Char">
    <w:name w:val="Heading 9 Char"/>
    <w:basedOn w:val="DefaultParagraphFont"/>
    <w:link w:val="Heading9"/>
    <w:rsid w:val="00594D80"/>
    <w:rPr>
      <w:rFonts w:ascii="Arial" w:eastAsia="Times New Roman" w:hAnsi="Arial" w:cs="Arial"/>
      <w:b/>
      <w:bCs/>
      <w:i/>
      <w:iCs/>
      <w:color w:val="000000"/>
      <w:spacing w:val="-3"/>
      <w:sz w:val="24"/>
      <w:szCs w:val="24"/>
      <w:shd w:val="clear" w:color="auto" w:fill="FFFFFF"/>
      <w:lang w:eastAsia="en-US"/>
    </w:rPr>
  </w:style>
  <w:style w:type="paragraph" w:styleId="Header">
    <w:name w:val="header"/>
    <w:basedOn w:val="Normal"/>
    <w:link w:val="HeaderChar"/>
    <w:uiPriority w:val="99"/>
    <w:unhideWhenUsed/>
    <w:rsid w:val="00105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0A"/>
  </w:style>
  <w:style w:type="paragraph" w:styleId="Footer">
    <w:name w:val="footer"/>
    <w:basedOn w:val="Normal"/>
    <w:link w:val="FooterChar"/>
    <w:uiPriority w:val="99"/>
    <w:unhideWhenUsed/>
    <w:rsid w:val="00105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0A"/>
  </w:style>
  <w:style w:type="paragraph" w:styleId="BalloonText">
    <w:name w:val="Balloon Text"/>
    <w:basedOn w:val="Normal"/>
    <w:link w:val="BalloonTextChar"/>
    <w:uiPriority w:val="99"/>
    <w:unhideWhenUsed/>
    <w:rsid w:val="0010560A"/>
    <w:pPr>
      <w:spacing w:after="0" w:line="240" w:lineRule="auto"/>
    </w:pPr>
    <w:rPr>
      <w:rFonts w:ascii="Tahoma" w:hAnsi="Tahoma"/>
      <w:sz w:val="16"/>
      <w:szCs w:val="16"/>
    </w:rPr>
  </w:style>
  <w:style w:type="character" w:customStyle="1" w:styleId="BalloonTextChar">
    <w:name w:val="Balloon Text Char"/>
    <w:link w:val="BalloonText"/>
    <w:uiPriority w:val="99"/>
    <w:rsid w:val="0010560A"/>
    <w:rPr>
      <w:rFonts w:ascii="Tahoma" w:hAnsi="Tahoma" w:cs="Tahoma"/>
      <w:sz w:val="16"/>
      <w:szCs w:val="16"/>
    </w:rPr>
  </w:style>
  <w:style w:type="paragraph" w:customStyle="1" w:styleId="Char1CharChar1Char">
    <w:name w:val="Char1 Char Char1 Char"/>
    <w:basedOn w:val="Normal"/>
    <w:rsid w:val="00AC39FA"/>
    <w:pPr>
      <w:tabs>
        <w:tab w:val="left" w:pos="709"/>
      </w:tabs>
      <w:overflowPunct w:val="0"/>
      <w:autoSpaceDE w:val="0"/>
      <w:autoSpaceDN w:val="0"/>
      <w:adjustRightInd w:val="0"/>
      <w:spacing w:after="0" w:line="264" w:lineRule="auto"/>
      <w:textAlignment w:val="baseline"/>
    </w:pPr>
    <w:rPr>
      <w:rFonts w:ascii="Tahoma" w:eastAsia="Times New Roman" w:hAnsi="Tahoma"/>
      <w:szCs w:val="20"/>
      <w:lang w:val="pl-PL" w:eastAsia="pl-PL"/>
    </w:rPr>
  </w:style>
  <w:style w:type="paragraph" w:styleId="NormalWeb">
    <w:name w:val="Normal (Web)"/>
    <w:basedOn w:val="Normal"/>
    <w:uiPriority w:val="99"/>
    <w:rsid w:val="00AC39FA"/>
    <w:pPr>
      <w:spacing w:before="100" w:beforeAutospacing="1" w:after="100" w:afterAutospacing="1" w:line="240" w:lineRule="auto"/>
    </w:pPr>
    <w:rPr>
      <w:rFonts w:ascii="Times New Roman" w:eastAsia="Times New Roman" w:hAnsi="Times New Roman"/>
      <w:sz w:val="24"/>
      <w:szCs w:val="24"/>
    </w:rPr>
  </w:style>
  <w:style w:type="paragraph" w:customStyle="1" w:styleId="externalclass684e6937532b40bc957069edaade015e">
    <w:name w:val="externalclass684e6937532b40bc957069edaade015e"/>
    <w:basedOn w:val="Normal"/>
    <w:rsid w:val="00617F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rsid w:val="00617F2C"/>
    <w:rPr>
      <w:color w:val="0000FF"/>
      <w:u w:val="single"/>
    </w:rPr>
  </w:style>
  <w:style w:type="paragraph" w:customStyle="1" w:styleId="span-24column">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paragraph" w:customStyle="1" w:styleId="span-24column0">
    <w:name w:val="span-24 column"/>
    <w:basedOn w:val="Normal"/>
    <w:rsid w:val="00667BDA"/>
    <w:pPr>
      <w:spacing w:before="100" w:beforeAutospacing="1" w:after="100" w:afterAutospacing="1" w:line="240" w:lineRule="auto"/>
    </w:pPr>
    <w:rPr>
      <w:rFonts w:ascii="Times New Roman" w:eastAsia="Times New Roman" w:hAnsi="Times New Roman"/>
      <w:sz w:val="24"/>
      <w:szCs w:val="24"/>
    </w:rPr>
  </w:style>
  <w:style w:type="character" w:customStyle="1" w:styleId="stire">
    <w:name w:val="stire"/>
    <w:basedOn w:val="DefaultParagraphFont"/>
    <w:rsid w:val="00970AD4"/>
  </w:style>
  <w:style w:type="paragraph" w:styleId="BodyText">
    <w:name w:val="Body Text"/>
    <w:basedOn w:val="Normal"/>
    <w:link w:val="BodyTextChar"/>
    <w:rsid w:val="00C11FCF"/>
    <w:pPr>
      <w:spacing w:after="120"/>
    </w:pPr>
  </w:style>
  <w:style w:type="character" w:customStyle="1" w:styleId="BodyTextChar">
    <w:name w:val="Body Text Char"/>
    <w:link w:val="BodyText"/>
    <w:rsid w:val="00C11FCF"/>
    <w:rPr>
      <w:sz w:val="22"/>
      <w:szCs w:val="22"/>
    </w:rPr>
  </w:style>
  <w:style w:type="table" w:styleId="LightShading-Accent5">
    <w:name w:val="Light Shading Accent 5"/>
    <w:basedOn w:val="TableNormal"/>
    <w:uiPriority w:val="60"/>
    <w:rsid w:val="003C614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basedOn w:val="TableNormal"/>
    <w:uiPriority w:val="60"/>
    <w:rsid w:val="00C625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44">
    <w:name w:val="Font Style44"/>
    <w:basedOn w:val="DefaultParagraphFont"/>
    <w:rsid w:val="00696713"/>
    <w:rPr>
      <w:rFonts w:ascii="Arial" w:hAnsi="Arial" w:cs="Arial"/>
      <w:b/>
      <w:bCs/>
      <w:sz w:val="80"/>
      <w:szCs w:val="80"/>
    </w:rPr>
  </w:style>
  <w:style w:type="paragraph" w:styleId="ListParagraph">
    <w:name w:val="List Paragraph"/>
    <w:basedOn w:val="Normal"/>
    <w:uiPriority w:val="34"/>
    <w:qFormat/>
    <w:rsid w:val="00CA0B63"/>
    <w:pPr>
      <w:ind w:left="720"/>
      <w:contextualSpacing/>
    </w:pPr>
    <w:rPr>
      <w:rFonts w:asciiTheme="minorHAnsi" w:eastAsiaTheme="minorHAnsi" w:hAnsiTheme="minorHAnsi" w:cstheme="minorBidi"/>
      <w:lang w:val="ro-RO"/>
    </w:rPr>
  </w:style>
  <w:style w:type="character" w:styleId="Strong">
    <w:name w:val="Strong"/>
    <w:basedOn w:val="DefaultParagraphFont"/>
    <w:uiPriority w:val="22"/>
    <w:qFormat/>
    <w:rsid w:val="00CA0B63"/>
    <w:rPr>
      <w:b/>
      <w:bCs/>
    </w:rPr>
  </w:style>
  <w:style w:type="paragraph" w:customStyle="1" w:styleId="BodyText21">
    <w:name w:val="Body Text 21"/>
    <w:basedOn w:val="Normal"/>
    <w:rsid w:val="00CA0B63"/>
    <w:pPr>
      <w:widowControl w:val="0"/>
      <w:snapToGrid w:val="0"/>
      <w:spacing w:after="0" w:line="240" w:lineRule="auto"/>
      <w:jc w:val="both"/>
    </w:pPr>
    <w:rPr>
      <w:rFonts w:ascii="Times New Roman" w:eastAsia="Times New Roman" w:hAnsi="Times New Roman"/>
      <w:sz w:val="24"/>
      <w:szCs w:val="24"/>
    </w:rPr>
  </w:style>
  <w:style w:type="paragraph" w:customStyle="1" w:styleId="Default">
    <w:name w:val="Default"/>
    <w:uiPriority w:val="99"/>
    <w:rsid w:val="00CA0B63"/>
    <w:pPr>
      <w:autoSpaceDE w:val="0"/>
      <w:autoSpaceDN w:val="0"/>
      <w:adjustRightInd w:val="0"/>
    </w:pPr>
    <w:rPr>
      <w:rFonts w:ascii="Arial" w:eastAsiaTheme="minorHAnsi" w:hAnsi="Arial" w:cs="Arial"/>
      <w:color w:val="000000"/>
      <w:sz w:val="24"/>
      <w:szCs w:val="24"/>
      <w:lang w:eastAsia="en-US"/>
    </w:rPr>
  </w:style>
  <w:style w:type="table" w:styleId="TableGrid">
    <w:name w:val="Table Grid"/>
    <w:basedOn w:val="TableNormal"/>
    <w:uiPriority w:val="59"/>
    <w:rsid w:val="00CA0B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150CB4"/>
    <w:pPr>
      <w:spacing w:after="120" w:line="240" w:lineRule="auto"/>
      <w:ind w:left="283"/>
    </w:pPr>
    <w:rPr>
      <w:rFonts w:ascii="Times New Roman" w:eastAsia="SimSun" w:hAnsi="Times New Roman"/>
      <w:sz w:val="24"/>
      <w:szCs w:val="24"/>
      <w:lang w:val="en-GB"/>
    </w:rPr>
  </w:style>
  <w:style w:type="character" w:customStyle="1" w:styleId="BodyTextIndentChar">
    <w:name w:val="Body Text Indent Char"/>
    <w:basedOn w:val="DefaultParagraphFont"/>
    <w:link w:val="BodyTextIndent"/>
    <w:rsid w:val="00150CB4"/>
    <w:rPr>
      <w:rFonts w:ascii="Times New Roman" w:eastAsia="SimSun" w:hAnsi="Times New Roman"/>
      <w:sz w:val="24"/>
      <w:szCs w:val="24"/>
      <w:lang w:val="en-GB" w:eastAsia="en-US"/>
    </w:rPr>
  </w:style>
  <w:style w:type="paragraph" w:customStyle="1" w:styleId="Pa8">
    <w:name w:val="Pa8"/>
    <w:basedOn w:val="Normal"/>
    <w:next w:val="Normal"/>
    <w:rsid w:val="00150CB4"/>
    <w:pPr>
      <w:autoSpaceDE w:val="0"/>
      <w:autoSpaceDN w:val="0"/>
      <w:adjustRightInd w:val="0"/>
      <w:spacing w:after="160" w:line="191" w:lineRule="atLeast"/>
    </w:pPr>
    <w:rPr>
      <w:rFonts w:ascii="Verdana" w:eastAsia="Times New Roman" w:hAnsi="Verdana"/>
      <w:sz w:val="20"/>
      <w:szCs w:val="24"/>
    </w:rPr>
  </w:style>
  <w:style w:type="paragraph" w:styleId="BodyText3">
    <w:name w:val="Body Text 3"/>
    <w:basedOn w:val="Normal"/>
    <w:link w:val="BodyText3Char"/>
    <w:uiPriority w:val="99"/>
    <w:rsid w:val="00F53375"/>
    <w:pPr>
      <w:spacing w:after="120" w:line="240" w:lineRule="auto"/>
    </w:pPr>
    <w:rPr>
      <w:rFonts w:ascii="Times New Roman" w:eastAsia="SimSun" w:hAnsi="Times New Roman"/>
      <w:sz w:val="16"/>
      <w:szCs w:val="16"/>
      <w:lang w:val="en-GB"/>
    </w:rPr>
  </w:style>
  <w:style w:type="character" w:customStyle="1" w:styleId="BodyText3Char">
    <w:name w:val="Body Text 3 Char"/>
    <w:basedOn w:val="DefaultParagraphFont"/>
    <w:link w:val="BodyText3"/>
    <w:uiPriority w:val="99"/>
    <w:rsid w:val="00F53375"/>
    <w:rPr>
      <w:rFonts w:ascii="Times New Roman" w:eastAsia="SimSun" w:hAnsi="Times New Roman"/>
      <w:sz w:val="16"/>
      <w:szCs w:val="16"/>
      <w:lang w:val="en-GB" w:eastAsia="en-US"/>
    </w:rPr>
  </w:style>
  <w:style w:type="paragraph" w:customStyle="1" w:styleId="CharCharCaracterCaracterCharCharCaracterCharCharCaracter">
    <w:name w:val="Char Char Caracter Caracter Char Char Caracter Char Char Caracter"/>
    <w:basedOn w:val="Normal"/>
    <w:rsid w:val="00F53375"/>
    <w:pPr>
      <w:spacing w:after="0" w:line="240" w:lineRule="auto"/>
    </w:pPr>
    <w:rPr>
      <w:rFonts w:ascii="Times New Roman" w:hAnsi="Times New Roman"/>
      <w:sz w:val="24"/>
      <w:szCs w:val="24"/>
      <w:lang w:val="pl-PL" w:eastAsia="pl-PL"/>
    </w:rPr>
  </w:style>
  <w:style w:type="character" w:customStyle="1" w:styleId="do1">
    <w:name w:val="do1"/>
    <w:basedOn w:val="DefaultParagraphFont"/>
    <w:rsid w:val="00F53375"/>
    <w:rPr>
      <w:rFonts w:cs="Times New Roman"/>
      <w:b/>
      <w:bCs/>
      <w:sz w:val="26"/>
      <w:szCs w:val="26"/>
    </w:rPr>
  </w:style>
  <w:style w:type="paragraph" w:styleId="BodyText2">
    <w:name w:val="Body Text 2"/>
    <w:basedOn w:val="Normal"/>
    <w:link w:val="BodyText2Char"/>
    <w:rsid w:val="00F53375"/>
    <w:pPr>
      <w:spacing w:after="120" w:line="480" w:lineRule="auto"/>
    </w:pPr>
    <w:rPr>
      <w:rFonts w:ascii="Times New Roman" w:eastAsia="SimSun" w:hAnsi="Times New Roman"/>
      <w:sz w:val="24"/>
      <w:szCs w:val="24"/>
      <w:lang w:val="en-GB"/>
    </w:rPr>
  </w:style>
  <w:style w:type="character" w:customStyle="1" w:styleId="BodyText2Char">
    <w:name w:val="Body Text 2 Char"/>
    <w:basedOn w:val="DefaultParagraphFont"/>
    <w:link w:val="BodyText2"/>
    <w:rsid w:val="00F53375"/>
    <w:rPr>
      <w:rFonts w:ascii="Times New Roman" w:eastAsia="SimSun" w:hAnsi="Times New Roman"/>
      <w:sz w:val="24"/>
      <w:szCs w:val="24"/>
      <w:lang w:val="en-GB" w:eastAsia="en-US"/>
    </w:rPr>
  </w:style>
  <w:style w:type="paragraph" w:styleId="Caption">
    <w:name w:val="caption"/>
    <w:basedOn w:val="Normal"/>
    <w:next w:val="Normal"/>
    <w:qFormat/>
    <w:rsid w:val="00764F95"/>
    <w:pPr>
      <w:spacing w:after="0" w:line="240" w:lineRule="auto"/>
    </w:pPr>
    <w:rPr>
      <w:rFonts w:ascii="Times New Roman" w:eastAsia="SimSun" w:hAnsi="Times New Roman"/>
      <w:b/>
      <w:bCs/>
      <w:sz w:val="20"/>
      <w:szCs w:val="20"/>
      <w:lang w:val="en-GB"/>
    </w:rPr>
  </w:style>
  <w:style w:type="paragraph" w:styleId="BodyTextIndent3">
    <w:name w:val="Body Text Indent 3"/>
    <w:basedOn w:val="Normal"/>
    <w:link w:val="BodyTextIndent3Char"/>
    <w:unhideWhenUsed/>
    <w:rsid w:val="00594D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94D80"/>
    <w:rPr>
      <w:sz w:val="16"/>
      <w:szCs w:val="16"/>
      <w:lang w:val="en-US" w:eastAsia="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harCaracterCharCharCharCaracter">
    <w:name w:val="Char Caracter Char Char Cha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CharChar">
    <w:name w:val="Caracter Caracter Char Char"/>
    <w:basedOn w:val="Normal"/>
    <w:rsid w:val="00594D80"/>
    <w:pPr>
      <w:spacing w:after="0" w:line="240" w:lineRule="auto"/>
    </w:pPr>
    <w:rPr>
      <w:rFonts w:ascii="Times New Roman" w:eastAsia="Times New Roman" w:hAnsi="Times New Roman"/>
      <w:sz w:val="24"/>
      <w:szCs w:val="24"/>
      <w:lang w:val="pl-PL" w:eastAsia="pl-PL"/>
    </w:rPr>
  </w:style>
  <w:style w:type="character" w:customStyle="1" w:styleId="tpt1">
    <w:name w:val="tpt1"/>
    <w:basedOn w:val="DefaultParagraphFont"/>
    <w:rsid w:val="00594D80"/>
  </w:style>
  <w:style w:type="character" w:customStyle="1" w:styleId="cap">
    <w:name w:val="cap"/>
    <w:basedOn w:val="DefaultParagraphFont"/>
    <w:rsid w:val="00594D80"/>
    <w:rPr>
      <w:b/>
      <w:sz w:val="32"/>
    </w:rPr>
  </w:style>
  <w:style w:type="paragraph" w:customStyle="1" w:styleId="bul1">
    <w:name w:val="bul1"/>
    <w:basedOn w:val="Normal"/>
    <w:rsid w:val="00594D80"/>
    <w:pPr>
      <w:numPr>
        <w:ilvl w:val="1"/>
        <w:numId w:val="9"/>
      </w:numPr>
      <w:tabs>
        <w:tab w:val="clear" w:pos="1440"/>
        <w:tab w:val="left" w:pos="567"/>
        <w:tab w:val="num" w:pos="680"/>
      </w:tabs>
      <w:spacing w:after="60" w:line="240" w:lineRule="auto"/>
      <w:ind w:left="680" w:hanging="396"/>
      <w:jc w:val="both"/>
    </w:pPr>
    <w:rPr>
      <w:rFonts w:ascii="Arial" w:eastAsia="Times New Roman" w:hAnsi="Arial"/>
      <w:sz w:val="19"/>
      <w:szCs w:val="24"/>
    </w:rPr>
  </w:style>
  <w:style w:type="paragraph" w:customStyle="1" w:styleId="WW-Corptext2">
    <w:name w:val="WW-Corp text 2"/>
    <w:basedOn w:val="Normal"/>
    <w:rsid w:val="00594D80"/>
    <w:pPr>
      <w:suppressAutoHyphens/>
      <w:spacing w:after="0" w:line="240" w:lineRule="auto"/>
      <w:jc w:val="center"/>
    </w:pPr>
    <w:rPr>
      <w:rFonts w:ascii="Times New Roman" w:eastAsia="Times New Roman" w:hAnsi="Times New Roman"/>
      <w:sz w:val="24"/>
      <w:szCs w:val="24"/>
      <w:lang w:val="ro-RO"/>
    </w:rPr>
  </w:style>
  <w:style w:type="character" w:customStyle="1" w:styleId="tal1">
    <w:name w:val="tal1"/>
    <w:basedOn w:val="DefaultParagraphFont"/>
    <w:rsid w:val="00594D80"/>
  </w:style>
  <w:style w:type="character" w:customStyle="1" w:styleId="tli1">
    <w:name w:val="tli1"/>
    <w:basedOn w:val="DefaultParagraphFont"/>
    <w:rsid w:val="00594D80"/>
  </w:style>
  <w:style w:type="character" w:customStyle="1" w:styleId="tpa1">
    <w:name w:val="tpa1"/>
    <w:basedOn w:val="DefaultParagraphFont"/>
    <w:rsid w:val="00594D80"/>
  </w:style>
  <w:style w:type="paragraph" w:customStyle="1" w:styleId="CharChar7CharCharCaracterCaracterCharCharCaracterCaracterCharCharCaracterCaracterCharChar">
    <w:name w:val="Char Char7 Char Char Caracter Caracter Char Char Caracter Caracter Char Char Caracter Caracter Char Char"/>
    <w:basedOn w:val="Normal"/>
    <w:rsid w:val="00594D80"/>
    <w:pPr>
      <w:spacing w:after="0" w:line="240" w:lineRule="auto"/>
    </w:pPr>
    <w:rPr>
      <w:rFonts w:ascii="Times New Roman" w:eastAsia="Times New Roman" w:hAnsi="Times New Roman"/>
      <w:sz w:val="24"/>
      <w:szCs w:val="24"/>
      <w:lang w:val="pl-PL" w:eastAsia="pl-PL"/>
    </w:rPr>
  </w:style>
  <w:style w:type="character" w:customStyle="1" w:styleId="A15">
    <w:name w:val="A15"/>
    <w:rsid w:val="00594D80"/>
    <w:rPr>
      <w:color w:val="000000"/>
      <w:sz w:val="11"/>
      <w:szCs w:val="11"/>
    </w:rPr>
  </w:style>
  <w:style w:type="paragraph" w:customStyle="1" w:styleId="CM4">
    <w:name w:val="CM4"/>
    <w:basedOn w:val="Normal"/>
    <w:next w:val="Normal"/>
    <w:rsid w:val="00594D80"/>
    <w:pPr>
      <w:autoSpaceDE w:val="0"/>
      <w:autoSpaceDN w:val="0"/>
      <w:adjustRightInd w:val="0"/>
      <w:spacing w:before="60" w:after="60" w:line="240" w:lineRule="auto"/>
    </w:pPr>
    <w:rPr>
      <w:rFonts w:ascii="EUAlbertina" w:eastAsia="Times New Roman" w:hAnsi="EUAlbertina" w:cs="Verdana"/>
      <w:sz w:val="20"/>
      <w:szCs w:val="24"/>
    </w:rPr>
  </w:style>
  <w:style w:type="paragraph" w:styleId="BodyTextIndent2">
    <w:name w:val="Body Text Indent 2"/>
    <w:basedOn w:val="Normal"/>
    <w:link w:val="BodyTextIndent2Char"/>
    <w:rsid w:val="00594D80"/>
    <w:pPr>
      <w:spacing w:after="120" w:line="480" w:lineRule="auto"/>
      <w:ind w:left="283"/>
    </w:pPr>
    <w:rPr>
      <w:rFonts w:ascii="Times New Roman" w:eastAsia="Times New Roman" w:hAnsi="Times New Roman"/>
      <w:sz w:val="20"/>
      <w:szCs w:val="20"/>
    </w:rPr>
  </w:style>
  <w:style w:type="character" w:customStyle="1" w:styleId="BodyTextIndent2Char">
    <w:name w:val="Body Text Indent 2 Char"/>
    <w:basedOn w:val="DefaultParagraphFont"/>
    <w:link w:val="BodyTextIndent2"/>
    <w:rsid w:val="00594D80"/>
    <w:rPr>
      <w:rFonts w:ascii="Times New Roman" w:eastAsia="Times New Roman" w:hAnsi="Times New Roman"/>
      <w:lang w:val="en-US" w:eastAsia="en-US"/>
    </w:rPr>
  </w:style>
  <w:style w:type="paragraph" w:customStyle="1" w:styleId="CharCharCaracterCaracterCharCharCharCharCaracterCaracterCharCharCharCharCaracterCaracter">
    <w:name w:val="Char Char Caracter Caracter Char Char Char Char Caracter Caracter Char Char Char Char Caracter Caracter"/>
    <w:basedOn w:val="Normal"/>
    <w:rsid w:val="00594D80"/>
    <w:pPr>
      <w:spacing w:after="0" w:line="240" w:lineRule="auto"/>
    </w:pPr>
    <w:rPr>
      <w:rFonts w:ascii="Times New Roman" w:eastAsia="Times New Roman" w:hAnsi="Times New Roman"/>
      <w:sz w:val="24"/>
      <w:szCs w:val="24"/>
      <w:lang w:val="pl-PL" w:eastAsia="pl-PL"/>
    </w:rPr>
  </w:style>
  <w:style w:type="character" w:styleId="PageNumber">
    <w:name w:val="page number"/>
    <w:basedOn w:val="DefaultParagraphFont"/>
    <w:rsid w:val="00594D80"/>
  </w:style>
  <w:style w:type="paragraph" w:customStyle="1" w:styleId="bul2">
    <w:name w:val="bul2"/>
    <w:basedOn w:val="Normal"/>
    <w:rsid w:val="00594D80"/>
    <w:pPr>
      <w:numPr>
        <w:ilvl w:val="1"/>
        <w:numId w:val="8"/>
      </w:numPr>
      <w:tabs>
        <w:tab w:val="left" w:pos="851"/>
      </w:tabs>
      <w:spacing w:after="60" w:line="240" w:lineRule="auto"/>
      <w:ind w:left="851" w:hanging="284"/>
      <w:jc w:val="both"/>
    </w:pPr>
    <w:rPr>
      <w:rFonts w:ascii="Arial" w:eastAsia="Times New Roman" w:hAnsi="Arial"/>
      <w:sz w:val="19"/>
      <w:szCs w:val="24"/>
    </w:rPr>
  </w:style>
  <w:style w:type="paragraph" w:styleId="Subtitle">
    <w:name w:val="Subtitle"/>
    <w:basedOn w:val="Normal"/>
    <w:link w:val="SubtitleChar"/>
    <w:qFormat/>
    <w:rsid w:val="00594D80"/>
    <w:pPr>
      <w:spacing w:after="0" w:line="240" w:lineRule="auto"/>
      <w:jc w:val="center"/>
    </w:pPr>
    <w:rPr>
      <w:rFonts w:ascii="Times New Roman" w:eastAsia="Times New Roman" w:hAnsi="Times New Roman"/>
      <w:b/>
      <w:i/>
      <w:sz w:val="32"/>
      <w:szCs w:val="24"/>
    </w:rPr>
  </w:style>
  <w:style w:type="character" w:customStyle="1" w:styleId="SubtitleChar">
    <w:name w:val="Subtitle Char"/>
    <w:basedOn w:val="DefaultParagraphFont"/>
    <w:link w:val="Subtitle"/>
    <w:rsid w:val="00594D80"/>
    <w:rPr>
      <w:rFonts w:ascii="Times New Roman" w:eastAsia="Times New Roman" w:hAnsi="Times New Roman"/>
      <w:b/>
      <w:i/>
      <w:sz w:val="32"/>
      <w:szCs w:val="24"/>
      <w:lang w:val="en-US" w:eastAsia="en-US"/>
    </w:rPr>
  </w:style>
  <w:style w:type="paragraph" w:customStyle="1" w:styleId="WW-Corptext3">
    <w:name w:val="WW-Corp text 3"/>
    <w:basedOn w:val="Normal"/>
    <w:rsid w:val="00594D80"/>
    <w:pPr>
      <w:suppressAutoHyphens/>
      <w:spacing w:after="0" w:line="240" w:lineRule="auto"/>
      <w:jc w:val="center"/>
    </w:pPr>
    <w:rPr>
      <w:rFonts w:ascii="Times New Roman" w:eastAsia="Times New Roman" w:hAnsi="Times New Roman"/>
      <w:b/>
      <w:sz w:val="24"/>
      <w:szCs w:val="24"/>
      <w:lang w:val="ro-RO"/>
    </w:rPr>
  </w:style>
  <w:style w:type="paragraph" w:styleId="Title">
    <w:name w:val="Title"/>
    <w:basedOn w:val="Normal"/>
    <w:next w:val="Subtitle"/>
    <w:link w:val="TitleChar"/>
    <w:uiPriority w:val="10"/>
    <w:qFormat/>
    <w:rsid w:val="00594D80"/>
    <w:pPr>
      <w:suppressAutoHyphens/>
      <w:spacing w:after="0" w:line="240" w:lineRule="auto"/>
      <w:jc w:val="center"/>
    </w:pPr>
    <w:rPr>
      <w:rFonts w:ascii="Times New Roman" w:eastAsia="Times New Roman" w:hAnsi="Times New Roman"/>
      <w:b/>
      <w:sz w:val="24"/>
      <w:szCs w:val="24"/>
      <w:lang w:val="ro-RO"/>
    </w:rPr>
  </w:style>
  <w:style w:type="character" w:customStyle="1" w:styleId="TitleChar">
    <w:name w:val="Title Char"/>
    <w:basedOn w:val="DefaultParagraphFont"/>
    <w:link w:val="Title"/>
    <w:uiPriority w:val="10"/>
    <w:rsid w:val="00594D80"/>
    <w:rPr>
      <w:rFonts w:ascii="Times New Roman" w:eastAsia="Times New Roman" w:hAnsi="Times New Roman"/>
      <w:b/>
      <w:sz w:val="24"/>
      <w:szCs w:val="24"/>
      <w:lang w:eastAsia="en-US"/>
    </w:rPr>
  </w:style>
  <w:style w:type="paragraph" w:customStyle="1" w:styleId="WW-NormalWeb">
    <w:name w:val="WW-Normal (Web)"/>
    <w:basedOn w:val="Normal"/>
    <w:rsid w:val="00594D80"/>
    <w:pPr>
      <w:suppressAutoHyphens/>
      <w:spacing w:before="280" w:after="280" w:line="240" w:lineRule="auto"/>
    </w:pPr>
    <w:rPr>
      <w:rFonts w:ascii="Arial Unicode MS" w:eastAsia="Arial Unicode MS" w:hAnsi="Arial Unicode MS" w:cs="Arial Unicode MS"/>
      <w:sz w:val="24"/>
      <w:szCs w:val="24"/>
      <w:lang w:val="ro-RO" w:eastAsia="ar-SA"/>
    </w:rPr>
  </w:style>
  <w:style w:type="paragraph" w:customStyle="1" w:styleId="AAAA">
    <w:name w:val="AAAA"/>
    <w:basedOn w:val="Normal"/>
    <w:rsid w:val="00594D80"/>
    <w:pPr>
      <w:widowControl w:val="0"/>
      <w:numPr>
        <w:ilvl w:val="12"/>
      </w:numPr>
      <w:spacing w:before="240" w:after="0"/>
      <w:ind w:left="1080"/>
      <w:jc w:val="both"/>
    </w:pPr>
    <w:rPr>
      <w:rFonts w:ascii="Arial" w:eastAsia="Times New Roman" w:hAnsi="Arial" w:cs="Arial"/>
      <w:sz w:val="23"/>
      <w:szCs w:val="28"/>
      <w:lang w:val="ro-RO"/>
    </w:rPr>
  </w:style>
  <w:style w:type="paragraph" w:customStyle="1" w:styleId="Titlu51">
    <w:name w:val="Titlu 51"/>
    <w:basedOn w:val="Normal"/>
    <w:rsid w:val="00594D80"/>
    <w:pPr>
      <w:tabs>
        <w:tab w:val="num" w:pos="1008"/>
      </w:tabs>
      <w:spacing w:after="0" w:line="240" w:lineRule="auto"/>
      <w:ind w:left="1008" w:hanging="1008"/>
    </w:pPr>
    <w:rPr>
      <w:rFonts w:ascii="Times New Roman" w:eastAsia="Times New Roman" w:hAnsi="Times New Roman"/>
      <w:sz w:val="24"/>
      <w:szCs w:val="24"/>
      <w:lang w:val="ro-RO" w:eastAsia="ro-RO"/>
    </w:rPr>
  </w:style>
  <w:style w:type="paragraph" w:customStyle="1" w:styleId="Antet1">
    <w:name w:val="Antet1"/>
    <w:basedOn w:val="Normal"/>
    <w:next w:val="Normal"/>
    <w:rsid w:val="00594D80"/>
    <w:pPr>
      <w:autoSpaceDE w:val="0"/>
      <w:autoSpaceDN w:val="0"/>
      <w:adjustRightInd w:val="0"/>
      <w:spacing w:after="0" w:line="240" w:lineRule="auto"/>
    </w:pPr>
    <w:rPr>
      <w:rFonts w:ascii="Arial" w:eastAsia="Times New Roman" w:hAnsi="Arial"/>
      <w:sz w:val="24"/>
      <w:szCs w:val="24"/>
      <w:lang w:val="ro-RO" w:eastAsia="ro-RO"/>
    </w:rPr>
  </w:style>
  <w:style w:type="character" w:customStyle="1" w:styleId="A10">
    <w:name w:val="A10"/>
    <w:rsid w:val="00594D80"/>
    <w:rPr>
      <w:color w:val="000000"/>
      <w:sz w:val="11"/>
      <w:szCs w:val="11"/>
    </w:rPr>
  </w:style>
  <w:style w:type="paragraph" w:customStyle="1" w:styleId="AutoCorecie">
    <w:name w:val="AutoCorecţie"/>
    <w:rsid w:val="00594D80"/>
    <w:rPr>
      <w:rFonts w:ascii="Times New Roman" w:eastAsia="Times New Roman" w:hAnsi="Times New Roman"/>
      <w:sz w:val="24"/>
      <w:szCs w:val="24"/>
    </w:rPr>
  </w:style>
  <w:style w:type="character" w:customStyle="1" w:styleId="ln2paragraf1">
    <w:name w:val="ln2paragraf1"/>
    <w:basedOn w:val="DefaultParagraphFont"/>
    <w:rsid w:val="00594D80"/>
    <w:rPr>
      <w:b/>
      <w:bCs/>
    </w:rPr>
  </w:style>
  <w:style w:type="character" w:customStyle="1" w:styleId="ln2tparagraf">
    <w:name w:val="ln2tparagraf"/>
    <w:basedOn w:val="DefaultParagraphFont"/>
    <w:rsid w:val="00594D80"/>
  </w:style>
  <w:style w:type="character" w:customStyle="1" w:styleId="ln2tpunct">
    <w:name w:val="ln2tpunct"/>
    <w:basedOn w:val="DefaultParagraphFont"/>
    <w:rsid w:val="00594D80"/>
  </w:style>
  <w:style w:type="character" w:customStyle="1" w:styleId="ln2punct1">
    <w:name w:val="ln2punct1"/>
    <w:basedOn w:val="DefaultParagraphFont"/>
    <w:rsid w:val="00594D80"/>
    <w:rPr>
      <w:b/>
      <w:bCs/>
      <w:color w:val="008F00"/>
    </w:rPr>
  </w:style>
  <w:style w:type="paragraph" w:customStyle="1" w:styleId="CaracterCaracter1CharCharCaracterCaracterCharChar">
    <w:name w:val="Caracter Caracter1 Char Char Caracter Caracter Char Cha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1CharCharCaracterCaracter">
    <w:name w:val="Caracter Caracter1 Char Char Caracte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
    <w:name w:val="Caracte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CharCharCaracterCaracter">
    <w:name w:val="Caracter Caracter Char Char Caracte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1">
    <w:name w:val="Caracter Caracter1"/>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harCharCaracter">
    <w:name w:val="Caracter Char Cha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2">
    <w:name w:val="Caracter Caracter2"/>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Style1">
    <w:name w:val="Style1"/>
    <w:basedOn w:val="Normal"/>
    <w:rsid w:val="00594D80"/>
    <w:pPr>
      <w:spacing w:after="0" w:line="240" w:lineRule="auto"/>
    </w:pPr>
    <w:rPr>
      <w:rFonts w:ascii="Times New Roman" w:eastAsia="Times New Roman" w:hAnsi="Times New Roman"/>
      <w:b/>
      <w:bCs/>
      <w:caps/>
      <w:sz w:val="24"/>
      <w:szCs w:val="20"/>
    </w:rPr>
  </w:style>
  <w:style w:type="paragraph" w:customStyle="1" w:styleId="CharCaracterCaracterCharCaracterCaracterCharChar">
    <w:name w:val="Char Caracter Caracter Char Caracter Caracter Char Cha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1CharCharCaracterCaracterCharCharCaracterCaracter">
    <w:name w:val="Caracter Caracter1 Char Char Caracter Caracter Char Char Caracter Caracter"/>
    <w:basedOn w:val="Normal"/>
    <w:rsid w:val="00594D80"/>
    <w:pPr>
      <w:spacing w:after="0" w:line="240" w:lineRule="auto"/>
    </w:pPr>
    <w:rPr>
      <w:rFonts w:ascii="Times New Roman" w:eastAsia="Times New Roman" w:hAnsi="Times New Roman"/>
      <w:sz w:val="24"/>
      <w:szCs w:val="24"/>
      <w:lang w:val="pl-PL" w:eastAsia="pl-PL"/>
    </w:rPr>
  </w:style>
  <w:style w:type="character" w:customStyle="1" w:styleId="txtoug1">
    <w:name w:val="txtoug1"/>
    <w:basedOn w:val="DefaultParagraphFont"/>
    <w:rsid w:val="00594D80"/>
    <w:rPr>
      <w:rFonts w:ascii="Arial" w:hAnsi="Arial" w:cs="Arial" w:hint="default"/>
      <w:i/>
      <w:iCs/>
      <w:color w:val="0000FF"/>
      <w:sz w:val="18"/>
      <w:szCs w:val="18"/>
    </w:rPr>
  </w:style>
  <w:style w:type="character" w:customStyle="1" w:styleId="ln2tlitera">
    <w:name w:val="ln2tlitera"/>
    <w:basedOn w:val="DefaultParagraphFont"/>
    <w:rsid w:val="00594D80"/>
  </w:style>
  <w:style w:type="paragraph" w:customStyle="1" w:styleId="CaracterCaracter1CharCharCaracterCharCharCaracterCaracter">
    <w:name w:val="Caracter Caracter1 Char Char Caracter Char Char Caracte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harCharCaracterCaracter">
    <w:name w:val="Caracter Char Char Caracte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harChar">
    <w:name w:val="Char Cha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harCharCharCharCharCharCharCharCharCharChar1CharCharCharChar">
    <w:name w:val="Char Char Char Char Char Char Char Char Char Char Char1 Char Char Char Char"/>
    <w:basedOn w:val="Normal"/>
    <w:rsid w:val="00594D80"/>
    <w:pPr>
      <w:spacing w:after="0" w:line="240" w:lineRule="auto"/>
    </w:pPr>
    <w:rPr>
      <w:rFonts w:ascii="Times New Roman" w:eastAsia="MS Mincho" w:hAnsi="Times New Roman"/>
      <w:sz w:val="24"/>
      <w:szCs w:val="24"/>
      <w:lang w:val="pl-PL" w:eastAsia="pl-PL"/>
    </w:rPr>
  </w:style>
  <w:style w:type="paragraph" w:styleId="PlainText">
    <w:name w:val="Plain Text"/>
    <w:basedOn w:val="Normal"/>
    <w:link w:val="PlainTextChar"/>
    <w:rsid w:val="00594D80"/>
    <w:pPr>
      <w:spacing w:after="0" w:line="240" w:lineRule="auto"/>
    </w:pPr>
    <w:rPr>
      <w:rFonts w:ascii="Courier New" w:eastAsia="MS Mincho" w:hAnsi="Courier New" w:cs="Courier New"/>
      <w:sz w:val="20"/>
      <w:szCs w:val="20"/>
      <w:lang w:val="ro-RO" w:eastAsia="ja-JP"/>
    </w:rPr>
  </w:style>
  <w:style w:type="character" w:customStyle="1" w:styleId="PlainTextChar">
    <w:name w:val="Plain Text Char"/>
    <w:basedOn w:val="DefaultParagraphFont"/>
    <w:link w:val="PlainText"/>
    <w:rsid w:val="00594D80"/>
    <w:rPr>
      <w:rFonts w:ascii="Courier New" w:eastAsia="MS Mincho" w:hAnsi="Courier New" w:cs="Courier New"/>
      <w:lang w:eastAsia="ja-JP"/>
    </w:rPr>
  </w:style>
  <w:style w:type="paragraph" w:customStyle="1" w:styleId="CharChar1CaracterCaracter">
    <w:name w:val="Char Char1 Caracte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aracterCaracterCaracterCaracterCharCharCaracterCaracterCaracterCharCharCaracterCharCharCaracter">
    <w:name w:val="Caracter Caracter Caracter Caracter Char Char Caracter Caracter Caracter Char Char Caracter Char Char Caracte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Char">
    <w:name w:val="Char"/>
    <w:basedOn w:val="Normal"/>
    <w:rsid w:val="00594D80"/>
    <w:pPr>
      <w:spacing w:after="0" w:line="240" w:lineRule="auto"/>
    </w:pPr>
    <w:rPr>
      <w:rFonts w:ascii="Times New Roman" w:eastAsia="Times New Roman" w:hAnsi="Times New Roman"/>
      <w:sz w:val="24"/>
      <w:szCs w:val="24"/>
      <w:lang w:val="pl-PL" w:eastAsia="pl-PL"/>
    </w:rPr>
  </w:style>
  <w:style w:type="paragraph" w:customStyle="1" w:styleId="fright">
    <w:name w:val="fright"/>
    <w:basedOn w:val="Normal"/>
    <w:rsid w:val="00594D80"/>
    <w:pPr>
      <w:spacing w:after="0" w:line="240" w:lineRule="auto"/>
    </w:pPr>
    <w:rPr>
      <w:rFonts w:ascii="Arial Unicode MS" w:eastAsia="Arial Unicode MS" w:hAnsi="Arial Unicode MS" w:cs="Arial Unicode MS"/>
      <w:sz w:val="24"/>
      <w:szCs w:val="24"/>
    </w:rPr>
  </w:style>
  <w:style w:type="character" w:customStyle="1" w:styleId="ln2articol1">
    <w:name w:val="ln2articol1"/>
    <w:basedOn w:val="DefaultParagraphFont"/>
    <w:rsid w:val="00594D80"/>
    <w:rPr>
      <w:b/>
      <w:bCs/>
      <w:color w:val="0000AF"/>
    </w:rPr>
  </w:style>
  <w:style w:type="character" w:styleId="FollowedHyperlink">
    <w:name w:val="FollowedHyperlink"/>
    <w:basedOn w:val="DefaultParagraphFont"/>
    <w:rsid w:val="00594D80"/>
    <w:rPr>
      <w:color w:val="800080"/>
      <w:u w:val="single"/>
    </w:rPr>
  </w:style>
  <w:style w:type="paragraph" w:customStyle="1" w:styleId="NormalWeb3">
    <w:name w:val="Normal (Web)3"/>
    <w:basedOn w:val="Normal"/>
    <w:rsid w:val="00594D80"/>
    <w:pPr>
      <w:spacing w:before="100" w:beforeAutospacing="1" w:after="100" w:afterAutospacing="1" w:line="240" w:lineRule="auto"/>
      <w:jc w:val="both"/>
    </w:pPr>
    <w:rPr>
      <w:rFonts w:ascii="Verdana" w:eastAsia="Times New Roman" w:hAnsi="Verdana"/>
      <w:sz w:val="18"/>
      <w:szCs w:val="18"/>
      <w:lang w:val="ro-RO" w:eastAsia="ro-RO"/>
    </w:rPr>
  </w:style>
  <w:style w:type="character" w:customStyle="1" w:styleId="FootnoteTextChar">
    <w:name w:val="Footnote Text Char"/>
    <w:basedOn w:val="DefaultParagraphFont"/>
    <w:link w:val="FootnoteText"/>
    <w:semiHidden/>
    <w:rsid w:val="00594D80"/>
    <w:rPr>
      <w:rFonts w:ascii="Times New Roman" w:eastAsia="Times New Roman" w:hAnsi="Times New Roman"/>
      <w:lang w:val="en-US" w:eastAsia="en-US"/>
    </w:rPr>
  </w:style>
  <w:style w:type="paragraph" w:styleId="FootnoteText">
    <w:name w:val="footnote text"/>
    <w:basedOn w:val="Normal"/>
    <w:link w:val="FootnoteTextChar"/>
    <w:semiHidden/>
    <w:rsid w:val="00594D80"/>
    <w:pPr>
      <w:spacing w:after="0" w:line="240" w:lineRule="auto"/>
    </w:pPr>
    <w:rPr>
      <w:rFonts w:ascii="Times New Roman" w:eastAsia="Times New Roman" w:hAnsi="Times New Roman"/>
      <w:sz w:val="20"/>
      <w:szCs w:val="20"/>
    </w:rPr>
  </w:style>
  <w:style w:type="numbering" w:customStyle="1" w:styleId="NoList1">
    <w:name w:val="No List1"/>
    <w:next w:val="NoList"/>
    <w:semiHidden/>
    <w:rsid w:val="00A93324"/>
  </w:style>
  <w:style w:type="table" w:customStyle="1" w:styleId="TableGrid1">
    <w:name w:val="Table Grid1"/>
    <w:basedOn w:val="TableNormal"/>
    <w:next w:val="TableGrid"/>
    <w:rsid w:val="00A9332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Caracter3">
    <w:name w:val="Caracter Caracter3"/>
    <w:basedOn w:val="DefaultParagraphFont"/>
    <w:semiHidden/>
    <w:rsid w:val="00A93324"/>
    <w:rPr>
      <w:lang w:val="en-AU" w:eastAsia="en-US" w:bidi="ar-SA"/>
    </w:rPr>
  </w:style>
  <w:style w:type="character" w:styleId="FootnoteReference">
    <w:name w:val="footnote reference"/>
    <w:basedOn w:val="DefaultParagraphFont"/>
    <w:semiHidden/>
    <w:rsid w:val="00A93324"/>
    <w:rPr>
      <w:vertAlign w:val="superscript"/>
    </w:rPr>
  </w:style>
  <w:style w:type="numbering" w:customStyle="1" w:styleId="NoList2">
    <w:name w:val="No List2"/>
    <w:next w:val="NoList"/>
    <w:uiPriority w:val="99"/>
    <w:semiHidden/>
    <w:unhideWhenUsed/>
    <w:rsid w:val="00A42550"/>
  </w:style>
  <w:style w:type="paragraph" w:customStyle="1" w:styleId="NormalArial">
    <w:name w:val="Normal+Arial"/>
    <w:basedOn w:val="BodyText"/>
    <w:rsid w:val="00A42550"/>
    <w:pPr>
      <w:spacing w:line="240" w:lineRule="auto"/>
    </w:pPr>
    <w:rPr>
      <w:rFonts w:ascii="Arial" w:eastAsia="Times New Roman" w:hAnsi="Arial" w:cs="Arial"/>
      <w:sz w:val="24"/>
      <w:szCs w:val="24"/>
      <w:lang w:val="es-ES"/>
    </w:rPr>
  </w:style>
  <w:style w:type="paragraph" w:styleId="NoSpacing">
    <w:name w:val="No Spacing"/>
    <w:qFormat/>
    <w:rsid w:val="00A42550"/>
    <w:pPr>
      <w:jc w:val="both"/>
    </w:pPr>
    <w:rPr>
      <w:rFonts w:eastAsia="Times New Roman"/>
      <w:sz w:val="22"/>
      <w:szCs w:val="22"/>
      <w:lang w:val="en-US" w:eastAsia="en-US"/>
    </w:rPr>
  </w:style>
  <w:style w:type="paragraph" w:customStyle="1" w:styleId="Verdana12">
    <w:name w:val="Verdana 12"/>
    <w:basedOn w:val="Normal"/>
    <w:rsid w:val="00A42550"/>
    <w:pPr>
      <w:spacing w:after="0" w:line="240" w:lineRule="auto"/>
      <w:ind w:firstLine="624"/>
      <w:jc w:val="both"/>
    </w:pPr>
    <w:rPr>
      <w:rFonts w:ascii="Verdana" w:eastAsia="Times New Roman" w:hAnsi="Verdana"/>
      <w:sz w:val="24"/>
      <w:szCs w:val="24"/>
      <w:lang w:val="ro-RO" w:eastAsia="ro-RO"/>
    </w:rPr>
  </w:style>
  <w:style w:type="character" w:styleId="Emphasis">
    <w:name w:val="Emphasis"/>
    <w:basedOn w:val="DefaultParagraphFont"/>
    <w:uiPriority w:val="20"/>
    <w:qFormat/>
    <w:rsid w:val="00A42550"/>
    <w:rPr>
      <w:i/>
      <w:iCs/>
    </w:rPr>
  </w:style>
  <w:style w:type="character" w:customStyle="1" w:styleId="title1">
    <w:name w:val="title1"/>
    <w:basedOn w:val="DefaultParagraphFont"/>
    <w:rsid w:val="00A42550"/>
    <w:rPr>
      <w:b/>
      <w:bCs/>
      <w:sz w:val="24"/>
      <w:szCs w:val="24"/>
    </w:rPr>
  </w:style>
  <w:style w:type="paragraph" w:customStyle="1" w:styleId="Char4CharCharCharCharChar">
    <w:name w:val="Char4 Char Char Char Char Char"/>
    <w:basedOn w:val="Normal"/>
    <w:rsid w:val="00A42550"/>
    <w:pPr>
      <w:spacing w:after="0" w:line="240" w:lineRule="auto"/>
    </w:pPr>
    <w:rPr>
      <w:rFonts w:ascii="Times New Roman" w:eastAsia="Times New Roman" w:hAnsi="Times New Roman"/>
      <w:sz w:val="24"/>
      <w:szCs w:val="24"/>
      <w:lang w:val="pl-PL" w:eastAsia="pl-PL"/>
    </w:rPr>
  </w:style>
  <w:style w:type="table" w:customStyle="1" w:styleId="TableGrid2">
    <w:name w:val="Table Grid2"/>
    <w:basedOn w:val="TableNormal"/>
    <w:next w:val="TableGrid"/>
    <w:uiPriority w:val="59"/>
    <w:rsid w:val="00A4255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1">
    <w:name w:val="al1"/>
    <w:basedOn w:val="DefaultParagraphFont"/>
    <w:rsid w:val="00A42550"/>
    <w:rPr>
      <w:b/>
      <w:bCs/>
      <w:color w:val="008F00"/>
    </w:rPr>
  </w:style>
  <w:style w:type="character" w:customStyle="1" w:styleId="li1">
    <w:name w:val="li1"/>
    <w:basedOn w:val="DefaultParagraphFont"/>
    <w:rsid w:val="00A42550"/>
    <w:rPr>
      <w:b/>
      <w:bCs/>
      <w:color w:val="8F0000"/>
    </w:rPr>
  </w:style>
  <w:style w:type="paragraph" w:customStyle="1" w:styleId="CM1">
    <w:name w:val="CM1"/>
    <w:basedOn w:val="Default"/>
    <w:next w:val="Default"/>
    <w:uiPriority w:val="99"/>
    <w:rsid w:val="00A42550"/>
    <w:rPr>
      <w:rFonts w:ascii="EUAlbertina" w:eastAsia="Times New Roman" w:hAnsi="EUAlbertina" w:cs="Times New Roman"/>
      <w:color w:val="auto"/>
      <w:lang w:eastAsia="ro-RO"/>
    </w:rPr>
  </w:style>
  <w:style w:type="paragraph" w:customStyle="1" w:styleId="CM3">
    <w:name w:val="CM3"/>
    <w:basedOn w:val="Default"/>
    <w:next w:val="Default"/>
    <w:uiPriority w:val="99"/>
    <w:rsid w:val="00A42550"/>
    <w:rPr>
      <w:rFonts w:ascii="EUAlbertina" w:eastAsia="Times New Roman" w:hAnsi="EUAlbertina" w:cs="Times New Roman"/>
      <w:color w:val="auto"/>
      <w:lang w:eastAsia="ro-RO"/>
    </w:rPr>
  </w:style>
  <w:style w:type="character" w:customStyle="1" w:styleId="ar1">
    <w:name w:val="ar1"/>
    <w:basedOn w:val="DefaultParagraphFont"/>
    <w:rsid w:val="00A42550"/>
    <w:rPr>
      <w:b/>
      <w:bCs/>
      <w:color w:val="0000AF"/>
      <w:sz w:val="22"/>
      <w:szCs w:val="22"/>
    </w:rPr>
  </w:style>
  <w:style w:type="character" w:styleId="CommentReference">
    <w:name w:val="annotation reference"/>
    <w:basedOn w:val="DefaultParagraphFont"/>
    <w:uiPriority w:val="99"/>
    <w:unhideWhenUsed/>
    <w:rsid w:val="00A42550"/>
    <w:rPr>
      <w:sz w:val="16"/>
      <w:szCs w:val="16"/>
    </w:rPr>
  </w:style>
  <w:style w:type="paragraph" w:styleId="CommentText">
    <w:name w:val="annotation text"/>
    <w:basedOn w:val="Normal"/>
    <w:link w:val="CommentTextChar"/>
    <w:uiPriority w:val="99"/>
    <w:unhideWhenUsed/>
    <w:rsid w:val="00A42550"/>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42550"/>
    <w:rPr>
      <w:rFonts w:asciiTheme="minorHAnsi" w:eastAsiaTheme="minorHAnsi" w:hAnsiTheme="minorHAnsi" w:cstheme="minorBidi"/>
      <w:lang w:val="en-US" w:eastAsia="en-US"/>
    </w:rPr>
  </w:style>
  <w:style w:type="paragraph" w:customStyle="1" w:styleId="Char1">
    <w:name w:val="Char1"/>
    <w:basedOn w:val="Normal"/>
    <w:rsid w:val="00A42550"/>
    <w:pPr>
      <w:spacing w:after="0" w:line="240" w:lineRule="auto"/>
    </w:pPr>
    <w:rPr>
      <w:rFonts w:ascii="Times New Roman" w:eastAsia="Times New Roman" w:hAnsi="Times New Roman"/>
      <w:sz w:val="24"/>
      <w:szCs w:val="24"/>
      <w:lang w:val="pl-PL" w:eastAsia="pl-PL"/>
    </w:rPr>
  </w:style>
  <w:style w:type="character" w:customStyle="1" w:styleId="hps">
    <w:name w:val="hps"/>
    <w:basedOn w:val="DefaultParagraphFont"/>
    <w:rsid w:val="00A42550"/>
  </w:style>
  <w:style w:type="numbering" w:customStyle="1" w:styleId="NoList3">
    <w:name w:val="No List3"/>
    <w:next w:val="NoList"/>
    <w:uiPriority w:val="99"/>
    <w:semiHidden/>
    <w:unhideWhenUsed/>
    <w:rsid w:val="004622F6"/>
  </w:style>
  <w:style w:type="table" w:customStyle="1" w:styleId="TableGrid3">
    <w:name w:val="Table Grid3"/>
    <w:basedOn w:val="TableNormal"/>
    <w:next w:val="TableGrid"/>
    <w:rsid w:val="004622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F5025"/>
  </w:style>
  <w:style w:type="paragraph" w:customStyle="1" w:styleId="yiv0287519089msonormal">
    <w:name w:val="yiv0287519089msonormal"/>
    <w:basedOn w:val="Normal"/>
    <w:rsid w:val="002F5025"/>
    <w:pPr>
      <w:spacing w:before="100" w:beforeAutospacing="1" w:after="100" w:afterAutospacing="1" w:line="240" w:lineRule="auto"/>
    </w:pPr>
    <w:rPr>
      <w:rFonts w:ascii="Times New Roman" w:eastAsia="Times New Roman" w:hAnsi="Times New Roman"/>
      <w:sz w:val="24"/>
      <w:szCs w:val="24"/>
      <w:lang w:val="ro-RO" w:eastAsia="ro-RO"/>
    </w:rPr>
  </w:style>
  <w:style w:type="character" w:customStyle="1" w:styleId="yiv0287519089tpt1">
    <w:name w:val="yiv0287519089tpt1"/>
    <w:basedOn w:val="DefaultParagraphFont"/>
    <w:rsid w:val="002F5025"/>
  </w:style>
  <w:style w:type="paragraph" w:customStyle="1" w:styleId="yiv0287519089bodytext21">
    <w:name w:val="yiv0287519089bodytext21"/>
    <w:basedOn w:val="Normal"/>
    <w:rsid w:val="002F5025"/>
    <w:pPr>
      <w:spacing w:before="100" w:beforeAutospacing="1" w:after="100" w:afterAutospacing="1" w:line="240" w:lineRule="auto"/>
    </w:pPr>
    <w:rPr>
      <w:rFonts w:ascii="Times New Roman" w:eastAsia="Times New Roman" w:hAnsi="Times New Roman"/>
      <w:sz w:val="24"/>
      <w:szCs w:val="24"/>
      <w:lang w:val="ro-RO" w:eastAsia="ro-RO"/>
    </w:rPr>
  </w:style>
  <w:style w:type="table" w:styleId="LightList-Accent3">
    <w:name w:val="Light List Accent 3"/>
    <w:basedOn w:val="TableNormal"/>
    <w:uiPriority w:val="61"/>
    <w:rsid w:val="002F5025"/>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2">
    <w:name w:val="Medium Grid 3 Accent 2"/>
    <w:basedOn w:val="TableNormal"/>
    <w:uiPriority w:val="69"/>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Grid-Accent2">
    <w:name w:val="Light Grid Accent 2"/>
    <w:basedOn w:val="TableNormal"/>
    <w:uiPriority w:val="62"/>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NoList5">
    <w:name w:val="No List5"/>
    <w:next w:val="NoList"/>
    <w:uiPriority w:val="99"/>
    <w:semiHidden/>
    <w:unhideWhenUsed/>
    <w:rsid w:val="002F5025"/>
  </w:style>
  <w:style w:type="table" w:styleId="MediumShading1-Accent3">
    <w:name w:val="Medium Shading 1 Accent 3"/>
    <w:basedOn w:val="TableNormal"/>
    <w:uiPriority w:val="63"/>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4">
    <w:name w:val="Table Grid4"/>
    <w:basedOn w:val="TableNormal"/>
    <w:next w:val="TableGrid"/>
    <w:rsid w:val="002F502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2F5025"/>
    <w:pPr>
      <w:numPr>
        <w:numId w:val="26"/>
      </w:numPr>
      <w:spacing w:after="0" w:line="240" w:lineRule="auto"/>
    </w:pPr>
    <w:rPr>
      <w:rFonts w:ascii="Times New Roman" w:eastAsia="Times New Roman" w:hAnsi="Times New Roman"/>
      <w:sz w:val="20"/>
      <w:szCs w:val="20"/>
    </w:rPr>
  </w:style>
  <w:style w:type="table" w:styleId="MediumShading1-Accent5">
    <w:name w:val="Medium Shading 1 Accent 5"/>
    <w:basedOn w:val="TableNormal"/>
    <w:uiPriority w:val="63"/>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2F502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List2">
    <w:name w:val="List 2"/>
    <w:basedOn w:val="Normal"/>
    <w:rsid w:val="002F5025"/>
    <w:pPr>
      <w:spacing w:after="0" w:line="240" w:lineRule="auto"/>
      <w:ind w:left="566" w:hanging="283"/>
    </w:pPr>
    <w:rPr>
      <w:rFonts w:ascii="Times New Roman" w:eastAsia="SimSun" w:hAnsi="Times New Roman"/>
      <w:sz w:val="24"/>
      <w:szCs w:val="24"/>
      <w:lang w:val="ro-RO"/>
    </w:rPr>
  </w:style>
  <w:style w:type="table" w:customStyle="1" w:styleId="MediumShading11">
    <w:name w:val="Medium Shading 11"/>
    <w:basedOn w:val="TableNormal"/>
    <w:uiPriority w:val="63"/>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apple-converted-space">
    <w:name w:val="apple-converted-space"/>
    <w:basedOn w:val="DefaultParagraphFont"/>
    <w:rsid w:val="002F5025"/>
  </w:style>
  <w:style w:type="table" w:styleId="MediumShading2-Accent3">
    <w:name w:val="Medium Shading 2 Accent 3"/>
    <w:basedOn w:val="TableNormal"/>
    <w:uiPriority w:val="64"/>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2">
    <w:name w:val="Light List Accent 2"/>
    <w:basedOn w:val="TableNormal"/>
    <w:uiPriority w:val="61"/>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DarkList-Accent3">
    <w:name w:val="Dark List Accent 3"/>
    <w:basedOn w:val="TableNormal"/>
    <w:uiPriority w:val="70"/>
    <w:rsid w:val="002F502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Shading1-Accent2">
    <w:name w:val="Medium Shading 1 Accent 2"/>
    <w:basedOn w:val="TableNormal"/>
    <w:uiPriority w:val="63"/>
    <w:rsid w:val="002F502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rsid w:val="002F502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List1-Accent3">
    <w:name w:val="Medium List 1 Accent 3"/>
    <w:basedOn w:val="TableNormal"/>
    <w:uiPriority w:val="65"/>
    <w:rsid w:val="002F502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apple-style-span">
    <w:name w:val="apple-style-span"/>
    <w:basedOn w:val="DefaultParagraphFont"/>
    <w:rsid w:val="002F5025"/>
  </w:style>
  <w:style w:type="paragraph" w:customStyle="1" w:styleId="CharCharChar">
    <w:name w:val="Char Char Char"/>
    <w:basedOn w:val="Normal"/>
    <w:rsid w:val="00420717"/>
    <w:pPr>
      <w:spacing w:after="0" w:line="240" w:lineRule="auto"/>
    </w:pPr>
    <w:rPr>
      <w:rFonts w:ascii="Times New Roman" w:eastAsia="Times New Roman" w:hAnsi="Times New Roman"/>
      <w:sz w:val="24"/>
      <w:szCs w:val="24"/>
      <w:lang w:val="pl-PL" w:eastAsia="pl-PL"/>
    </w:rPr>
  </w:style>
  <w:style w:type="table" w:customStyle="1" w:styleId="TableGrid5">
    <w:name w:val="Table Grid5"/>
    <w:basedOn w:val="TableNormal"/>
    <w:next w:val="TableGrid"/>
    <w:uiPriority w:val="59"/>
    <w:rsid w:val="00563A74"/>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4D6806"/>
  </w:style>
  <w:style w:type="table" w:customStyle="1" w:styleId="TableGrid6">
    <w:name w:val="Table Grid6"/>
    <w:basedOn w:val="TableNormal"/>
    <w:next w:val="TableGrid"/>
    <w:uiPriority w:val="59"/>
    <w:rsid w:val="004D680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6">
    <w:name w:val="l6"/>
    <w:basedOn w:val="DefaultParagraphFont"/>
    <w:rsid w:val="004D6806"/>
  </w:style>
</w:styles>
</file>

<file path=word/webSettings.xml><?xml version="1.0" encoding="utf-8"?>
<w:webSettings xmlns:r="http://schemas.openxmlformats.org/officeDocument/2006/relationships" xmlns:w="http://schemas.openxmlformats.org/wordprocessingml/2006/main">
  <w:divs>
    <w:div w:id="253713252">
      <w:bodyDiv w:val="1"/>
      <w:marLeft w:val="0"/>
      <w:marRight w:val="0"/>
      <w:marTop w:val="0"/>
      <w:marBottom w:val="0"/>
      <w:divBdr>
        <w:top w:val="none" w:sz="0" w:space="0" w:color="auto"/>
        <w:left w:val="none" w:sz="0" w:space="0" w:color="auto"/>
        <w:bottom w:val="none" w:sz="0" w:space="0" w:color="auto"/>
        <w:right w:val="none" w:sz="0" w:space="0" w:color="auto"/>
      </w:divBdr>
    </w:div>
    <w:div w:id="716710336">
      <w:bodyDiv w:val="1"/>
      <w:marLeft w:val="0"/>
      <w:marRight w:val="0"/>
      <w:marTop w:val="0"/>
      <w:marBottom w:val="0"/>
      <w:divBdr>
        <w:top w:val="none" w:sz="0" w:space="0" w:color="auto"/>
        <w:left w:val="none" w:sz="0" w:space="0" w:color="auto"/>
        <w:bottom w:val="none" w:sz="0" w:space="0" w:color="auto"/>
        <w:right w:val="none" w:sz="0" w:space="0" w:color="auto"/>
      </w:divBdr>
    </w:div>
    <w:div w:id="901720817">
      <w:bodyDiv w:val="1"/>
      <w:marLeft w:val="0"/>
      <w:marRight w:val="0"/>
      <w:marTop w:val="0"/>
      <w:marBottom w:val="0"/>
      <w:divBdr>
        <w:top w:val="none" w:sz="0" w:space="0" w:color="auto"/>
        <w:left w:val="none" w:sz="0" w:space="0" w:color="auto"/>
        <w:bottom w:val="none" w:sz="0" w:space="0" w:color="auto"/>
        <w:right w:val="none" w:sz="0" w:space="0" w:color="auto"/>
      </w:divBdr>
      <w:divsChild>
        <w:div w:id="1550454122">
          <w:marLeft w:val="0"/>
          <w:marRight w:val="0"/>
          <w:marTop w:val="0"/>
          <w:marBottom w:val="0"/>
          <w:divBdr>
            <w:top w:val="none" w:sz="0" w:space="0" w:color="auto"/>
            <w:left w:val="none" w:sz="0" w:space="0" w:color="auto"/>
            <w:bottom w:val="none" w:sz="0" w:space="0" w:color="auto"/>
            <w:right w:val="none" w:sz="0" w:space="0" w:color="auto"/>
          </w:divBdr>
          <w:divsChild>
            <w:div w:id="14368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9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chart" Target="charts/chart10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2.xml"/><Relationship Id="rId89" Type="http://schemas.openxmlformats.org/officeDocument/2006/relationships/chart" Target="charts/chart77.xml"/><Relationship Id="rId112" Type="http://schemas.openxmlformats.org/officeDocument/2006/relationships/chart" Target="charts/chart100.xml"/><Relationship Id="rId133" Type="http://schemas.openxmlformats.org/officeDocument/2006/relationships/chart" Target="charts/chart120.xml"/><Relationship Id="rId138" Type="http://schemas.openxmlformats.org/officeDocument/2006/relationships/chart" Target="charts/chart125.xml"/><Relationship Id="rId154" Type="http://schemas.openxmlformats.org/officeDocument/2006/relationships/hyperlink" Target="http://ro.wikipedia.org/wiki/Uniunea_European%C4%83" TargetMode="External"/><Relationship Id="rId159" Type="http://schemas.openxmlformats.org/officeDocument/2006/relationships/chart" Target="charts/chart140.xml"/><Relationship Id="rId175" Type="http://schemas.openxmlformats.org/officeDocument/2006/relationships/chart" Target="charts/chart156.xml"/><Relationship Id="rId170" Type="http://schemas.openxmlformats.org/officeDocument/2006/relationships/chart" Target="charts/chart151.xml"/><Relationship Id="rId16" Type="http://schemas.openxmlformats.org/officeDocument/2006/relationships/chart" Target="charts/chart5.xml"/><Relationship Id="rId107" Type="http://schemas.openxmlformats.org/officeDocument/2006/relationships/chart" Target="charts/chart95.xml"/><Relationship Id="rId11" Type="http://schemas.openxmlformats.org/officeDocument/2006/relationships/footer" Target="footer1.xm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7.xml"/><Relationship Id="rId102" Type="http://schemas.openxmlformats.org/officeDocument/2006/relationships/chart" Target="charts/chart90.xml"/><Relationship Id="rId123" Type="http://schemas.openxmlformats.org/officeDocument/2006/relationships/chart" Target="charts/chart111.xml"/><Relationship Id="rId128" Type="http://schemas.openxmlformats.org/officeDocument/2006/relationships/chart" Target="charts/chart115.xml"/><Relationship Id="rId144" Type="http://schemas.openxmlformats.org/officeDocument/2006/relationships/chart" Target="charts/chart131.xml"/><Relationship Id="rId149" Type="http://schemas.openxmlformats.org/officeDocument/2006/relationships/chart" Target="charts/chart134.xml"/><Relationship Id="rId5" Type="http://schemas.openxmlformats.org/officeDocument/2006/relationships/webSettings" Target="webSettings.xml"/><Relationship Id="rId90" Type="http://schemas.openxmlformats.org/officeDocument/2006/relationships/chart" Target="charts/chart78.xml"/><Relationship Id="rId95" Type="http://schemas.openxmlformats.org/officeDocument/2006/relationships/chart" Target="charts/chart83.xml"/><Relationship Id="rId160" Type="http://schemas.openxmlformats.org/officeDocument/2006/relationships/chart" Target="charts/chart141.xml"/><Relationship Id="rId165" Type="http://schemas.openxmlformats.org/officeDocument/2006/relationships/chart" Target="charts/chart146.xml"/><Relationship Id="rId181" Type="http://schemas.openxmlformats.org/officeDocument/2006/relationships/chart" Target="charts/chart160.xml"/><Relationship Id="rId186" Type="http://schemas.openxmlformats.org/officeDocument/2006/relationships/theme" Target="theme/theme1.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113" Type="http://schemas.openxmlformats.org/officeDocument/2006/relationships/chart" Target="charts/chart101.xml"/><Relationship Id="rId118" Type="http://schemas.openxmlformats.org/officeDocument/2006/relationships/chart" Target="charts/chart106.xml"/><Relationship Id="rId134" Type="http://schemas.openxmlformats.org/officeDocument/2006/relationships/chart" Target="charts/chart121.xml"/><Relationship Id="rId139" Type="http://schemas.openxmlformats.org/officeDocument/2006/relationships/chart" Target="charts/chart126.xml"/><Relationship Id="rId80" Type="http://schemas.openxmlformats.org/officeDocument/2006/relationships/chart" Target="charts/chart68.xml"/><Relationship Id="rId85" Type="http://schemas.openxmlformats.org/officeDocument/2006/relationships/chart" Target="charts/chart73.xml"/><Relationship Id="rId150" Type="http://schemas.openxmlformats.org/officeDocument/2006/relationships/image" Target="media/image4.jpeg"/><Relationship Id="rId155" Type="http://schemas.openxmlformats.org/officeDocument/2006/relationships/hyperlink" Target="http://ro.wikipedia.org/wiki/Comisia_European%C4%83" TargetMode="External"/><Relationship Id="rId171" Type="http://schemas.openxmlformats.org/officeDocument/2006/relationships/chart" Target="charts/chart152.xml"/><Relationship Id="rId176" Type="http://schemas.openxmlformats.org/officeDocument/2006/relationships/chart" Target="charts/chart157.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22.xml"/><Relationship Id="rId38" Type="http://schemas.openxmlformats.org/officeDocument/2006/relationships/chart" Target="charts/chart27.xml"/><Relationship Id="rId59" Type="http://schemas.openxmlformats.org/officeDocument/2006/relationships/chart" Target="charts/chart48.xml"/><Relationship Id="rId103" Type="http://schemas.openxmlformats.org/officeDocument/2006/relationships/chart" Target="charts/chart91.xml"/><Relationship Id="rId108" Type="http://schemas.openxmlformats.org/officeDocument/2006/relationships/chart" Target="charts/chart96.xml"/><Relationship Id="rId124" Type="http://schemas.openxmlformats.org/officeDocument/2006/relationships/hyperlink" Target="http://www.europe-aliens.org/" TargetMode="External"/><Relationship Id="rId129" Type="http://schemas.openxmlformats.org/officeDocument/2006/relationships/chart" Target="charts/chart116.xml"/><Relationship Id="rId54" Type="http://schemas.openxmlformats.org/officeDocument/2006/relationships/chart" Target="charts/chart43.xml"/><Relationship Id="rId70" Type="http://schemas.openxmlformats.org/officeDocument/2006/relationships/chart" Target="charts/chart59.xml"/><Relationship Id="rId75" Type="http://schemas.openxmlformats.org/officeDocument/2006/relationships/footer" Target="footer2.xml"/><Relationship Id="rId91" Type="http://schemas.openxmlformats.org/officeDocument/2006/relationships/chart" Target="charts/chart79.xml"/><Relationship Id="rId96" Type="http://schemas.openxmlformats.org/officeDocument/2006/relationships/chart" Target="charts/chart84.xml"/><Relationship Id="rId140" Type="http://schemas.openxmlformats.org/officeDocument/2006/relationships/chart" Target="charts/chart127.xml"/><Relationship Id="rId145" Type="http://schemas.openxmlformats.org/officeDocument/2006/relationships/chart" Target="charts/chart132.xml"/><Relationship Id="rId161" Type="http://schemas.openxmlformats.org/officeDocument/2006/relationships/chart" Target="charts/chart142.xml"/><Relationship Id="rId166" Type="http://schemas.openxmlformats.org/officeDocument/2006/relationships/chart" Target="charts/chart147.xml"/><Relationship Id="rId182" Type="http://schemas.openxmlformats.org/officeDocument/2006/relationships/chart" Target="charts/chart16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chart" Target="charts/chart38.xml"/><Relationship Id="rId114" Type="http://schemas.openxmlformats.org/officeDocument/2006/relationships/chart" Target="charts/chart102.xml"/><Relationship Id="rId119" Type="http://schemas.openxmlformats.org/officeDocument/2006/relationships/chart" Target="charts/chart107.xml"/><Relationship Id="rId44" Type="http://schemas.openxmlformats.org/officeDocument/2006/relationships/chart" Target="charts/chart33.xml"/><Relationship Id="rId60" Type="http://schemas.openxmlformats.org/officeDocument/2006/relationships/chart" Target="charts/chart49.xml"/><Relationship Id="rId65" Type="http://schemas.openxmlformats.org/officeDocument/2006/relationships/chart" Target="charts/chart54.xml"/><Relationship Id="rId81" Type="http://schemas.openxmlformats.org/officeDocument/2006/relationships/chart" Target="charts/chart69.xml"/><Relationship Id="rId86" Type="http://schemas.openxmlformats.org/officeDocument/2006/relationships/chart" Target="charts/chart74.xml"/><Relationship Id="rId130" Type="http://schemas.openxmlformats.org/officeDocument/2006/relationships/chart" Target="charts/chart117.xml"/><Relationship Id="rId135" Type="http://schemas.openxmlformats.org/officeDocument/2006/relationships/chart" Target="charts/chart122.xml"/><Relationship Id="rId151" Type="http://schemas.openxmlformats.org/officeDocument/2006/relationships/chart" Target="charts/chart135.xml"/><Relationship Id="rId156" Type="http://schemas.openxmlformats.org/officeDocument/2006/relationships/chart" Target="charts/chart137.xml"/><Relationship Id="rId177" Type="http://schemas.openxmlformats.org/officeDocument/2006/relationships/chart" Target="charts/chart158.xml"/><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chart" Target="charts/chart153.xml"/><Relationship Id="rId180" Type="http://schemas.openxmlformats.org/officeDocument/2006/relationships/footer" Target="footer4.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chart" Target="charts/chart97.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4.xml"/><Relationship Id="rId97" Type="http://schemas.openxmlformats.org/officeDocument/2006/relationships/chart" Target="charts/chart85.xml"/><Relationship Id="rId104" Type="http://schemas.openxmlformats.org/officeDocument/2006/relationships/chart" Target="charts/chart92.xml"/><Relationship Id="rId120" Type="http://schemas.openxmlformats.org/officeDocument/2006/relationships/chart" Target="charts/chart108.xml"/><Relationship Id="rId125" Type="http://schemas.openxmlformats.org/officeDocument/2006/relationships/chart" Target="charts/chart112.xml"/><Relationship Id="rId141" Type="http://schemas.openxmlformats.org/officeDocument/2006/relationships/chart" Target="charts/chart128.xml"/><Relationship Id="rId146" Type="http://schemas.openxmlformats.org/officeDocument/2006/relationships/chart" Target="charts/chart133.xml"/><Relationship Id="rId167" Type="http://schemas.openxmlformats.org/officeDocument/2006/relationships/chart" Target="charts/chart148.xml"/><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chart" Target="charts/chart80.xml"/><Relationship Id="rId162" Type="http://schemas.openxmlformats.org/officeDocument/2006/relationships/chart" Target="charts/chart143.xml"/><Relationship Id="rId183" Type="http://schemas.openxmlformats.org/officeDocument/2006/relationships/chart" Target="charts/chart162.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5.xml"/><Relationship Id="rId110" Type="http://schemas.openxmlformats.org/officeDocument/2006/relationships/chart" Target="charts/chart98.xml"/><Relationship Id="rId115" Type="http://schemas.openxmlformats.org/officeDocument/2006/relationships/chart" Target="charts/chart103.xml"/><Relationship Id="rId131" Type="http://schemas.openxmlformats.org/officeDocument/2006/relationships/chart" Target="charts/chart118.xml"/><Relationship Id="rId136" Type="http://schemas.openxmlformats.org/officeDocument/2006/relationships/chart" Target="charts/chart123.xml"/><Relationship Id="rId157" Type="http://schemas.openxmlformats.org/officeDocument/2006/relationships/chart" Target="charts/chart138.xml"/><Relationship Id="rId178" Type="http://schemas.openxmlformats.org/officeDocument/2006/relationships/chart" Target="charts/chart159.xml"/><Relationship Id="rId61" Type="http://schemas.openxmlformats.org/officeDocument/2006/relationships/chart" Target="charts/chart50.xml"/><Relationship Id="rId82" Type="http://schemas.openxmlformats.org/officeDocument/2006/relationships/chart" Target="charts/chart70.xml"/><Relationship Id="rId152" Type="http://schemas.openxmlformats.org/officeDocument/2006/relationships/chart" Target="charts/chart136.xml"/><Relationship Id="rId173" Type="http://schemas.openxmlformats.org/officeDocument/2006/relationships/chart" Target="charts/chart154.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5.xml"/><Relationship Id="rId100" Type="http://schemas.openxmlformats.org/officeDocument/2006/relationships/chart" Target="charts/chart88.xml"/><Relationship Id="rId105" Type="http://schemas.openxmlformats.org/officeDocument/2006/relationships/chart" Target="charts/chart93.xml"/><Relationship Id="rId126" Type="http://schemas.openxmlformats.org/officeDocument/2006/relationships/chart" Target="charts/chart113.xml"/><Relationship Id="rId147" Type="http://schemas.openxmlformats.org/officeDocument/2006/relationships/image" Target="media/image3.jpeg"/><Relationship Id="rId168" Type="http://schemas.openxmlformats.org/officeDocument/2006/relationships/chart" Target="charts/chart149.xml"/><Relationship Id="rId8" Type="http://schemas.openxmlformats.org/officeDocument/2006/relationships/image" Target="media/image1.wmf"/><Relationship Id="rId51" Type="http://schemas.openxmlformats.org/officeDocument/2006/relationships/chart" Target="charts/chart40.xml"/><Relationship Id="rId72" Type="http://schemas.openxmlformats.org/officeDocument/2006/relationships/chart" Target="charts/chart61.xml"/><Relationship Id="rId93" Type="http://schemas.openxmlformats.org/officeDocument/2006/relationships/chart" Target="charts/chart81.xml"/><Relationship Id="rId98" Type="http://schemas.openxmlformats.org/officeDocument/2006/relationships/chart" Target="charts/chart86.xml"/><Relationship Id="rId121" Type="http://schemas.openxmlformats.org/officeDocument/2006/relationships/chart" Target="charts/chart109.xml"/><Relationship Id="rId142" Type="http://schemas.openxmlformats.org/officeDocument/2006/relationships/chart" Target="charts/chart129.xml"/><Relationship Id="rId163" Type="http://schemas.openxmlformats.org/officeDocument/2006/relationships/chart" Target="charts/chart144.xml"/><Relationship Id="rId184" Type="http://schemas.openxmlformats.org/officeDocument/2006/relationships/chart" Target="charts/chart163.xm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chart" Target="charts/chart35.xml"/><Relationship Id="rId67" Type="http://schemas.openxmlformats.org/officeDocument/2006/relationships/chart" Target="charts/chart56.xml"/><Relationship Id="rId116" Type="http://schemas.openxmlformats.org/officeDocument/2006/relationships/chart" Target="charts/chart104.xml"/><Relationship Id="rId137" Type="http://schemas.openxmlformats.org/officeDocument/2006/relationships/chart" Target="charts/chart124.xml"/><Relationship Id="rId158" Type="http://schemas.openxmlformats.org/officeDocument/2006/relationships/chart" Target="charts/chart139.xml"/><Relationship Id="rId20" Type="http://schemas.openxmlformats.org/officeDocument/2006/relationships/chart" Target="charts/chart9.xml"/><Relationship Id="rId41" Type="http://schemas.openxmlformats.org/officeDocument/2006/relationships/chart" Target="charts/chart30.xml"/><Relationship Id="rId62" Type="http://schemas.openxmlformats.org/officeDocument/2006/relationships/chart" Target="charts/chart51.xml"/><Relationship Id="rId83" Type="http://schemas.openxmlformats.org/officeDocument/2006/relationships/chart" Target="charts/chart71.xml"/><Relationship Id="rId88" Type="http://schemas.openxmlformats.org/officeDocument/2006/relationships/chart" Target="charts/chart76.xml"/><Relationship Id="rId111" Type="http://schemas.openxmlformats.org/officeDocument/2006/relationships/chart" Target="charts/chart99.xml"/><Relationship Id="rId132" Type="http://schemas.openxmlformats.org/officeDocument/2006/relationships/chart" Target="charts/chart119.xml"/><Relationship Id="rId153" Type="http://schemas.openxmlformats.org/officeDocument/2006/relationships/hyperlink" Target="http://ec.europa.eu/environment/noise/greenpap.htm" TargetMode="External"/><Relationship Id="rId174" Type="http://schemas.openxmlformats.org/officeDocument/2006/relationships/chart" Target="charts/chart155.xml"/><Relationship Id="rId179" Type="http://schemas.openxmlformats.org/officeDocument/2006/relationships/footer" Target="footer3.xml"/><Relationship Id="rId15" Type="http://schemas.openxmlformats.org/officeDocument/2006/relationships/chart" Target="charts/chart4.xml"/><Relationship Id="rId36" Type="http://schemas.openxmlformats.org/officeDocument/2006/relationships/chart" Target="charts/chart25.xml"/><Relationship Id="rId57" Type="http://schemas.openxmlformats.org/officeDocument/2006/relationships/chart" Target="charts/chart46.xml"/><Relationship Id="rId106" Type="http://schemas.openxmlformats.org/officeDocument/2006/relationships/chart" Target="charts/chart94.xml"/><Relationship Id="rId127" Type="http://schemas.openxmlformats.org/officeDocument/2006/relationships/chart" Target="charts/chart114.xml"/><Relationship Id="rId10" Type="http://schemas.openxmlformats.org/officeDocument/2006/relationships/image" Target="media/image2.emf"/><Relationship Id="rId31" Type="http://schemas.openxmlformats.org/officeDocument/2006/relationships/chart" Target="charts/chart20.xml"/><Relationship Id="rId52" Type="http://schemas.openxmlformats.org/officeDocument/2006/relationships/chart" Target="charts/chart41.xml"/><Relationship Id="rId73" Type="http://schemas.openxmlformats.org/officeDocument/2006/relationships/chart" Target="charts/chart62.xml"/><Relationship Id="rId78" Type="http://schemas.openxmlformats.org/officeDocument/2006/relationships/chart" Target="charts/chart66.xml"/><Relationship Id="rId94" Type="http://schemas.openxmlformats.org/officeDocument/2006/relationships/chart" Target="charts/chart82.xml"/><Relationship Id="rId99" Type="http://schemas.openxmlformats.org/officeDocument/2006/relationships/chart" Target="charts/chart87.xml"/><Relationship Id="rId101" Type="http://schemas.openxmlformats.org/officeDocument/2006/relationships/chart" Target="charts/chart89.xml"/><Relationship Id="rId122" Type="http://schemas.openxmlformats.org/officeDocument/2006/relationships/chart" Target="charts/chart110.xml"/><Relationship Id="rId143" Type="http://schemas.openxmlformats.org/officeDocument/2006/relationships/chart" Target="charts/chart130.xml"/><Relationship Id="rId148" Type="http://schemas.openxmlformats.org/officeDocument/2006/relationships/image" Target="file:///D:\Documente\Viorica_D\STAREA%20MEDIULUI\SM%202006\Depozit%20Cord_16%20feb%202007\DSC06609.JPG" TargetMode="External"/><Relationship Id="rId164" Type="http://schemas.openxmlformats.org/officeDocument/2006/relationships/chart" Target="charts/chart145.xml"/><Relationship Id="rId169" Type="http://schemas.openxmlformats.org/officeDocument/2006/relationships/chart" Target="charts/chart150.xml"/><Relationship Id="rId18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RAP%20BZ_1%20AN%202014\SO2%202014%20DATE%20ORARE%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PM10-2014\PM10%20Rm.%20S&#259;rat-2014.xls" TargetMode="Externa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9.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0.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1.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2.xml"/></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13.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14.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15.xml"/></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11.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16.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17.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18.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19.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31.xlsx"/><Relationship Id="rId1" Type="http://schemas.openxmlformats.org/officeDocument/2006/relationships/themeOverride" Target="../theme/themeOverride20.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themeOverride" Target="../theme/themeOverride21.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22.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23.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themeOverride" Target="../theme/themeOverride24.xml"/></Relationships>
</file>

<file path=word/charts/_rels/chart12.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themeOverride" Target="../theme/themeOverride25.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themeOverride" Target="../theme/themeOverride26.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Office_Excel_Worksheet38.xlsx"/><Relationship Id="rId1" Type="http://schemas.openxmlformats.org/officeDocument/2006/relationships/themeOverride" Target="../theme/themeOverride27.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themeOverride" Target="../theme/themeOverride28.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Office_Excel_Worksheet40.xlsx"/><Relationship Id="rId1" Type="http://schemas.openxmlformats.org/officeDocument/2006/relationships/themeOverride" Target="../theme/themeOverride29.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Office_Excel_Worksheet41.xlsx"/><Relationship Id="rId1" Type="http://schemas.openxmlformats.org/officeDocument/2006/relationships/themeOverride" Target="../theme/themeOverride30.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Office_Excel_Worksheet42.xlsx"/><Relationship Id="rId1" Type="http://schemas.openxmlformats.org/officeDocument/2006/relationships/themeOverride" Target="../theme/themeOverride31.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Office_Excel_Worksheet43.xlsx"/><Relationship Id="rId1" Type="http://schemas.openxmlformats.org/officeDocument/2006/relationships/themeOverride" Target="../theme/themeOverride32.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33.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Office_Excel_Worksheet45.xlsx"/><Relationship Id="rId1" Type="http://schemas.openxmlformats.org/officeDocument/2006/relationships/themeOverride" Target="../theme/themeOverride34.xml"/></Relationships>
</file>

<file path=word/charts/_rels/chart13.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Office_Excel_Worksheet46.xlsx"/><Relationship Id="rId1" Type="http://schemas.openxmlformats.org/officeDocument/2006/relationships/themeOverride" Target="../theme/themeOverride35.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Office_Excel_Worksheet47.xlsx"/><Relationship Id="rId1" Type="http://schemas.openxmlformats.org/officeDocument/2006/relationships/themeOverride" Target="../theme/themeOverride36.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Office_Excel_Worksheet48.xlsx"/><Relationship Id="rId1" Type="http://schemas.openxmlformats.org/officeDocument/2006/relationships/themeOverride" Target="../theme/themeOverride37.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38.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39.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40.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Office_Excel_Worksheet52.xlsx"/><Relationship Id="rId1" Type="http://schemas.openxmlformats.org/officeDocument/2006/relationships/themeOverride" Target="../theme/themeOverride41.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42.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Office_Excel_Worksheet54.xlsx"/><Relationship Id="rId1" Type="http://schemas.openxmlformats.org/officeDocument/2006/relationships/themeOverride" Target="../theme/themeOverride43.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44.xml"/></Relationships>
</file>

<file path=word/charts/_rels/chart14.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Office_Excel_Worksheet56.xlsx"/><Relationship Id="rId1" Type="http://schemas.openxmlformats.org/officeDocument/2006/relationships/themeOverride" Target="../theme/themeOverride45.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Office_Excel_Worksheet57.xlsx"/><Relationship Id="rId1" Type="http://schemas.openxmlformats.org/officeDocument/2006/relationships/themeOverride" Target="../theme/themeOverride46.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Office_Excel_Worksheet58.xlsx"/><Relationship Id="rId1" Type="http://schemas.openxmlformats.org/officeDocument/2006/relationships/themeOverride" Target="../theme/themeOverride47.xml"/></Relationships>
</file>

<file path=word/charts/_rels/chart143.xml.rels><?xml version="1.0" encoding="UTF-8" standalone="yes"?>
<Relationships xmlns="http://schemas.openxmlformats.org/package/2006/relationships"><Relationship Id="rId2" Type="http://schemas.openxmlformats.org/officeDocument/2006/relationships/oleObject" Target="file:///D:\MONITORING\STAREA%20MEDIULUI\Starea%20mediului%202015\Starea%20mediului%20cap%20II%20apa%20final\Grafice%20starea%20mediului%202014%20cap%20apa.xlsx" TargetMode="External"/><Relationship Id="rId1" Type="http://schemas.openxmlformats.org/officeDocument/2006/relationships/themeOverride" Target="../theme/themeOverride48.xml"/></Relationships>
</file>

<file path=word/charts/_rels/chart144.xml.rels><?xml version="1.0" encoding="UTF-8" standalone="yes"?>
<Relationships xmlns="http://schemas.openxmlformats.org/package/2006/relationships"><Relationship Id="rId2" Type="http://schemas.openxmlformats.org/officeDocument/2006/relationships/oleObject" Target="file:///D:\MONITORING\STAREA%20MEDIULUI\Starea%20mediului%202015\Starea%20mediului%20cap%20II%20apa%20final\Grafice%20starea%20mediului%202014%20cap%20apa.xlsx" TargetMode="External"/><Relationship Id="rId1" Type="http://schemas.openxmlformats.org/officeDocument/2006/relationships/themeOverride" Target="../theme/themeOverride49.xml"/></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Office_Excel_Worksheet59.xlsx"/></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Office_Excel_Worksheet60.xlsx"/><Relationship Id="rId1" Type="http://schemas.openxmlformats.org/officeDocument/2006/relationships/image" Target="../media/image5.jpeg"/></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Office_Excel_Worksheet61.xlsx"/><Relationship Id="rId1" Type="http://schemas.openxmlformats.org/officeDocument/2006/relationships/image" Target="../media/image5.jpeg"/></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Office_Excel_Worksheet62.xlsx"/><Relationship Id="rId1" Type="http://schemas.openxmlformats.org/officeDocument/2006/relationships/image" Target="../media/image5.jpeg"/></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Office_Excel_Worksheet63.xlsx"/><Relationship Id="rId1" Type="http://schemas.openxmlformats.org/officeDocument/2006/relationships/image" Target="../media/image5.jpeg"/></Relationships>
</file>

<file path=word/charts/_rels/chart15.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image" Target="../media/image5.jpeg"/></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image" Target="../media/image5.jpeg"/></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image" Target="../media/image5.jpeg"/></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Office_Excel_Worksheet67.xlsx"/><Relationship Id="rId1" Type="http://schemas.openxmlformats.org/officeDocument/2006/relationships/image" Target="../media/image5.jpeg"/></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Office_Excel_Worksheet68.xlsx"/><Relationship Id="rId1" Type="http://schemas.openxmlformats.org/officeDocument/2006/relationships/image" Target="../media/image5.jpeg"/></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Office_Excel_Worksheet69.xlsx"/><Relationship Id="rId1" Type="http://schemas.openxmlformats.org/officeDocument/2006/relationships/image" Target="../media/image5.jpeg"/></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Office_Excel_Worksheet70.xlsx"/><Relationship Id="rId1" Type="http://schemas.openxmlformats.org/officeDocument/2006/relationships/image" Target="../media/image5.jpeg"/></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Office_Excel_Worksheet71.xlsx"/><Relationship Id="rId1" Type="http://schemas.openxmlformats.org/officeDocument/2006/relationships/image" Target="../media/image5.jpeg"/></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Office_Excel_Worksheet72.xlsx"/><Relationship Id="rId1" Type="http://schemas.openxmlformats.org/officeDocument/2006/relationships/image" Target="../media/image5.jpeg"/></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Office_Excel_Worksheet73.xlsx"/><Relationship Id="rId1" Type="http://schemas.openxmlformats.org/officeDocument/2006/relationships/image" Target="../media/image5.jpeg"/></Relationships>
</file>

<file path=word/charts/_rels/chart16.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Office_Excel_Worksheet74.xlsx"/><Relationship Id="rId1" Type="http://schemas.openxmlformats.org/officeDocument/2006/relationships/themeOverride" Target="../theme/themeOverride50.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51.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Microsoft_Office_Excel_Worksheet76.xlsx"/><Relationship Id="rId1" Type="http://schemas.openxmlformats.org/officeDocument/2006/relationships/themeOverride" Target="../theme/themeOverride52.xml"/></Relationships>
</file>

<file path=word/charts/_rels/chart163.xml.rels><?xml version="1.0" encoding="UTF-8" standalone="yes"?>
<Relationships xmlns="http://schemas.openxmlformats.org/package/2006/relationships"><Relationship Id="rId2" Type="http://schemas.openxmlformats.org/officeDocument/2006/relationships/oleObject" Target="file:///D:\DOCUMENTE\STAREA%20MEDIULUI\2014\CONTRIBUTII\SAAA\SAAA.xlsx" TargetMode="External"/><Relationship Id="rId1" Type="http://schemas.openxmlformats.org/officeDocument/2006/relationships/themeOverride" Target="../theme/themeOverride53.xml"/></Relationships>
</file>

<file path=word/charts/_rels/chart17.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ENERGIE%2020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ENERGIE%20201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RAP%20BZ_1%20AN%202014\SO2%202014%20DATE%20ZILNICE.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ENERGIE%2020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ENERGIE%2020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ENERGIE%2020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My%20Documents\STAREA%20MEDIULUI%20-%20RAPORTARE\STAREA%20MEDIULUI%202014\RAP%20BZ_1%20AN%202014\PM10%202014%20ZILNIC.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INDUSTRIE%20201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TRANSPORT%20201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TRANSPORT%20201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TRANSPORT%20201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EMISII%20TRANSPORT%20201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DOCUMENTE\STAREA%20MEDIULUI\2014\AER%20OANA\DATE%20AGRICULTUR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DOCUMENTE\STAREA%20MEDIULUI\2014\AER%20OANA\DATE%20AGRICULTUR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PM10-2014\PM10%20Rm.%20S&#259;rat-2014.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DOCUMENTE\STAREA%20MEDIULUI\2014\AER%20OANA\DATE%20AGRICULTUR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RAP%20BZ_1%20AN%202014\CO_GLISANTE_2014.xls"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RAP%20BZ_1%20AN%202014\O3_GLISANTE_2014.xls"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DOCUMENTE\STAREA%20MEDIULUI\2014\AER%20OANA\EMISII%20STAREA%20MED%202014\TENDINTE%20EMISII%20TOTALE.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bogdan.sturzu.NEPA\Desktop\Starea%20mediului%20cap%20II%20apa%20final\Grafice%20starea%20mediului%202014%20cap%20apa.xlsx" TargetMode="External"/></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1.xml"/></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9.xml.rels><?xml version="1.0" encoding="UTF-8" standalone="yes"?>
<Relationships xmlns="http://schemas.openxmlformats.org/package/2006/relationships"><Relationship Id="rId1" Type="http://schemas.openxmlformats.org/officeDocument/2006/relationships/oleObject" Target="file:///D:\My%20Documents\STAREA%20MEDIULUI%20-%20RAPORTARE\STAREA%20MEDIULUI%202014\grafice.xlsx" TargetMode="Externa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2.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3.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4.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5.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6.xml"/></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7.xml"/></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b="1" i="0" u="none" strike="noStrike" baseline="0">
                <a:solidFill>
                  <a:srgbClr val="000000"/>
                </a:solidFill>
                <a:latin typeface="Arial"/>
                <a:ea typeface="Arial"/>
                <a:cs typeface="Arial"/>
              </a:defRPr>
            </a:pPr>
            <a:endParaRPr lang="ro-RO"/>
          </a:p>
          <a:p>
            <a:pPr>
              <a:defRPr sz="1100" b="1" i="0" u="none" strike="noStrike" baseline="0">
                <a:solidFill>
                  <a:srgbClr val="000000"/>
                </a:solidFill>
                <a:latin typeface="Arial"/>
                <a:ea typeface="Arial"/>
                <a:cs typeface="Arial"/>
              </a:defRPr>
            </a:pPr>
            <a:endParaRPr lang="ro-RO"/>
          </a:p>
        </c:rich>
      </c:tx>
      <c:layout>
        <c:manualLayout>
          <c:xMode val="edge"/>
          <c:yMode val="edge"/>
          <c:x val="0.49948293691830725"/>
          <c:y val="5.0847457627119031E-3"/>
        </c:manualLayout>
      </c:layout>
      <c:spPr>
        <a:noFill/>
        <a:ln w="25400">
          <a:noFill/>
        </a:ln>
      </c:spPr>
    </c:title>
    <c:plotArea>
      <c:layout>
        <c:manualLayout>
          <c:layoutTarget val="inner"/>
          <c:xMode val="edge"/>
          <c:yMode val="edge"/>
          <c:x val="8.5832471561530566E-2"/>
          <c:y val="0.17627118644067796"/>
          <c:w val="0.91209927611169184"/>
          <c:h val="0.59661016949152457"/>
        </c:manualLayout>
      </c:layout>
      <c:lineChart>
        <c:grouping val="standard"/>
        <c:ser>
          <c:idx val="0"/>
          <c:order val="0"/>
          <c:tx>
            <c:strRef>
              <c:f>Data!$B$1</c:f>
              <c:strCache>
                <c:ptCount val="1"/>
                <c:pt idx="0">
                  <c:v>SO2 (ug/m3)  - </c:v>
                </c:pt>
              </c:strCache>
            </c:strRef>
          </c:tx>
          <c:spPr>
            <a:ln w="25400">
              <a:solidFill>
                <a:srgbClr val="008000"/>
              </a:solidFill>
              <a:prstDash val="solid"/>
            </a:ln>
          </c:spPr>
          <c:marker>
            <c:symbol val="none"/>
          </c:marker>
          <c:cat>
            <c:strRef>
              <c:f>Data!$A$2:$A$8761</c:f>
              <c:strCache>
                <c:ptCount val="8760"/>
                <c:pt idx="0">
                  <c:v>01 Jan 2014</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2014</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2014</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2014</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2014</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2014</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2014</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2014</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2014</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2014</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2014</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2014</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2014</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2014</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2014</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2014</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2014</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2014</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2014</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2014</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2014</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2014</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2014</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2014</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2014</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2014</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2014</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2014</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2014</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2014</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pt idx="720">
                  <c:v>31 Jan 2014</c:v>
                </c:pt>
                <c:pt idx="721">
                  <c:v> 2 </c:v>
                </c:pt>
                <c:pt idx="722">
                  <c:v> 3 </c:v>
                </c:pt>
                <c:pt idx="723">
                  <c:v> 4 </c:v>
                </c:pt>
                <c:pt idx="724">
                  <c:v> 5 </c:v>
                </c:pt>
                <c:pt idx="725">
                  <c:v> 6 </c:v>
                </c:pt>
                <c:pt idx="726">
                  <c:v> 7 </c:v>
                </c:pt>
                <c:pt idx="727">
                  <c:v> 8 </c:v>
                </c:pt>
                <c:pt idx="728">
                  <c:v> 9 </c:v>
                </c:pt>
                <c:pt idx="729">
                  <c:v> 10 </c:v>
                </c:pt>
                <c:pt idx="730">
                  <c:v> 11 </c:v>
                </c:pt>
                <c:pt idx="731">
                  <c:v> 12 </c:v>
                </c:pt>
                <c:pt idx="732">
                  <c:v> 13 </c:v>
                </c:pt>
                <c:pt idx="733">
                  <c:v> 14 </c:v>
                </c:pt>
                <c:pt idx="734">
                  <c:v> 15 </c:v>
                </c:pt>
                <c:pt idx="735">
                  <c:v> 16 </c:v>
                </c:pt>
                <c:pt idx="736">
                  <c:v> 17 </c:v>
                </c:pt>
                <c:pt idx="737">
                  <c:v> 18 </c:v>
                </c:pt>
                <c:pt idx="738">
                  <c:v> 19 </c:v>
                </c:pt>
                <c:pt idx="739">
                  <c:v> 20 </c:v>
                </c:pt>
                <c:pt idx="740">
                  <c:v> 21 </c:v>
                </c:pt>
                <c:pt idx="741">
                  <c:v> 22 </c:v>
                </c:pt>
                <c:pt idx="742">
                  <c:v> 23 </c:v>
                </c:pt>
                <c:pt idx="743">
                  <c:v> 24 </c:v>
                </c:pt>
                <c:pt idx="744">
                  <c:v>01 Feb 2014</c:v>
                </c:pt>
                <c:pt idx="745">
                  <c:v> 2 </c:v>
                </c:pt>
                <c:pt idx="746">
                  <c:v> 3 </c:v>
                </c:pt>
                <c:pt idx="747">
                  <c:v> 4 </c:v>
                </c:pt>
                <c:pt idx="748">
                  <c:v> 5 </c:v>
                </c:pt>
                <c:pt idx="749">
                  <c:v> 6 </c:v>
                </c:pt>
                <c:pt idx="750">
                  <c:v> 7 </c:v>
                </c:pt>
                <c:pt idx="751">
                  <c:v> 8 </c:v>
                </c:pt>
                <c:pt idx="752">
                  <c:v> 9 </c:v>
                </c:pt>
                <c:pt idx="753">
                  <c:v> 10 </c:v>
                </c:pt>
                <c:pt idx="754">
                  <c:v> 11 </c:v>
                </c:pt>
                <c:pt idx="755">
                  <c:v> 12 </c:v>
                </c:pt>
                <c:pt idx="756">
                  <c:v> 13 </c:v>
                </c:pt>
                <c:pt idx="757">
                  <c:v> 14 </c:v>
                </c:pt>
                <c:pt idx="758">
                  <c:v> 15 </c:v>
                </c:pt>
                <c:pt idx="759">
                  <c:v> 16 </c:v>
                </c:pt>
                <c:pt idx="760">
                  <c:v> 17 </c:v>
                </c:pt>
                <c:pt idx="761">
                  <c:v> 18 </c:v>
                </c:pt>
                <c:pt idx="762">
                  <c:v> 19 </c:v>
                </c:pt>
                <c:pt idx="763">
                  <c:v> 20 </c:v>
                </c:pt>
                <c:pt idx="764">
                  <c:v> 21 </c:v>
                </c:pt>
                <c:pt idx="765">
                  <c:v> 22 </c:v>
                </c:pt>
                <c:pt idx="766">
                  <c:v> 23 </c:v>
                </c:pt>
                <c:pt idx="767">
                  <c:v> 24 </c:v>
                </c:pt>
                <c:pt idx="768">
                  <c:v>02 Feb 2014</c:v>
                </c:pt>
                <c:pt idx="769">
                  <c:v> 2 </c:v>
                </c:pt>
                <c:pt idx="770">
                  <c:v> 3 </c:v>
                </c:pt>
                <c:pt idx="771">
                  <c:v> 4 </c:v>
                </c:pt>
                <c:pt idx="772">
                  <c:v> 5 </c:v>
                </c:pt>
                <c:pt idx="773">
                  <c:v> 6 </c:v>
                </c:pt>
                <c:pt idx="774">
                  <c:v> 7 </c:v>
                </c:pt>
                <c:pt idx="775">
                  <c:v> 8 </c:v>
                </c:pt>
                <c:pt idx="776">
                  <c:v> 9 </c:v>
                </c:pt>
                <c:pt idx="777">
                  <c:v> 10 </c:v>
                </c:pt>
                <c:pt idx="778">
                  <c:v> 11 </c:v>
                </c:pt>
                <c:pt idx="779">
                  <c:v> 12 </c:v>
                </c:pt>
                <c:pt idx="780">
                  <c:v> 13 </c:v>
                </c:pt>
                <c:pt idx="781">
                  <c:v> 14 </c:v>
                </c:pt>
                <c:pt idx="782">
                  <c:v> 15 </c:v>
                </c:pt>
                <c:pt idx="783">
                  <c:v> 16 </c:v>
                </c:pt>
                <c:pt idx="784">
                  <c:v> 17 </c:v>
                </c:pt>
                <c:pt idx="785">
                  <c:v> 18 </c:v>
                </c:pt>
                <c:pt idx="786">
                  <c:v> 19 </c:v>
                </c:pt>
                <c:pt idx="787">
                  <c:v> 20 </c:v>
                </c:pt>
                <c:pt idx="788">
                  <c:v> 21 </c:v>
                </c:pt>
                <c:pt idx="789">
                  <c:v> 22 </c:v>
                </c:pt>
                <c:pt idx="790">
                  <c:v> 23 </c:v>
                </c:pt>
                <c:pt idx="791">
                  <c:v> 24 </c:v>
                </c:pt>
                <c:pt idx="792">
                  <c:v>03 Feb 2014</c:v>
                </c:pt>
                <c:pt idx="793">
                  <c:v> 2 </c:v>
                </c:pt>
                <c:pt idx="794">
                  <c:v> 3 </c:v>
                </c:pt>
                <c:pt idx="795">
                  <c:v> 4 </c:v>
                </c:pt>
                <c:pt idx="796">
                  <c:v> 5 </c:v>
                </c:pt>
                <c:pt idx="797">
                  <c:v> 6 </c:v>
                </c:pt>
                <c:pt idx="798">
                  <c:v> 7 </c:v>
                </c:pt>
                <c:pt idx="799">
                  <c:v> 8 </c:v>
                </c:pt>
                <c:pt idx="800">
                  <c:v> 9 </c:v>
                </c:pt>
                <c:pt idx="801">
                  <c:v> 10 </c:v>
                </c:pt>
                <c:pt idx="802">
                  <c:v> 11 </c:v>
                </c:pt>
                <c:pt idx="803">
                  <c:v> 12 </c:v>
                </c:pt>
                <c:pt idx="804">
                  <c:v> 13 </c:v>
                </c:pt>
                <c:pt idx="805">
                  <c:v> 14 </c:v>
                </c:pt>
                <c:pt idx="806">
                  <c:v> 15 </c:v>
                </c:pt>
                <c:pt idx="807">
                  <c:v> 16 </c:v>
                </c:pt>
                <c:pt idx="808">
                  <c:v> 17 </c:v>
                </c:pt>
                <c:pt idx="809">
                  <c:v> 18 </c:v>
                </c:pt>
                <c:pt idx="810">
                  <c:v> 19 </c:v>
                </c:pt>
                <c:pt idx="811">
                  <c:v> 20 </c:v>
                </c:pt>
                <c:pt idx="812">
                  <c:v> 21 </c:v>
                </c:pt>
                <c:pt idx="813">
                  <c:v> 22 </c:v>
                </c:pt>
                <c:pt idx="814">
                  <c:v> 23 </c:v>
                </c:pt>
                <c:pt idx="815">
                  <c:v> 24 </c:v>
                </c:pt>
                <c:pt idx="816">
                  <c:v>04 Feb 2014</c:v>
                </c:pt>
                <c:pt idx="817">
                  <c:v> 2 </c:v>
                </c:pt>
                <c:pt idx="818">
                  <c:v> 3 </c:v>
                </c:pt>
                <c:pt idx="819">
                  <c:v> 4 </c:v>
                </c:pt>
                <c:pt idx="820">
                  <c:v> 5 </c:v>
                </c:pt>
                <c:pt idx="821">
                  <c:v> 6 </c:v>
                </c:pt>
                <c:pt idx="822">
                  <c:v> 7 </c:v>
                </c:pt>
                <c:pt idx="823">
                  <c:v> 8 </c:v>
                </c:pt>
                <c:pt idx="824">
                  <c:v> 9 </c:v>
                </c:pt>
                <c:pt idx="825">
                  <c:v> 10 </c:v>
                </c:pt>
                <c:pt idx="826">
                  <c:v> 11 </c:v>
                </c:pt>
                <c:pt idx="827">
                  <c:v> 12 </c:v>
                </c:pt>
                <c:pt idx="828">
                  <c:v> 13 </c:v>
                </c:pt>
                <c:pt idx="829">
                  <c:v> 14 </c:v>
                </c:pt>
                <c:pt idx="830">
                  <c:v> 15 </c:v>
                </c:pt>
                <c:pt idx="831">
                  <c:v> 16 </c:v>
                </c:pt>
                <c:pt idx="832">
                  <c:v> 17 </c:v>
                </c:pt>
                <c:pt idx="833">
                  <c:v> 18 </c:v>
                </c:pt>
                <c:pt idx="834">
                  <c:v> 19 </c:v>
                </c:pt>
                <c:pt idx="835">
                  <c:v> 20 </c:v>
                </c:pt>
                <c:pt idx="836">
                  <c:v> 21 </c:v>
                </c:pt>
                <c:pt idx="837">
                  <c:v> 22 </c:v>
                </c:pt>
                <c:pt idx="838">
                  <c:v> 23 </c:v>
                </c:pt>
                <c:pt idx="839">
                  <c:v> 24 </c:v>
                </c:pt>
                <c:pt idx="840">
                  <c:v>05 Feb 2014</c:v>
                </c:pt>
                <c:pt idx="841">
                  <c:v> 2 </c:v>
                </c:pt>
                <c:pt idx="842">
                  <c:v> 3 </c:v>
                </c:pt>
                <c:pt idx="843">
                  <c:v> 4 </c:v>
                </c:pt>
                <c:pt idx="844">
                  <c:v> 5 </c:v>
                </c:pt>
                <c:pt idx="845">
                  <c:v> 6 </c:v>
                </c:pt>
                <c:pt idx="846">
                  <c:v> 7 </c:v>
                </c:pt>
                <c:pt idx="847">
                  <c:v> 8 </c:v>
                </c:pt>
                <c:pt idx="848">
                  <c:v> 9 </c:v>
                </c:pt>
                <c:pt idx="849">
                  <c:v> 10 </c:v>
                </c:pt>
                <c:pt idx="850">
                  <c:v> 11 </c:v>
                </c:pt>
                <c:pt idx="851">
                  <c:v> 12 </c:v>
                </c:pt>
                <c:pt idx="852">
                  <c:v> 13 </c:v>
                </c:pt>
                <c:pt idx="853">
                  <c:v> 14 </c:v>
                </c:pt>
                <c:pt idx="854">
                  <c:v> 15 </c:v>
                </c:pt>
                <c:pt idx="855">
                  <c:v> 16 </c:v>
                </c:pt>
                <c:pt idx="856">
                  <c:v> 17 </c:v>
                </c:pt>
                <c:pt idx="857">
                  <c:v> 18 </c:v>
                </c:pt>
                <c:pt idx="858">
                  <c:v> 19 </c:v>
                </c:pt>
                <c:pt idx="859">
                  <c:v> 20 </c:v>
                </c:pt>
                <c:pt idx="860">
                  <c:v> 21 </c:v>
                </c:pt>
                <c:pt idx="861">
                  <c:v> 22 </c:v>
                </c:pt>
                <c:pt idx="862">
                  <c:v> 23 </c:v>
                </c:pt>
                <c:pt idx="863">
                  <c:v> 24 </c:v>
                </c:pt>
                <c:pt idx="864">
                  <c:v>06 Feb 2014</c:v>
                </c:pt>
                <c:pt idx="865">
                  <c:v> 2 </c:v>
                </c:pt>
                <c:pt idx="866">
                  <c:v> 3 </c:v>
                </c:pt>
                <c:pt idx="867">
                  <c:v> 4 </c:v>
                </c:pt>
                <c:pt idx="868">
                  <c:v> 5 </c:v>
                </c:pt>
                <c:pt idx="869">
                  <c:v> 6 </c:v>
                </c:pt>
                <c:pt idx="870">
                  <c:v> 7 </c:v>
                </c:pt>
                <c:pt idx="871">
                  <c:v> 8 </c:v>
                </c:pt>
                <c:pt idx="872">
                  <c:v> 9 </c:v>
                </c:pt>
                <c:pt idx="873">
                  <c:v> 10 </c:v>
                </c:pt>
                <c:pt idx="874">
                  <c:v> 11 </c:v>
                </c:pt>
                <c:pt idx="875">
                  <c:v> 12 </c:v>
                </c:pt>
                <c:pt idx="876">
                  <c:v> 13 </c:v>
                </c:pt>
                <c:pt idx="877">
                  <c:v> 14 </c:v>
                </c:pt>
                <c:pt idx="878">
                  <c:v> 15 </c:v>
                </c:pt>
                <c:pt idx="879">
                  <c:v> 16 </c:v>
                </c:pt>
                <c:pt idx="880">
                  <c:v> 17 </c:v>
                </c:pt>
                <c:pt idx="881">
                  <c:v> 18 </c:v>
                </c:pt>
                <c:pt idx="882">
                  <c:v> 19 </c:v>
                </c:pt>
                <c:pt idx="883">
                  <c:v> 20 </c:v>
                </c:pt>
                <c:pt idx="884">
                  <c:v> 21 </c:v>
                </c:pt>
                <c:pt idx="885">
                  <c:v> 22 </c:v>
                </c:pt>
                <c:pt idx="886">
                  <c:v> 23 </c:v>
                </c:pt>
                <c:pt idx="887">
                  <c:v> 24 </c:v>
                </c:pt>
                <c:pt idx="888">
                  <c:v>07 Feb 2014</c:v>
                </c:pt>
                <c:pt idx="889">
                  <c:v> 2 </c:v>
                </c:pt>
                <c:pt idx="890">
                  <c:v> 3 </c:v>
                </c:pt>
                <c:pt idx="891">
                  <c:v> 4 </c:v>
                </c:pt>
                <c:pt idx="892">
                  <c:v> 5 </c:v>
                </c:pt>
                <c:pt idx="893">
                  <c:v> 6 </c:v>
                </c:pt>
                <c:pt idx="894">
                  <c:v> 7 </c:v>
                </c:pt>
                <c:pt idx="895">
                  <c:v> 8 </c:v>
                </c:pt>
                <c:pt idx="896">
                  <c:v> 9 </c:v>
                </c:pt>
                <c:pt idx="897">
                  <c:v> 10 </c:v>
                </c:pt>
                <c:pt idx="898">
                  <c:v> 11 </c:v>
                </c:pt>
                <c:pt idx="899">
                  <c:v> 12 </c:v>
                </c:pt>
                <c:pt idx="900">
                  <c:v> 13 </c:v>
                </c:pt>
                <c:pt idx="901">
                  <c:v> 14 </c:v>
                </c:pt>
                <c:pt idx="902">
                  <c:v> 15 </c:v>
                </c:pt>
                <c:pt idx="903">
                  <c:v> 16 </c:v>
                </c:pt>
                <c:pt idx="904">
                  <c:v> 17 </c:v>
                </c:pt>
                <c:pt idx="905">
                  <c:v> 18 </c:v>
                </c:pt>
                <c:pt idx="906">
                  <c:v> 19 </c:v>
                </c:pt>
                <c:pt idx="907">
                  <c:v> 20 </c:v>
                </c:pt>
                <c:pt idx="908">
                  <c:v> 21 </c:v>
                </c:pt>
                <c:pt idx="909">
                  <c:v> 22 </c:v>
                </c:pt>
                <c:pt idx="910">
                  <c:v> 23 </c:v>
                </c:pt>
                <c:pt idx="911">
                  <c:v> 24 </c:v>
                </c:pt>
                <c:pt idx="912">
                  <c:v>08 Feb 2014</c:v>
                </c:pt>
                <c:pt idx="913">
                  <c:v> 2 </c:v>
                </c:pt>
                <c:pt idx="914">
                  <c:v> 3 </c:v>
                </c:pt>
                <c:pt idx="915">
                  <c:v> 4 </c:v>
                </c:pt>
                <c:pt idx="916">
                  <c:v> 5 </c:v>
                </c:pt>
                <c:pt idx="917">
                  <c:v> 6 </c:v>
                </c:pt>
                <c:pt idx="918">
                  <c:v> 7 </c:v>
                </c:pt>
                <c:pt idx="919">
                  <c:v> 8 </c:v>
                </c:pt>
                <c:pt idx="920">
                  <c:v> 9 </c:v>
                </c:pt>
                <c:pt idx="921">
                  <c:v> 10 </c:v>
                </c:pt>
                <c:pt idx="922">
                  <c:v> 11 </c:v>
                </c:pt>
                <c:pt idx="923">
                  <c:v> 12 </c:v>
                </c:pt>
                <c:pt idx="924">
                  <c:v> 13 </c:v>
                </c:pt>
                <c:pt idx="925">
                  <c:v> 14 </c:v>
                </c:pt>
                <c:pt idx="926">
                  <c:v> 15 </c:v>
                </c:pt>
                <c:pt idx="927">
                  <c:v> 16 </c:v>
                </c:pt>
                <c:pt idx="928">
                  <c:v> 17 </c:v>
                </c:pt>
                <c:pt idx="929">
                  <c:v> 18 </c:v>
                </c:pt>
                <c:pt idx="930">
                  <c:v> 19 </c:v>
                </c:pt>
                <c:pt idx="931">
                  <c:v> 20 </c:v>
                </c:pt>
                <c:pt idx="932">
                  <c:v> 21 </c:v>
                </c:pt>
                <c:pt idx="933">
                  <c:v> 22 </c:v>
                </c:pt>
                <c:pt idx="934">
                  <c:v> 23 </c:v>
                </c:pt>
                <c:pt idx="935">
                  <c:v> 24 </c:v>
                </c:pt>
                <c:pt idx="936">
                  <c:v>09 Feb 2014</c:v>
                </c:pt>
                <c:pt idx="937">
                  <c:v> 2 </c:v>
                </c:pt>
                <c:pt idx="938">
                  <c:v> 3 </c:v>
                </c:pt>
                <c:pt idx="939">
                  <c:v> 4 </c:v>
                </c:pt>
                <c:pt idx="940">
                  <c:v> 5 </c:v>
                </c:pt>
                <c:pt idx="941">
                  <c:v> 6 </c:v>
                </c:pt>
                <c:pt idx="942">
                  <c:v> 7 </c:v>
                </c:pt>
                <c:pt idx="943">
                  <c:v> 8 </c:v>
                </c:pt>
                <c:pt idx="944">
                  <c:v> 9 </c:v>
                </c:pt>
                <c:pt idx="945">
                  <c:v> 10 </c:v>
                </c:pt>
                <c:pt idx="946">
                  <c:v> 11 </c:v>
                </c:pt>
                <c:pt idx="947">
                  <c:v> 12 </c:v>
                </c:pt>
                <c:pt idx="948">
                  <c:v> 13 </c:v>
                </c:pt>
                <c:pt idx="949">
                  <c:v> 14 </c:v>
                </c:pt>
                <c:pt idx="950">
                  <c:v> 15 </c:v>
                </c:pt>
                <c:pt idx="951">
                  <c:v> 16 </c:v>
                </c:pt>
                <c:pt idx="952">
                  <c:v> 17 </c:v>
                </c:pt>
                <c:pt idx="953">
                  <c:v> 18 </c:v>
                </c:pt>
                <c:pt idx="954">
                  <c:v> 19 </c:v>
                </c:pt>
                <c:pt idx="955">
                  <c:v> 20 </c:v>
                </c:pt>
                <c:pt idx="956">
                  <c:v> 21 </c:v>
                </c:pt>
                <c:pt idx="957">
                  <c:v> 22 </c:v>
                </c:pt>
                <c:pt idx="958">
                  <c:v> 23 </c:v>
                </c:pt>
                <c:pt idx="959">
                  <c:v> 24 </c:v>
                </c:pt>
                <c:pt idx="960">
                  <c:v>10 Feb 2014</c:v>
                </c:pt>
                <c:pt idx="961">
                  <c:v> 2 </c:v>
                </c:pt>
                <c:pt idx="962">
                  <c:v> 3 </c:v>
                </c:pt>
                <c:pt idx="963">
                  <c:v> 4 </c:v>
                </c:pt>
                <c:pt idx="964">
                  <c:v> 5 </c:v>
                </c:pt>
                <c:pt idx="965">
                  <c:v> 6 </c:v>
                </c:pt>
                <c:pt idx="966">
                  <c:v> 7 </c:v>
                </c:pt>
                <c:pt idx="967">
                  <c:v> 8 </c:v>
                </c:pt>
                <c:pt idx="968">
                  <c:v> 9 </c:v>
                </c:pt>
                <c:pt idx="969">
                  <c:v> 10 </c:v>
                </c:pt>
                <c:pt idx="970">
                  <c:v> 11 </c:v>
                </c:pt>
                <c:pt idx="971">
                  <c:v> 12 </c:v>
                </c:pt>
                <c:pt idx="972">
                  <c:v> 13 </c:v>
                </c:pt>
                <c:pt idx="973">
                  <c:v> 14 </c:v>
                </c:pt>
                <c:pt idx="974">
                  <c:v> 15 </c:v>
                </c:pt>
                <c:pt idx="975">
                  <c:v> 16 </c:v>
                </c:pt>
                <c:pt idx="976">
                  <c:v> 17 </c:v>
                </c:pt>
                <c:pt idx="977">
                  <c:v> 18 </c:v>
                </c:pt>
                <c:pt idx="978">
                  <c:v> 19 </c:v>
                </c:pt>
                <c:pt idx="979">
                  <c:v> 20 </c:v>
                </c:pt>
                <c:pt idx="980">
                  <c:v> 21 </c:v>
                </c:pt>
                <c:pt idx="981">
                  <c:v> 22 </c:v>
                </c:pt>
                <c:pt idx="982">
                  <c:v> 23 </c:v>
                </c:pt>
                <c:pt idx="983">
                  <c:v> 24 </c:v>
                </c:pt>
                <c:pt idx="984">
                  <c:v>11 Feb 2014</c:v>
                </c:pt>
                <c:pt idx="985">
                  <c:v> 2 </c:v>
                </c:pt>
                <c:pt idx="986">
                  <c:v> 3 </c:v>
                </c:pt>
                <c:pt idx="987">
                  <c:v> 4 </c:v>
                </c:pt>
                <c:pt idx="988">
                  <c:v> 5 </c:v>
                </c:pt>
                <c:pt idx="989">
                  <c:v> 6 </c:v>
                </c:pt>
                <c:pt idx="990">
                  <c:v> 7 </c:v>
                </c:pt>
                <c:pt idx="991">
                  <c:v> 8 </c:v>
                </c:pt>
                <c:pt idx="992">
                  <c:v> 9 </c:v>
                </c:pt>
                <c:pt idx="993">
                  <c:v> 10 </c:v>
                </c:pt>
                <c:pt idx="994">
                  <c:v> 11 </c:v>
                </c:pt>
                <c:pt idx="995">
                  <c:v> 12 </c:v>
                </c:pt>
                <c:pt idx="996">
                  <c:v> 13 </c:v>
                </c:pt>
                <c:pt idx="997">
                  <c:v> 14 </c:v>
                </c:pt>
                <c:pt idx="998">
                  <c:v> 15 </c:v>
                </c:pt>
                <c:pt idx="999">
                  <c:v> 16 </c:v>
                </c:pt>
                <c:pt idx="1000">
                  <c:v> 17 </c:v>
                </c:pt>
                <c:pt idx="1001">
                  <c:v> 18 </c:v>
                </c:pt>
                <c:pt idx="1002">
                  <c:v> 19 </c:v>
                </c:pt>
                <c:pt idx="1003">
                  <c:v> 20 </c:v>
                </c:pt>
                <c:pt idx="1004">
                  <c:v> 21 </c:v>
                </c:pt>
                <c:pt idx="1005">
                  <c:v> 22 </c:v>
                </c:pt>
                <c:pt idx="1006">
                  <c:v> 23 </c:v>
                </c:pt>
                <c:pt idx="1007">
                  <c:v> 24 </c:v>
                </c:pt>
                <c:pt idx="1008">
                  <c:v>12 Feb 2014</c:v>
                </c:pt>
                <c:pt idx="1009">
                  <c:v> 2 </c:v>
                </c:pt>
                <c:pt idx="1010">
                  <c:v> 3 </c:v>
                </c:pt>
                <c:pt idx="1011">
                  <c:v> 4 </c:v>
                </c:pt>
                <c:pt idx="1012">
                  <c:v> 5 </c:v>
                </c:pt>
                <c:pt idx="1013">
                  <c:v> 6 </c:v>
                </c:pt>
                <c:pt idx="1014">
                  <c:v> 7 </c:v>
                </c:pt>
                <c:pt idx="1015">
                  <c:v> 8 </c:v>
                </c:pt>
                <c:pt idx="1016">
                  <c:v> 9 </c:v>
                </c:pt>
                <c:pt idx="1017">
                  <c:v> 10 </c:v>
                </c:pt>
                <c:pt idx="1018">
                  <c:v> 11 </c:v>
                </c:pt>
                <c:pt idx="1019">
                  <c:v> 12 </c:v>
                </c:pt>
                <c:pt idx="1020">
                  <c:v> 13 </c:v>
                </c:pt>
                <c:pt idx="1021">
                  <c:v> 14 </c:v>
                </c:pt>
                <c:pt idx="1022">
                  <c:v> 15 </c:v>
                </c:pt>
                <c:pt idx="1023">
                  <c:v> 16 </c:v>
                </c:pt>
                <c:pt idx="1024">
                  <c:v> 17 </c:v>
                </c:pt>
                <c:pt idx="1025">
                  <c:v> 18 </c:v>
                </c:pt>
                <c:pt idx="1026">
                  <c:v> 19 </c:v>
                </c:pt>
                <c:pt idx="1027">
                  <c:v> 20 </c:v>
                </c:pt>
                <c:pt idx="1028">
                  <c:v> 21 </c:v>
                </c:pt>
                <c:pt idx="1029">
                  <c:v> 22 </c:v>
                </c:pt>
                <c:pt idx="1030">
                  <c:v> 23 </c:v>
                </c:pt>
                <c:pt idx="1031">
                  <c:v> 24 </c:v>
                </c:pt>
                <c:pt idx="1032">
                  <c:v>13 Feb 2014</c:v>
                </c:pt>
                <c:pt idx="1033">
                  <c:v> 2 </c:v>
                </c:pt>
                <c:pt idx="1034">
                  <c:v> 3 </c:v>
                </c:pt>
                <c:pt idx="1035">
                  <c:v> 4 </c:v>
                </c:pt>
                <c:pt idx="1036">
                  <c:v> 5 </c:v>
                </c:pt>
                <c:pt idx="1037">
                  <c:v> 6 </c:v>
                </c:pt>
                <c:pt idx="1038">
                  <c:v> 7 </c:v>
                </c:pt>
                <c:pt idx="1039">
                  <c:v> 8 </c:v>
                </c:pt>
                <c:pt idx="1040">
                  <c:v> 9 </c:v>
                </c:pt>
                <c:pt idx="1041">
                  <c:v> 10 </c:v>
                </c:pt>
                <c:pt idx="1042">
                  <c:v> 11 </c:v>
                </c:pt>
                <c:pt idx="1043">
                  <c:v> 12 </c:v>
                </c:pt>
                <c:pt idx="1044">
                  <c:v> 13 </c:v>
                </c:pt>
                <c:pt idx="1045">
                  <c:v> 14 </c:v>
                </c:pt>
                <c:pt idx="1046">
                  <c:v> 15 </c:v>
                </c:pt>
                <c:pt idx="1047">
                  <c:v> 16 </c:v>
                </c:pt>
                <c:pt idx="1048">
                  <c:v> 17 </c:v>
                </c:pt>
                <c:pt idx="1049">
                  <c:v> 18 </c:v>
                </c:pt>
                <c:pt idx="1050">
                  <c:v> 19 </c:v>
                </c:pt>
                <c:pt idx="1051">
                  <c:v> 20 </c:v>
                </c:pt>
                <c:pt idx="1052">
                  <c:v> 21 </c:v>
                </c:pt>
                <c:pt idx="1053">
                  <c:v> 22 </c:v>
                </c:pt>
                <c:pt idx="1054">
                  <c:v> 23 </c:v>
                </c:pt>
                <c:pt idx="1055">
                  <c:v> 24 </c:v>
                </c:pt>
                <c:pt idx="1056">
                  <c:v>14 Feb 2014</c:v>
                </c:pt>
                <c:pt idx="1057">
                  <c:v> 2 </c:v>
                </c:pt>
                <c:pt idx="1058">
                  <c:v> 3 </c:v>
                </c:pt>
                <c:pt idx="1059">
                  <c:v> 4 </c:v>
                </c:pt>
                <c:pt idx="1060">
                  <c:v> 5 </c:v>
                </c:pt>
                <c:pt idx="1061">
                  <c:v> 6 </c:v>
                </c:pt>
                <c:pt idx="1062">
                  <c:v> 7 </c:v>
                </c:pt>
                <c:pt idx="1063">
                  <c:v> 8 </c:v>
                </c:pt>
                <c:pt idx="1064">
                  <c:v> 9 </c:v>
                </c:pt>
                <c:pt idx="1065">
                  <c:v> 10 </c:v>
                </c:pt>
                <c:pt idx="1066">
                  <c:v> 11 </c:v>
                </c:pt>
                <c:pt idx="1067">
                  <c:v> 12 </c:v>
                </c:pt>
                <c:pt idx="1068">
                  <c:v> 13 </c:v>
                </c:pt>
                <c:pt idx="1069">
                  <c:v> 14 </c:v>
                </c:pt>
                <c:pt idx="1070">
                  <c:v> 15 </c:v>
                </c:pt>
                <c:pt idx="1071">
                  <c:v> 16 </c:v>
                </c:pt>
                <c:pt idx="1072">
                  <c:v> 17 </c:v>
                </c:pt>
                <c:pt idx="1073">
                  <c:v> 18 </c:v>
                </c:pt>
                <c:pt idx="1074">
                  <c:v> 19 </c:v>
                </c:pt>
                <c:pt idx="1075">
                  <c:v> 20 </c:v>
                </c:pt>
                <c:pt idx="1076">
                  <c:v> 21 </c:v>
                </c:pt>
                <c:pt idx="1077">
                  <c:v> 22 </c:v>
                </c:pt>
                <c:pt idx="1078">
                  <c:v> 23 </c:v>
                </c:pt>
                <c:pt idx="1079">
                  <c:v> 24 </c:v>
                </c:pt>
                <c:pt idx="1080">
                  <c:v>15 Feb 2014</c:v>
                </c:pt>
                <c:pt idx="1081">
                  <c:v> 2 </c:v>
                </c:pt>
                <c:pt idx="1082">
                  <c:v> 3 </c:v>
                </c:pt>
                <c:pt idx="1083">
                  <c:v> 4 </c:v>
                </c:pt>
                <c:pt idx="1084">
                  <c:v> 5 </c:v>
                </c:pt>
                <c:pt idx="1085">
                  <c:v> 6 </c:v>
                </c:pt>
                <c:pt idx="1086">
                  <c:v> 7 </c:v>
                </c:pt>
                <c:pt idx="1087">
                  <c:v> 8 </c:v>
                </c:pt>
                <c:pt idx="1088">
                  <c:v> 9 </c:v>
                </c:pt>
                <c:pt idx="1089">
                  <c:v> 10 </c:v>
                </c:pt>
                <c:pt idx="1090">
                  <c:v> 11 </c:v>
                </c:pt>
                <c:pt idx="1091">
                  <c:v> 12 </c:v>
                </c:pt>
                <c:pt idx="1092">
                  <c:v> 13 </c:v>
                </c:pt>
                <c:pt idx="1093">
                  <c:v> 14 </c:v>
                </c:pt>
                <c:pt idx="1094">
                  <c:v> 15 </c:v>
                </c:pt>
                <c:pt idx="1095">
                  <c:v> 16 </c:v>
                </c:pt>
                <c:pt idx="1096">
                  <c:v> 17 </c:v>
                </c:pt>
                <c:pt idx="1097">
                  <c:v> 18 </c:v>
                </c:pt>
                <c:pt idx="1098">
                  <c:v> 19 </c:v>
                </c:pt>
                <c:pt idx="1099">
                  <c:v> 20 </c:v>
                </c:pt>
                <c:pt idx="1100">
                  <c:v> 21 </c:v>
                </c:pt>
                <c:pt idx="1101">
                  <c:v> 22 </c:v>
                </c:pt>
                <c:pt idx="1102">
                  <c:v> 23 </c:v>
                </c:pt>
                <c:pt idx="1103">
                  <c:v> 24 </c:v>
                </c:pt>
                <c:pt idx="1104">
                  <c:v>16 Feb 2014</c:v>
                </c:pt>
                <c:pt idx="1105">
                  <c:v> 2 </c:v>
                </c:pt>
                <c:pt idx="1106">
                  <c:v> 3 </c:v>
                </c:pt>
                <c:pt idx="1107">
                  <c:v> 4 </c:v>
                </c:pt>
                <c:pt idx="1108">
                  <c:v> 5 </c:v>
                </c:pt>
                <c:pt idx="1109">
                  <c:v> 6 </c:v>
                </c:pt>
                <c:pt idx="1110">
                  <c:v> 7 </c:v>
                </c:pt>
                <c:pt idx="1111">
                  <c:v> 8 </c:v>
                </c:pt>
                <c:pt idx="1112">
                  <c:v> 9 </c:v>
                </c:pt>
                <c:pt idx="1113">
                  <c:v> 10 </c:v>
                </c:pt>
                <c:pt idx="1114">
                  <c:v> 11 </c:v>
                </c:pt>
                <c:pt idx="1115">
                  <c:v> 12 </c:v>
                </c:pt>
                <c:pt idx="1116">
                  <c:v> 13 </c:v>
                </c:pt>
                <c:pt idx="1117">
                  <c:v> 14 </c:v>
                </c:pt>
                <c:pt idx="1118">
                  <c:v> 15 </c:v>
                </c:pt>
                <c:pt idx="1119">
                  <c:v> 16 </c:v>
                </c:pt>
                <c:pt idx="1120">
                  <c:v> 17 </c:v>
                </c:pt>
                <c:pt idx="1121">
                  <c:v> 18 </c:v>
                </c:pt>
                <c:pt idx="1122">
                  <c:v> 19 </c:v>
                </c:pt>
                <c:pt idx="1123">
                  <c:v> 20 </c:v>
                </c:pt>
                <c:pt idx="1124">
                  <c:v> 21 </c:v>
                </c:pt>
                <c:pt idx="1125">
                  <c:v> 22 </c:v>
                </c:pt>
                <c:pt idx="1126">
                  <c:v> 23 </c:v>
                </c:pt>
                <c:pt idx="1127">
                  <c:v> 24 </c:v>
                </c:pt>
                <c:pt idx="1128">
                  <c:v>17 Feb 2014</c:v>
                </c:pt>
                <c:pt idx="1129">
                  <c:v> 2 </c:v>
                </c:pt>
                <c:pt idx="1130">
                  <c:v> 3 </c:v>
                </c:pt>
                <c:pt idx="1131">
                  <c:v> 4 </c:v>
                </c:pt>
                <c:pt idx="1132">
                  <c:v> 5 </c:v>
                </c:pt>
                <c:pt idx="1133">
                  <c:v> 6 </c:v>
                </c:pt>
                <c:pt idx="1134">
                  <c:v> 7 </c:v>
                </c:pt>
                <c:pt idx="1135">
                  <c:v> 8 </c:v>
                </c:pt>
                <c:pt idx="1136">
                  <c:v> 9 </c:v>
                </c:pt>
                <c:pt idx="1137">
                  <c:v> 10 </c:v>
                </c:pt>
                <c:pt idx="1138">
                  <c:v> 11 </c:v>
                </c:pt>
                <c:pt idx="1139">
                  <c:v> 12 </c:v>
                </c:pt>
                <c:pt idx="1140">
                  <c:v> 13 </c:v>
                </c:pt>
                <c:pt idx="1141">
                  <c:v> 14 </c:v>
                </c:pt>
                <c:pt idx="1142">
                  <c:v> 15 </c:v>
                </c:pt>
                <c:pt idx="1143">
                  <c:v> 16 </c:v>
                </c:pt>
                <c:pt idx="1144">
                  <c:v> 17 </c:v>
                </c:pt>
                <c:pt idx="1145">
                  <c:v> 18 </c:v>
                </c:pt>
                <c:pt idx="1146">
                  <c:v> 19 </c:v>
                </c:pt>
                <c:pt idx="1147">
                  <c:v> 20 </c:v>
                </c:pt>
                <c:pt idx="1148">
                  <c:v> 21 </c:v>
                </c:pt>
                <c:pt idx="1149">
                  <c:v> 22 </c:v>
                </c:pt>
                <c:pt idx="1150">
                  <c:v> 23 </c:v>
                </c:pt>
                <c:pt idx="1151">
                  <c:v> 24 </c:v>
                </c:pt>
                <c:pt idx="1152">
                  <c:v>18 Feb 2014</c:v>
                </c:pt>
                <c:pt idx="1153">
                  <c:v> 2 </c:v>
                </c:pt>
                <c:pt idx="1154">
                  <c:v> 3 </c:v>
                </c:pt>
                <c:pt idx="1155">
                  <c:v> 4 </c:v>
                </c:pt>
                <c:pt idx="1156">
                  <c:v> 5 </c:v>
                </c:pt>
                <c:pt idx="1157">
                  <c:v> 6 </c:v>
                </c:pt>
                <c:pt idx="1158">
                  <c:v> 7 </c:v>
                </c:pt>
                <c:pt idx="1159">
                  <c:v> 8 </c:v>
                </c:pt>
                <c:pt idx="1160">
                  <c:v> 9 </c:v>
                </c:pt>
                <c:pt idx="1161">
                  <c:v> 10 </c:v>
                </c:pt>
                <c:pt idx="1162">
                  <c:v> 11 </c:v>
                </c:pt>
                <c:pt idx="1163">
                  <c:v> 12 </c:v>
                </c:pt>
                <c:pt idx="1164">
                  <c:v> 13 </c:v>
                </c:pt>
                <c:pt idx="1165">
                  <c:v> 14 </c:v>
                </c:pt>
                <c:pt idx="1166">
                  <c:v> 15 </c:v>
                </c:pt>
                <c:pt idx="1167">
                  <c:v> 16 </c:v>
                </c:pt>
                <c:pt idx="1168">
                  <c:v> 17 </c:v>
                </c:pt>
                <c:pt idx="1169">
                  <c:v> 18 </c:v>
                </c:pt>
                <c:pt idx="1170">
                  <c:v> 19 </c:v>
                </c:pt>
                <c:pt idx="1171">
                  <c:v> 20 </c:v>
                </c:pt>
                <c:pt idx="1172">
                  <c:v> 21 </c:v>
                </c:pt>
                <c:pt idx="1173">
                  <c:v> 22 </c:v>
                </c:pt>
                <c:pt idx="1174">
                  <c:v> 23 </c:v>
                </c:pt>
                <c:pt idx="1175">
                  <c:v> 24 </c:v>
                </c:pt>
                <c:pt idx="1176">
                  <c:v>19 Feb 2014</c:v>
                </c:pt>
                <c:pt idx="1177">
                  <c:v> 2 </c:v>
                </c:pt>
                <c:pt idx="1178">
                  <c:v> 3 </c:v>
                </c:pt>
                <c:pt idx="1179">
                  <c:v> 4 </c:v>
                </c:pt>
                <c:pt idx="1180">
                  <c:v> 5 </c:v>
                </c:pt>
                <c:pt idx="1181">
                  <c:v> 6 </c:v>
                </c:pt>
                <c:pt idx="1182">
                  <c:v> 7 </c:v>
                </c:pt>
                <c:pt idx="1183">
                  <c:v> 8 </c:v>
                </c:pt>
                <c:pt idx="1184">
                  <c:v> 9 </c:v>
                </c:pt>
                <c:pt idx="1185">
                  <c:v> 10 </c:v>
                </c:pt>
                <c:pt idx="1186">
                  <c:v> 11 </c:v>
                </c:pt>
                <c:pt idx="1187">
                  <c:v> 12 </c:v>
                </c:pt>
                <c:pt idx="1188">
                  <c:v> 13 </c:v>
                </c:pt>
                <c:pt idx="1189">
                  <c:v> 14 </c:v>
                </c:pt>
                <c:pt idx="1190">
                  <c:v> 15 </c:v>
                </c:pt>
                <c:pt idx="1191">
                  <c:v> 16 </c:v>
                </c:pt>
                <c:pt idx="1192">
                  <c:v> 17 </c:v>
                </c:pt>
                <c:pt idx="1193">
                  <c:v> 18 </c:v>
                </c:pt>
                <c:pt idx="1194">
                  <c:v> 19 </c:v>
                </c:pt>
                <c:pt idx="1195">
                  <c:v> 20 </c:v>
                </c:pt>
                <c:pt idx="1196">
                  <c:v> 21 </c:v>
                </c:pt>
                <c:pt idx="1197">
                  <c:v> 22 </c:v>
                </c:pt>
                <c:pt idx="1198">
                  <c:v> 23 </c:v>
                </c:pt>
                <c:pt idx="1199">
                  <c:v> 24 </c:v>
                </c:pt>
                <c:pt idx="1200">
                  <c:v>20 Feb 2014</c:v>
                </c:pt>
                <c:pt idx="1201">
                  <c:v> 2 </c:v>
                </c:pt>
                <c:pt idx="1202">
                  <c:v> 3 </c:v>
                </c:pt>
                <c:pt idx="1203">
                  <c:v> 4 </c:v>
                </c:pt>
                <c:pt idx="1204">
                  <c:v> 5 </c:v>
                </c:pt>
                <c:pt idx="1205">
                  <c:v> 6 </c:v>
                </c:pt>
                <c:pt idx="1206">
                  <c:v> 7 </c:v>
                </c:pt>
                <c:pt idx="1207">
                  <c:v> 8 </c:v>
                </c:pt>
                <c:pt idx="1208">
                  <c:v> 9 </c:v>
                </c:pt>
                <c:pt idx="1209">
                  <c:v> 10 </c:v>
                </c:pt>
                <c:pt idx="1210">
                  <c:v> 11 </c:v>
                </c:pt>
                <c:pt idx="1211">
                  <c:v> 12 </c:v>
                </c:pt>
                <c:pt idx="1212">
                  <c:v> 13 </c:v>
                </c:pt>
                <c:pt idx="1213">
                  <c:v> 14 </c:v>
                </c:pt>
                <c:pt idx="1214">
                  <c:v> 15 </c:v>
                </c:pt>
                <c:pt idx="1215">
                  <c:v> 16 </c:v>
                </c:pt>
                <c:pt idx="1216">
                  <c:v> 17 </c:v>
                </c:pt>
                <c:pt idx="1217">
                  <c:v> 18 </c:v>
                </c:pt>
                <c:pt idx="1218">
                  <c:v> 19 </c:v>
                </c:pt>
                <c:pt idx="1219">
                  <c:v> 20 </c:v>
                </c:pt>
                <c:pt idx="1220">
                  <c:v> 21 </c:v>
                </c:pt>
                <c:pt idx="1221">
                  <c:v> 22 </c:v>
                </c:pt>
                <c:pt idx="1222">
                  <c:v> 23 </c:v>
                </c:pt>
                <c:pt idx="1223">
                  <c:v> 24 </c:v>
                </c:pt>
                <c:pt idx="1224">
                  <c:v>21 Feb 2014</c:v>
                </c:pt>
                <c:pt idx="1225">
                  <c:v> 2 </c:v>
                </c:pt>
                <c:pt idx="1226">
                  <c:v> 3 </c:v>
                </c:pt>
                <c:pt idx="1227">
                  <c:v> 4 </c:v>
                </c:pt>
                <c:pt idx="1228">
                  <c:v> 5 </c:v>
                </c:pt>
                <c:pt idx="1229">
                  <c:v> 6 </c:v>
                </c:pt>
                <c:pt idx="1230">
                  <c:v> 7 </c:v>
                </c:pt>
                <c:pt idx="1231">
                  <c:v> 8 </c:v>
                </c:pt>
                <c:pt idx="1232">
                  <c:v> 9 </c:v>
                </c:pt>
                <c:pt idx="1233">
                  <c:v> 10 </c:v>
                </c:pt>
                <c:pt idx="1234">
                  <c:v> 11 </c:v>
                </c:pt>
                <c:pt idx="1235">
                  <c:v> 12 </c:v>
                </c:pt>
                <c:pt idx="1236">
                  <c:v> 13 </c:v>
                </c:pt>
                <c:pt idx="1237">
                  <c:v> 14 </c:v>
                </c:pt>
                <c:pt idx="1238">
                  <c:v> 15 </c:v>
                </c:pt>
                <c:pt idx="1239">
                  <c:v> 16 </c:v>
                </c:pt>
                <c:pt idx="1240">
                  <c:v> 17 </c:v>
                </c:pt>
                <c:pt idx="1241">
                  <c:v> 18 </c:v>
                </c:pt>
                <c:pt idx="1242">
                  <c:v> 19 </c:v>
                </c:pt>
                <c:pt idx="1243">
                  <c:v> 20 </c:v>
                </c:pt>
                <c:pt idx="1244">
                  <c:v> 21 </c:v>
                </c:pt>
                <c:pt idx="1245">
                  <c:v> 22 </c:v>
                </c:pt>
                <c:pt idx="1246">
                  <c:v> 23 </c:v>
                </c:pt>
                <c:pt idx="1247">
                  <c:v> 24 </c:v>
                </c:pt>
                <c:pt idx="1248">
                  <c:v>22 Feb 2014</c:v>
                </c:pt>
                <c:pt idx="1249">
                  <c:v> 2 </c:v>
                </c:pt>
                <c:pt idx="1250">
                  <c:v> 3 </c:v>
                </c:pt>
                <c:pt idx="1251">
                  <c:v> 4 </c:v>
                </c:pt>
                <c:pt idx="1252">
                  <c:v> 5 </c:v>
                </c:pt>
                <c:pt idx="1253">
                  <c:v> 6 </c:v>
                </c:pt>
                <c:pt idx="1254">
                  <c:v> 7 </c:v>
                </c:pt>
                <c:pt idx="1255">
                  <c:v> 8 </c:v>
                </c:pt>
                <c:pt idx="1256">
                  <c:v> 9 </c:v>
                </c:pt>
                <c:pt idx="1257">
                  <c:v> 10 </c:v>
                </c:pt>
                <c:pt idx="1258">
                  <c:v> 11 </c:v>
                </c:pt>
                <c:pt idx="1259">
                  <c:v> 12 </c:v>
                </c:pt>
                <c:pt idx="1260">
                  <c:v> 13 </c:v>
                </c:pt>
                <c:pt idx="1261">
                  <c:v> 14 </c:v>
                </c:pt>
                <c:pt idx="1262">
                  <c:v> 15 </c:v>
                </c:pt>
                <c:pt idx="1263">
                  <c:v> 16 </c:v>
                </c:pt>
                <c:pt idx="1264">
                  <c:v> 17 </c:v>
                </c:pt>
                <c:pt idx="1265">
                  <c:v> 18 </c:v>
                </c:pt>
                <c:pt idx="1266">
                  <c:v> 19 </c:v>
                </c:pt>
                <c:pt idx="1267">
                  <c:v> 20 </c:v>
                </c:pt>
                <c:pt idx="1268">
                  <c:v> 21 </c:v>
                </c:pt>
                <c:pt idx="1269">
                  <c:v> 22 </c:v>
                </c:pt>
                <c:pt idx="1270">
                  <c:v> 23 </c:v>
                </c:pt>
                <c:pt idx="1271">
                  <c:v> 24 </c:v>
                </c:pt>
                <c:pt idx="1272">
                  <c:v>23 Feb 2014</c:v>
                </c:pt>
                <c:pt idx="1273">
                  <c:v> 2 </c:v>
                </c:pt>
                <c:pt idx="1274">
                  <c:v> 3 </c:v>
                </c:pt>
                <c:pt idx="1275">
                  <c:v> 4 </c:v>
                </c:pt>
                <c:pt idx="1276">
                  <c:v> 5 </c:v>
                </c:pt>
                <c:pt idx="1277">
                  <c:v> 6 </c:v>
                </c:pt>
                <c:pt idx="1278">
                  <c:v> 7 </c:v>
                </c:pt>
                <c:pt idx="1279">
                  <c:v> 8 </c:v>
                </c:pt>
                <c:pt idx="1280">
                  <c:v> 9 </c:v>
                </c:pt>
                <c:pt idx="1281">
                  <c:v> 10 </c:v>
                </c:pt>
                <c:pt idx="1282">
                  <c:v> 11 </c:v>
                </c:pt>
                <c:pt idx="1283">
                  <c:v> 12 </c:v>
                </c:pt>
                <c:pt idx="1284">
                  <c:v> 13 </c:v>
                </c:pt>
                <c:pt idx="1285">
                  <c:v> 14 </c:v>
                </c:pt>
                <c:pt idx="1286">
                  <c:v> 15 </c:v>
                </c:pt>
                <c:pt idx="1287">
                  <c:v> 16 </c:v>
                </c:pt>
                <c:pt idx="1288">
                  <c:v> 17 </c:v>
                </c:pt>
                <c:pt idx="1289">
                  <c:v> 18 </c:v>
                </c:pt>
                <c:pt idx="1290">
                  <c:v> 19 </c:v>
                </c:pt>
                <c:pt idx="1291">
                  <c:v> 20 </c:v>
                </c:pt>
                <c:pt idx="1292">
                  <c:v> 21 </c:v>
                </c:pt>
                <c:pt idx="1293">
                  <c:v> 22 </c:v>
                </c:pt>
                <c:pt idx="1294">
                  <c:v> 23 </c:v>
                </c:pt>
                <c:pt idx="1295">
                  <c:v> 24 </c:v>
                </c:pt>
                <c:pt idx="1296">
                  <c:v>24 Feb 2014</c:v>
                </c:pt>
                <c:pt idx="1297">
                  <c:v> 2 </c:v>
                </c:pt>
                <c:pt idx="1298">
                  <c:v> 3 </c:v>
                </c:pt>
                <c:pt idx="1299">
                  <c:v> 4 </c:v>
                </c:pt>
                <c:pt idx="1300">
                  <c:v> 5 </c:v>
                </c:pt>
                <c:pt idx="1301">
                  <c:v> 6 </c:v>
                </c:pt>
                <c:pt idx="1302">
                  <c:v> 7 </c:v>
                </c:pt>
                <c:pt idx="1303">
                  <c:v> 8 </c:v>
                </c:pt>
                <c:pt idx="1304">
                  <c:v> 9 </c:v>
                </c:pt>
                <c:pt idx="1305">
                  <c:v> 10 </c:v>
                </c:pt>
                <c:pt idx="1306">
                  <c:v> 11 </c:v>
                </c:pt>
                <c:pt idx="1307">
                  <c:v> 12 </c:v>
                </c:pt>
                <c:pt idx="1308">
                  <c:v> 13 </c:v>
                </c:pt>
                <c:pt idx="1309">
                  <c:v> 14 </c:v>
                </c:pt>
                <c:pt idx="1310">
                  <c:v> 15 </c:v>
                </c:pt>
                <c:pt idx="1311">
                  <c:v> 16 </c:v>
                </c:pt>
                <c:pt idx="1312">
                  <c:v> 17 </c:v>
                </c:pt>
                <c:pt idx="1313">
                  <c:v> 18 </c:v>
                </c:pt>
                <c:pt idx="1314">
                  <c:v> 19 </c:v>
                </c:pt>
                <c:pt idx="1315">
                  <c:v> 20 </c:v>
                </c:pt>
                <c:pt idx="1316">
                  <c:v> 21 </c:v>
                </c:pt>
                <c:pt idx="1317">
                  <c:v> 22 </c:v>
                </c:pt>
                <c:pt idx="1318">
                  <c:v> 23 </c:v>
                </c:pt>
                <c:pt idx="1319">
                  <c:v> 24 </c:v>
                </c:pt>
                <c:pt idx="1320">
                  <c:v>25 Feb 2014</c:v>
                </c:pt>
                <c:pt idx="1321">
                  <c:v> 2 </c:v>
                </c:pt>
                <c:pt idx="1322">
                  <c:v> 3 </c:v>
                </c:pt>
                <c:pt idx="1323">
                  <c:v> 4 </c:v>
                </c:pt>
                <c:pt idx="1324">
                  <c:v> 5 </c:v>
                </c:pt>
                <c:pt idx="1325">
                  <c:v> 6 </c:v>
                </c:pt>
                <c:pt idx="1326">
                  <c:v> 7 </c:v>
                </c:pt>
                <c:pt idx="1327">
                  <c:v> 8 </c:v>
                </c:pt>
                <c:pt idx="1328">
                  <c:v> 9 </c:v>
                </c:pt>
                <c:pt idx="1329">
                  <c:v> 10 </c:v>
                </c:pt>
                <c:pt idx="1330">
                  <c:v> 11 </c:v>
                </c:pt>
                <c:pt idx="1331">
                  <c:v> 12 </c:v>
                </c:pt>
                <c:pt idx="1332">
                  <c:v> 13 </c:v>
                </c:pt>
                <c:pt idx="1333">
                  <c:v> 14 </c:v>
                </c:pt>
                <c:pt idx="1334">
                  <c:v> 15 </c:v>
                </c:pt>
                <c:pt idx="1335">
                  <c:v> 16 </c:v>
                </c:pt>
                <c:pt idx="1336">
                  <c:v> 17 </c:v>
                </c:pt>
                <c:pt idx="1337">
                  <c:v> 18 </c:v>
                </c:pt>
                <c:pt idx="1338">
                  <c:v> 19 </c:v>
                </c:pt>
                <c:pt idx="1339">
                  <c:v> 20 </c:v>
                </c:pt>
                <c:pt idx="1340">
                  <c:v> 21 </c:v>
                </c:pt>
                <c:pt idx="1341">
                  <c:v> 22 </c:v>
                </c:pt>
                <c:pt idx="1342">
                  <c:v> 23 </c:v>
                </c:pt>
                <c:pt idx="1343">
                  <c:v> 24 </c:v>
                </c:pt>
                <c:pt idx="1344">
                  <c:v>26 Feb 2014</c:v>
                </c:pt>
                <c:pt idx="1345">
                  <c:v> 2 </c:v>
                </c:pt>
                <c:pt idx="1346">
                  <c:v> 3 </c:v>
                </c:pt>
                <c:pt idx="1347">
                  <c:v> 4 </c:v>
                </c:pt>
                <c:pt idx="1348">
                  <c:v> 5 </c:v>
                </c:pt>
                <c:pt idx="1349">
                  <c:v> 6 </c:v>
                </c:pt>
                <c:pt idx="1350">
                  <c:v> 7 </c:v>
                </c:pt>
                <c:pt idx="1351">
                  <c:v> 8 </c:v>
                </c:pt>
                <c:pt idx="1352">
                  <c:v> 9 </c:v>
                </c:pt>
                <c:pt idx="1353">
                  <c:v> 10 </c:v>
                </c:pt>
                <c:pt idx="1354">
                  <c:v> 11 </c:v>
                </c:pt>
                <c:pt idx="1355">
                  <c:v> 12 </c:v>
                </c:pt>
                <c:pt idx="1356">
                  <c:v> 13 </c:v>
                </c:pt>
                <c:pt idx="1357">
                  <c:v> 14 </c:v>
                </c:pt>
                <c:pt idx="1358">
                  <c:v> 15 </c:v>
                </c:pt>
                <c:pt idx="1359">
                  <c:v> 16 </c:v>
                </c:pt>
                <c:pt idx="1360">
                  <c:v> 17 </c:v>
                </c:pt>
                <c:pt idx="1361">
                  <c:v> 18 </c:v>
                </c:pt>
                <c:pt idx="1362">
                  <c:v> 19 </c:v>
                </c:pt>
                <c:pt idx="1363">
                  <c:v> 20 </c:v>
                </c:pt>
                <c:pt idx="1364">
                  <c:v> 21 </c:v>
                </c:pt>
                <c:pt idx="1365">
                  <c:v> 22 </c:v>
                </c:pt>
                <c:pt idx="1366">
                  <c:v> 23 </c:v>
                </c:pt>
                <c:pt idx="1367">
                  <c:v> 24 </c:v>
                </c:pt>
                <c:pt idx="1368">
                  <c:v>27 Feb 2014</c:v>
                </c:pt>
                <c:pt idx="1369">
                  <c:v> 2 </c:v>
                </c:pt>
                <c:pt idx="1370">
                  <c:v> 3 </c:v>
                </c:pt>
                <c:pt idx="1371">
                  <c:v> 4 </c:v>
                </c:pt>
                <c:pt idx="1372">
                  <c:v> 5 </c:v>
                </c:pt>
                <c:pt idx="1373">
                  <c:v> 6 </c:v>
                </c:pt>
                <c:pt idx="1374">
                  <c:v> 7 </c:v>
                </c:pt>
                <c:pt idx="1375">
                  <c:v> 8 </c:v>
                </c:pt>
                <c:pt idx="1376">
                  <c:v> 9 </c:v>
                </c:pt>
                <c:pt idx="1377">
                  <c:v> 10 </c:v>
                </c:pt>
                <c:pt idx="1378">
                  <c:v> 11 </c:v>
                </c:pt>
                <c:pt idx="1379">
                  <c:v> 12 </c:v>
                </c:pt>
                <c:pt idx="1380">
                  <c:v> 13 </c:v>
                </c:pt>
                <c:pt idx="1381">
                  <c:v> 14 </c:v>
                </c:pt>
                <c:pt idx="1382">
                  <c:v> 15 </c:v>
                </c:pt>
                <c:pt idx="1383">
                  <c:v> 16 </c:v>
                </c:pt>
                <c:pt idx="1384">
                  <c:v> 17 </c:v>
                </c:pt>
                <c:pt idx="1385">
                  <c:v> 18 </c:v>
                </c:pt>
                <c:pt idx="1386">
                  <c:v> 19 </c:v>
                </c:pt>
                <c:pt idx="1387">
                  <c:v> 20 </c:v>
                </c:pt>
                <c:pt idx="1388">
                  <c:v> 21 </c:v>
                </c:pt>
                <c:pt idx="1389">
                  <c:v> 22 </c:v>
                </c:pt>
                <c:pt idx="1390">
                  <c:v> 23 </c:v>
                </c:pt>
                <c:pt idx="1391">
                  <c:v> 24 </c:v>
                </c:pt>
                <c:pt idx="1392">
                  <c:v>28 Feb 2014</c:v>
                </c:pt>
                <c:pt idx="1393">
                  <c:v> 2 </c:v>
                </c:pt>
                <c:pt idx="1394">
                  <c:v> 3 </c:v>
                </c:pt>
                <c:pt idx="1395">
                  <c:v> 4 </c:v>
                </c:pt>
                <c:pt idx="1396">
                  <c:v> 5 </c:v>
                </c:pt>
                <c:pt idx="1397">
                  <c:v> 6 </c:v>
                </c:pt>
                <c:pt idx="1398">
                  <c:v> 7 </c:v>
                </c:pt>
                <c:pt idx="1399">
                  <c:v> 8 </c:v>
                </c:pt>
                <c:pt idx="1400">
                  <c:v> 9 </c:v>
                </c:pt>
                <c:pt idx="1401">
                  <c:v> 10 </c:v>
                </c:pt>
                <c:pt idx="1402">
                  <c:v> 11 </c:v>
                </c:pt>
                <c:pt idx="1403">
                  <c:v> 12 </c:v>
                </c:pt>
                <c:pt idx="1404">
                  <c:v> 13 </c:v>
                </c:pt>
                <c:pt idx="1405">
                  <c:v> 14 </c:v>
                </c:pt>
                <c:pt idx="1406">
                  <c:v> 15 </c:v>
                </c:pt>
                <c:pt idx="1407">
                  <c:v> 16 </c:v>
                </c:pt>
                <c:pt idx="1408">
                  <c:v> 17 </c:v>
                </c:pt>
                <c:pt idx="1409">
                  <c:v> 18 </c:v>
                </c:pt>
                <c:pt idx="1410">
                  <c:v> 19 </c:v>
                </c:pt>
                <c:pt idx="1411">
                  <c:v> 20 </c:v>
                </c:pt>
                <c:pt idx="1412">
                  <c:v> 21 </c:v>
                </c:pt>
                <c:pt idx="1413">
                  <c:v> 22 </c:v>
                </c:pt>
                <c:pt idx="1414">
                  <c:v> 23 </c:v>
                </c:pt>
                <c:pt idx="1415">
                  <c:v> 24 </c:v>
                </c:pt>
                <c:pt idx="1416">
                  <c:v>01 Mar 2014</c:v>
                </c:pt>
                <c:pt idx="1417">
                  <c:v> 2 </c:v>
                </c:pt>
                <c:pt idx="1418">
                  <c:v> 3 </c:v>
                </c:pt>
                <c:pt idx="1419">
                  <c:v> 4 </c:v>
                </c:pt>
                <c:pt idx="1420">
                  <c:v> 5 </c:v>
                </c:pt>
                <c:pt idx="1421">
                  <c:v> 6 </c:v>
                </c:pt>
                <c:pt idx="1422">
                  <c:v> 7 </c:v>
                </c:pt>
                <c:pt idx="1423">
                  <c:v> 8 </c:v>
                </c:pt>
                <c:pt idx="1424">
                  <c:v> 9 </c:v>
                </c:pt>
                <c:pt idx="1425">
                  <c:v> 10 </c:v>
                </c:pt>
                <c:pt idx="1426">
                  <c:v> 11 </c:v>
                </c:pt>
                <c:pt idx="1427">
                  <c:v> 12 </c:v>
                </c:pt>
                <c:pt idx="1428">
                  <c:v> 13 </c:v>
                </c:pt>
                <c:pt idx="1429">
                  <c:v> 14 </c:v>
                </c:pt>
                <c:pt idx="1430">
                  <c:v> 15 </c:v>
                </c:pt>
                <c:pt idx="1431">
                  <c:v> 16 </c:v>
                </c:pt>
                <c:pt idx="1432">
                  <c:v> 17 </c:v>
                </c:pt>
                <c:pt idx="1433">
                  <c:v> 18 </c:v>
                </c:pt>
                <c:pt idx="1434">
                  <c:v> 19 </c:v>
                </c:pt>
                <c:pt idx="1435">
                  <c:v> 20 </c:v>
                </c:pt>
                <c:pt idx="1436">
                  <c:v> 21 </c:v>
                </c:pt>
                <c:pt idx="1437">
                  <c:v> 22 </c:v>
                </c:pt>
                <c:pt idx="1438">
                  <c:v> 23 </c:v>
                </c:pt>
                <c:pt idx="1439">
                  <c:v> 24 </c:v>
                </c:pt>
                <c:pt idx="1440">
                  <c:v>02 Mar 2014</c:v>
                </c:pt>
                <c:pt idx="1441">
                  <c:v> 2 </c:v>
                </c:pt>
                <c:pt idx="1442">
                  <c:v> 3 </c:v>
                </c:pt>
                <c:pt idx="1443">
                  <c:v> 4 </c:v>
                </c:pt>
                <c:pt idx="1444">
                  <c:v> 5 </c:v>
                </c:pt>
                <c:pt idx="1445">
                  <c:v> 6 </c:v>
                </c:pt>
                <c:pt idx="1446">
                  <c:v> 7 </c:v>
                </c:pt>
                <c:pt idx="1447">
                  <c:v> 8 </c:v>
                </c:pt>
                <c:pt idx="1448">
                  <c:v> 9 </c:v>
                </c:pt>
                <c:pt idx="1449">
                  <c:v> 10 </c:v>
                </c:pt>
                <c:pt idx="1450">
                  <c:v> 11 </c:v>
                </c:pt>
                <c:pt idx="1451">
                  <c:v> 12 </c:v>
                </c:pt>
                <c:pt idx="1452">
                  <c:v> 13 </c:v>
                </c:pt>
                <c:pt idx="1453">
                  <c:v> 14 </c:v>
                </c:pt>
                <c:pt idx="1454">
                  <c:v> 15 </c:v>
                </c:pt>
                <c:pt idx="1455">
                  <c:v> 16 </c:v>
                </c:pt>
                <c:pt idx="1456">
                  <c:v> 17 </c:v>
                </c:pt>
                <c:pt idx="1457">
                  <c:v> 18 </c:v>
                </c:pt>
                <c:pt idx="1458">
                  <c:v> 19 </c:v>
                </c:pt>
                <c:pt idx="1459">
                  <c:v> 20 </c:v>
                </c:pt>
                <c:pt idx="1460">
                  <c:v> 21 </c:v>
                </c:pt>
                <c:pt idx="1461">
                  <c:v> 22 </c:v>
                </c:pt>
                <c:pt idx="1462">
                  <c:v> 23 </c:v>
                </c:pt>
                <c:pt idx="1463">
                  <c:v> 24 </c:v>
                </c:pt>
                <c:pt idx="1464">
                  <c:v>03 Mar 2014</c:v>
                </c:pt>
                <c:pt idx="1465">
                  <c:v> 2 </c:v>
                </c:pt>
                <c:pt idx="1466">
                  <c:v> 3 </c:v>
                </c:pt>
                <c:pt idx="1467">
                  <c:v> 4 </c:v>
                </c:pt>
                <c:pt idx="1468">
                  <c:v> 5 </c:v>
                </c:pt>
                <c:pt idx="1469">
                  <c:v> 6 </c:v>
                </c:pt>
                <c:pt idx="1470">
                  <c:v> 7 </c:v>
                </c:pt>
                <c:pt idx="1471">
                  <c:v> 8 </c:v>
                </c:pt>
                <c:pt idx="1472">
                  <c:v> 9 </c:v>
                </c:pt>
                <c:pt idx="1473">
                  <c:v> 10 </c:v>
                </c:pt>
                <c:pt idx="1474">
                  <c:v> 11 </c:v>
                </c:pt>
                <c:pt idx="1475">
                  <c:v> 12 </c:v>
                </c:pt>
                <c:pt idx="1476">
                  <c:v> 13 </c:v>
                </c:pt>
                <c:pt idx="1477">
                  <c:v> 14 </c:v>
                </c:pt>
                <c:pt idx="1478">
                  <c:v> 15 </c:v>
                </c:pt>
                <c:pt idx="1479">
                  <c:v> 16 </c:v>
                </c:pt>
                <c:pt idx="1480">
                  <c:v> 17 </c:v>
                </c:pt>
                <c:pt idx="1481">
                  <c:v> 18 </c:v>
                </c:pt>
                <c:pt idx="1482">
                  <c:v> 19 </c:v>
                </c:pt>
                <c:pt idx="1483">
                  <c:v> 20 </c:v>
                </c:pt>
                <c:pt idx="1484">
                  <c:v> 21 </c:v>
                </c:pt>
                <c:pt idx="1485">
                  <c:v> 22 </c:v>
                </c:pt>
                <c:pt idx="1486">
                  <c:v> 23 </c:v>
                </c:pt>
                <c:pt idx="1487">
                  <c:v> 24 </c:v>
                </c:pt>
                <c:pt idx="1488">
                  <c:v>04 Mar 2014</c:v>
                </c:pt>
                <c:pt idx="1489">
                  <c:v> 2 </c:v>
                </c:pt>
                <c:pt idx="1490">
                  <c:v> 3 </c:v>
                </c:pt>
                <c:pt idx="1491">
                  <c:v> 4 </c:v>
                </c:pt>
                <c:pt idx="1492">
                  <c:v> 5 </c:v>
                </c:pt>
                <c:pt idx="1493">
                  <c:v> 6 </c:v>
                </c:pt>
                <c:pt idx="1494">
                  <c:v> 7 </c:v>
                </c:pt>
                <c:pt idx="1495">
                  <c:v> 8 </c:v>
                </c:pt>
                <c:pt idx="1496">
                  <c:v> 9 </c:v>
                </c:pt>
                <c:pt idx="1497">
                  <c:v> 10 </c:v>
                </c:pt>
                <c:pt idx="1498">
                  <c:v> 11 </c:v>
                </c:pt>
                <c:pt idx="1499">
                  <c:v> 12 </c:v>
                </c:pt>
                <c:pt idx="1500">
                  <c:v> 13 </c:v>
                </c:pt>
                <c:pt idx="1501">
                  <c:v> 14 </c:v>
                </c:pt>
                <c:pt idx="1502">
                  <c:v> 15 </c:v>
                </c:pt>
                <c:pt idx="1503">
                  <c:v> 16 </c:v>
                </c:pt>
                <c:pt idx="1504">
                  <c:v> 17 </c:v>
                </c:pt>
                <c:pt idx="1505">
                  <c:v> 18 </c:v>
                </c:pt>
                <c:pt idx="1506">
                  <c:v> 19 </c:v>
                </c:pt>
                <c:pt idx="1507">
                  <c:v> 20 </c:v>
                </c:pt>
                <c:pt idx="1508">
                  <c:v> 21 </c:v>
                </c:pt>
                <c:pt idx="1509">
                  <c:v> 22 </c:v>
                </c:pt>
                <c:pt idx="1510">
                  <c:v> 23 </c:v>
                </c:pt>
                <c:pt idx="1511">
                  <c:v> 24 </c:v>
                </c:pt>
                <c:pt idx="1512">
                  <c:v>05 Mar 2014</c:v>
                </c:pt>
                <c:pt idx="1513">
                  <c:v> 2 </c:v>
                </c:pt>
                <c:pt idx="1514">
                  <c:v> 3 </c:v>
                </c:pt>
                <c:pt idx="1515">
                  <c:v> 4 </c:v>
                </c:pt>
                <c:pt idx="1516">
                  <c:v> 5 </c:v>
                </c:pt>
                <c:pt idx="1517">
                  <c:v> 6 </c:v>
                </c:pt>
                <c:pt idx="1518">
                  <c:v> 7 </c:v>
                </c:pt>
                <c:pt idx="1519">
                  <c:v> 8 </c:v>
                </c:pt>
                <c:pt idx="1520">
                  <c:v> 9 </c:v>
                </c:pt>
                <c:pt idx="1521">
                  <c:v> 10 </c:v>
                </c:pt>
                <c:pt idx="1522">
                  <c:v> 11 </c:v>
                </c:pt>
                <c:pt idx="1523">
                  <c:v> 12 </c:v>
                </c:pt>
                <c:pt idx="1524">
                  <c:v> 13 </c:v>
                </c:pt>
                <c:pt idx="1525">
                  <c:v> 14 </c:v>
                </c:pt>
                <c:pt idx="1526">
                  <c:v> 15 </c:v>
                </c:pt>
                <c:pt idx="1527">
                  <c:v> 16 </c:v>
                </c:pt>
                <c:pt idx="1528">
                  <c:v> 17 </c:v>
                </c:pt>
                <c:pt idx="1529">
                  <c:v> 18 </c:v>
                </c:pt>
                <c:pt idx="1530">
                  <c:v> 19 </c:v>
                </c:pt>
                <c:pt idx="1531">
                  <c:v> 20 </c:v>
                </c:pt>
                <c:pt idx="1532">
                  <c:v> 21 </c:v>
                </c:pt>
                <c:pt idx="1533">
                  <c:v> 22 </c:v>
                </c:pt>
                <c:pt idx="1534">
                  <c:v> 23 </c:v>
                </c:pt>
                <c:pt idx="1535">
                  <c:v> 24 </c:v>
                </c:pt>
                <c:pt idx="1536">
                  <c:v>06 Mar 2014</c:v>
                </c:pt>
                <c:pt idx="1537">
                  <c:v> 2 </c:v>
                </c:pt>
                <c:pt idx="1538">
                  <c:v> 3 </c:v>
                </c:pt>
                <c:pt idx="1539">
                  <c:v> 4 </c:v>
                </c:pt>
                <c:pt idx="1540">
                  <c:v> 5 </c:v>
                </c:pt>
                <c:pt idx="1541">
                  <c:v> 6 </c:v>
                </c:pt>
                <c:pt idx="1542">
                  <c:v> 7 </c:v>
                </c:pt>
                <c:pt idx="1543">
                  <c:v> 8 </c:v>
                </c:pt>
                <c:pt idx="1544">
                  <c:v> 9 </c:v>
                </c:pt>
                <c:pt idx="1545">
                  <c:v> 10 </c:v>
                </c:pt>
                <c:pt idx="1546">
                  <c:v> 11 </c:v>
                </c:pt>
                <c:pt idx="1547">
                  <c:v> 12 </c:v>
                </c:pt>
                <c:pt idx="1548">
                  <c:v> 13 </c:v>
                </c:pt>
                <c:pt idx="1549">
                  <c:v> 14 </c:v>
                </c:pt>
                <c:pt idx="1550">
                  <c:v> 15 </c:v>
                </c:pt>
                <c:pt idx="1551">
                  <c:v> 16 </c:v>
                </c:pt>
                <c:pt idx="1552">
                  <c:v> 17 </c:v>
                </c:pt>
                <c:pt idx="1553">
                  <c:v> 18 </c:v>
                </c:pt>
                <c:pt idx="1554">
                  <c:v> 19 </c:v>
                </c:pt>
                <c:pt idx="1555">
                  <c:v> 20 </c:v>
                </c:pt>
                <c:pt idx="1556">
                  <c:v> 21 </c:v>
                </c:pt>
                <c:pt idx="1557">
                  <c:v> 22 </c:v>
                </c:pt>
                <c:pt idx="1558">
                  <c:v> 23 </c:v>
                </c:pt>
                <c:pt idx="1559">
                  <c:v> 24 </c:v>
                </c:pt>
                <c:pt idx="1560">
                  <c:v>07 Mar 2014</c:v>
                </c:pt>
                <c:pt idx="1561">
                  <c:v> 2 </c:v>
                </c:pt>
                <c:pt idx="1562">
                  <c:v> 3 </c:v>
                </c:pt>
                <c:pt idx="1563">
                  <c:v> 4 </c:v>
                </c:pt>
                <c:pt idx="1564">
                  <c:v> 5 </c:v>
                </c:pt>
                <c:pt idx="1565">
                  <c:v> 6 </c:v>
                </c:pt>
                <c:pt idx="1566">
                  <c:v> 7 </c:v>
                </c:pt>
                <c:pt idx="1567">
                  <c:v> 8 </c:v>
                </c:pt>
                <c:pt idx="1568">
                  <c:v> 9 </c:v>
                </c:pt>
                <c:pt idx="1569">
                  <c:v> 10 </c:v>
                </c:pt>
                <c:pt idx="1570">
                  <c:v> 11 </c:v>
                </c:pt>
                <c:pt idx="1571">
                  <c:v> 12 </c:v>
                </c:pt>
                <c:pt idx="1572">
                  <c:v> 13 </c:v>
                </c:pt>
                <c:pt idx="1573">
                  <c:v> 14 </c:v>
                </c:pt>
                <c:pt idx="1574">
                  <c:v> 15 </c:v>
                </c:pt>
                <c:pt idx="1575">
                  <c:v> 16 </c:v>
                </c:pt>
                <c:pt idx="1576">
                  <c:v> 17 </c:v>
                </c:pt>
                <c:pt idx="1577">
                  <c:v> 18 </c:v>
                </c:pt>
                <c:pt idx="1578">
                  <c:v> 19 </c:v>
                </c:pt>
                <c:pt idx="1579">
                  <c:v> 20 </c:v>
                </c:pt>
                <c:pt idx="1580">
                  <c:v> 21 </c:v>
                </c:pt>
                <c:pt idx="1581">
                  <c:v> 22 </c:v>
                </c:pt>
                <c:pt idx="1582">
                  <c:v> 23 </c:v>
                </c:pt>
                <c:pt idx="1583">
                  <c:v> 24 </c:v>
                </c:pt>
                <c:pt idx="1584">
                  <c:v>08 Mar 2014</c:v>
                </c:pt>
                <c:pt idx="1585">
                  <c:v> 2 </c:v>
                </c:pt>
                <c:pt idx="1586">
                  <c:v> 3 </c:v>
                </c:pt>
                <c:pt idx="1587">
                  <c:v> 4 </c:v>
                </c:pt>
                <c:pt idx="1588">
                  <c:v> 5 </c:v>
                </c:pt>
                <c:pt idx="1589">
                  <c:v> 6 </c:v>
                </c:pt>
                <c:pt idx="1590">
                  <c:v> 7 </c:v>
                </c:pt>
                <c:pt idx="1591">
                  <c:v> 8 </c:v>
                </c:pt>
                <c:pt idx="1592">
                  <c:v> 9 </c:v>
                </c:pt>
                <c:pt idx="1593">
                  <c:v> 10 </c:v>
                </c:pt>
                <c:pt idx="1594">
                  <c:v> 11 </c:v>
                </c:pt>
                <c:pt idx="1595">
                  <c:v> 12 </c:v>
                </c:pt>
                <c:pt idx="1596">
                  <c:v> 13 </c:v>
                </c:pt>
                <c:pt idx="1597">
                  <c:v> 14 </c:v>
                </c:pt>
                <c:pt idx="1598">
                  <c:v> 15 </c:v>
                </c:pt>
                <c:pt idx="1599">
                  <c:v> 16 </c:v>
                </c:pt>
                <c:pt idx="1600">
                  <c:v> 17 </c:v>
                </c:pt>
                <c:pt idx="1601">
                  <c:v> 18 </c:v>
                </c:pt>
                <c:pt idx="1602">
                  <c:v> 19 </c:v>
                </c:pt>
                <c:pt idx="1603">
                  <c:v> 20 </c:v>
                </c:pt>
                <c:pt idx="1604">
                  <c:v> 21 </c:v>
                </c:pt>
                <c:pt idx="1605">
                  <c:v> 22 </c:v>
                </c:pt>
                <c:pt idx="1606">
                  <c:v> 23 </c:v>
                </c:pt>
                <c:pt idx="1607">
                  <c:v> 24 </c:v>
                </c:pt>
                <c:pt idx="1608">
                  <c:v>09 Mar 2014</c:v>
                </c:pt>
                <c:pt idx="1609">
                  <c:v> 2 </c:v>
                </c:pt>
                <c:pt idx="1610">
                  <c:v> 3 </c:v>
                </c:pt>
                <c:pt idx="1611">
                  <c:v> 4 </c:v>
                </c:pt>
                <c:pt idx="1612">
                  <c:v> 5 </c:v>
                </c:pt>
                <c:pt idx="1613">
                  <c:v> 6 </c:v>
                </c:pt>
                <c:pt idx="1614">
                  <c:v> 7 </c:v>
                </c:pt>
                <c:pt idx="1615">
                  <c:v> 8 </c:v>
                </c:pt>
                <c:pt idx="1616">
                  <c:v> 9 </c:v>
                </c:pt>
                <c:pt idx="1617">
                  <c:v> 10 </c:v>
                </c:pt>
                <c:pt idx="1618">
                  <c:v> 11 </c:v>
                </c:pt>
                <c:pt idx="1619">
                  <c:v> 12 </c:v>
                </c:pt>
                <c:pt idx="1620">
                  <c:v> 13 </c:v>
                </c:pt>
                <c:pt idx="1621">
                  <c:v> 14 </c:v>
                </c:pt>
                <c:pt idx="1622">
                  <c:v> 15 </c:v>
                </c:pt>
                <c:pt idx="1623">
                  <c:v> 16 </c:v>
                </c:pt>
                <c:pt idx="1624">
                  <c:v> 17 </c:v>
                </c:pt>
                <c:pt idx="1625">
                  <c:v> 18 </c:v>
                </c:pt>
                <c:pt idx="1626">
                  <c:v> 19 </c:v>
                </c:pt>
                <c:pt idx="1627">
                  <c:v> 20 </c:v>
                </c:pt>
                <c:pt idx="1628">
                  <c:v> 21 </c:v>
                </c:pt>
                <c:pt idx="1629">
                  <c:v> 22 </c:v>
                </c:pt>
                <c:pt idx="1630">
                  <c:v> 23 </c:v>
                </c:pt>
                <c:pt idx="1631">
                  <c:v> 24 </c:v>
                </c:pt>
                <c:pt idx="1632">
                  <c:v>10 Mar 2014</c:v>
                </c:pt>
                <c:pt idx="1633">
                  <c:v> 2 </c:v>
                </c:pt>
                <c:pt idx="1634">
                  <c:v> 3 </c:v>
                </c:pt>
                <c:pt idx="1635">
                  <c:v> 4 </c:v>
                </c:pt>
                <c:pt idx="1636">
                  <c:v> 5 </c:v>
                </c:pt>
                <c:pt idx="1637">
                  <c:v> 6 </c:v>
                </c:pt>
                <c:pt idx="1638">
                  <c:v> 7 </c:v>
                </c:pt>
                <c:pt idx="1639">
                  <c:v> 8 </c:v>
                </c:pt>
                <c:pt idx="1640">
                  <c:v> 9 </c:v>
                </c:pt>
                <c:pt idx="1641">
                  <c:v> 10 </c:v>
                </c:pt>
                <c:pt idx="1642">
                  <c:v> 11 </c:v>
                </c:pt>
                <c:pt idx="1643">
                  <c:v> 12 </c:v>
                </c:pt>
                <c:pt idx="1644">
                  <c:v> 13 </c:v>
                </c:pt>
                <c:pt idx="1645">
                  <c:v> 14 </c:v>
                </c:pt>
                <c:pt idx="1646">
                  <c:v> 15 </c:v>
                </c:pt>
                <c:pt idx="1647">
                  <c:v> 16 </c:v>
                </c:pt>
                <c:pt idx="1648">
                  <c:v> 17 </c:v>
                </c:pt>
                <c:pt idx="1649">
                  <c:v> 18 </c:v>
                </c:pt>
                <c:pt idx="1650">
                  <c:v> 19 </c:v>
                </c:pt>
                <c:pt idx="1651">
                  <c:v> 20 </c:v>
                </c:pt>
                <c:pt idx="1652">
                  <c:v> 21 </c:v>
                </c:pt>
                <c:pt idx="1653">
                  <c:v> 22 </c:v>
                </c:pt>
                <c:pt idx="1654">
                  <c:v> 23 </c:v>
                </c:pt>
                <c:pt idx="1655">
                  <c:v> 24 </c:v>
                </c:pt>
                <c:pt idx="1656">
                  <c:v>11 Mar 2014</c:v>
                </c:pt>
                <c:pt idx="1657">
                  <c:v> 2 </c:v>
                </c:pt>
                <c:pt idx="1658">
                  <c:v> 3 </c:v>
                </c:pt>
                <c:pt idx="1659">
                  <c:v> 4 </c:v>
                </c:pt>
                <c:pt idx="1660">
                  <c:v> 5 </c:v>
                </c:pt>
                <c:pt idx="1661">
                  <c:v> 6 </c:v>
                </c:pt>
                <c:pt idx="1662">
                  <c:v> 7 </c:v>
                </c:pt>
                <c:pt idx="1663">
                  <c:v> 8 </c:v>
                </c:pt>
                <c:pt idx="1664">
                  <c:v> 9 </c:v>
                </c:pt>
                <c:pt idx="1665">
                  <c:v> 10 </c:v>
                </c:pt>
                <c:pt idx="1666">
                  <c:v> 11 </c:v>
                </c:pt>
                <c:pt idx="1667">
                  <c:v> 12 </c:v>
                </c:pt>
                <c:pt idx="1668">
                  <c:v> 13 </c:v>
                </c:pt>
                <c:pt idx="1669">
                  <c:v> 14 </c:v>
                </c:pt>
                <c:pt idx="1670">
                  <c:v> 15 </c:v>
                </c:pt>
                <c:pt idx="1671">
                  <c:v> 16 </c:v>
                </c:pt>
                <c:pt idx="1672">
                  <c:v> 17 </c:v>
                </c:pt>
                <c:pt idx="1673">
                  <c:v> 18 </c:v>
                </c:pt>
                <c:pt idx="1674">
                  <c:v> 19 </c:v>
                </c:pt>
                <c:pt idx="1675">
                  <c:v> 20 </c:v>
                </c:pt>
                <c:pt idx="1676">
                  <c:v> 21 </c:v>
                </c:pt>
                <c:pt idx="1677">
                  <c:v> 22 </c:v>
                </c:pt>
                <c:pt idx="1678">
                  <c:v> 23 </c:v>
                </c:pt>
                <c:pt idx="1679">
                  <c:v> 24 </c:v>
                </c:pt>
                <c:pt idx="1680">
                  <c:v>12 Mar 2014</c:v>
                </c:pt>
                <c:pt idx="1681">
                  <c:v> 2 </c:v>
                </c:pt>
                <c:pt idx="1682">
                  <c:v> 3 </c:v>
                </c:pt>
                <c:pt idx="1683">
                  <c:v> 4 </c:v>
                </c:pt>
                <c:pt idx="1684">
                  <c:v> 5 </c:v>
                </c:pt>
                <c:pt idx="1685">
                  <c:v> 6 </c:v>
                </c:pt>
                <c:pt idx="1686">
                  <c:v> 7 </c:v>
                </c:pt>
                <c:pt idx="1687">
                  <c:v> 8 </c:v>
                </c:pt>
                <c:pt idx="1688">
                  <c:v> 9 </c:v>
                </c:pt>
                <c:pt idx="1689">
                  <c:v> 10 </c:v>
                </c:pt>
                <c:pt idx="1690">
                  <c:v> 11 </c:v>
                </c:pt>
                <c:pt idx="1691">
                  <c:v> 12 </c:v>
                </c:pt>
                <c:pt idx="1692">
                  <c:v> 13 </c:v>
                </c:pt>
                <c:pt idx="1693">
                  <c:v> 14 </c:v>
                </c:pt>
                <c:pt idx="1694">
                  <c:v> 15 </c:v>
                </c:pt>
                <c:pt idx="1695">
                  <c:v> 16 </c:v>
                </c:pt>
                <c:pt idx="1696">
                  <c:v> 17 </c:v>
                </c:pt>
                <c:pt idx="1697">
                  <c:v> 18 </c:v>
                </c:pt>
                <c:pt idx="1698">
                  <c:v> 19 </c:v>
                </c:pt>
                <c:pt idx="1699">
                  <c:v> 20 </c:v>
                </c:pt>
                <c:pt idx="1700">
                  <c:v> 21 </c:v>
                </c:pt>
                <c:pt idx="1701">
                  <c:v> 22 </c:v>
                </c:pt>
                <c:pt idx="1702">
                  <c:v> 23 </c:v>
                </c:pt>
                <c:pt idx="1703">
                  <c:v> 24 </c:v>
                </c:pt>
                <c:pt idx="1704">
                  <c:v>13 Mar 2014</c:v>
                </c:pt>
                <c:pt idx="1705">
                  <c:v> 2 </c:v>
                </c:pt>
                <c:pt idx="1706">
                  <c:v> 3 </c:v>
                </c:pt>
                <c:pt idx="1707">
                  <c:v> 4 </c:v>
                </c:pt>
                <c:pt idx="1708">
                  <c:v> 5 </c:v>
                </c:pt>
                <c:pt idx="1709">
                  <c:v> 6 </c:v>
                </c:pt>
                <c:pt idx="1710">
                  <c:v> 7 </c:v>
                </c:pt>
                <c:pt idx="1711">
                  <c:v> 8 </c:v>
                </c:pt>
                <c:pt idx="1712">
                  <c:v> 9 </c:v>
                </c:pt>
                <c:pt idx="1713">
                  <c:v> 10 </c:v>
                </c:pt>
                <c:pt idx="1714">
                  <c:v> 11 </c:v>
                </c:pt>
                <c:pt idx="1715">
                  <c:v> 12 </c:v>
                </c:pt>
                <c:pt idx="1716">
                  <c:v> 13 </c:v>
                </c:pt>
                <c:pt idx="1717">
                  <c:v> 14 </c:v>
                </c:pt>
                <c:pt idx="1718">
                  <c:v> 15 </c:v>
                </c:pt>
                <c:pt idx="1719">
                  <c:v> 16 </c:v>
                </c:pt>
                <c:pt idx="1720">
                  <c:v> 17 </c:v>
                </c:pt>
                <c:pt idx="1721">
                  <c:v> 18 </c:v>
                </c:pt>
                <c:pt idx="1722">
                  <c:v> 19 </c:v>
                </c:pt>
                <c:pt idx="1723">
                  <c:v> 20 </c:v>
                </c:pt>
                <c:pt idx="1724">
                  <c:v> 21 </c:v>
                </c:pt>
                <c:pt idx="1725">
                  <c:v> 22 </c:v>
                </c:pt>
                <c:pt idx="1726">
                  <c:v> 23 </c:v>
                </c:pt>
                <c:pt idx="1727">
                  <c:v> 24 </c:v>
                </c:pt>
                <c:pt idx="1728">
                  <c:v>14 Mar 2014</c:v>
                </c:pt>
                <c:pt idx="1729">
                  <c:v> 2 </c:v>
                </c:pt>
                <c:pt idx="1730">
                  <c:v> 3 </c:v>
                </c:pt>
                <c:pt idx="1731">
                  <c:v> 4 </c:v>
                </c:pt>
                <c:pt idx="1732">
                  <c:v> 5 </c:v>
                </c:pt>
                <c:pt idx="1733">
                  <c:v> 6 </c:v>
                </c:pt>
                <c:pt idx="1734">
                  <c:v> 7 </c:v>
                </c:pt>
                <c:pt idx="1735">
                  <c:v> 8 </c:v>
                </c:pt>
                <c:pt idx="1736">
                  <c:v> 9 </c:v>
                </c:pt>
                <c:pt idx="1737">
                  <c:v> 10 </c:v>
                </c:pt>
                <c:pt idx="1738">
                  <c:v> 11 </c:v>
                </c:pt>
                <c:pt idx="1739">
                  <c:v> 12 </c:v>
                </c:pt>
                <c:pt idx="1740">
                  <c:v> 13 </c:v>
                </c:pt>
                <c:pt idx="1741">
                  <c:v> 14 </c:v>
                </c:pt>
                <c:pt idx="1742">
                  <c:v> 15 </c:v>
                </c:pt>
                <c:pt idx="1743">
                  <c:v> 16 </c:v>
                </c:pt>
                <c:pt idx="1744">
                  <c:v> 17 </c:v>
                </c:pt>
                <c:pt idx="1745">
                  <c:v> 18 </c:v>
                </c:pt>
                <c:pt idx="1746">
                  <c:v> 19 </c:v>
                </c:pt>
                <c:pt idx="1747">
                  <c:v> 20 </c:v>
                </c:pt>
                <c:pt idx="1748">
                  <c:v> 21 </c:v>
                </c:pt>
                <c:pt idx="1749">
                  <c:v> 22 </c:v>
                </c:pt>
                <c:pt idx="1750">
                  <c:v> 23 </c:v>
                </c:pt>
                <c:pt idx="1751">
                  <c:v> 24 </c:v>
                </c:pt>
                <c:pt idx="1752">
                  <c:v>15 Mar 2014</c:v>
                </c:pt>
                <c:pt idx="1753">
                  <c:v> 2 </c:v>
                </c:pt>
                <c:pt idx="1754">
                  <c:v> 3 </c:v>
                </c:pt>
                <c:pt idx="1755">
                  <c:v> 4 </c:v>
                </c:pt>
                <c:pt idx="1756">
                  <c:v> 5 </c:v>
                </c:pt>
                <c:pt idx="1757">
                  <c:v> 6 </c:v>
                </c:pt>
                <c:pt idx="1758">
                  <c:v> 7 </c:v>
                </c:pt>
                <c:pt idx="1759">
                  <c:v> 8 </c:v>
                </c:pt>
                <c:pt idx="1760">
                  <c:v> 9 </c:v>
                </c:pt>
                <c:pt idx="1761">
                  <c:v> 10 </c:v>
                </c:pt>
                <c:pt idx="1762">
                  <c:v> 11 </c:v>
                </c:pt>
                <c:pt idx="1763">
                  <c:v> 12 </c:v>
                </c:pt>
                <c:pt idx="1764">
                  <c:v> 13 </c:v>
                </c:pt>
                <c:pt idx="1765">
                  <c:v> 14 </c:v>
                </c:pt>
                <c:pt idx="1766">
                  <c:v> 15 </c:v>
                </c:pt>
                <c:pt idx="1767">
                  <c:v> 16 </c:v>
                </c:pt>
                <c:pt idx="1768">
                  <c:v> 17 </c:v>
                </c:pt>
                <c:pt idx="1769">
                  <c:v> 18 </c:v>
                </c:pt>
                <c:pt idx="1770">
                  <c:v> 19 </c:v>
                </c:pt>
                <c:pt idx="1771">
                  <c:v> 20 </c:v>
                </c:pt>
                <c:pt idx="1772">
                  <c:v> 21 </c:v>
                </c:pt>
                <c:pt idx="1773">
                  <c:v> 22 </c:v>
                </c:pt>
                <c:pt idx="1774">
                  <c:v> 23 </c:v>
                </c:pt>
                <c:pt idx="1775">
                  <c:v> 24 </c:v>
                </c:pt>
                <c:pt idx="1776">
                  <c:v>16 Mar 2014</c:v>
                </c:pt>
                <c:pt idx="1777">
                  <c:v> 2 </c:v>
                </c:pt>
                <c:pt idx="1778">
                  <c:v> 3 </c:v>
                </c:pt>
                <c:pt idx="1779">
                  <c:v> 4 </c:v>
                </c:pt>
                <c:pt idx="1780">
                  <c:v> 5 </c:v>
                </c:pt>
                <c:pt idx="1781">
                  <c:v> 6 </c:v>
                </c:pt>
                <c:pt idx="1782">
                  <c:v> 7 </c:v>
                </c:pt>
                <c:pt idx="1783">
                  <c:v> 8 </c:v>
                </c:pt>
                <c:pt idx="1784">
                  <c:v> 9 </c:v>
                </c:pt>
                <c:pt idx="1785">
                  <c:v> 10 </c:v>
                </c:pt>
                <c:pt idx="1786">
                  <c:v> 11 </c:v>
                </c:pt>
                <c:pt idx="1787">
                  <c:v> 12 </c:v>
                </c:pt>
                <c:pt idx="1788">
                  <c:v> 13 </c:v>
                </c:pt>
                <c:pt idx="1789">
                  <c:v> 14 </c:v>
                </c:pt>
                <c:pt idx="1790">
                  <c:v> 15 </c:v>
                </c:pt>
                <c:pt idx="1791">
                  <c:v> 16 </c:v>
                </c:pt>
                <c:pt idx="1792">
                  <c:v> 17 </c:v>
                </c:pt>
                <c:pt idx="1793">
                  <c:v> 18 </c:v>
                </c:pt>
                <c:pt idx="1794">
                  <c:v> 19 </c:v>
                </c:pt>
                <c:pt idx="1795">
                  <c:v> 20 </c:v>
                </c:pt>
                <c:pt idx="1796">
                  <c:v> 21 </c:v>
                </c:pt>
                <c:pt idx="1797">
                  <c:v> 22 </c:v>
                </c:pt>
                <c:pt idx="1798">
                  <c:v> 23 </c:v>
                </c:pt>
                <c:pt idx="1799">
                  <c:v> 24 </c:v>
                </c:pt>
                <c:pt idx="1800">
                  <c:v>17 Mar 2014</c:v>
                </c:pt>
                <c:pt idx="1801">
                  <c:v> 2 </c:v>
                </c:pt>
                <c:pt idx="1802">
                  <c:v> 3 </c:v>
                </c:pt>
                <c:pt idx="1803">
                  <c:v> 4 </c:v>
                </c:pt>
                <c:pt idx="1804">
                  <c:v> 5 </c:v>
                </c:pt>
                <c:pt idx="1805">
                  <c:v> 6 </c:v>
                </c:pt>
                <c:pt idx="1806">
                  <c:v> 7 </c:v>
                </c:pt>
                <c:pt idx="1807">
                  <c:v> 8 </c:v>
                </c:pt>
                <c:pt idx="1808">
                  <c:v> 9 </c:v>
                </c:pt>
                <c:pt idx="1809">
                  <c:v> 10 </c:v>
                </c:pt>
                <c:pt idx="1810">
                  <c:v> 11 </c:v>
                </c:pt>
                <c:pt idx="1811">
                  <c:v> 12 </c:v>
                </c:pt>
                <c:pt idx="1812">
                  <c:v> 13 </c:v>
                </c:pt>
                <c:pt idx="1813">
                  <c:v> 14 </c:v>
                </c:pt>
                <c:pt idx="1814">
                  <c:v> 15 </c:v>
                </c:pt>
                <c:pt idx="1815">
                  <c:v> 16 </c:v>
                </c:pt>
                <c:pt idx="1816">
                  <c:v> 17 </c:v>
                </c:pt>
                <c:pt idx="1817">
                  <c:v> 18 </c:v>
                </c:pt>
                <c:pt idx="1818">
                  <c:v> 19 </c:v>
                </c:pt>
                <c:pt idx="1819">
                  <c:v> 20 </c:v>
                </c:pt>
                <c:pt idx="1820">
                  <c:v> 21 </c:v>
                </c:pt>
                <c:pt idx="1821">
                  <c:v> 22 </c:v>
                </c:pt>
                <c:pt idx="1822">
                  <c:v> 23 </c:v>
                </c:pt>
                <c:pt idx="1823">
                  <c:v> 24 </c:v>
                </c:pt>
                <c:pt idx="1824">
                  <c:v>18 Mar 2014</c:v>
                </c:pt>
                <c:pt idx="1825">
                  <c:v> 2 </c:v>
                </c:pt>
                <c:pt idx="1826">
                  <c:v> 3 </c:v>
                </c:pt>
                <c:pt idx="1827">
                  <c:v> 4 </c:v>
                </c:pt>
                <c:pt idx="1828">
                  <c:v> 5 </c:v>
                </c:pt>
                <c:pt idx="1829">
                  <c:v> 6 </c:v>
                </c:pt>
                <c:pt idx="1830">
                  <c:v> 7 </c:v>
                </c:pt>
                <c:pt idx="1831">
                  <c:v> 8 </c:v>
                </c:pt>
                <c:pt idx="1832">
                  <c:v> 9 </c:v>
                </c:pt>
                <c:pt idx="1833">
                  <c:v> 10 </c:v>
                </c:pt>
                <c:pt idx="1834">
                  <c:v> 11 </c:v>
                </c:pt>
                <c:pt idx="1835">
                  <c:v> 12 </c:v>
                </c:pt>
                <c:pt idx="1836">
                  <c:v> 13 </c:v>
                </c:pt>
                <c:pt idx="1837">
                  <c:v> 14 </c:v>
                </c:pt>
                <c:pt idx="1838">
                  <c:v> 15 </c:v>
                </c:pt>
                <c:pt idx="1839">
                  <c:v> 16 </c:v>
                </c:pt>
                <c:pt idx="1840">
                  <c:v> 17 </c:v>
                </c:pt>
                <c:pt idx="1841">
                  <c:v> 18 </c:v>
                </c:pt>
                <c:pt idx="1842">
                  <c:v> 19 </c:v>
                </c:pt>
                <c:pt idx="1843">
                  <c:v> 20 </c:v>
                </c:pt>
                <c:pt idx="1844">
                  <c:v> 21 </c:v>
                </c:pt>
                <c:pt idx="1845">
                  <c:v> 22 </c:v>
                </c:pt>
                <c:pt idx="1846">
                  <c:v> 23 </c:v>
                </c:pt>
                <c:pt idx="1847">
                  <c:v> 24 </c:v>
                </c:pt>
                <c:pt idx="1848">
                  <c:v>19 Mar 2014</c:v>
                </c:pt>
                <c:pt idx="1849">
                  <c:v> 2 </c:v>
                </c:pt>
                <c:pt idx="1850">
                  <c:v> 3 </c:v>
                </c:pt>
                <c:pt idx="1851">
                  <c:v> 4 </c:v>
                </c:pt>
                <c:pt idx="1852">
                  <c:v> 5 </c:v>
                </c:pt>
                <c:pt idx="1853">
                  <c:v> 6 </c:v>
                </c:pt>
                <c:pt idx="1854">
                  <c:v> 7 </c:v>
                </c:pt>
                <c:pt idx="1855">
                  <c:v> 8 </c:v>
                </c:pt>
                <c:pt idx="1856">
                  <c:v> 9 </c:v>
                </c:pt>
                <c:pt idx="1857">
                  <c:v> 10 </c:v>
                </c:pt>
                <c:pt idx="1858">
                  <c:v> 11 </c:v>
                </c:pt>
                <c:pt idx="1859">
                  <c:v> 12 </c:v>
                </c:pt>
                <c:pt idx="1860">
                  <c:v> 13 </c:v>
                </c:pt>
                <c:pt idx="1861">
                  <c:v> 14 </c:v>
                </c:pt>
                <c:pt idx="1862">
                  <c:v> 15 </c:v>
                </c:pt>
                <c:pt idx="1863">
                  <c:v> 16 </c:v>
                </c:pt>
                <c:pt idx="1864">
                  <c:v> 17 </c:v>
                </c:pt>
                <c:pt idx="1865">
                  <c:v> 18 </c:v>
                </c:pt>
                <c:pt idx="1866">
                  <c:v> 19 </c:v>
                </c:pt>
                <c:pt idx="1867">
                  <c:v> 20 </c:v>
                </c:pt>
                <c:pt idx="1868">
                  <c:v> 21 </c:v>
                </c:pt>
                <c:pt idx="1869">
                  <c:v> 22 </c:v>
                </c:pt>
                <c:pt idx="1870">
                  <c:v> 23 </c:v>
                </c:pt>
                <c:pt idx="1871">
                  <c:v> 24 </c:v>
                </c:pt>
                <c:pt idx="1872">
                  <c:v>20 Mar 2014</c:v>
                </c:pt>
                <c:pt idx="1873">
                  <c:v> 2 </c:v>
                </c:pt>
                <c:pt idx="1874">
                  <c:v> 3 </c:v>
                </c:pt>
                <c:pt idx="1875">
                  <c:v> 4 </c:v>
                </c:pt>
                <c:pt idx="1876">
                  <c:v> 5 </c:v>
                </c:pt>
                <c:pt idx="1877">
                  <c:v> 6 </c:v>
                </c:pt>
                <c:pt idx="1878">
                  <c:v> 7 </c:v>
                </c:pt>
                <c:pt idx="1879">
                  <c:v> 8 </c:v>
                </c:pt>
                <c:pt idx="1880">
                  <c:v> 9 </c:v>
                </c:pt>
                <c:pt idx="1881">
                  <c:v> 10 </c:v>
                </c:pt>
                <c:pt idx="1882">
                  <c:v> 11 </c:v>
                </c:pt>
                <c:pt idx="1883">
                  <c:v> 12 </c:v>
                </c:pt>
                <c:pt idx="1884">
                  <c:v> 13 </c:v>
                </c:pt>
                <c:pt idx="1885">
                  <c:v> 14 </c:v>
                </c:pt>
                <c:pt idx="1886">
                  <c:v> 15 </c:v>
                </c:pt>
                <c:pt idx="1887">
                  <c:v> 16 </c:v>
                </c:pt>
                <c:pt idx="1888">
                  <c:v> 17 </c:v>
                </c:pt>
                <c:pt idx="1889">
                  <c:v> 18 </c:v>
                </c:pt>
                <c:pt idx="1890">
                  <c:v> 19 </c:v>
                </c:pt>
                <c:pt idx="1891">
                  <c:v> 20 </c:v>
                </c:pt>
                <c:pt idx="1892">
                  <c:v> 21 </c:v>
                </c:pt>
                <c:pt idx="1893">
                  <c:v> 22 </c:v>
                </c:pt>
                <c:pt idx="1894">
                  <c:v> 23 </c:v>
                </c:pt>
                <c:pt idx="1895">
                  <c:v> 24 </c:v>
                </c:pt>
                <c:pt idx="1896">
                  <c:v>21 Mar 2014</c:v>
                </c:pt>
                <c:pt idx="1897">
                  <c:v> 2 </c:v>
                </c:pt>
                <c:pt idx="1898">
                  <c:v> 3 </c:v>
                </c:pt>
                <c:pt idx="1899">
                  <c:v> 4 </c:v>
                </c:pt>
                <c:pt idx="1900">
                  <c:v> 5 </c:v>
                </c:pt>
                <c:pt idx="1901">
                  <c:v> 6 </c:v>
                </c:pt>
                <c:pt idx="1902">
                  <c:v> 7 </c:v>
                </c:pt>
                <c:pt idx="1903">
                  <c:v> 8 </c:v>
                </c:pt>
                <c:pt idx="1904">
                  <c:v> 9 </c:v>
                </c:pt>
                <c:pt idx="1905">
                  <c:v> 10 </c:v>
                </c:pt>
                <c:pt idx="1906">
                  <c:v> 11 </c:v>
                </c:pt>
                <c:pt idx="1907">
                  <c:v> 12 </c:v>
                </c:pt>
                <c:pt idx="1908">
                  <c:v> 13 </c:v>
                </c:pt>
                <c:pt idx="1909">
                  <c:v> 14 </c:v>
                </c:pt>
                <c:pt idx="1910">
                  <c:v> 15 </c:v>
                </c:pt>
                <c:pt idx="1911">
                  <c:v> 16 </c:v>
                </c:pt>
                <c:pt idx="1912">
                  <c:v> 17 </c:v>
                </c:pt>
                <c:pt idx="1913">
                  <c:v> 18 </c:v>
                </c:pt>
                <c:pt idx="1914">
                  <c:v> 19 </c:v>
                </c:pt>
                <c:pt idx="1915">
                  <c:v> 20 </c:v>
                </c:pt>
                <c:pt idx="1916">
                  <c:v> 21 </c:v>
                </c:pt>
                <c:pt idx="1917">
                  <c:v> 22 </c:v>
                </c:pt>
                <c:pt idx="1918">
                  <c:v> 23 </c:v>
                </c:pt>
                <c:pt idx="1919">
                  <c:v> 24 </c:v>
                </c:pt>
                <c:pt idx="1920">
                  <c:v>22 Mar 2014</c:v>
                </c:pt>
                <c:pt idx="1921">
                  <c:v> 2 </c:v>
                </c:pt>
                <c:pt idx="1922">
                  <c:v> 3 </c:v>
                </c:pt>
                <c:pt idx="1923">
                  <c:v> 4 </c:v>
                </c:pt>
                <c:pt idx="1924">
                  <c:v> 5 </c:v>
                </c:pt>
                <c:pt idx="1925">
                  <c:v> 6 </c:v>
                </c:pt>
                <c:pt idx="1926">
                  <c:v> 7 </c:v>
                </c:pt>
                <c:pt idx="1927">
                  <c:v> 8 </c:v>
                </c:pt>
                <c:pt idx="1928">
                  <c:v> 9 </c:v>
                </c:pt>
                <c:pt idx="1929">
                  <c:v> 10 </c:v>
                </c:pt>
                <c:pt idx="1930">
                  <c:v> 11 </c:v>
                </c:pt>
                <c:pt idx="1931">
                  <c:v> 12 </c:v>
                </c:pt>
                <c:pt idx="1932">
                  <c:v> 13 </c:v>
                </c:pt>
                <c:pt idx="1933">
                  <c:v> 14 </c:v>
                </c:pt>
                <c:pt idx="1934">
                  <c:v> 15 </c:v>
                </c:pt>
                <c:pt idx="1935">
                  <c:v> 16 </c:v>
                </c:pt>
                <c:pt idx="1936">
                  <c:v> 17 </c:v>
                </c:pt>
                <c:pt idx="1937">
                  <c:v> 18 </c:v>
                </c:pt>
                <c:pt idx="1938">
                  <c:v> 19 </c:v>
                </c:pt>
                <c:pt idx="1939">
                  <c:v> 20 </c:v>
                </c:pt>
                <c:pt idx="1940">
                  <c:v> 21 </c:v>
                </c:pt>
                <c:pt idx="1941">
                  <c:v> 22 </c:v>
                </c:pt>
                <c:pt idx="1942">
                  <c:v> 23 </c:v>
                </c:pt>
                <c:pt idx="1943">
                  <c:v> 24 </c:v>
                </c:pt>
                <c:pt idx="1944">
                  <c:v>23 Mar 2014</c:v>
                </c:pt>
                <c:pt idx="1945">
                  <c:v> 2 </c:v>
                </c:pt>
                <c:pt idx="1946">
                  <c:v> 3 </c:v>
                </c:pt>
                <c:pt idx="1947">
                  <c:v> 4 </c:v>
                </c:pt>
                <c:pt idx="1948">
                  <c:v> 5 </c:v>
                </c:pt>
                <c:pt idx="1949">
                  <c:v> 6 </c:v>
                </c:pt>
                <c:pt idx="1950">
                  <c:v> 7 </c:v>
                </c:pt>
                <c:pt idx="1951">
                  <c:v> 8 </c:v>
                </c:pt>
                <c:pt idx="1952">
                  <c:v> 9 </c:v>
                </c:pt>
                <c:pt idx="1953">
                  <c:v> 10 </c:v>
                </c:pt>
                <c:pt idx="1954">
                  <c:v> 11 </c:v>
                </c:pt>
                <c:pt idx="1955">
                  <c:v> 12 </c:v>
                </c:pt>
                <c:pt idx="1956">
                  <c:v> 13 </c:v>
                </c:pt>
                <c:pt idx="1957">
                  <c:v> 14 </c:v>
                </c:pt>
                <c:pt idx="1958">
                  <c:v> 15 </c:v>
                </c:pt>
                <c:pt idx="1959">
                  <c:v> 16 </c:v>
                </c:pt>
                <c:pt idx="1960">
                  <c:v> 17 </c:v>
                </c:pt>
                <c:pt idx="1961">
                  <c:v> 18 </c:v>
                </c:pt>
                <c:pt idx="1962">
                  <c:v> 19 </c:v>
                </c:pt>
                <c:pt idx="1963">
                  <c:v> 20 </c:v>
                </c:pt>
                <c:pt idx="1964">
                  <c:v> 21 </c:v>
                </c:pt>
                <c:pt idx="1965">
                  <c:v> 22 </c:v>
                </c:pt>
                <c:pt idx="1966">
                  <c:v> 23 </c:v>
                </c:pt>
                <c:pt idx="1967">
                  <c:v> 24 </c:v>
                </c:pt>
                <c:pt idx="1968">
                  <c:v>24 Mar 2014</c:v>
                </c:pt>
                <c:pt idx="1969">
                  <c:v> 2 </c:v>
                </c:pt>
                <c:pt idx="1970">
                  <c:v> 3 </c:v>
                </c:pt>
                <c:pt idx="1971">
                  <c:v> 4 </c:v>
                </c:pt>
                <c:pt idx="1972">
                  <c:v> 5 </c:v>
                </c:pt>
                <c:pt idx="1973">
                  <c:v> 6 </c:v>
                </c:pt>
                <c:pt idx="1974">
                  <c:v> 7 </c:v>
                </c:pt>
                <c:pt idx="1975">
                  <c:v> 8 </c:v>
                </c:pt>
                <c:pt idx="1976">
                  <c:v> 9 </c:v>
                </c:pt>
                <c:pt idx="1977">
                  <c:v> 10 </c:v>
                </c:pt>
                <c:pt idx="1978">
                  <c:v> 11 </c:v>
                </c:pt>
                <c:pt idx="1979">
                  <c:v> 12 </c:v>
                </c:pt>
                <c:pt idx="1980">
                  <c:v> 13 </c:v>
                </c:pt>
                <c:pt idx="1981">
                  <c:v> 14 </c:v>
                </c:pt>
                <c:pt idx="1982">
                  <c:v> 15 </c:v>
                </c:pt>
                <c:pt idx="1983">
                  <c:v> 16 </c:v>
                </c:pt>
                <c:pt idx="1984">
                  <c:v> 17 </c:v>
                </c:pt>
                <c:pt idx="1985">
                  <c:v> 18 </c:v>
                </c:pt>
                <c:pt idx="1986">
                  <c:v> 19 </c:v>
                </c:pt>
                <c:pt idx="1987">
                  <c:v> 20 </c:v>
                </c:pt>
                <c:pt idx="1988">
                  <c:v> 21 </c:v>
                </c:pt>
                <c:pt idx="1989">
                  <c:v> 22 </c:v>
                </c:pt>
                <c:pt idx="1990">
                  <c:v> 23 </c:v>
                </c:pt>
                <c:pt idx="1991">
                  <c:v> 24 </c:v>
                </c:pt>
                <c:pt idx="1992">
                  <c:v>25 Mar 2014</c:v>
                </c:pt>
                <c:pt idx="1993">
                  <c:v> 2 </c:v>
                </c:pt>
                <c:pt idx="1994">
                  <c:v> 3 </c:v>
                </c:pt>
                <c:pt idx="1995">
                  <c:v> 4 </c:v>
                </c:pt>
                <c:pt idx="1996">
                  <c:v> 5 </c:v>
                </c:pt>
                <c:pt idx="1997">
                  <c:v> 6 </c:v>
                </c:pt>
                <c:pt idx="1998">
                  <c:v> 7 </c:v>
                </c:pt>
                <c:pt idx="1999">
                  <c:v> 8 </c:v>
                </c:pt>
                <c:pt idx="2000">
                  <c:v> 9 </c:v>
                </c:pt>
                <c:pt idx="2001">
                  <c:v> 10 </c:v>
                </c:pt>
                <c:pt idx="2002">
                  <c:v> 11 </c:v>
                </c:pt>
                <c:pt idx="2003">
                  <c:v> 12 </c:v>
                </c:pt>
                <c:pt idx="2004">
                  <c:v> 13 </c:v>
                </c:pt>
                <c:pt idx="2005">
                  <c:v> 14 </c:v>
                </c:pt>
                <c:pt idx="2006">
                  <c:v> 15 </c:v>
                </c:pt>
                <c:pt idx="2007">
                  <c:v> 16 </c:v>
                </c:pt>
                <c:pt idx="2008">
                  <c:v> 17 </c:v>
                </c:pt>
                <c:pt idx="2009">
                  <c:v> 18 </c:v>
                </c:pt>
                <c:pt idx="2010">
                  <c:v> 19 </c:v>
                </c:pt>
                <c:pt idx="2011">
                  <c:v> 20 </c:v>
                </c:pt>
                <c:pt idx="2012">
                  <c:v> 21 </c:v>
                </c:pt>
                <c:pt idx="2013">
                  <c:v> 22 </c:v>
                </c:pt>
                <c:pt idx="2014">
                  <c:v> 23 </c:v>
                </c:pt>
                <c:pt idx="2015">
                  <c:v> 24 </c:v>
                </c:pt>
                <c:pt idx="2016">
                  <c:v>26 Mar 2014</c:v>
                </c:pt>
                <c:pt idx="2017">
                  <c:v> 2 </c:v>
                </c:pt>
                <c:pt idx="2018">
                  <c:v> 3 </c:v>
                </c:pt>
                <c:pt idx="2019">
                  <c:v> 4 </c:v>
                </c:pt>
                <c:pt idx="2020">
                  <c:v> 5 </c:v>
                </c:pt>
                <c:pt idx="2021">
                  <c:v> 6 </c:v>
                </c:pt>
                <c:pt idx="2022">
                  <c:v> 7 </c:v>
                </c:pt>
                <c:pt idx="2023">
                  <c:v> 8 </c:v>
                </c:pt>
                <c:pt idx="2024">
                  <c:v> 9 </c:v>
                </c:pt>
                <c:pt idx="2025">
                  <c:v> 10 </c:v>
                </c:pt>
                <c:pt idx="2026">
                  <c:v> 11 </c:v>
                </c:pt>
                <c:pt idx="2027">
                  <c:v> 12 </c:v>
                </c:pt>
                <c:pt idx="2028">
                  <c:v> 13 </c:v>
                </c:pt>
                <c:pt idx="2029">
                  <c:v> 14 </c:v>
                </c:pt>
                <c:pt idx="2030">
                  <c:v> 15 </c:v>
                </c:pt>
                <c:pt idx="2031">
                  <c:v> 16 </c:v>
                </c:pt>
                <c:pt idx="2032">
                  <c:v> 17 </c:v>
                </c:pt>
                <c:pt idx="2033">
                  <c:v> 18 </c:v>
                </c:pt>
                <c:pt idx="2034">
                  <c:v> 19 </c:v>
                </c:pt>
                <c:pt idx="2035">
                  <c:v> 20 </c:v>
                </c:pt>
                <c:pt idx="2036">
                  <c:v> 21 </c:v>
                </c:pt>
                <c:pt idx="2037">
                  <c:v> 22 </c:v>
                </c:pt>
                <c:pt idx="2038">
                  <c:v> 23 </c:v>
                </c:pt>
                <c:pt idx="2039">
                  <c:v> 24 </c:v>
                </c:pt>
                <c:pt idx="2040">
                  <c:v>27 Mar 2014</c:v>
                </c:pt>
                <c:pt idx="2041">
                  <c:v> 2 </c:v>
                </c:pt>
                <c:pt idx="2042">
                  <c:v> 3 </c:v>
                </c:pt>
                <c:pt idx="2043">
                  <c:v> 4 </c:v>
                </c:pt>
                <c:pt idx="2044">
                  <c:v> 5 </c:v>
                </c:pt>
                <c:pt idx="2045">
                  <c:v> 6 </c:v>
                </c:pt>
                <c:pt idx="2046">
                  <c:v> 7 </c:v>
                </c:pt>
                <c:pt idx="2047">
                  <c:v> 8 </c:v>
                </c:pt>
                <c:pt idx="2048">
                  <c:v> 9 </c:v>
                </c:pt>
                <c:pt idx="2049">
                  <c:v> 10 </c:v>
                </c:pt>
                <c:pt idx="2050">
                  <c:v> 11 </c:v>
                </c:pt>
                <c:pt idx="2051">
                  <c:v> 12 </c:v>
                </c:pt>
                <c:pt idx="2052">
                  <c:v> 13 </c:v>
                </c:pt>
                <c:pt idx="2053">
                  <c:v> 14 </c:v>
                </c:pt>
                <c:pt idx="2054">
                  <c:v> 15 </c:v>
                </c:pt>
                <c:pt idx="2055">
                  <c:v> 16 </c:v>
                </c:pt>
                <c:pt idx="2056">
                  <c:v> 17 </c:v>
                </c:pt>
                <c:pt idx="2057">
                  <c:v> 18 </c:v>
                </c:pt>
                <c:pt idx="2058">
                  <c:v> 19 </c:v>
                </c:pt>
                <c:pt idx="2059">
                  <c:v> 20 </c:v>
                </c:pt>
                <c:pt idx="2060">
                  <c:v> 21 </c:v>
                </c:pt>
                <c:pt idx="2061">
                  <c:v> 22 </c:v>
                </c:pt>
                <c:pt idx="2062">
                  <c:v> 23 </c:v>
                </c:pt>
                <c:pt idx="2063">
                  <c:v> 24 </c:v>
                </c:pt>
                <c:pt idx="2064">
                  <c:v>28 Mar 2014</c:v>
                </c:pt>
                <c:pt idx="2065">
                  <c:v> 2 </c:v>
                </c:pt>
                <c:pt idx="2066">
                  <c:v> 3 </c:v>
                </c:pt>
                <c:pt idx="2067">
                  <c:v> 4 </c:v>
                </c:pt>
                <c:pt idx="2068">
                  <c:v> 5 </c:v>
                </c:pt>
                <c:pt idx="2069">
                  <c:v> 6 </c:v>
                </c:pt>
                <c:pt idx="2070">
                  <c:v> 7 </c:v>
                </c:pt>
                <c:pt idx="2071">
                  <c:v> 8 </c:v>
                </c:pt>
                <c:pt idx="2072">
                  <c:v> 9 </c:v>
                </c:pt>
                <c:pt idx="2073">
                  <c:v> 10 </c:v>
                </c:pt>
                <c:pt idx="2074">
                  <c:v> 11 </c:v>
                </c:pt>
                <c:pt idx="2075">
                  <c:v> 12 </c:v>
                </c:pt>
                <c:pt idx="2076">
                  <c:v> 13 </c:v>
                </c:pt>
                <c:pt idx="2077">
                  <c:v> 14 </c:v>
                </c:pt>
                <c:pt idx="2078">
                  <c:v> 15 </c:v>
                </c:pt>
                <c:pt idx="2079">
                  <c:v> 16 </c:v>
                </c:pt>
                <c:pt idx="2080">
                  <c:v> 17 </c:v>
                </c:pt>
                <c:pt idx="2081">
                  <c:v> 18 </c:v>
                </c:pt>
                <c:pt idx="2082">
                  <c:v> 19 </c:v>
                </c:pt>
                <c:pt idx="2083">
                  <c:v> 20 </c:v>
                </c:pt>
                <c:pt idx="2084">
                  <c:v> 21 </c:v>
                </c:pt>
                <c:pt idx="2085">
                  <c:v> 22 </c:v>
                </c:pt>
                <c:pt idx="2086">
                  <c:v> 23 </c:v>
                </c:pt>
                <c:pt idx="2087">
                  <c:v> 24 </c:v>
                </c:pt>
                <c:pt idx="2088">
                  <c:v>29 Mar 2014</c:v>
                </c:pt>
                <c:pt idx="2089">
                  <c:v> 2 </c:v>
                </c:pt>
                <c:pt idx="2090">
                  <c:v> 3 </c:v>
                </c:pt>
                <c:pt idx="2091">
                  <c:v> 4 </c:v>
                </c:pt>
                <c:pt idx="2092">
                  <c:v> 5 </c:v>
                </c:pt>
                <c:pt idx="2093">
                  <c:v> 6 </c:v>
                </c:pt>
                <c:pt idx="2094">
                  <c:v> 7 </c:v>
                </c:pt>
                <c:pt idx="2095">
                  <c:v> 8 </c:v>
                </c:pt>
                <c:pt idx="2096">
                  <c:v> 9 </c:v>
                </c:pt>
                <c:pt idx="2097">
                  <c:v> 10 </c:v>
                </c:pt>
                <c:pt idx="2098">
                  <c:v> 11 </c:v>
                </c:pt>
                <c:pt idx="2099">
                  <c:v> 12 </c:v>
                </c:pt>
                <c:pt idx="2100">
                  <c:v> 13 </c:v>
                </c:pt>
                <c:pt idx="2101">
                  <c:v> 14 </c:v>
                </c:pt>
                <c:pt idx="2102">
                  <c:v> 15 </c:v>
                </c:pt>
                <c:pt idx="2103">
                  <c:v> 16 </c:v>
                </c:pt>
                <c:pt idx="2104">
                  <c:v> 17 </c:v>
                </c:pt>
                <c:pt idx="2105">
                  <c:v> 18 </c:v>
                </c:pt>
                <c:pt idx="2106">
                  <c:v> 19 </c:v>
                </c:pt>
                <c:pt idx="2107">
                  <c:v> 20 </c:v>
                </c:pt>
                <c:pt idx="2108">
                  <c:v> 21 </c:v>
                </c:pt>
                <c:pt idx="2109">
                  <c:v> 22 </c:v>
                </c:pt>
                <c:pt idx="2110">
                  <c:v> 23 </c:v>
                </c:pt>
                <c:pt idx="2111">
                  <c:v> 24 </c:v>
                </c:pt>
                <c:pt idx="2112">
                  <c:v>30 Mar 2014</c:v>
                </c:pt>
                <c:pt idx="2113">
                  <c:v> 2 </c:v>
                </c:pt>
                <c:pt idx="2114">
                  <c:v> 3 </c:v>
                </c:pt>
                <c:pt idx="2115">
                  <c:v> 4 </c:v>
                </c:pt>
                <c:pt idx="2116">
                  <c:v> 5 </c:v>
                </c:pt>
                <c:pt idx="2117">
                  <c:v> 6 </c:v>
                </c:pt>
                <c:pt idx="2118">
                  <c:v> 7 </c:v>
                </c:pt>
                <c:pt idx="2119">
                  <c:v> 8 </c:v>
                </c:pt>
                <c:pt idx="2120">
                  <c:v> 9 </c:v>
                </c:pt>
                <c:pt idx="2121">
                  <c:v> 10 </c:v>
                </c:pt>
                <c:pt idx="2122">
                  <c:v> 11 </c:v>
                </c:pt>
                <c:pt idx="2123">
                  <c:v> 12 </c:v>
                </c:pt>
                <c:pt idx="2124">
                  <c:v> 13 </c:v>
                </c:pt>
                <c:pt idx="2125">
                  <c:v> 14 </c:v>
                </c:pt>
                <c:pt idx="2126">
                  <c:v> 15 </c:v>
                </c:pt>
                <c:pt idx="2127">
                  <c:v> 16 </c:v>
                </c:pt>
                <c:pt idx="2128">
                  <c:v> 17 </c:v>
                </c:pt>
                <c:pt idx="2129">
                  <c:v> 18 </c:v>
                </c:pt>
                <c:pt idx="2130">
                  <c:v> 19 </c:v>
                </c:pt>
                <c:pt idx="2131">
                  <c:v> 20 </c:v>
                </c:pt>
                <c:pt idx="2132">
                  <c:v> 21 </c:v>
                </c:pt>
                <c:pt idx="2133">
                  <c:v> 22 </c:v>
                </c:pt>
                <c:pt idx="2134">
                  <c:v> 23 </c:v>
                </c:pt>
                <c:pt idx="2135">
                  <c:v> 24 </c:v>
                </c:pt>
                <c:pt idx="2136">
                  <c:v>31 Mar 2014</c:v>
                </c:pt>
                <c:pt idx="2137">
                  <c:v> 2 </c:v>
                </c:pt>
                <c:pt idx="2138">
                  <c:v> 3 </c:v>
                </c:pt>
                <c:pt idx="2139">
                  <c:v> 4 </c:v>
                </c:pt>
                <c:pt idx="2140">
                  <c:v> 5 </c:v>
                </c:pt>
                <c:pt idx="2141">
                  <c:v> 6 </c:v>
                </c:pt>
                <c:pt idx="2142">
                  <c:v> 7 </c:v>
                </c:pt>
                <c:pt idx="2143">
                  <c:v> 8 </c:v>
                </c:pt>
                <c:pt idx="2144">
                  <c:v> 9 </c:v>
                </c:pt>
                <c:pt idx="2145">
                  <c:v> 10 </c:v>
                </c:pt>
                <c:pt idx="2146">
                  <c:v> 11 </c:v>
                </c:pt>
                <c:pt idx="2147">
                  <c:v> 12 </c:v>
                </c:pt>
                <c:pt idx="2148">
                  <c:v> 13 </c:v>
                </c:pt>
                <c:pt idx="2149">
                  <c:v> 14 </c:v>
                </c:pt>
                <c:pt idx="2150">
                  <c:v> 15 </c:v>
                </c:pt>
                <c:pt idx="2151">
                  <c:v> 16 </c:v>
                </c:pt>
                <c:pt idx="2152">
                  <c:v> 17 </c:v>
                </c:pt>
                <c:pt idx="2153">
                  <c:v> 18 </c:v>
                </c:pt>
                <c:pt idx="2154">
                  <c:v> 19 </c:v>
                </c:pt>
                <c:pt idx="2155">
                  <c:v> 20 </c:v>
                </c:pt>
                <c:pt idx="2156">
                  <c:v> 21 </c:v>
                </c:pt>
                <c:pt idx="2157">
                  <c:v> 22 </c:v>
                </c:pt>
                <c:pt idx="2158">
                  <c:v> 23 </c:v>
                </c:pt>
                <c:pt idx="2159">
                  <c:v> 24 </c:v>
                </c:pt>
                <c:pt idx="2160">
                  <c:v>01 Apr 2014</c:v>
                </c:pt>
                <c:pt idx="2161">
                  <c:v> 2 </c:v>
                </c:pt>
                <c:pt idx="2162">
                  <c:v> 3 </c:v>
                </c:pt>
                <c:pt idx="2163">
                  <c:v> 4 </c:v>
                </c:pt>
                <c:pt idx="2164">
                  <c:v> 5 </c:v>
                </c:pt>
                <c:pt idx="2165">
                  <c:v> 6 </c:v>
                </c:pt>
                <c:pt idx="2166">
                  <c:v> 7 </c:v>
                </c:pt>
                <c:pt idx="2167">
                  <c:v> 8 </c:v>
                </c:pt>
                <c:pt idx="2168">
                  <c:v> 9 </c:v>
                </c:pt>
                <c:pt idx="2169">
                  <c:v> 10 </c:v>
                </c:pt>
                <c:pt idx="2170">
                  <c:v> 11 </c:v>
                </c:pt>
                <c:pt idx="2171">
                  <c:v> 12 </c:v>
                </c:pt>
                <c:pt idx="2172">
                  <c:v> 13 </c:v>
                </c:pt>
                <c:pt idx="2173">
                  <c:v> 14 </c:v>
                </c:pt>
                <c:pt idx="2174">
                  <c:v> 15 </c:v>
                </c:pt>
                <c:pt idx="2175">
                  <c:v> 16 </c:v>
                </c:pt>
                <c:pt idx="2176">
                  <c:v> 17 </c:v>
                </c:pt>
                <c:pt idx="2177">
                  <c:v> 18 </c:v>
                </c:pt>
                <c:pt idx="2178">
                  <c:v> 19 </c:v>
                </c:pt>
                <c:pt idx="2179">
                  <c:v> 20 </c:v>
                </c:pt>
                <c:pt idx="2180">
                  <c:v> 21 </c:v>
                </c:pt>
                <c:pt idx="2181">
                  <c:v> 22 </c:v>
                </c:pt>
                <c:pt idx="2182">
                  <c:v> 23 </c:v>
                </c:pt>
                <c:pt idx="2183">
                  <c:v> 24 </c:v>
                </c:pt>
                <c:pt idx="2184">
                  <c:v>02 Apr 2014</c:v>
                </c:pt>
                <c:pt idx="2185">
                  <c:v> 2 </c:v>
                </c:pt>
                <c:pt idx="2186">
                  <c:v> 3 </c:v>
                </c:pt>
                <c:pt idx="2187">
                  <c:v> 4 </c:v>
                </c:pt>
                <c:pt idx="2188">
                  <c:v> 5 </c:v>
                </c:pt>
                <c:pt idx="2189">
                  <c:v> 6 </c:v>
                </c:pt>
                <c:pt idx="2190">
                  <c:v> 7 </c:v>
                </c:pt>
                <c:pt idx="2191">
                  <c:v> 8 </c:v>
                </c:pt>
                <c:pt idx="2192">
                  <c:v> 9 </c:v>
                </c:pt>
                <c:pt idx="2193">
                  <c:v> 10 </c:v>
                </c:pt>
                <c:pt idx="2194">
                  <c:v> 11 </c:v>
                </c:pt>
                <c:pt idx="2195">
                  <c:v> 12 </c:v>
                </c:pt>
                <c:pt idx="2196">
                  <c:v> 13 </c:v>
                </c:pt>
                <c:pt idx="2197">
                  <c:v> 14 </c:v>
                </c:pt>
                <c:pt idx="2198">
                  <c:v> 15 </c:v>
                </c:pt>
                <c:pt idx="2199">
                  <c:v> 16 </c:v>
                </c:pt>
                <c:pt idx="2200">
                  <c:v> 17 </c:v>
                </c:pt>
                <c:pt idx="2201">
                  <c:v> 18 </c:v>
                </c:pt>
                <c:pt idx="2202">
                  <c:v> 19 </c:v>
                </c:pt>
                <c:pt idx="2203">
                  <c:v> 20 </c:v>
                </c:pt>
                <c:pt idx="2204">
                  <c:v> 21 </c:v>
                </c:pt>
                <c:pt idx="2205">
                  <c:v> 22 </c:v>
                </c:pt>
                <c:pt idx="2206">
                  <c:v> 23 </c:v>
                </c:pt>
                <c:pt idx="2207">
                  <c:v> 24 </c:v>
                </c:pt>
                <c:pt idx="2208">
                  <c:v>03 Apr 2014</c:v>
                </c:pt>
                <c:pt idx="2209">
                  <c:v> 2 </c:v>
                </c:pt>
                <c:pt idx="2210">
                  <c:v> 3 </c:v>
                </c:pt>
                <c:pt idx="2211">
                  <c:v> 4 </c:v>
                </c:pt>
                <c:pt idx="2212">
                  <c:v> 5 </c:v>
                </c:pt>
                <c:pt idx="2213">
                  <c:v> 6 </c:v>
                </c:pt>
                <c:pt idx="2214">
                  <c:v> 7 </c:v>
                </c:pt>
                <c:pt idx="2215">
                  <c:v> 8 </c:v>
                </c:pt>
                <c:pt idx="2216">
                  <c:v> 9 </c:v>
                </c:pt>
                <c:pt idx="2217">
                  <c:v> 10 </c:v>
                </c:pt>
                <c:pt idx="2218">
                  <c:v> 11 </c:v>
                </c:pt>
                <c:pt idx="2219">
                  <c:v> 12 </c:v>
                </c:pt>
                <c:pt idx="2220">
                  <c:v> 13 </c:v>
                </c:pt>
                <c:pt idx="2221">
                  <c:v> 14 </c:v>
                </c:pt>
                <c:pt idx="2222">
                  <c:v> 15 </c:v>
                </c:pt>
                <c:pt idx="2223">
                  <c:v> 16 </c:v>
                </c:pt>
                <c:pt idx="2224">
                  <c:v> 17 </c:v>
                </c:pt>
                <c:pt idx="2225">
                  <c:v> 18 </c:v>
                </c:pt>
                <c:pt idx="2226">
                  <c:v> 19 </c:v>
                </c:pt>
                <c:pt idx="2227">
                  <c:v> 20 </c:v>
                </c:pt>
                <c:pt idx="2228">
                  <c:v> 21 </c:v>
                </c:pt>
                <c:pt idx="2229">
                  <c:v> 22 </c:v>
                </c:pt>
                <c:pt idx="2230">
                  <c:v> 23 </c:v>
                </c:pt>
                <c:pt idx="2231">
                  <c:v> 24 </c:v>
                </c:pt>
                <c:pt idx="2232">
                  <c:v>04 Apr 2014</c:v>
                </c:pt>
                <c:pt idx="2233">
                  <c:v> 2 </c:v>
                </c:pt>
                <c:pt idx="2234">
                  <c:v> 3 </c:v>
                </c:pt>
                <c:pt idx="2235">
                  <c:v> 4 </c:v>
                </c:pt>
                <c:pt idx="2236">
                  <c:v> 5 </c:v>
                </c:pt>
                <c:pt idx="2237">
                  <c:v> 6 </c:v>
                </c:pt>
                <c:pt idx="2238">
                  <c:v> 7 </c:v>
                </c:pt>
                <c:pt idx="2239">
                  <c:v> 8 </c:v>
                </c:pt>
                <c:pt idx="2240">
                  <c:v> 9 </c:v>
                </c:pt>
                <c:pt idx="2241">
                  <c:v> 10 </c:v>
                </c:pt>
                <c:pt idx="2242">
                  <c:v> 11 </c:v>
                </c:pt>
                <c:pt idx="2243">
                  <c:v> 12 </c:v>
                </c:pt>
                <c:pt idx="2244">
                  <c:v> 13 </c:v>
                </c:pt>
                <c:pt idx="2245">
                  <c:v> 14 </c:v>
                </c:pt>
                <c:pt idx="2246">
                  <c:v> 15 </c:v>
                </c:pt>
                <c:pt idx="2247">
                  <c:v> 16 </c:v>
                </c:pt>
                <c:pt idx="2248">
                  <c:v> 17 </c:v>
                </c:pt>
                <c:pt idx="2249">
                  <c:v> 18 </c:v>
                </c:pt>
                <c:pt idx="2250">
                  <c:v> 19 </c:v>
                </c:pt>
                <c:pt idx="2251">
                  <c:v> 20 </c:v>
                </c:pt>
                <c:pt idx="2252">
                  <c:v> 21 </c:v>
                </c:pt>
                <c:pt idx="2253">
                  <c:v> 22 </c:v>
                </c:pt>
                <c:pt idx="2254">
                  <c:v> 23 </c:v>
                </c:pt>
                <c:pt idx="2255">
                  <c:v> 24 </c:v>
                </c:pt>
                <c:pt idx="2256">
                  <c:v>05 Apr 2014</c:v>
                </c:pt>
                <c:pt idx="2257">
                  <c:v> 2 </c:v>
                </c:pt>
                <c:pt idx="2258">
                  <c:v> 3 </c:v>
                </c:pt>
                <c:pt idx="2259">
                  <c:v> 4 </c:v>
                </c:pt>
                <c:pt idx="2260">
                  <c:v> 5 </c:v>
                </c:pt>
                <c:pt idx="2261">
                  <c:v> 6 </c:v>
                </c:pt>
                <c:pt idx="2262">
                  <c:v> 7 </c:v>
                </c:pt>
                <c:pt idx="2263">
                  <c:v> 8 </c:v>
                </c:pt>
                <c:pt idx="2264">
                  <c:v> 9 </c:v>
                </c:pt>
                <c:pt idx="2265">
                  <c:v> 10 </c:v>
                </c:pt>
                <c:pt idx="2266">
                  <c:v> 11 </c:v>
                </c:pt>
                <c:pt idx="2267">
                  <c:v> 12 </c:v>
                </c:pt>
                <c:pt idx="2268">
                  <c:v> 13 </c:v>
                </c:pt>
                <c:pt idx="2269">
                  <c:v> 14 </c:v>
                </c:pt>
                <c:pt idx="2270">
                  <c:v> 15 </c:v>
                </c:pt>
                <c:pt idx="2271">
                  <c:v> 16 </c:v>
                </c:pt>
                <c:pt idx="2272">
                  <c:v> 17 </c:v>
                </c:pt>
                <c:pt idx="2273">
                  <c:v> 18 </c:v>
                </c:pt>
                <c:pt idx="2274">
                  <c:v> 19 </c:v>
                </c:pt>
                <c:pt idx="2275">
                  <c:v> 20 </c:v>
                </c:pt>
                <c:pt idx="2276">
                  <c:v> 21 </c:v>
                </c:pt>
                <c:pt idx="2277">
                  <c:v> 22 </c:v>
                </c:pt>
                <c:pt idx="2278">
                  <c:v> 23 </c:v>
                </c:pt>
                <c:pt idx="2279">
                  <c:v> 24 </c:v>
                </c:pt>
                <c:pt idx="2280">
                  <c:v>06 Apr 2014</c:v>
                </c:pt>
                <c:pt idx="2281">
                  <c:v> 2 </c:v>
                </c:pt>
                <c:pt idx="2282">
                  <c:v> 3 </c:v>
                </c:pt>
                <c:pt idx="2283">
                  <c:v> 4 </c:v>
                </c:pt>
                <c:pt idx="2284">
                  <c:v> 5 </c:v>
                </c:pt>
                <c:pt idx="2285">
                  <c:v> 6 </c:v>
                </c:pt>
                <c:pt idx="2286">
                  <c:v> 7 </c:v>
                </c:pt>
                <c:pt idx="2287">
                  <c:v> 8 </c:v>
                </c:pt>
                <c:pt idx="2288">
                  <c:v> 9 </c:v>
                </c:pt>
                <c:pt idx="2289">
                  <c:v> 10 </c:v>
                </c:pt>
                <c:pt idx="2290">
                  <c:v> 11 </c:v>
                </c:pt>
                <c:pt idx="2291">
                  <c:v> 12 </c:v>
                </c:pt>
                <c:pt idx="2292">
                  <c:v> 13 </c:v>
                </c:pt>
                <c:pt idx="2293">
                  <c:v> 14 </c:v>
                </c:pt>
                <c:pt idx="2294">
                  <c:v> 15 </c:v>
                </c:pt>
                <c:pt idx="2295">
                  <c:v> 16 </c:v>
                </c:pt>
                <c:pt idx="2296">
                  <c:v> 17 </c:v>
                </c:pt>
                <c:pt idx="2297">
                  <c:v> 18 </c:v>
                </c:pt>
                <c:pt idx="2298">
                  <c:v> 19 </c:v>
                </c:pt>
                <c:pt idx="2299">
                  <c:v> 20 </c:v>
                </c:pt>
                <c:pt idx="2300">
                  <c:v> 21 </c:v>
                </c:pt>
                <c:pt idx="2301">
                  <c:v> 22 </c:v>
                </c:pt>
                <c:pt idx="2302">
                  <c:v> 23 </c:v>
                </c:pt>
                <c:pt idx="2303">
                  <c:v> 24 </c:v>
                </c:pt>
                <c:pt idx="2304">
                  <c:v>07 Apr 2014</c:v>
                </c:pt>
                <c:pt idx="2305">
                  <c:v> 2 </c:v>
                </c:pt>
                <c:pt idx="2306">
                  <c:v> 3 </c:v>
                </c:pt>
                <c:pt idx="2307">
                  <c:v> 4 </c:v>
                </c:pt>
                <c:pt idx="2308">
                  <c:v> 5 </c:v>
                </c:pt>
                <c:pt idx="2309">
                  <c:v> 6 </c:v>
                </c:pt>
                <c:pt idx="2310">
                  <c:v> 7 </c:v>
                </c:pt>
                <c:pt idx="2311">
                  <c:v> 8 </c:v>
                </c:pt>
                <c:pt idx="2312">
                  <c:v> 9 </c:v>
                </c:pt>
                <c:pt idx="2313">
                  <c:v> 10 </c:v>
                </c:pt>
                <c:pt idx="2314">
                  <c:v> 11 </c:v>
                </c:pt>
                <c:pt idx="2315">
                  <c:v> 12 </c:v>
                </c:pt>
                <c:pt idx="2316">
                  <c:v> 13 </c:v>
                </c:pt>
                <c:pt idx="2317">
                  <c:v> 14 </c:v>
                </c:pt>
                <c:pt idx="2318">
                  <c:v> 15 </c:v>
                </c:pt>
                <c:pt idx="2319">
                  <c:v> 16 </c:v>
                </c:pt>
                <c:pt idx="2320">
                  <c:v> 17 </c:v>
                </c:pt>
                <c:pt idx="2321">
                  <c:v> 18 </c:v>
                </c:pt>
                <c:pt idx="2322">
                  <c:v> 19 </c:v>
                </c:pt>
                <c:pt idx="2323">
                  <c:v> 20 </c:v>
                </c:pt>
                <c:pt idx="2324">
                  <c:v> 21 </c:v>
                </c:pt>
                <c:pt idx="2325">
                  <c:v> 22 </c:v>
                </c:pt>
                <c:pt idx="2326">
                  <c:v> 23 </c:v>
                </c:pt>
                <c:pt idx="2327">
                  <c:v> 24 </c:v>
                </c:pt>
                <c:pt idx="2328">
                  <c:v>08 Apr 2014</c:v>
                </c:pt>
                <c:pt idx="2329">
                  <c:v> 2 </c:v>
                </c:pt>
                <c:pt idx="2330">
                  <c:v> 3 </c:v>
                </c:pt>
                <c:pt idx="2331">
                  <c:v> 4 </c:v>
                </c:pt>
                <c:pt idx="2332">
                  <c:v> 5 </c:v>
                </c:pt>
                <c:pt idx="2333">
                  <c:v> 6 </c:v>
                </c:pt>
                <c:pt idx="2334">
                  <c:v> 7 </c:v>
                </c:pt>
                <c:pt idx="2335">
                  <c:v> 8 </c:v>
                </c:pt>
                <c:pt idx="2336">
                  <c:v> 9 </c:v>
                </c:pt>
                <c:pt idx="2337">
                  <c:v> 10 </c:v>
                </c:pt>
                <c:pt idx="2338">
                  <c:v> 11 </c:v>
                </c:pt>
                <c:pt idx="2339">
                  <c:v> 12 </c:v>
                </c:pt>
                <c:pt idx="2340">
                  <c:v> 13 </c:v>
                </c:pt>
                <c:pt idx="2341">
                  <c:v> 14 </c:v>
                </c:pt>
                <c:pt idx="2342">
                  <c:v> 15 </c:v>
                </c:pt>
                <c:pt idx="2343">
                  <c:v> 16 </c:v>
                </c:pt>
                <c:pt idx="2344">
                  <c:v> 17 </c:v>
                </c:pt>
                <c:pt idx="2345">
                  <c:v> 18 </c:v>
                </c:pt>
                <c:pt idx="2346">
                  <c:v> 19 </c:v>
                </c:pt>
                <c:pt idx="2347">
                  <c:v> 20 </c:v>
                </c:pt>
                <c:pt idx="2348">
                  <c:v> 21 </c:v>
                </c:pt>
                <c:pt idx="2349">
                  <c:v> 22 </c:v>
                </c:pt>
                <c:pt idx="2350">
                  <c:v> 23 </c:v>
                </c:pt>
                <c:pt idx="2351">
                  <c:v> 24 </c:v>
                </c:pt>
                <c:pt idx="2352">
                  <c:v>09 Apr 2014</c:v>
                </c:pt>
                <c:pt idx="2353">
                  <c:v> 2 </c:v>
                </c:pt>
                <c:pt idx="2354">
                  <c:v> 3 </c:v>
                </c:pt>
                <c:pt idx="2355">
                  <c:v> 4 </c:v>
                </c:pt>
                <c:pt idx="2356">
                  <c:v> 5 </c:v>
                </c:pt>
                <c:pt idx="2357">
                  <c:v> 6 </c:v>
                </c:pt>
                <c:pt idx="2358">
                  <c:v> 7 </c:v>
                </c:pt>
                <c:pt idx="2359">
                  <c:v> 8 </c:v>
                </c:pt>
                <c:pt idx="2360">
                  <c:v> 9 </c:v>
                </c:pt>
                <c:pt idx="2361">
                  <c:v> 10 </c:v>
                </c:pt>
                <c:pt idx="2362">
                  <c:v> 11 </c:v>
                </c:pt>
                <c:pt idx="2363">
                  <c:v> 12 </c:v>
                </c:pt>
                <c:pt idx="2364">
                  <c:v> 13 </c:v>
                </c:pt>
                <c:pt idx="2365">
                  <c:v> 14 </c:v>
                </c:pt>
                <c:pt idx="2366">
                  <c:v> 15 </c:v>
                </c:pt>
                <c:pt idx="2367">
                  <c:v> 16 </c:v>
                </c:pt>
                <c:pt idx="2368">
                  <c:v> 17 </c:v>
                </c:pt>
                <c:pt idx="2369">
                  <c:v> 18 </c:v>
                </c:pt>
                <c:pt idx="2370">
                  <c:v> 19 </c:v>
                </c:pt>
                <c:pt idx="2371">
                  <c:v> 20 </c:v>
                </c:pt>
                <c:pt idx="2372">
                  <c:v> 21 </c:v>
                </c:pt>
                <c:pt idx="2373">
                  <c:v> 22 </c:v>
                </c:pt>
                <c:pt idx="2374">
                  <c:v> 23 </c:v>
                </c:pt>
                <c:pt idx="2375">
                  <c:v> 24 </c:v>
                </c:pt>
                <c:pt idx="2376">
                  <c:v>10 Apr 2014</c:v>
                </c:pt>
                <c:pt idx="2377">
                  <c:v> 2 </c:v>
                </c:pt>
                <c:pt idx="2378">
                  <c:v> 3 </c:v>
                </c:pt>
                <c:pt idx="2379">
                  <c:v> 4 </c:v>
                </c:pt>
                <c:pt idx="2380">
                  <c:v> 5 </c:v>
                </c:pt>
                <c:pt idx="2381">
                  <c:v> 6 </c:v>
                </c:pt>
                <c:pt idx="2382">
                  <c:v> 7 </c:v>
                </c:pt>
                <c:pt idx="2383">
                  <c:v> 8 </c:v>
                </c:pt>
                <c:pt idx="2384">
                  <c:v> 9 </c:v>
                </c:pt>
                <c:pt idx="2385">
                  <c:v> 10 </c:v>
                </c:pt>
                <c:pt idx="2386">
                  <c:v> 11 </c:v>
                </c:pt>
                <c:pt idx="2387">
                  <c:v> 12 </c:v>
                </c:pt>
                <c:pt idx="2388">
                  <c:v> 13 </c:v>
                </c:pt>
                <c:pt idx="2389">
                  <c:v> 14 </c:v>
                </c:pt>
                <c:pt idx="2390">
                  <c:v> 15 </c:v>
                </c:pt>
                <c:pt idx="2391">
                  <c:v> 16 </c:v>
                </c:pt>
                <c:pt idx="2392">
                  <c:v> 17 </c:v>
                </c:pt>
                <c:pt idx="2393">
                  <c:v> 18 </c:v>
                </c:pt>
                <c:pt idx="2394">
                  <c:v> 19 </c:v>
                </c:pt>
                <c:pt idx="2395">
                  <c:v> 20 </c:v>
                </c:pt>
                <c:pt idx="2396">
                  <c:v> 21 </c:v>
                </c:pt>
                <c:pt idx="2397">
                  <c:v> 22 </c:v>
                </c:pt>
                <c:pt idx="2398">
                  <c:v> 23 </c:v>
                </c:pt>
                <c:pt idx="2399">
                  <c:v> 24 </c:v>
                </c:pt>
                <c:pt idx="2400">
                  <c:v>11 Apr 2014</c:v>
                </c:pt>
                <c:pt idx="2401">
                  <c:v> 2 </c:v>
                </c:pt>
                <c:pt idx="2402">
                  <c:v> 3 </c:v>
                </c:pt>
                <c:pt idx="2403">
                  <c:v> 4 </c:v>
                </c:pt>
                <c:pt idx="2404">
                  <c:v> 5 </c:v>
                </c:pt>
                <c:pt idx="2405">
                  <c:v> 6 </c:v>
                </c:pt>
                <c:pt idx="2406">
                  <c:v> 7 </c:v>
                </c:pt>
                <c:pt idx="2407">
                  <c:v> 8 </c:v>
                </c:pt>
                <c:pt idx="2408">
                  <c:v> 9 </c:v>
                </c:pt>
                <c:pt idx="2409">
                  <c:v> 10 </c:v>
                </c:pt>
                <c:pt idx="2410">
                  <c:v> 11 </c:v>
                </c:pt>
                <c:pt idx="2411">
                  <c:v> 12 </c:v>
                </c:pt>
                <c:pt idx="2412">
                  <c:v> 13 </c:v>
                </c:pt>
                <c:pt idx="2413">
                  <c:v> 14 </c:v>
                </c:pt>
                <c:pt idx="2414">
                  <c:v> 15 </c:v>
                </c:pt>
                <c:pt idx="2415">
                  <c:v> 16 </c:v>
                </c:pt>
                <c:pt idx="2416">
                  <c:v> 17 </c:v>
                </c:pt>
                <c:pt idx="2417">
                  <c:v> 18 </c:v>
                </c:pt>
                <c:pt idx="2418">
                  <c:v> 19 </c:v>
                </c:pt>
                <c:pt idx="2419">
                  <c:v> 20 </c:v>
                </c:pt>
                <c:pt idx="2420">
                  <c:v> 21 </c:v>
                </c:pt>
                <c:pt idx="2421">
                  <c:v> 22 </c:v>
                </c:pt>
                <c:pt idx="2422">
                  <c:v> 23 </c:v>
                </c:pt>
                <c:pt idx="2423">
                  <c:v> 24 </c:v>
                </c:pt>
                <c:pt idx="2424">
                  <c:v>12 Apr 2014</c:v>
                </c:pt>
                <c:pt idx="2425">
                  <c:v> 2 </c:v>
                </c:pt>
                <c:pt idx="2426">
                  <c:v> 3 </c:v>
                </c:pt>
                <c:pt idx="2427">
                  <c:v> 4 </c:v>
                </c:pt>
                <c:pt idx="2428">
                  <c:v> 5 </c:v>
                </c:pt>
                <c:pt idx="2429">
                  <c:v> 6 </c:v>
                </c:pt>
                <c:pt idx="2430">
                  <c:v> 7 </c:v>
                </c:pt>
                <c:pt idx="2431">
                  <c:v> 8 </c:v>
                </c:pt>
                <c:pt idx="2432">
                  <c:v> 9 </c:v>
                </c:pt>
                <c:pt idx="2433">
                  <c:v> 10 </c:v>
                </c:pt>
                <c:pt idx="2434">
                  <c:v> 11 </c:v>
                </c:pt>
                <c:pt idx="2435">
                  <c:v> 12 </c:v>
                </c:pt>
                <c:pt idx="2436">
                  <c:v> 13 </c:v>
                </c:pt>
                <c:pt idx="2437">
                  <c:v> 14 </c:v>
                </c:pt>
                <c:pt idx="2438">
                  <c:v> 15 </c:v>
                </c:pt>
                <c:pt idx="2439">
                  <c:v> 16 </c:v>
                </c:pt>
                <c:pt idx="2440">
                  <c:v> 17 </c:v>
                </c:pt>
                <c:pt idx="2441">
                  <c:v> 18 </c:v>
                </c:pt>
                <c:pt idx="2442">
                  <c:v> 19 </c:v>
                </c:pt>
                <c:pt idx="2443">
                  <c:v> 20 </c:v>
                </c:pt>
                <c:pt idx="2444">
                  <c:v> 21 </c:v>
                </c:pt>
                <c:pt idx="2445">
                  <c:v> 22 </c:v>
                </c:pt>
                <c:pt idx="2446">
                  <c:v> 23 </c:v>
                </c:pt>
                <c:pt idx="2447">
                  <c:v> 24 </c:v>
                </c:pt>
                <c:pt idx="2448">
                  <c:v>13 Apr 2014</c:v>
                </c:pt>
                <c:pt idx="2449">
                  <c:v> 2 </c:v>
                </c:pt>
                <c:pt idx="2450">
                  <c:v> 3 </c:v>
                </c:pt>
                <c:pt idx="2451">
                  <c:v> 4 </c:v>
                </c:pt>
                <c:pt idx="2452">
                  <c:v> 5 </c:v>
                </c:pt>
                <c:pt idx="2453">
                  <c:v> 6 </c:v>
                </c:pt>
                <c:pt idx="2454">
                  <c:v> 7 </c:v>
                </c:pt>
                <c:pt idx="2455">
                  <c:v> 8 </c:v>
                </c:pt>
                <c:pt idx="2456">
                  <c:v> 9 </c:v>
                </c:pt>
                <c:pt idx="2457">
                  <c:v> 10 </c:v>
                </c:pt>
                <c:pt idx="2458">
                  <c:v> 11 </c:v>
                </c:pt>
                <c:pt idx="2459">
                  <c:v> 12 </c:v>
                </c:pt>
                <c:pt idx="2460">
                  <c:v> 13 </c:v>
                </c:pt>
                <c:pt idx="2461">
                  <c:v> 14 </c:v>
                </c:pt>
                <c:pt idx="2462">
                  <c:v> 15 </c:v>
                </c:pt>
                <c:pt idx="2463">
                  <c:v> 16 </c:v>
                </c:pt>
                <c:pt idx="2464">
                  <c:v> 17 </c:v>
                </c:pt>
                <c:pt idx="2465">
                  <c:v> 18 </c:v>
                </c:pt>
                <c:pt idx="2466">
                  <c:v> 19 </c:v>
                </c:pt>
                <c:pt idx="2467">
                  <c:v> 20 </c:v>
                </c:pt>
                <c:pt idx="2468">
                  <c:v> 21 </c:v>
                </c:pt>
                <c:pt idx="2469">
                  <c:v> 22 </c:v>
                </c:pt>
                <c:pt idx="2470">
                  <c:v> 23 </c:v>
                </c:pt>
                <c:pt idx="2471">
                  <c:v> 24 </c:v>
                </c:pt>
                <c:pt idx="2472">
                  <c:v>14 Apr 2014</c:v>
                </c:pt>
                <c:pt idx="2473">
                  <c:v> 2 </c:v>
                </c:pt>
                <c:pt idx="2474">
                  <c:v> 3 </c:v>
                </c:pt>
                <c:pt idx="2475">
                  <c:v> 4 </c:v>
                </c:pt>
                <c:pt idx="2476">
                  <c:v> 5 </c:v>
                </c:pt>
                <c:pt idx="2477">
                  <c:v> 6 </c:v>
                </c:pt>
                <c:pt idx="2478">
                  <c:v> 7 </c:v>
                </c:pt>
                <c:pt idx="2479">
                  <c:v> 8 </c:v>
                </c:pt>
                <c:pt idx="2480">
                  <c:v> 9 </c:v>
                </c:pt>
                <c:pt idx="2481">
                  <c:v> 10 </c:v>
                </c:pt>
                <c:pt idx="2482">
                  <c:v> 11 </c:v>
                </c:pt>
                <c:pt idx="2483">
                  <c:v> 12 </c:v>
                </c:pt>
                <c:pt idx="2484">
                  <c:v> 13 </c:v>
                </c:pt>
                <c:pt idx="2485">
                  <c:v> 14 </c:v>
                </c:pt>
                <c:pt idx="2486">
                  <c:v> 15 </c:v>
                </c:pt>
                <c:pt idx="2487">
                  <c:v> 16 </c:v>
                </c:pt>
                <c:pt idx="2488">
                  <c:v> 17 </c:v>
                </c:pt>
                <c:pt idx="2489">
                  <c:v> 18 </c:v>
                </c:pt>
                <c:pt idx="2490">
                  <c:v> 19 </c:v>
                </c:pt>
                <c:pt idx="2491">
                  <c:v> 20 </c:v>
                </c:pt>
                <c:pt idx="2492">
                  <c:v> 21 </c:v>
                </c:pt>
                <c:pt idx="2493">
                  <c:v> 22 </c:v>
                </c:pt>
                <c:pt idx="2494">
                  <c:v> 23 </c:v>
                </c:pt>
                <c:pt idx="2495">
                  <c:v> 24 </c:v>
                </c:pt>
                <c:pt idx="2496">
                  <c:v>15 Apr 2014</c:v>
                </c:pt>
                <c:pt idx="2497">
                  <c:v> 2 </c:v>
                </c:pt>
                <c:pt idx="2498">
                  <c:v> 3 </c:v>
                </c:pt>
                <c:pt idx="2499">
                  <c:v> 4 </c:v>
                </c:pt>
                <c:pt idx="2500">
                  <c:v> 5 </c:v>
                </c:pt>
                <c:pt idx="2501">
                  <c:v> 6 </c:v>
                </c:pt>
                <c:pt idx="2502">
                  <c:v> 7 </c:v>
                </c:pt>
                <c:pt idx="2503">
                  <c:v> 8 </c:v>
                </c:pt>
                <c:pt idx="2504">
                  <c:v> 9 </c:v>
                </c:pt>
                <c:pt idx="2505">
                  <c:v> 10 </c:v>
                </c:pt>
                <c:pt idx="2506">
                  <c:v> 11 </c:v>
                </c:pt>
                <c:pt idx="2507">
                  <c:v> 12 </c:v>
                </c:pt>
                <c:pt idx="2508">
                  <c:v> 13 </c:v>
                </c:pt>
                <c:pt idx="2509">
                  <c:v> 14 </c:v>
                </c:pt>
                <c:pt idx="2510">
                  <c:v> 15 </c:v>
                </c:pt>
                <c:pt idx="2511">
                  <c:v> 16 </c:v>
                </c:pt>
                <c:pt idx="2512">
                  <c:v> 17 </c:v>
                </c:pt>
                <c:pt idx="2513">
                  <c:v> 18 </c:v>
                </c:pt>
                <c:pt idx="2514">
                  <c:v> 19 </c:v>
                </c:pt>
                <c:pt idx="2515">
                  <c:v> 20 </c:v>
                </c:pt>
                <c:pt idx="2516">
                  <c:v> 21 </c:v>
                </c:pt>
                <c:pt idx="2517">
                  <c:v> 22 </c:v>
                </c:pt>
                <c:pt idx="2518">
                  <c:v> 23 </c:v>
                </c:pt>
                <c:pt idx="2519">
                  <c:v> 24 </c:v>
                </c:pt>
                <c:pt idx="2520">
                  <c:v>16 Apr 2014</c:v>
                </c:pt>
                <c:pt idx="2521">
                  <c:v> 2 </c:v>
                </c:pt>
                <c:pt idx="2522">
                  <c:v> 3 </c:v>
                </c:pt>
                <c:pt idx="2523">
                  <c:v> 4 </c:v>
                </c:pt>
                <c:pt idx="2524">
                  <c:v> 5 </c:v>
                </c:pt>
                <c:pt idx="2525">
                  <c:v> 6 </c:v>
                </c:pt>
                <c:pt idx="2526">
                  <c:v> 7 </c:v>
                </c:pt>
                <c:pt idx="2527">
                  <c:v> 8 </c:v>
                </c:pt>
                <c:pt idx="2528">
                  <c:v> 9 </c:v>
                </c:pt>
                <c:pt idx="2529">
                  <c:v> 10 </c:v>
                </c:pt>
                <c:pt idx="2530">
                  <c:v> 11 </c:v>
                </c:pt>
                <c:pt idx="2531">
                  <c:v> 12 </c:v>
                </c:pt>
                <c:pt idx="2532">
                  <c:v> 13 </c:v>
                </c:pt>
                <c:pt idx="2533">
                  <c:v> 14 </c:v>
                </c:pt>
                <c:pt idx="2534">
                  <c:v> 15 </c:v>
                </c:pt>
                <c:pt idx="2535">
                  <c:v> 16 </c:v>
                </c:pt>
                <c:pt idx="2536">
                  <c:v> 17 </c:v>
                </c:pt>
                <c:pt idx="2537">
                  <c:v> 18 </c:v>
                </c:pt>
                <c:pt idx="2538">
                  <c:v> 19 </c:v>
                </c:pt>
                <c:pt idx="2539">
                  <c:v> 20 </c:v>
                </c:pt>
                <c:pt idx="2540">
                  <c:v> 21 </c:v>
                </c:pt>
                <c:pt idx="2541">
                  <c:v> 22 </c:v>
                </c:pt>
                <c:pt idx="2542">
                  <c:v> 23 </c:v>
                </c:pt>
                <c:pt idx="2543">
                  <c:v> 24 </c:v>
                </c:pt>
                <c:pt idx="2544">
                  <c:v>17 Apr 2014</c:v>
                </c:pt>
                <c:pt idx="2545">
                  <c:v> 2 </c:v>
                </c:pt>
                <c:pt idx="2546">
                  <c:v> 3 </c:v>
                </c:pt>
                <c:pt idx="2547">
                  <c:v> 4 </c:v>
                </c:pt>
                <c:pt idx="2548">
                  <c:v> 5 </c:v>
                </c:pt>
                <c:pt idx="2549">
                  <c:v> 6 </c:v>
                </c:pt>
                <c:pt idx="2550">
                  <c:v> 7 </c:v>
                </c:pt>
                <c:pt idx="2551">
                  <c:v> 8 </c:v>
                </c:pt>
                <c:pt idx="2552">
                  <c:v> 9 </c:v>
                </c:pt>
                <c:pt idx="2553">
                  <c:v> 10 </c:v>
                </c:pt>
                <c:pt idx="2554">
                  <c:v> 11 </c:v>
                </c:pt>
                <c:pt idx="2555">
                  <c:v> 12 </c:v>
                </c:pt>
                <c:pt idx="2556">
                  <c:v> 13 </c:v>
                </c:pt>
                <c:pt idx="2557">
                  <c:v> 14 </c:v>
                </c:pt>
                <c:pt idx="2558">
                  <c:v> 15 </c:v>
                </c:pt>
                <c:pt idx="2559">
                  <c:v> 16 </c:v>
                </c:pt>
                <c:pt idx="2560">
                  <c:v> 17 </c:v>
                </c:pt>
                <c:pt idx="2561">
                  <c:v> 18 </c:v>
                </c:pt>
                <c:pt idx="2562">
                  <c:v> 19 </c:v>
                </c:pt>
                <c:pt idx="2563">
                  <c:v> 20 </c:v>
                </c:pt>
                <c:pt idx="2564">
                  <c:v> 21 </c:v>
                </c:pt>
                <c:pt idx="2565">
                  <c:v> 22 </c:v>
                </c:pt>
                <c:pt idx="2566">
                  <c:v> 23 </c:v>
                </c:pt>
                <c:pt idx="2567">
                  <c:v> 24 </c:v>
                </c:pt>
                <c:pt idx="2568">
                  <c:v>18 Apr 2014</c:v>
                </c:pt>
                <c:pt idx="2569">
                  <c:v> 2 </c:v>
                </c:pt>
                <c:pt idx="2570">
                  <c:v> 3 </c:v>
                </c:pt>
                <c:pt idx="2571">
                  <c:v> 4 </c:v>
                </c:pt>
                <c:pt idx="2572">
                  <c:v> 5 </c:v>
                </c:pt>
                <c:pt idx="2573">
                  <c:v> 6 </c:v>
                </c:pt>
                <c:pt idx="2574">
                  <c:v> 7 </c:v>
                </c:pt>
                <c:pt idx="2575">
                  <c:v> 8 </c:v>
                </c:pt>
                <c:pt idx="2576">
                  <c:v> 9 </c:v>
                </c:pt>
                <c:pt idx="2577">
                  <c:v> 10 </c:v>
                </c:pt>
                <c:pt idx="2578">
                  <c:v> 11 </c:v>
                </c:pt>
                <c:pt idx="2579">
                  <c:v> 12 </c:v>
                </c:pt>
                <c:pt idx="2580">
                  <c:v> 13 </c:v>
                </c:pt>
                <c:pt idx="2581">
                  <c:v> 14 </c:v>
                </c:pt>
                <c:pt idx="2582">
                  <c:v> 15 </c:v>
                </c:pt>
                <c:pt idx="2583">
                  <c:v> 16 </c:v>
                </c:pt>
                <c:pt idx="2584">
                  <c:v> 17 </c:v>
                </c:pt>
                <c:pt idx="2585">
                  <c:v> 18 </c:v>
                </c:pt>
                <c:pt idx="2586">
                  <c:v> 19 </c:v>
                </c:pt>
                <c:pt idx="2587">
                  <c:v> 20 </c:v>
                </c:pt>
                <c:pt idx="2588">
                  <c:v> 21 </c:v>
                </c:pt>
                <c:pt idx="2589">
                  <c:v> 22 </c:v>
                </c:pt>
                <c:pt idx="2590">
                  <c:v> 23 </c:v>
                </c:pt>
                <c:pt idx="2591">
                  <c:v> 24 </c:v>
                </c:pt>
                <c:pt idx="2592">
                  <c:v>19 Apr 2014</c:v>
                </c:pt>
                <c:pt idx="2593">
                  <c:v> 2 </c:v>
                </c:pt>
                <c:pt idx="2594">
                  <c:v> 3 </c:v>
                </c:pt>
                <c:pt idx="2595">
                  <c:v> 4 </c:v>
                </c:pt>
                <c:pt idx="2596">
                  <c:v> 5 </c:v>
                </c:pt>
                <c:pt idx="2597">
                  <c:v> 6 </c:v>
                </c:pt>
                <c:pt idx="2598">
                  <c:v> 7 </c:v>
                </c:pt>
                <c:pt idx="2599">
                  <c:v> 8 </c:v>
                </c:pt>
                <c:pt idx="2600">
                  <c:v> 9 </c:v>
                </c:pt>
                <c:pt idx="2601">
                  <c:v> 10 </c:v>
                </c:pt>
                <c:pt idx="2602">
                  <c:v> 11 </c:v>
                </c:pt>
                <c:pt idx="2603">
                  <c:v> 12 </c:v>
                </c:pt>
                <c:pt idx="2604">
                  <c:v> 13 </c:v>
                </c:pt>
                <c:pt idx="2605">
                  <c:v> 14 </c:v>
                </c:pt>
                <c:pt idx="2606">
                  <c:v> 15 </c:v>
                </c:pt>
                <c:pt idx="2607">
                  <c:v> 16 </c:v>
                </c:pt>
                <c:pt idx="2608">
                  <c:v> 17 </c:v>
                </c:pt>
                <c:pt idx="2609">
                  <c:v> 18 </c:v>
                </c:pt>
                <c:pt idx="2610">
                  <c:v> 19 </c:v>
                </c:pt>
                <c:pt idx="2611">
                  <c:v> 20 </c:v>
                </c:pt>
                <c:pt idx="2612">
                  <c:v> 21 </c:v>
                </c:pt>
                <c:pt idx="2613">
                  <c:v> 22 </c:v>
                </c:pt>
                <c:pt idx="2614">
                  <c:v> 23 </c:v>
                </c:pt>
                <c:pt idx="2615">
                  <c:v> 24 </c:v>
                </c:pt>
                <c:pt idx="2616">
                  <c:v>20 Apr 2014</c:v>
                </c:pt>
                <c:pt idx="2617">
                  <c:v> 2 </c:v>
                </c:pt>
                <c:pt idx="2618">
                  <c:v> 3 </c:v>
                </c:pt>
                <c:pt idx="2619">
                  <c:v> 4 </c:v>
                </c:pt>
                <c:pt idx="2620">
                  <c:v> 5 </c:v>
                </c:pt>
                <c:pt idx="2621">
                  <c:v> 6 </c:v>
                </c:pt>
                <c:pt idx="2622">
                  <c:v> 7 </c:v>
                </c:pt>
                <c:pt idx="2623">
                  <c:v> 8 </c:v>
                </c:pt>
                <c:pt idx="2624">
                  <c:v> 9 </c:v>
                </c:pt>
                <c:pt idx="2625">
                  <c:v> 10 </c:v>
                </c:pt>
                <c:pt idx="2626">
                  <c:v> 11 </c:v>
                </c:pt>
                <c:pt idx="2627">
                  <c:v> 12 </c:v>
                </c:pt>
                <c:pt idx="2628">
                  <c:v> 13 </c:v>
                </c:pt>
                <c:pt idx="2629">
                  <c:v> 14 </c:v>
                </c:pt>
                <c:pt idx="2630">
                  <c:v> 15 </c:v>
                </c:pt>
                <c:pt idx="2631">
                  <c:v> 16 </c:v>
                </c:pt>
                <c:pt idx="2632">
                  <c:v> 17 </c:v>
                </c:pt>
                <c:pt idx="2633">
                  <c:v> 18 </c:v>
                </c:pt>
                <c:pt idx="2634">
                  <c:v> 19 </c:v>
                </c:pt>
                <c:pt idx="2635">
                  <c:v> 20 </c:v>
                </c:pt>
                <c:pt idx="2636">
                  <c:v> 21 </c:v>
                </c:pt>
                <c:pt idx="2637">
                  <c:v> 22 </c:v>
                </c:pt>
                <c:pt idx="2638">
                  <c:v> 23 </c:v>
                </c:pt>
                <c:pt idx="2639">
                  <c:v> 24 </c:v>
                </c:pt>
                <c:pt idx="2640">
                  <c:v>21 Apr 2014</c:v>
                </c:pt>
                <c:pt idx="2641">
                  <c:v> 2 </c:v>
                </c:pt>
                <c:pt idx="2642">
                  <c:v> 3 </c:v>
                </c:pt>
                <c:pt idx="2643">
                  <c:v> 4 </c:v>
                </c:pt>
                <c:pt idx="2644">
                  <c:v> 5 </c:v>
                </c:pt>
                <c:pt idx="2645">
                  <c:v> 6 </c:v>
                </c:pt>
                <c:pt idx="2646">
                  <c:v> 7 </c:v>
                </c:pt>
                <c:pt idx="2647">
                  <c:v> 8 </c:v>
                </c:pt>
                <c:pt idx="2648">
                  <c:v> 9 </c:v>
                </c:pt>
                <c:pt idx="2649">
                  <c:v> 10 </c:v>
                </c:pt>
                <c:pt idx="2650">
                  <c:v> 11 </c:v>
                </c:pt>
                <c:pt idx="2651">
                  <c:v> 12 </c:v>
                </c:pt>
                <c:pt idx="2652">
                  <c:v> 13 </c:v>
                </c:pt>
                <c:pt idx="2653">
                  <c:v> 14 </c:v>
                </c:pt>
                <c:pt idx="2654">
                  <c:v> 15 </c:v>
                </c:pt>
                <c:pt idx="2655">
                  <c:v> 16 </c:v>
                </c:pt>
                <c:pt idx="2656">
                  <c:v> 17 </c:v>
                </c:pt>
                <c:pt idx="2657">
                  <c:v> 18 </c:v>
                </c:pt>
                <c:pt idx="2658">
                  <c:v> 19 </c:v>
                </c:pt>
                <c:pt idx="2659">
                  <c:v> 20 </c:v>
                </c:pt>
                <c:pt idx="2660">
                  <c:v> 21 </c:v>
                </c:pt>
                <c:pt idx="2661">
                  <c:v> 22 </c:v>
                </c:pt>
                <c:pt idx="2662">
                  <c:v> 23 </c:v>
                </c:pt>
                <c:pt idx="2663">
                  <c:v> 24 </c:v>
                </c:pt>
                <c:pt idx="2664">
                  <c:v>22 Apr 2014</c:v>
                </c:pt>
                <c:pt idx="2665">
                  <c:v> 2 </c:v>
                </c:pt>
                <c:pt idx="2666">
                  <c:v> 3 </c:v>
                </c:pt>
                <c:pt idx="2667">
                  <c:v> 4 </c:v>
                </c:pt>
                <c:pt idx="2668">
                  <c:v> 5 </c:v>
                </c:pt>
                <c:pt idx="2669">
                  <c:v> 6 </c:v>
                </c:pt>
                <c:pt idx="2670">
                  <c:v> 7 </c:v>
                </c:pt>
                <c:pt idx="2671">
                  <c:v> 8 </c:v>
                </c:pt>
                <c:pt idx="2672">
                  <c:v> 9 </c:v>
                </c:pt>
                <c:pt idx="2673">
                  <c:v> 10 </c:v>
                </c:pt>
                <c:pt idx="2674">
                  <c:v> 11 </c:v>
                </c:pt>
                <c:pt idx="2675">
                  <c:v> 12 </c:v>
                </c:pt>
                <c:pt idx="2676">
                  <c:v> 13 </c:v>
                </c:pt>
                <c:pt idx="2677">
                  <c:v> 14 </c:v>
                </c:pt>
                <c:pt idx="2678">
                  <c:v> 15 </c:v>
                </c:pt>
                <c:pt idx="2679">
                  <c:v> 16 </c:v>
                </c:pt>
                <c:pt idx="2680">
                  <c:v> 17 </c:v>
                </c:pt>
                <c:pt idx="2681">
                  <c:v> 18 </c:v>
                </c:pt>
                <c:pt idx="2682">
                  <c:v> 19 </c:v>
                </c:pt>
                <c:pt idx="2683">
                  <c:v> 20 </c:v>
                </c:pt>
                <c:pt idx="2684">
                  <c:v> 21 </c:v>
                </c:pt>
                <c:pt idx="2685">
                  <c:v> 22 </c:v>
                </c:pt>
                <c:pt idx="2686">
                  <c:v> 23 </c:v>
                </c:pt>
                <c:pt idx="2687">
                  <c:v> 24 </c:v>
                </c:pt>
                <c:pt idx="2688">
                  <c:v>23 Apr 2014</c:v>
                </c:pt>
                <c:pt idx="2689">
                  <c:v> 2 </c:v>
                </c:pt>
                <c:pt idx="2690">
                  <c:v> 3 </c:v>
                </c:pt>
                <c:pt idx="2691">
                  <c:v> 4 </c:v>
                </c:pt>
                <c:pt idx="2692">
                  <c:v> 5 </c:v>
                </c:pt>
                <c:pt idx="2693">
                  <c:v> 6 </c:v>
                </c:pt>
                <c:pt idx="2694">
                  <c:v> 7 </c:v>
                </c:pt>
                <c:pt idx="2695">
                  <c:v> 8 </c:v>
                </c:pt>
                <c:pt idx="2696">
                  <c:v> 9 </c:v>
                </c:pt>
                <c:pt idx="2697">
                  <c:v> 10 </c:v>
                </c:pt>
                <c:pt idx="2698">
                  <c:v> 11 </c:v>
                </c:pt>
                <c:pt idx="2699">
                  <c:v> 12 </c:v>
                </c:pt>
                <c:pt idx="2700">
                  <c:v> 13 </c:v>
                </c:pt>
                <c:pt idx="2701">
                  <c:v> 14 </c:v>
                </c:pt>
                <c:pt idx="2702">
                  <c:v> 15 </c:v>
                </c:pt>
                <c:pt idx="2703">
                  <c:v> 16 </c:v>
                </c:pt>
                <c:pt idx="2704">
                  <c:v> 17 </c:v>
                </c:pt>
                <c:pt idx="2705">
                  <c:v> 18 </c:v>
                </c:pt>
                <c:pt idx="2706">
                  <c:v> 19 </c:v>
                </c:pt>
                <c:pt idx="2707">
                  <c:v> 20 </c:v>
                </c:pt>
                <c:pt idx="2708">
                  <c:v> 21 </c:v>
                </c:pt>
                <c:pt idx="2709">
                  <c:v> 22 </c:v>
                </c:pt>
                <c:pt idx="2710">
                  <c:v> 23 </c:v>
                </c:pt>
                <c:pt idx="2711">
                  <c:v> 24 </c:v>
                </c:pt>
                <c:pt idx="2712">
                  <c:v>24 Apr 2014</c:v>
                </c:pt>
                <c:pt idx="2713">
                  <c:v> 2 </c:v>
                </c:pt>
                <c:pt idx="2714">
                  <c:v> 3 </c:v>
                </c:pt>
                <c:pt idx="2715">
                  <c:v> 4 </c:v>
                </c:pt>
                <c:pt idx="2716">
                  <c:v> 5 </c:v>
                </c:pt>
                <c:pt idx="2717">
                  <c:v> 6 </c:v>
                </c:pt>
                <c:pt idx="2718">
                  <c:v> 7 </c:v>
                </c:pt>
                <c:pt idx="2719">
                  <c:v> 8 </c:v>
                </c:pt>
                <c:pt idx="2720">
                  <c:v> 9 </c:v>
                </c:pt>
                <c:pt idx="2721">
                  <c:v> 10 </c:v>
                </c:pt>
                <c:pt idx="2722">
                  <c:v> 11 </c:v>
                </c:pt>
                <c:pt idx="2723">
                  <c:v> 12 </c:v>
                </c:pt>
                <c:pt idx="2724">
                  <c:v> 13 </c:v>
                </c:pt>
                <c:pt idx="2725">
                  <c:v> 14 </c:v>
                </c:pt>
                <c:pt idx="2726">
                  <c:v> 15 </c:v>
                </c:pt>
                <c:pt idx="2727">
                  <c:v> 16 </c:v>
                </c:pt>
                <c:pt idx="2728">
                  <c:v> 17 </c:v>
                </c:pt>
                <c:pt idx="2729">
                  <c:v> 18 </c:v>
                </c:pt>
                <c:pt idx="2730">
                  <c:v> 19 </c:v>
                </c:pt>
                <c:pt idx="2731">
                  <c:v> 20 </c:v>
                </c:pt>
                <c:pt idx="2732">
                  <c:v> 21 </c:v>
                </c:pt>
                <c:pt idx="2733">
                  <c:v> 22 </c:v>
                </c:pt>
                <c:pt idx="2734">
                  <c:v> 23 </c:v>
                </c:pt>
                <c:pt idx="2735">
                  <c:v> 24 </c:v>
                </c:pt>
                <c:pt idx="2736">
                  <c:v>25 Apr 2014</c:v>
                </c:pt>
                <c:pt idx="2737">
                  <c:v> 2 </c:v>
                </c:pt>
                <c:pt idx="2738">
                  <c:v> 3 </c:v>
                </c:pt>
                <c:pt idx="2739">
                  <c:v> 4 </c:v>
                </c:pt>
                <c:pt idx="2740">
                  <c:v> 5 </c:v>
                </c:pt>
                <c:pt idx="2741">
                  <c:v> 6 </c:v>
                </c:pt>
                <c:pt idx="2742">
                  <c:v> 7 </c:v>
                </c:pt>
                <c:pt idx="2743">
                  <c:v> 8 </c:v>
                </c:pt>
                <c:pt idx="2744">
                  <c:v> 9 </c:v>
                </c:pt>
                <c:pt idx="2745">
                  <c:v> 10 </c:v>
                </c:pt>
                <c:pt idx="2746">
                  <c:v> 11 </c:v>
                </c:pt>
                <c:pt idx="2747">
                  <c:v> 12 </c:v>
                </c:pt>
                <c:pt idx="2748">
                  <c:v> 13 </c:v>
                </c:pt>
                <c:pt idx="2749">
                  <c:v> 14 </c:v>
                </c:pt>
                <c:pt idx="2750">
                  <c:v> 15 </c:v>
                </c:pt>
                <c:pt idx="2751">
                  <c:v> 16 </c:v>
                </c:pt>
                <c:pt idx="2752">
                  <c:v> 17 </c:v>
                </c:pt>
                <c:pt idx="2753">
                  <c:v> 18 </c:v>
                </c:pt>
                <c:pt idx="2754">
                  <c:v> 19 </c:v>
                </c:pt>
                <c:pt idx="2755">
                  <c:v> 20 </c:v>
                </c:pt>
                <c:pt idx="2756">
                  <c:v> 21 </c:v>
                </c:pt>
                <c:pt idx="2757">
                  <c:v> 22 </c:v>
                </c:pt>
                <c:pt idx="2758">
                  <c:v> 23 </c:v>
                </c:pt>
                <c:pt idx="2759">
                  <c:v> 24 </c:v>
                </c:pt>
                <c:pt idx="2760">
                  <c:v>26 Apr 2014</c:v>
                </c:pt>
                <c:pt idx="2761">
                  <c:v> 2 </c:v>
                </c:pt>
                <c:pt idx="2762">
                  <c:v> 3 </c:v>
                </c:pt>
                <c:pt idx="2763">
                  <c:v> 4 </c:v>
                </c:pt>
                <c:pt idx="2764">
                  <c:v> 5 </c:v>
                </c:pt>
                <c:pt idx="2765">
                  <c:v> 6 </c:v>
                </c:pt>
                <c:pt idx="2766">
                  <c:v> 7 </c:v>
                </c:pt>
                <c:pt idx="2767">
                  <c:v> 8 </c:v>
                </c:pt>
                <c:pt idx="2768">
                  <c:v> 9 </c:v>
                </c:pt>
                <c:pt idx="2769">
                  <c:v> 10 </c:v>
                </c:pt>
                <c:pt idx="2770">
                  <c:v> 11 </c:v>
                </c:pt>
                <c:pt idx="2771">
                  <c:v> 12 </c:v>
                </c:pt>
                <c:pt idx="2772">
                  <c:v> 13 </c:v>
                </c:pt>
                <c:pt idx="2773">
                  <c:v> 14 </c:v>
                </c:pt>
                <c:pt idx="2774">
                  <c:v> 15 </c:v>
                </c:pt>
                <c:pt idx="2775">
                  <c:v> 16 </c:v>
                </c:pt>
                <c:pt idx="2776">
                  <c:v> 17 </c:v>
                </c:pt>
                <c:pt idx="2777">
                  <c:v> 18 </c:v>
                </c:pt>
                <c:pt idx="2778">
                  <c:v> 19 </c:v>
                </c:pt>
                <c:pt idx="2779">
                  <c:v> 20 </c:v>
                </c:pt>
                <c:pt idx="2780">
                  <c:v> 21 </c:v>
                </c:pt>
                <c:pt idx="2781">
                  <c:v> 22 </c:v>
                </c:pt>
                <c:pt idx="2782">
                  <c:v> 23 </c:v>
                </c:pt>
                <c:pt idx="2783">
                  <c:v> 24 </c:v>
                </c:pt>
                <c:pt idx="2784">
                  <c:v>27 Apr 2014</c:v>
                </c:pt>
                <c:pt idx="2785">
                  <c:v> 2 </c:v>
                </c:pt>
                <c:pt idx="2786">
                  <c:v> 3 </c:v>
                </c:pt>
                <c:pt idx="2787">
                  <c:v> 4 </c:v>
                </c:pt>
                <c:pt idx="2788">
                  <c:v> 5 </c:v>
                </c:pt>
                <c:pt idx="2789">
                  <c:v> 6 </c:v>
                </c:pt>
                <c:pt idx="2790">
                  <c:v> 7 </c:v>
                </c:pt>
                <c:pt idx="2791">
                  <c:v> 8 </c:v>
                </c:pt>
                <c:pt idx="2792">
                  <c:v> 9 </c:v>
                </c:pt>
                <c:pt idx="2793">
                  <c:v> 10 </c:v>
                </c:pt>
                <c:pt idx="2794">
                  <c:v> 11 </c:v>
                </c:pt>
                <c:pt idx="2795">
                  <c:v> 12 </c:v>
                </c:pt>
                <c:pt idx="2796">
                  <c:v> 13 </c:v>
                </c:pt>
                <c:pt idx="2797">
                  <c:v> 14 </c:v>
                </c:pt>
                <c:pt idx="2798">
                  <c:v> 15 </c:v>
                </c:pt>
                <c:pt idx="2799">
                  <c:v> 16 </c:v>
                </c:pt>
                <c:pt idx="2800">
                  <c:v> 17 </c:v>
                </c:pt>
                <c:pt idx="2801">
                  <c:v> 18 </c:v>
                </c:pt>
                <c:pt idx="2802">
                  <c:v> 19 </c:v>
                </c:pt>
                <c:pt idx="2803">
                  <c:v> 20 </c:v>
                </c:pt>
                <c:pt idx="2804">
                  <c:v> 21 </c:v>
                </c:pt>
                <c:pt idx="2805">
                  <c:v> 22 </c:v>
                </c:pt>
                <c:pt idx="2806">
                  <c:v> 23 </c:v>
                </c:pt>
                <c:pt idx="2807">
                  <c:v> 24 </c:v>
                </c:pt>
                <c:pt idx="2808">
                  <c:v>28 Apr 2014</c:v>
                </c:pt>
                <c:pt idx="2809">
                  <c:v> 2 </c:v>
                </c:pt>
                <c:pt idx="2810">
                  <c:v> 3 </c:v>
                </c:pt>
                <c:pt idx="2811">
                  <c:v> 4 </c:v>
                </c:pt>
                <c:pt idx="2812">
                  <c:v> 5 </c:v>
                </c:pt>
                <c:pt idx="2813">
                  <c:v> 6 </c:v>
                </c:pt>
                <c:pt idx="2814">
                  <c:v> 7 </c:v>
                </c:pt>
                <c:pt idx="2815">
                  <c:v> 8 </c:v>
                </c:pt>
                <c:pt idx="2816">
                  <c:v> 9 </c:v>
                </c:pt>
                <c:pt idx="2817">
                  <c:v> 10 </c:v>
                </c:pt>
                <c:pt idx="2818">
                  <c:v> 11 </c:v>
                </c:pt>
                <c:pt idx="2819">
                  <c:v> 12 </c:v>
                </c:pt>
                <c:pt idx="2820">
                  <c:v> 13 </c:v>
                </c:pt>
                <c:pt idx="2821">
                  <c:v> 14 </c:v>
                </c:pt>
                <c:pt idx="2822">
                  <c:v> 15 </c:v>
                </c:pt>
                <c:pt idx="2823">
                  <c:v> 16 </c:v>
                </c:pt>
                <c:pt idx="2824">
                  <c:v> 17 </c:v>
                </c:pt>
                <c:pt idx="2825">
                  <c:v> 18 </c:v>
                </c:pt>
                <c:pt idx="2826">
                  <c:v> 19 </c:v>
                </c:pt>
                <c:pt idx="2827">
                  <c:v> 20 </c:v>
                </c:pt>
                <c:pt idx="2828">
                  <c:v> 21 </c:v>
                </c:pt>
                <c:pt idx="2829">
                  <c:v> 22 </c:v>
                </c:pt>
                <c:pt idx="2830">
                  <c:v> 23 </c:v>
                </c:pt>
                <c:pt idx="2831">
                  <c:v> 24 </c:v>
                </c:pt>
                <c:pt idx="2832">
                  <c:v>29 Apr 2014</c:v>
                </c:pt>
                <c:pt idx="2833">
                  <c:v> 2 </c:v>
                </c:pt>
                <c:pt idx="2834">
                  <c:v> 3 </c:v>
                </c:pt>
                <c:pt idx="2835">
                  <c:v> 4 </c:v>
                </c:pt>
                <c:pt idx="2836">
                  <c:v> 5 </c:v>
                </c:pt>
                <c:pt idx="2837">
                  <c:v> 6 </c:v>
                </c:pt>
                <c:pt idx="2838">
                  <c:v> 7 </c:v>
                </c:pt>
                <c:pt idx="2839">
                  <c:v> 8 </c:v>
                </c:pt>
                <c:pt idx="2840">
                  <c:v> 9 </c:v>
                </c:pt>
                <c:pt idx="2841">
                  <c:v> 10 </c:v>
                </c:pt>
                <c:pt idx="2842">
                  <c:v> 11 </c:v>
                </c:pt>
                <c:pt idx="2843">
                  <c:v> 12 </c:v>
                </c:pt>
                <c:pt idx="2844">
                  <c:v> 13 </c:v>
                </c:pt>
                <c:pt idx="2845">
                  <c:v> 14 </c:v>
                </c:pt>
                <c:pt idx="2846">
                  <c:v> 15 </c:v>
                </c:pt>
                <c:pt idx="2847">
                  <c:v> 16 </c:v>
                </c:pt>
                <c:pt idx="2848">
                  <c:v> 17 </c:v>
                </c:pt>
                <c:pt idx="2849">
                  <c:v> 18 </c:v>
                </c:pt>
                <c:pt idx="2850">
                  <c:v> 19 </c:v>
                </c:pt>
                <c:pt idx="2851">
                  <c:v> 20 </c:v>
                </c:pt>
                <c:pt idx="2852">
                  <c:v> 21 </c:v>
                </c:pt>
                <c:pt idx="2853">
                  <c:v> 22 </c:v>
                </c:pt>
                <c:pt idx="2854">
                  <c:v> 23 </c:v>
                </c:pt>
                <c:pt idx="2855">
                  <c:v> 24 </c:v>
                </c:pt>
                <c:pt idx="2856">
                  <c:v>30 Apr 2014</c:v>
                </c:pt>
                <c:pt idx="2857">
                  <c:v> 2 </c:v>
                </c:pt>
                <c:pt idx="2858">
                  <c:v> 3 </c:v>
                </c:pt>
                <c:pt idx="2859">
                  <c:v> 4 </c:v>
                </c:pt>
                <c:pt idx="2860">
                  <c:v> 5 </c:v>
                </c:pt>
                <c:pt idx="2861">
                  <c:v> 6 </c:v>
                </c:pt>
                <c:pt idx="2862">
                  <c:v> 7 </c:v>
                </c:pt>
                <c:pt idx="2863">
                  <c:v> 8 </c:v>
                </c:pt>
                <c:pt idx="2864">
                  <c:v> 9 </c:v>
                </c:pt>
                <c:pt idx="2865">
                  <c:v> 10 </c:v>
                </c:pt>
                <c:pt idx="2866">
                  <c:v> 11 </c:v>
                </c:pt>
                <c:pt idx="2867">
                  <c:v> 12 </c:v>
                </c:pt>
                <c:pt idx="2868">
                  <c:v> 13 </c:v>
                </c:pt>
                <c:pt idx="2869">
                  <c:v> 14 </c:v>
                </c:pt>
                <c:pt idx="2870">
                  <c:v> 15 </c:v>
                </c:pt>
                <c:pt idx="2871">
                  <c:v> 16 </c:v>
                </c:pt>
                <c:pt idx="2872">
                  <c:v> 17 </c:v>
                </c:pt>
                <c:pt idx="2873">
                  <c:v> 18 </c:v>
                </c:pt>
                <c:pt idx="2874">
                  <c:v> 19 </c:v>
                </c:pt>
                <c:pt idx="2875">
                  <c:v> 20 </c:v>
                </c:pt>
                <c:pt idx="2876">
                  <c:v> 21 </c:v>
                </c:pt>
                <c:pt idx="2877">
                  <c:v> 22 </c:v>
                </c:pt>
                <c:pt idx="2878">
                  <c:v> 23 </c:v>
                </c:pt>
                <c:pt idx="2879">
                  <c:v> 24 </c:v>
                </c:pt>
                <c:pt idx="2880">
                  <c:v>01 May 2014</c:v>
                </c:pt>
                <c:pt idx="2881">
                  <c:v> 2 </c:v>
                </c:pt>
                <c:pt idx="2882">
                  <c:v> 3 </c:v>
                </c:pt>
                <c:pt idx="2883">
                  <c:v> 4 </c:v>
                </c:pt>
                <c:pt idx="2884">
                  <c:v> 5 </c:v>
                </c:pt>
                <c:pt idx="2885">
                  <c:v> 6 </c:v>
                </c:pt>
                <c:pt idx="2886">
                  <c:v> 7 </c:v>
                </c:pt>
                <c:pt idx="2887">
                  <c:v> 8 </c:v>
                </c:pt>
                <c:pt idx="2888">
                  <c:v> 9 </c:v>
                </c:pt>
                <c:pt idx="2889">
                  <c:v> 10 </c:v>
                </c:pt>
                <c:pt idx="2890">
                  <c:v> 11 </c:v>
                </c:pt>
                <c:pt idx="2891">
                  <c:v> 12 </c:v>
                </c:pt>
                <c:pt idx="2892">
                  <c:v> 13 </c:v>
                </c:pt>
                <c:pt idx="2893">
                  <c:v> 14 </c:v>
                </c:pt>
                <c:pt idx="2894">
                  <c:v> 15 </c:v>
                </c:pt>
                <c:pt idx="2895">
                  <c:v> 16 </c:v>
                </c:pt>
                <c:pt idx="2896">
                  <c:v> 17 </c:v>
                </c:pt>
                <c:pt idx="2897">
                  <c:v> 18 </c:v>
                </c:pt>
                <c:pt idx="2898">
                  <c:v> 19 </c:v>
                </c:pt>
                <c:pt idx="2899">
                  <c:v> 20 </c:v>
                </c:pt>
                <c:pt idx="2900">
                  <c:v> 21 </c:v>
                </c:pt>
                <c:pt idx="2901">
                  <c:v> 22 </c:v>
                </c:pt>
                <c:pt idx="2902">
                  <c:v> 23 </c:v>
                </c:pt>
                <c:pt idx="2903">
                  <c:v> 24 </c:v>
                </c:pt>
                <c:pt idx="2904">
                  <c:v>02 May 2014</c:v>
                </c:pt>
                <c:pt idx="2905">
                  <c:v> 2 </c:v>
                </c:pt>
                <c:pt idx="2906">
                  <c:v> 3 </c:v>
                </c:pt>
                <c:pt idx="2907">
                  <c:v> 4 </c:v>
                </c:pt>
                <c:pt idx="2908">
                  <c:v> 5 </c:v>
                </c:pt>
                <c:pt idx="2909">
                  <c:v> 6 </c:v>
                </c:pt>
                <c:pt idx="2910">
                  <c:v> 7 </c:v>
                </c:pt>
                <c:pt idx="2911">
                  <c:v> 8 </c:v>
                </c:pt>
                <c:pt idx="2912">
                  <c:v> 9 </c:v>
                </c:pt>
                <c:pt idx="2913">
                  <c:v> 10 </c:v>
                </c:pt>
                <c:pt idx="2914">
                  <c:v> 11 </c:v>
                </c:pt>
                <c:pt idx="2915">
                  <c:v> 12 </c:v>
                </c:pt>
                <c:pt idx="2916">
                  <c:v> 13 </c:v>
                </c:pt>
                <c:pt idx="2917">
                  <c:v> 14 </c:v>
                </c:pt>
                <c:pt idx="2918">
                  <c:v> 15 </c:v>
                </c:pt>
                <c:pt idx="2919">
                  <c:v> 16 </c:v>
                </c:pt>
                <c:pt idx="2920">
                  <c:v> 17 </c:v>
                </c:pt>
                <c:pt idx="2921">
                  <c:v> 18 </c:v>
                </c:pt>
                <c:pt idx="2922">
                  <c:v> 19 </c:v>
                </c:pt>
                <c:pt idx="2923">
                  <c:v> 20 </c:v>
                </c:pt>
                <c:pt idx="2924">
                  <c:v> 21 </c:v>
                </c:pt>
                <c:pt idx="2925">
                  <c:v> 22 </c:v>
                </c:pt>
                <c:pt idx="2926">
                  <c:v> 23 </c:v>
                </c:pt>
                <c:pt idx="2927">
                  <c:v> 24 </c:v>
                </c:pt>
                <c:pt idx="2928">
                  <c:v>03 May 2014</c:v>
                </c:pt>
                <c:pt idx="2929">
                  <c:v> 2 </c:v>
                </c:pt>
                <c:pt idx="2930">
                  <c:v> 3 </c:v>
                </c:pt>
                <c:pt idx="2931">
                  <c:v> 4 </c:v>
                </c:pt>
                <c:pt idx="2932">
                  <c:v> 5 </c:v>
                </c:pt>
                <c:pt idx="2933">
                  <c:v> 6 </c:v>
                </c:pt>
                <c:pt idx="2934">
                  <c:v> 7 </c:v>
                </c:pt>
                <c:pt idx="2935">
                  <c:v> 8 </c:v>
                </c:pt>
                <c:pt idx="2936">
                  <c:v> 9 </c:v>
                </c:pt>
                <c:pt idx="2937">
                  <c:v> 10 </c:v>
                </c:pt>
                <c:pt idx="2938">
                  <c:v> 11 </c:v>
                </c:pt>
                <c:pt idx="2939">
                  <c:v> 12 </c:v>
                </c:pt>
                <c:pt idx="2940">
                  <c:v> 13 </c:v>
                </c:pt>
                <c:pt idx="2941">
                  <c:v> 14 </c:v>
                </c:pt>
                <c:pt idx="2942">
                  <c:v> 15 </c:v>
                </c:pt>
                <c:pt idx="2943">
                  <c:v> 16 </c:v>
                </c:pt>
                <c:pt idx="2944">
                  <c:v> 17 </c:v>
                </c:pt>
                <c:pt idx="2945">
                  <c:v> 18 </c:v>
                </c:pt>
                <c:pt idx="2946">
                  <c:v> 19 </c:v>
                </c:pt>
                <c:pt idx="2947">
                  <c:v> 20 </c:v>
                </c:pt>
                <c:pt idx="2948">
                  <c:v> 21 </c:v>
                </c:pt>
                <c:pt idx="2949">
                  <c:v> 22 </c:v>
                </c:pt>
                <c:pt idx="2950">
                  <c:v> 23 </c:v>
                </c:pt>
                <c:pt idx="2951">
                  <c:v> 24 </c:v>
                </c:pt>
                <c:pt idx="2952">
                  <c:v>04 May 2014</c:v>
                </c:pt>
                <c:pt idx="2953">
                  <c:v> 2 </c:v>
                </c:pt>
                <c:pt idx="2954">
                  <c:v> 3 </c:v>
                </c:pt>
                <c:pt idx="2955">
                  <c:v> 4 </c:v>
                </c:pt>
                <c:pt idx="2956">
                  <c:v> 5 </c:v>
                </c:pt>
                <c:pt idx="2957">
                  <c:v> 6 </c:v>
                </c:pt>
                <c:pt idx="2958">
                  <c:v> 7 </c:v>
                </c:pt>
                <c:pt idx="2959">
                  <c:v> 8 </c:v>
                </c:pt>
                <c:pt idx="2960">
                  <c:v> 9 </c:v>
                </c:pt>
                <c:pt idx="2961">
                  <c:v> 10 </c:v>
                </c:pt>
                <c:pt idx="2962">
                  <c:v> 11 </c:v>
                </c:pt>
                <c:pt idx="2963">
                  <c:v> 12 </c:v>
                </c:pt>
                <c:pt idx="2964">
                  <c:v> 13 </c:v>
                </c:pt>
                <c:pt idx="2965">
                  <c:v> 14 </c:v>
                </c:pt>
                <c:pt idx="2966">
                  <c:v> 15 </c:v>
                </c:pt>
                <c:pt idx="2967">
                  <c:v> 16 </c:v>
                </c:pt>
                <c:pt idx="2968">
                  <c:v> 17 </c:v>
                </c:pt>
                <c:pt idx="2969">
                  <c:v> 18 </c:v>
                </c:pt>
                <c:pt idx="2970">
                  <c:v> 19 </c:v>
                </c:pt>
                <c:pt idx="2971">
                  <c:v> 20 </c:v>
                </c:pt>
                <c:pt idx="2972">
                  <c:v> 21 </c:v>
                </c:pt>
                <c:pt idx="2973">
                  <c:v> 22 </c:v>
                </c:pt>
                <c:pt idx="2974">
                  <c:v> 23 </c:v>
                </c:pt>
                <c:pt idx="2975">
                  <c:v> 24 </c:v>
                </c:pt>
                <c:pt idx="2976">
                  <c:v>05 May 2014</c:v>
                </c:pt>
                <c:pt idx="2977">
                  <c:v> 2 </c:v>
                </c:pt>
                <c:pt idx="2978">
                  <c:v> 3 </c:v>
                </c:pt>
                <c:pt idx="2979">
                  <c:v> 4 </c:v>
                </c:pt>
                <c:pt idx="2980">
                  <c:v> 5 </c:v>
                </c:pt>
                <c:pt idx="2981">
                  <c:v> 6 </c:v>
                </c:pt>
                <c:pt idx="2982">
                  <c:v> 7 </c:v>
                </c:pt>
                <c:pt idx="2983">
                  <c:v> 8 </c:v>
                </c:pt>
                <c:pt idx="2984">
                  <c:v> 9 </c:v>
                </c:pt>
                <c:pt idx="2985">
                  <c:v> 10 </c:v>
                </c:pt>
                <c:pt idx="2986">
                  <c:v> 11 </c:v>
                </c:pt>
                <c:pt idx="2987">
                  <c:v> 12 </c:v>
                </c:pt>
                <c:pt idx="2988">
                  <c:v> 13 </c:v>
                </c:pt>
                <c:pt idx="2989">
                  <c:v> 14 </c:v>
                </c:pt>
                <c:pt idx="2990">
                  <c:v> 15 </c:v>
                </c:pt>
                <c:pt idx="2991">
                  <c:v> 16 </c:v>
                </c:pt>
                <c:pt idx="2992">
                  <c:v> 17 </c:v>
                </c:pt>
                <c:pt idx="2993">
                  <c:v> 18 </c:v>
                </c:pt>
                <c:pt idx="2994">
                  <c:v> 19 </c:v>
                </c:pt>
                <c:pt idx="2995">
                  <c:v> 20 </c:v>
                </c:pt>
                <c:pt idx="2996">
                  <c:v> 21 </c:v>
                </c:pt>
                <c:pt idx="2997">
                  <c:v> 22 </c:v>
                </c:pt>
                <c:pt idx="2998">
                  <c:v> 23 </c:v>
                </c:pt>
                <c:pt idx="2999">
                  <c:v> 24 </c:v>
                </c:pt>
                <c:pt idx="3000">
                  <c:v>06 May 2014</c:v>
                </c:pt>
                <c:pt idx="3001">
                  <c:v> 2 </c:v>
                </c:pt>
                <c:pt idx="3002">
                  <c:v> 3 </c:v>
                </c:pt>
                <c:pt idx="3003">
                  <c:v> 4 </c:v>
                </c:pt>
                <c:pt idx="3004">
                  <c:v> 5 </c:v>
                </c:pt>
                <c:pt idx="3005">
                  <c:v> 6 </c:v>
                </c:pt>
                <c:pt idx="3006">
                  <c:v> 7 </c:v>
                </c:pt>
                <c:pt idx="3007">
                  <c:v> 8 </c:v>
                </c:pt>
                <c:pt idx="3008">
                  <c:v> 9 </c:v>
                </c:pt>
                <c:pt idx="3009">
                  <c:v> 10 </c:v>
                </c:pt>
                <c:pt idx="3010">
                  <c:v> 11 </c:v>
                </c:pt>
                <c:pt idx="3011">
                  <c:v> 12 </c:v>
                </c:pt>
                <c:pt idx="3012">
                  <c:v> 13 </c:v>
                </c:pt>
                <c:pt idx="3013">
                  <c:v> 14 </c:v>
                </c:pt>
                <c:pt idx="3014">
                  <c:v> 15 </c:v>
                </c:pt>
                <c:pt idx="3015">
                  <c:v> 16 </c:v>
                </c:pt>
                <c:pt idx="3016">
                  <c:v> 17 </c:v>
                </c:pt>
                <c:pt idx="3017">
                  <c:v> 18 </c:v>
                </c:pt>
                <c:pt idx="3018">
                  <c:v> 19 </c:v>
                </c:pt>
                <c:pt idx="3019">
                  <c:v> 20 </c:v>
                </c:pt>
                <c:pt idx="3020">
                  <c:v> 21 </c:v>
                </c:pt>
                <c:pt idx="3021">
                  <c:v> 22 </c:v>
                </c:pt>
                <c:pt idx="3022">
                  <c:v> 23 </c:v>
                </c:pt>
                <c:pt idx="3023">
                  <c:v> 24 </c:v>
                </c:pt>
                <c:pt idx="3024">
                  <c:v>07 May 2014</c:v>
                </c:pt>
                <c:pt idx="3025">
                  <c:v> 2 </c:v>
                </c:pt>
                <c:pt idx="3026">
                  <c:v> 3 </c:v>
                </c:pt>
                <c:pt idx="3027">
                  <c:v> 4 </c:v>
                </c:pt>
                <c:pt idx="3028">
                  <c:v> 5 </c:v>
                </c:pt>
                <c:pt idx="3029">
                  <c:v> 6 </c:v>
                </c:pt>
                <c:pt idx="3030">
                  <c:v> 7 </c:v>
                </c:pt>
                <c:pt idx="3031">
                  <c:v> 8 </c:v>
                </c:pt>
                <c:pt idx="3032">
                  <c:v> 9 </c:v>
                </c:pt>
                <c:pt idx="3033">
                  <c:v> 10 </c:v>
                </c:pt>
                <c:pt idx="3034">
                  <c:v> 11 </c:v>
                </c:pt>
                <c:pt idx="3035">
                  <c:v> 12 </c:v>
                </c:pt>
                <c:pt idx="3036">
                  <c:v> 13 </c:v>
                </c:pt>
                <c:pt idx="3037">
                  <c:v> 14 </c:v>
                </c:pt>
                <c:pt idx="3038">
                  <c:v> 15 </c:v>
                </c:pt>
                <c:pt idx="3039">
                  <c:v> 16 </c:v>
                </c:pt>
                <c:pt idx="3040">
                  <c:v> 17 </c:v>
                </c:pt>
                <c:pt idx="3041">
                  <c:v> 18 </c:v>
                </c:pt>
                <c:pt idx="3042">
                  <c:v> 19 </c:v>
                </c:pt>
                <c:pt idx="3043">
                  <c:v> 20 </c:v>
                </c:pt>
                <c:pt idx="3044">
                  <c:v> 21 </c:v>
                </c:pt>
                <c:pt idx="3045">
                  <c:v> 22 </c:v>
                </c:pt>
                <c:pt idx="3046">
                  <c:v> 23 </c:v>
                </c:pt>
                <c:pt idx="3047">
                  <c:v> 24 </c:v>
                </c:pt>
                <c:pt idx="3048">
                  <c:v>08 May 2014</c:v>
                </c:pt>
                <c:pt idx="3049">
                  <c:v> 2 </c:v>
                </c:pt>
                <c:pt idx="3050">
                  <c:v> 3 </c:v>
                </c:pt>
                <c:pt idx="3051">
                  <c:v> 4 </c:v>
                </c:pt>
                <c:pt idx="3052">
                  <c:v> 5 </c:v>
                </c:pt>
                <c:pt idx="3053">
                  <c:v> 6 </c:v>
                </c:pt>
                <c:pt idx="3054">
                  <c:v> 7 </c:v>
                </c:pt>
                <c:pt idx="3055">
                  <c:v> 8 </c:v>
                </c:pt>
                <c:pt idx="3056">
                  <c:v> 9 </c:v>
                </c:pt>
                <c:pt idx="3057">
                  <c:v> 10 </c:v>
                </c:pt>
                <c:pt idx="3058">
                  <c:v> 11 </c:v>
                </c:pt>
                <c:pt idx="3059">
                  <c:v> 12 </c:v>
                </c:pt>
                <c:pt idx="3060">
                  <c:v> 13 </c:v>
                </c:pt>
                <c:pt idx="3061">
                  <c:v> 14 </c:v>
                </c:pt>
                <c:pt idx="3062">
                  <c:v> 15 </c:v>
                </c:pt>
                <c:pt idx="3063">
                  <c:v> 16 </c:v>
                </c:pt>
                <c:pt idx="3064">
                  <c:v> 17 </c:v>
                </c:pt>
                <c:pt idx="3065">
                  <c:v> 18 </c:v>
                </c:pt>
                <c:pt idx="3066">
                  <c:v> 19 </c:v>
                </c:pt>
                <c:pt idx="3067">
                  <c:v> 20 </c:v>
                </c:pt>
                <c:pt idx="3068">
                  <c:v> 21 </c:v>
                </c:pt>
                <c:pt idx="3069">
                  <c:v> 22 </c:v>
                </c:pt>
                <c:pt idx="3070">
                  <c:v> 23 </c:v>
                </c:pt>
                <c:pt idx="3071">
                  <c:v> 24 </c:v>
                </c:pt>
                <c:pt idx="3072">
                  <c:v>09 May 2014</c:v>
                </c:pt>
                <c:pt idx="3073">
                  <c:v> 2 </c:v>
                </c:pt>
                <c:pt idx="3074">
                  <c:v> 3 </c:v>
                </c:pt>
                <c:pt idx="3075">
                  <c:v> 4 </c:v>
                </c:pt>
                <c:pt idx="3076">
                  <c:v> 5 </c:v>
                </c:pt>
                <c:pt idx="3077">
                  <c:v> 6 </c:v>
                </c:pt>
                <c:pt idx="3078">
                  <c:v> 7 </c:v>
                </c:pt>
                <c:pt idx="3079">
                  <c:v> 8 </c:v>
                </c:pt>
                <c:pt idx="3080">
                  <c:v> 9 </c:v>
                </c:pt>
                <c:pt idx="3081">
                  <c:v> 10 </c:v>
                </c:pt>
                <c:pt idx="3082">
                  <c:v> 11 </c:v>
                </c:pt>
                <c:pt idx="3083">
                  <c:v> 12 </c:v>
                </c:pt>
                <c:pt idx="3084">
                  <c:v> 13 </c:v>
                </c:pt>
                <c:pt idx="3085">
                  <c:v> 14 </c:v>
                </c:pt>
                <c:pt idx="3086">
                  <c:v> 15 </c:v>
                </c:pt>
                <c:pt idx="3087">
                  <c:v> 16 </c:v>
                </c:pt>
                <c:pt idx="3088">
                  <c:v> 17 </c:v>
                </c:pt>
                <c:pt idx="3089">
                  <c:v> 18 </c:v>
                </c:pt>
                <c:pt idx="3090">
                  <c:v> 19 </c:v>
                </c:pt>
                <c:pt idx="3091">
                  <c:v> 20 </c:v>
                </c:pt>
                <c:pt idx="3092">
                  <c:v> 21 </c:v>
                </c:pt>
                <c:pt idx="3093">
                  <c:v> 22 </c:v>
                </c:pt>
                <c:pt idx="3094">
                  <c:v> 23 </c:v>
                </c:pt>
                <c:pt idx="3095">
                  <c:v> 24 </c:v>
                </c:pt>
                <c:pt idx="3096">
                  <c:v>10 May 2014</c:v>
                </c:pt>
                <c:pt idx="3097">
                  <c:v> 2 </c:v>
                </c:pt>
                <c:pt idx="3098">
                  <c:v> 3 </c:v>
                </c:pt>
                <c:pt idx="3099">
                  <c:v> 4 </c:v>
                </c:pt>
                <c:pt idx="3100">
                  <c:v> 5 </c:v>
                </c:pt>
                <c:pt idx="3101">
                  <c:v> 6 </c:v>
                </c:pt>
                <c:pt idx="3102">
                  <c:v> 7 </c:v>
                </c:pt>
                <c:pt idx="3103">
                  <c:v> 8 </c:v>
                </c:pt>
                <c:pt idx="3104">
                  <c:v> 9 </c:v>
                </c:pt>
                <c:pt idx="3105">
                  <c:v> 10 </c:v>
                </c:pt>
                <c:pt idx="3106">
                  <c:v> 11 </c:v>
                </c:pt>
                <c:pt idx="3107">
                  <c:v> 12 </c:v>
                </c:pt>
                <c:pt idx="3108">
                  <c:v> 13 </c:v>
                </c:pt>
                <c:pt idx="3109">
                  <c:v> 14 </c:v>
                </c:pt>
                <c:pt idx="3110">
                  <c:v> 15 </c:v>
                </c:pt>
                <c:pt idx="3111">
                  <c:v> 16 </c:v>
                </c:pt>
                <c:pt idx="3112">
                  <c:v> 17 </c:v>
                </c:pt>
                <c:pt idx="3113">
                  <c:v> 18 </c:v>
                </c:pt>
                <c:pt idx="3114">
                  <c:v> 19 </c:v>
                </c:pt>
                <c:pt idx="3115">
                  <c:v> 20 </c:v>
                </c:pt>
                <c:pt idx="3116">
                  <c:v> 21 </c:v>
                </c:pt>
                <c:pt idx="3117">
                  <c:v> 22 </c:v>
                </c:pt>
                <c:pt idx="3118">
                  <c:v> 23 </c:v>
                </c:pt>
                <c:pt idx="3119">
                  <c:v> 24 </c:v>
                </c:pt>
                <c:pt idx="3120">
                  <c:v>11 May 2014</c:v>
                </c:pt>
                <c:pt idx="3121">
                  <c:v> 2 </c:v>
                </c:pt>
                <c:pt idx="3122">
                  <c:v> 3 </c:v>
                </c:pt>
                <c:pt idx="3123">
                  <c:v> 4 </c:v>
                </c:pt>
                <c:pt idx="3124">
                  <c:v> 5 </c:v>
                </c:pt>
                <c:pt idx="3125">
                  <c:v> 6 </c:v>
                </c:pt>
                <c:pt idx="3126">
                  <c:v> 7 </c:v>
                </c:pt>
                <c:pt idx="3127">
                  <c:v> 8 </c:v>
                </c:pt>
                <c:pt idx="3128">
                  <c:v> 9 </c:v>
                </c:pt>
                <c:pt idx="3129">
                  <c:v> 10 </c:v>
                </c:pt>
                <c:pt idx="3130">
                  <c:v> 11 </c:v>
                </c:pt>
                <c:pt idx="3131">
                  <c:v> 12 </c:v>
                </c:pt>
                <c:pt idx="3132">
                  <c:v> 13 </c:v>
                </c:pt>
                <c:pt idx="3133">
                  <c:v> 14 </c:v>
                </c:pt>
                <c:pt idx="3134">
                  <c:v> 15 </c:v>
                </c:pt>
                <c:pt idx="3135">
                  <c:v> 16 </c:v>
                </c:pt>
                <c:pt idx="3136">
                  <c:v> 17 </c:v>
                </c:pt>
                <c:pt idx="3137">
                  <c:v> 18 </c:v>
                </c:pt>
                <c:pt idx="3138">
                  <c:v> 19 </c:v>
                </c:pt>
                <c:pt idx="3139">
                  <c:v> 20 </c:v>
                </c:pt>
                <c:pt idx="3140">
                  <c:v> 21 </c:v>
                </c:pt>
                <c:pt idx="3141">
                  <c:v> 22 </c:v>
                </c:pt>
                <c:pt idx="3142">
                  <c:v> 23 </c:v>
                </c:pt>
                <c:pt idx="3143">
                  <c:v> 24 </c:v>
                </c:pt>
                <c:pt idx="3144">
                  <c:v>12 May 2014</c:v>
                </c:pt>
                <c:pt idx="3145">
                  <c:v> 2 </c:v>
                </c:pt>
                <c:pt idx="3146">
                  <c:v> 3 </c:v>
                </c:pt>
                <c:pt idx="3147">
                  <c:v> 4 </c:v>
                </c:pt>
                <c:pt idx="3148">
                  <c:v> 5 </c:v>
                </c:pt>
                <c:pt idx="3149">
                  <c:v> 6 </c:v>
                </c:pt>
                <c:pt idx="3150">
                  <c:v> 7 </c:v>
                </c:pt>
                <c:pt idx="3151">
                  <c:v> 8 </c:v>
                </c:pt>
                <c:pt idx="3152">
                  <c:v> 9 </c:v>
                </c:pt>
                <c:pt idx="3153">
                  <c:v> 10 </c:v>
                </c:pt>
                <c:pt idx="3154">
                  <c:v> 11 </c:v>
                </c:pt>
                <c:pt idx="3155">
                  <c:v> 12 </c:v>
                </c:pt>
                <c:pt idx="3156">
                  <c:v> 13 </c:v>
                </c:pt>
                <c:pt idx="3157">
                  <c:v> 14 </c:v>
                </c:pt>
                <c:pt idx="3158">
                  <c:v> 15 </c:v>
                </c:pt>
                <c:pt idx="3159">
                  <c:v> 16 </c:v>
                </c:pt>
                <c:pt idx="3160">
                  <c:v> 17 </c:v>
                </c:pt>
                <c:pt idx="3161">
                  <c:v> 18 </c:v>
                </c:pt>
                <c:pt idx="3162">
                  <c:v> 19 </c:v>
                </c:pt>
                <c:pt idx="3163">
                  <c:v> 20 </c:v>
                </c:pt>
                <c:pt idx="3164">
                  <c:v> 21 </c:v>
                </c:pt>
                <c:pt idx="3165">
                  <c:v> 22 </c:v>
                </c:pt>
                <c:pt idx="3166">
                  <c:v> 23 </c:v>
                </c:pt>
                <c:pt idx="3167">
                  <c:v> 24 </c:v>
                </c:pt>
                <c:pt idx="3168">
                  <c:v>13 May 2014</c:v>
                </c:pt>
                <c:pt idx="3169">
                  <c:v> 2 </c:v>
                </c:pt>
                <c:pt idx="3170">
                  <c:v> 3 </c:v>
                </c:pt>
                <c:pt idx="3171">
                  <c:v> 4 </c:v>
                </c:pt>
                <c:pt idx="3172">
                  <c:v> 5 </c:v>
                </c:pt>
                <c:pt idx="3173">
                  <c:v> 6 </c:v>
                </c:pt>
                <c:pt idx="3174">
                  <c:v> 7 </c:v>
                </c:pt>
                <c:pt idx="3175">
                  <c:v> 8 </c:v>
                </c:pt>
                <c:pt idx="3176">
                  <c:v> 9 </c:v>
                </c:pt>
                <c:pt idx="3177">
                  <c:v> 10 </c:v>
                </c:pt>
                <c:pt idx="3178">
                  <c:v> 11 </c:v>
                </c:pt>
                <c:pt idx="3179">
                  <c:v> 12 </c:v>
                </c:pt>
                <c:pt idx="3180">
                  <c:v> 13 </c:v>
                </c:pt>
                <c:pt idx="3181">
                  <c:v> 14 </c:v>
                </c:pt>
                <c:pt idx="3182">
                  <c:v> 15 </c:v>
                </c:pt>
                <c:pt idx="3183">
                  <c:v> 16 </c:v>
                </c:pt>
                <c:pt idx="3184">
                  <c:v> 17 </c:v>
                </c:pt>
                <c:pt idx="3185">
                  <c:v> 18 </c:v>
                </c:pt>
                <c:pt idx="3186">
                  <c:v> 19 </c:v>
                </c:pt>
                <c:pt idx="3187">
                  <c:v> 20 </c:v>
                </c:pt>
                <c:pt idx="3188">
                  <c:v> 21 </c:v>
                </c:pt>
                <c:pt idx="3189">
                  <c:v> 22 </c:v>
                </c:pt>
                <c:pt idx="3190">
                  <c:v> 23 </c:v>
                </c:pt>
                <c:pt idx="3191">
                  <c:v> 24 </c:v>
                </c:pt>
                <c:pt idx="3192">
                  <c:v>14 May 2014</c:v>
                </c:pt>
                <c:pt idx="3193">
                  <c:v> 2 </c:v>
                </c:pt>
                <c:pt idx="3194">
                  <c:v> 3 </c:v>
                </c:pt>
                <c:pt idx="3195">
                  <c:v> 4 </c:v>
                </c:pt>
                <c:pt idx="3196">
                  <c:v> 5 </c:v>
                </c:pt>
                <c:pt idx="3197">
                  <c:v> 6 </c:v>
                </c:pt>
                <c:pt idx="3198">
                  <c:v> 7 </c:v>
                </c:pt>
                <c:pt idx="3199">
                  <c:v> 8 </c:v>
                </c:pt>
                <c:pt idx="3200">
                  <c:v> 9 </c:v>
                </c:pt>
                <c:pt idx="3201">
                  <c:v> 10 </c:v>
                </c:pt>
                <c:pt idx="3202">
                  <c:v> 11 </c:v>
                </c:pt>
                <c:pt idx="3203">
                  <c:v> 12 </c:v>
                </c:pt>
                <c:pt idx="3204">
                  <c:v> 13 </c:v>
                </c:pt>
                <c:pt idx="3205">
                  <c:v> 14 </c:v>
                </c:pt>
                <c:pt idx="3206">
                  <c:v> 15 </c:v>
                </c:pt>
                <c:pt idx="3207">
                  <c:v> 16 </c:v>
                </c:pt>
                <c:pt idx="3208">
                  <c:v> 17 </c:v>
                </c:pt>
                <c:pt idx="3209">
                  <c:v> 18 </c:v>
                </c:pt>
                <c:pt idx="3210">
                  <c:v> 19 </c:v>
                </c:pt>
                <c:pt idx="3211">
                  <c:v> 20 </c:v>
                </c:pt>
                <c:pt idx="3212">
                  <c:v> 21 </c:v>
                </c:pt>
                <c:pt idx="3213">
                  <c:v> 22 </c:v>
                </c:pt>
                <c:pt idx="3214">
                  <c:v> 23 </c:v>
                </c:pt>
                <c:pt idx="3215">
                  <c:v> 24 </c:v>
                </c:pt>
                <c:pt idx="3216">
                  <c:v>15 May 2014</c:v>
                </c:pt>
                <c:pt idx="3217">
                  <c:v> 2 </c:v>
                </c:pt>
                <c:pt idx="3218">
                  <c:v> 3 </c:v>
                </c:pt>
                <c:pt idx="3219">
                  <c:v> 4 </c:v>
                </c:pt>
                <c:pt idx="3220">
                  <c:v> 5 </c:v>
                </c:pt>
                <c:pt idx="3221">
                  <c:v> 6 </c:v>
                </c:pt>
                <c:pt idx="3222">
                  <c:v> 7 </c:v>
                </c:pt>
                <c:pt idx="3223">
                  <c:v> 8 </c:v>
                </c:pt>
                <c:pt idx="3224">
                  <c:v> 9 </c:v>
                </c:pt>
                <c:pt idx="3225">
                  <c:v> 10 </c:v>
                </c:pt>
                <c:pt idx="3226">
                  <c:v> 11 </c:v>
                </c:pt>
                <c:pt idx="3227">
                  <c:v> 12 </c:v>
                </c:pt>
                <c:pt idx="3228">
                  <c:v> 13 </c:v>
                </c:pt>
                <c:pt idx="3229">
                  <c:v> 14 </c:v>
                </c:pt>
                <c:pt idx="3230">
                  <c:v> 15 </c:v>
                </c:pt>
                <c:pt idx="3231">
                  <c:v> 16 </c:v>
                </c:pt>
                <c:pt idx="3232">
                  <c:v> 17 </c:v>
                </c:pt>
                <c:pt idx="3233">
                  <c:v> 18 </c:v>
                </c:pt>
                <c:pt idx="3234">
                  <c:v> 19 </c:v>
                </c:pt>
                <c:pt idx="3235">
                  <c:v> 20 </c:v>
                </c:pt>
                <c:pt idx="3236">
                  <c:v> 21 </c:v>
                </c:pt>
                <c:pt idx="3237">
                  <c:v> 22 </c:v>
                </c:pt>
                <c:pt idx="3238">
                  <c:v> 23 </c:v>
                </c:pt>
                <c:pt idx="3239">
                  <c:v> 24 </c:v>
                </c:pt>
                <c:pt idx="3240">
                  <c:v>16 May 2014</c:v>
                </c:pt>
                <c:pt idx="3241">
                  <c:v> 2 </c:v>
                </c:pt>
                <c:pt idx="3242">
                  <c:v> 3 </c:v>
                </c:pt>
                <c:pt idx="3243">
                  <c:v> 4 </c:v>
                </c:pt>
                <c:pt idx="3244">
                  <c:v> 5 </c:v>
                </c:pt>
                <c:pt idx="3245">
                  <c:v> 6 </c:v>
                </c:pt>
                <c:pt idx="3246">
                  <c:v> 7 </c:v>
                </c:pt>
                <c:pt idx="3247">
                  <c:v> 8 </c:v>
                </c:pt>
                <c:pt idx="3248">
                  <c:v> 9 </c:v>
                </c:pt>
                <c:pt idx="3249">
                  <c:v> 10 </c:v>
                </c:pt>
                <c:pt idx="3250">
                  <c:v> 11 </c:v>
                </c:pt>
                <c:pt idx="3251">
                  <c:v> 12 </c:v>
                </c:pt>
                <c:pt idx="3252">
                  <c:v> 13 </c:v>
                </c:pt>
                <c:pt idx="3253">
                  <c:v> 14 </c:v>
                </c:pt>
                <c:pt idx="3254">
                  <c:v> 15 </c:v>
                </c:pt>
                <c:pt idx="3255">
                  <c:v> 16 </c:v>
                </c:pt>
                <c:pt idx="3256">
                  <c:v> 17 </c:v>
                </c:pt>
                <c:pt idx="3257">
                  <c:v> 18 </c:v>
                </c:pt>
                <c:pt idx="3258">
                  <c:v> 19 </c:v>
                </c:pt>
                <c:pt idx="3259">
                  <c:v> 20 </c:v>
                </c:pt>
                <c:pt idx="3260">
                  <c:v> 21 </c:v>
                </c:pt>
                <c:pt idx="3261">
                  <c:v> 22 </c:v>
                </c:pt>
                <c:pt idx="3262">
                  <c:v> 23 </c:v>
                </c:pt>
                <c:pt idx="3263">
                  <c:v> 24 </c:v>
                </c:pt>
                <c:pt idx="3264">
                  <c:v>17 May 2014</c:v>
                </c:pt>
                <c:pt idx="3265">
                  <c:v> 2 </c:v>
                </c:pt>
                <c:pt idx="3266">
                  <c:v> 3 </c:v>
                </c:pt>
                <c:pt idx="3267">
                  <c:v> 4 </c:v>
                </c:pt>
                <c:pt idx="3268">
                  <c:v> 5 </c:v>
                </c:pt>
                <c:pt idx="3269">
                  <c:v> 6 </c:v>
                </c:pt>
                <c:pt idx="3270">
                  <c:v> 7 </c:v>
                </c:pt>
                <c:pt idx="3271">
                  <c:v> 8 </c:v>
                </c:pt>
                <c:pt idx="3272">
                  <c:v> 9 </c:v>
                </c:pt>
                <c:pt idx="3273">
                  <c:v> 10 </c:v>
                </c:pt>
                <c:pt idx="3274">
                  <c:v> 11 </c:v>
                </c:pt>
                <c:pt idx="3275">
                  <c:v> 12 </c:v>
                </c:pt>
                <c:pt idx="3276">
                  <c:v> 13 </c:v>
                </c:pt>
                <c:pt idx="3277">
                  <c:v> 14 </c:v>
                </c:pt>
                <c:pt idx="3278">
                  <c:v> 15 </c:v>
                </c:pt>
                <c:pt idx="3279">
                  <c:v> 16 </c:v>
                </c:pt>
                <c:pt idx="3280">
                  <c:v> 17 </c:v>
                </c:pt>
                <c:pt idx="3281">
                  <c:v> 18 </c:v>
                </c:pt>
                <c:pt idx="3282">
                  <c:v> 19 </c:v>
                </c:pt>
                <c:pt idx="3283">
                  <c:v> 20 </c:v>
                </c:pt>
                <c:pt idx="3284">
                  <c:v> 21 </c:v>
                </c:pt>
                <c:pt idx="3285">
                  <c:v> 22 </c:v>
                </c:pt>
                <c:pt idx="3286">
                  <c:v> 23 </c:v>
                </c:pt>
                <c:pt idx="3287">
                  <c:v> 24 </c:v>
                </c:pt>
                <c:pt idx="3288">
                  <c:v>18 May 2014</c:v>
                </c:pt>
                <c:pt idx="3289">
                  <c:v> 2 </c:v>
                </c:pt>
                <c:pt idx="3290">
                  <c:v> 3 </c:v>
                </c:pt>
                <c:pt idx="3291">
                  <c:v> 4 </c:v>
                </c:pt>
                <c:pt idx="3292">
                  <c:v> 5 </c:v>
                </c:pt>
                <c:pt idx="3293">
                  <c:v> 6 </c:v>
                </c:pt>
                <c:pt idx="3294">
                  <c:v> 7 </c:v>
                </c:pt>
                <c:pt idx="3295">
                  <c:v> 8 </c:v>
                </c:pt>
                <c:pt idx="3296">
                  <c:v> 9 </c:v>
                </c:pt>
                <c:pt idx="3297">
                  <c:v> 10 </c:v>
                </c:pt>
                <c:pt idx="3298">
                  <c:v> 11 </c:v>
                </c:pt>
                <c:pt idx="3299">
                  <c:v> 12 </c:v>
                </c:pt>
                <c:pt idx="3300">
                  <c:v> 13 </c:v>
                </c:pt>
                <c:pt idx="3301">
                  <c:v> 14 </c:v>
                </c:pt>
                <c:pt idx="3302">
                  <c:v> 15 </c:v>
                </c:pt>
                <c:pt idx="3303">
                  <c:v> 16 </c:v>
                </c:pt>
                <c:pt idx="3304">
                  <c:v> 17 </c:v>
                </c:pt>
                <c:pt idx="3305">
                  <c:v> 18 </c:v>
                </c:pt>
                <c:pt idx="3306">
                  <c:v> 19 </c:v>
                </c:pt>
                <c:pt idx="3307">
                  <c:v> 20 </c:v>
                </c:pt>
                <c:pt idx="3308">
                  <c:v> 21 </c:v>
                </c:pt>
                <c:pt idx="3309">
                  <c:v> 22 </c:v>
                </c:pt>
                <c:pt idx="3310">
                  <c:v> 23 </c:v>
                </c:pt>
                <c:pt idx="3311">
                  <c:v> 24 </c:v>
                </c:pt>
                <c:pt idx="3312">
                  <c:v>19 May 2014</c:v>
                </c:pt>
                <c:pt idx="3313">
                  <c:v> 2 </c:v>
                </c:pt>
                <c:pt idx="3314">
                  <c:v> 3 </c:v>
                </c:pt>
                <c:pt idx="3315">
                  <c:v> 4 </c:v>
                </c:pt>
                <c:pt idx="3316">
                  <c:v> 5 </c:v>
                </c:pt>
                <c:pt idx="3317">
                  <c:v> 6 </c:v>
                </c:pt>
                <c:pt idx="3318">
                  <c:v> 7 </c:v>
                </c:pt>
                <c:pt idx="3319">
                  <c:v> 8 </c:v>
                </c:pt>
                <c:pt idx="3320">
                  <c:v> 9 </c:v>
                </c:pt>
                <c:pt idx="3321">
                  <c:v> 10 </c:v>
                </c:pt>
                <c:pt idx="3322">
                  <c:v> 11 </c:v>
                </c:pt>
                <c:pt idx="3323">
                  <c:v> 12 </c:v>
                </c:pt>
                <c:pt idx="3324">
                  <c:v> 13 </c:v>
                </c:pt>
                <c:pt idx="3325">
                  <c:v> 14 </c:v>
                </c:pt>
                <c:pt idx="3326">
                  <c:v> 15 </c:v>
                </c:pt>
                <c:pt idx="3327">
                  <c:v> 16 </c:v>
                </c:pt>
                <c:pt idx="3328">
                  <c:v> 17 </c:v>
                </c:pt>
                <c:pt idx="3329">
                  <c:v> 18 </c:v>
                </c:pt>
                <c:pt idx="3330">
                  <c:v> 19 </c:v>
                </c:pt>
                <c:pt idx="3331">
                  <c:v> 20 </c:v>
                </c:pt>
                <c:pt idx="3332">
                  <c:v> 21 </c:v>
                </c:pt>
                <c:pt idx="3333">
                  <c:v> 22 </c:v>
                </c:pt>
                <c:pt idx="3334">
                  <c:v> 23 </c:v>
                </c:pt>
                <c:pt idx="3335">
                  <c:v> 24 </c:v>
                </c:pt>
                <c:pt idx="3336">
                  <c:v>20 May 2014</c:v>
                </c:pt>
                <c:pt idx="3337">
                  <c:v> 2 </c:v>
                </c:pt>
                <c:pt idx="3338">
                  <c:v> 3 </c:v>
                </c:pt>
                <c:pt idx="3339">
                  <c:v> 4 </c:v>
                </c:pt>
                <c:pt idx="3340">
                  <c:v> 5 </c:v>
                </c:pt>
                <c:pt idx="3341">
                  <c:v> 6 </c:v>
                </c:pt>
                <c:pt idx="3342">
                  <c:v> 7 </c:v>
                </c:pt>
                <c:pt idx="3343">
                  <c:v> 8 </c:v>
                </c:pt>
                <c:pt idx="3344">
                  <c:v> 9 </c:v>
                </c:pt>
                <c:pt idx="3345">
                  <c:v> 10 </c:v>
                </c:pt>
                <c:pt idx="3346">
                  <c:v> 11 </c:v>
                </c:pt>
                <c:pt idx="3347">
                  <c:v> 12 </c:v>
                </c:pt>
                <c:pt idx="3348">
                  <c:v> 13 </c:v>
                </c:pt>
                <c:pt idx="3349">
                  <c:v> 14 </c:v>
                </c:pt>
                <c:pt idx="3350">
                  <c:v> 15 </c:v>
                </c:pt>
                <c:pt idx="3351">
                  <c:v> 16 </c:v>
                </c:pt>
                <c:pt idx="3352">
                  <c:v> 17 </c:v>
                </c:pt>
                <c:pt idx="3353">
                  <c:v> 18 </c:v>
                </c:pt>
                <c:pt idx="3354">
                  <c:v> 19 </c:v>
                </c:pt>
                <c:pt idx="3355">
                  <c:v> 20 </c:v>
                </c:pt>
                <c:pt idx="3356">
                  <c:v> 21 </c:v>
                </c:pt>
                <c:pt idx="3357">
                  <c:v> 22 </c:v>
                </c:pt>
                <c:pt idx="3358">
                  <c:v> 23 </c:v>
                </c:pt>
                <c:pt idx="3359">
                  <c:v> 24 </c:v>
                </c:pt>
                <c:pt idx="3360">
                  <c:v>21 May 2014</c:v>
                </c:pt>
                <c:pt idx="3361">
                  <c:v> 2 </c:v>
                </c:pt>
                <c:pt idx="3362">
                  <c:v> 3 </c:v>
                </c:pt>
                <c:pt idx="3363">
                  <c:v> 4 </c:v>
                </c:pt>
                <c:pt idx="3364">
                  <c:v> 5 </c:v>
                </c:pt>
                <c:pt idx="3365">
                  <c:v> 6 </c:v>
                </c:pt>
                <c:pt idx="3366">
                  <c:v> 7 </c:v>
                </c:pt>
                <c:pt idx="3367">
                  <c:v> 8 </c:v>
                </c:pt>
                <c:pt idx="3368">
                  <c:v> 9 </c:v>
                </c:pt>
                <c:pt idx="3369">
                  <c:v> 10 </c:v>
                </c:pt>
                <c:pt idx="3370">
                  <c:v> 11 </c:v>
                </c:pt>
                <c:pt idx="3371">
                  <c:v> 12 </c:v>
                </c:pt>
                <c:pt idx="3372">
                  <c:v> 13 </c:v>
                </c:pt>
                <c:pt idx="3373">
                  <c:v> 14 </c:v>
                </c:pt>
                <c:pt idx="3374">
                  <c:v> 15 </c:v>
                </c:pt>
                <c:pt idx="3375">
                  <c:v> 16 </c:v>
                </c:pt>
                <c:pt idx="3376">
                  <c:v> 17 </c:v>
                </c:pt>
                <c:pt idx="3377">
                  <c:v> 18 </c:v>
                </c:pt>
                <c:pt idx="3378">
                  <c:v> 19 </c:v>
                </c:pt>
                <c:pt idx="3379">
                  <c:v> 20 </c:v>
                </c:pt>
                <c:pt idx="3380">
                  <c:v> 21 </c:v>
                </c:pt>
                <c:pt idx="3381">
                  <c:v> 22 </c:v>
                </c:pt>
                <c:pt idx="3382">
                  <c:v> 23 </c:v>
                </c:pt>
                <c:pt idx="3383">
                  <c:v> 24 </c:v>
                </c:pt>
                <c:pt idx="3384">
                  <c:v>22 May 2014</c:v>
                </c:pt>
                <c:pt idx="3385">
                  <c:v> 2 </c:v>
                </c:pt>
                <c:pt idx="3386">
                  <c:v> 3 </c:v>
                </c:pt>
                <c:pt idx="3387">
                  <c:v> 4 </c:v>
                </c:pt>
                <c:pt idx="3388">
                  <c:v> 5 </c:v>
                </c:pt>
                <c:pt idx="3389">
                  <c:v> 6 </c:v>
                </c:pt>
                <c:pt idx="3390">
                  <c:v> 7 </c:v>
                </c:pt>
                <c:pt idx="3391">
                  <c:v> 8 </c:v>
                </c:pt>
                <c:pt idx="3392">
                  <c:v> 9 </c:v>
                </c:pt>
                <c:pt idx="3393">
                  <c:v> 10 </c:v>
                </c:pt>
                <c:pt idx="3394">
                  <c:v> 11 </c:v>
                </c:pt>
                <c:pt idx="3395">
                  <c:v> 12 </c:v>
                </c:pt>
                <c:pt idx="3396">
                  <c:v> 13 </c:v>
                </c:pt>
                <c:pt idx="3397">
                  <c:v> 14 </c:v>
                </c:pt>
                <c:pt idx="3398">
                  <c:v> 15 </c:v>
                </c:pt>
                <c:pt idx="3399">
                  <c:v> 16 </c:v>
                </c:pt>
                <c:pt idx="3400">
                  <c:v> 17 </c:v>
                </c:pt>
                <c:pt idx="3401">
                  <c:v> 18 </c:v>
                </c:pt>
                <c:pt idx="3402">
                  <c:v> 19 </c:v>
                </c:pt>
                <c:pt idx="3403">
                  <c:v> 20 </c:v>
                </c:pt>
                <c:pt idx="3404">
                  <c:v> 21 </c:v>
                </c:pt>
                <c:pt idx="3405">
                  <c:v> 22 </c:v>
                </c:pt>
                <c:pt idx="3406">
                  <c:v> 23 </c:v>
                </c:pt>
                <c:pt idx="3407">
                  <c:v> 24 </c:v>
                </c:pt>
                <c:pt idx="3408">
                  <c:v>23 May 2014</c:v>
                </c:pt>
                <c:pt idx="3409">
                  <c:v> 2 </c:v>
                </c:pt>
                <c:pt idx="3410">
                  <c:v> 3 </c:v>
                </c:pt>
                <c:pt idx="3411">
                  <c:v> 4 </c:v>
                </c:pt>
                <c:pt idx="3412">
                  <c:v> 5 </c:v>
                </c:pt>
                <c:pt idx="3413">
                  <c:v> 6 </c:v>
                </c:pt>
                <c:pt idx="3414">
                  <c:v> 7 </c:v>
                </c:pt>
                <c:pt idx="3415">
                  <c:v> 8 </c:v>
                </c:pt>
                <c:pt idx="3416">
                  <c:v> 9 </c:v>
                </c:pt>
                <c:pt idx="3417">
                  <c:v> 10 </c:v>
                </c:pt>
                <c:pt idx="3418">
                  <c:v> 11 </c:v>
                </c:pt>
                <c:pt idx="3419">
                  <c:v> 12 </c:v>
                </c:pt>
                <c:pt idx="3420">
                  <c:v> 13 </c:v>
                </c:pt>
                <c:pt idx="3421">
                  <c:v> 14 </c:v>
                </c:pt>
                <c:pt idx="3422">
                  <c:v> 15 </c:v>
                </c:pt>
                <c:pt idx="3423">
                  <c:v> 16 </c:v>
                </c:pt>
                <c:pt idx="3424">
                  <c:v> 17 </c:v>
                </c:pt>
                <c:pt idx="3425">
                  <c:v> 18 </c:v>
                </c:pt>
                <c:pt idx="3426">
                  <c:v> 19 </c:v>
                </c:pt>
                <c:pt idx="3427">
                  <c:v> 20 </c:v>
                </c:pt>
                <c:pt idx="3428">
                  <c:v> 21 </c:v>
                </c:pt>
                <c:pt idx="3429">
                  <c:v> 22 </c:v>
                </c:pt>
                <c:pt idx="3430">
                  <c:v> 23 </c:v>
                </c:pt>
                <c:pt idx="3431">
                  <c:v> 24 </c:v>
                </c:pt>
                <c:pt idx="3432">
                  <c:v>24 May 2014</c:v>
                </c:pt>
                <c:pt idx="3433">
                  <c:v> 2 </c:v>
                </c:pt>
                <c:pt idx="3434">
                  <c:v> 3 </c:v>
                </c:pt>
                <c:pt idx="3435">
                  <c:v> 4 </c:v>
                </c:pt>
                <c:pt idx="3436">
                  <c:v> 5 </c:v>
                </c:pt>
                <c:pt idx="3437">
                  <c:v> 6 </c:v>
                </c:pt>
                <c:pt idx="3438">
                  <c:v> 7 </c:v>
                </c:pt>
                <c:pt idx="3439">
                  <c:v> 8 </c:v>
                </c:pt>
                <c:pt idx="3440">
                  <c:v> 9 </c:v>
                </c:pt>
                <c:pt idx="3441">
                  <c:v> 10 </c:v>
                </c:pt>
                <c:pt idx="3442">
                  <c:v> 11 </c:v>
                </c:pt>
                <c:pt idx="3443">
                  <c:v> 12 </c:v>
                </c:pt>
                <c:pt idx="3444">
                  <c:v> 13 </c:v>
                </c:pt>
                <c:pt idx="3445">
                  <c:v> 14 </c:v>
                </c:pt>
                <c:pt idx="3446">
                  <c:v> 15 </c:v>
                </c:pt>
                <c:pt idx="3447">
                  <c:v> 16 </c:v>
                </c:pt>
                <c:pt idx="3448">
                  <c:v> 17 </c:v>
                </c:pt>
                <c:pt idx="3449">
                  <c:v> 18 </c:v>
                </c:pt>
                <c:pt idx="3450">
                  <c:v> 19 </c:v>
                </c:pt>
                <c:pt idx="3451">
                  <c:v> 20 </c:v>
                </c:pt>
                <c:pt idx="3452">
                  <c:v> 21 </c:v>
                </c:pt>
                <c:pt idx="3453">
                  <c:v> 22 </c:v>
                </c:pt>
                <c:pt idx="3454">
                  <c:v> 23 </c:v>
                </c:pt>
                <c:pt idx="3455">
                  <c:v> 24 </c:v>
                </c:pt>
                <c:pt idx="3456">
                  <c:v>25 May 2014</c:v>
                </c:pt>
                <c:pt idx="3457">
                  <c:v> 2 </c:v>
                </c:pt>
                <c:pt idx="3458">
                  <c:v> 3 </c:v>
                </c:pt>
                <c:pt idx="3459">
                  <c:v> 4 </c:v>
                </c:pt>
                <c:pt idx="3460">
                  <c:v> 5 </c:v>
                </c:pt>
                <c:pt idx="3461">
                  <c:v> 6 </c:v>
                </c:pt>
                <c:pt idx="3462">
                  <c:v> 7 </c:v>
                </c:pt>
                <c:pt idx="3463">
                  <c:v> 8 </c:v>
                </c:pt>
                <c:pt idx="3464">
                  <c:v> 9 </c:v>
                </c:pt>
                <c:pt idx="3465">
                  <c:v> 10 </c:v>
                </c:pt>
                <c:pt idx="3466">
                  <c:v> 11 </c:v>
                </c:pt>
                <c:pt idx="3467">
                  <c:v> 12 </c:v>
                </c:pt>
                <c:pt idx="3468">
                  <c:v> 13 </c:v>
                </c:pt>
                <c:pt idx="3469">
                  <c:v> 14 </c:v>
                </c:pt>
                <c:pt idx="3470">
                  <c:v> 15 </c:v>
                </c:pt>
                <c:pt idx="3471">
                  <c:v> 16 </c:v>
                </c:pt>
                <c:pt idx="3472">
                  <c:v> 17 </c:v>
                </c:pt>
                <c:pt idx="3473">
                  <c:v> 18 </c:v>
                </c:pt>
                <c:pt idx="3474">
                  <c:v> 19 </c:v>
                </c:pt>
                <c:pt idx="3475">
                  <c:v> 20 </c:v>
                </c:pt>
                <c:pt idx="3476">
                  <c:v> 21 </c:v>
                </c:pt>
                <c:pt idx="3477">
                  <c:v> 22 </c:v>
                </c:pt>
                <c:pt idx="3478">
                  <c:v> 23 </c:v>
                </c:pt>
                <c:pt idx="3479">
                  <c:v> 24 </c:v>
                </c:pt>
                <c:pt idx="3480">
                  <c:v>26 May 2014</c:v>
                </c:pt>
                <c:pt idx="3481">
                  <c:v> 2 </c:v>
                </c:pt>
                <c:pt idx="3482">
                  <c:v> 3 </c:v>
                </c:pt>
                <c:pt idx="3483">
                  <c:v> 4 </c:v>
                </c:pt>
                <c:pt idx="3484">
                  <c:v> 5 </c:v>
                </c:pt>
                <c:pt idx="3485">
                  <c:v> 6 </c:v>
                </c:pt>
                <c:pt idx="3486">
                  <c:v> 7 </c:v>
                </c:pt>
                <c:pt idx="3487">
                  <c:v> 8 </c:v>
                </c:pt>
                <c:pt idx="3488">
                  <c:v> 9 </c:v>
                </c:pt>
                <c:pt idx="3489">
                  <c:v> 10 </c:v>
                </c:pt>
                <c:pt idx="3490">
                  <c:v> 11 </c:v>
                </c:pt>
                <c:pt idx="3491">
                  <c:v> 12 </c:v>
                </c:pt>
                <c:pt idx="3492">
                  <c:v> 13 </c:v>
                </c:pt>
                <c:pt idx="3493">
                  <c:v> 14 </c:v>
                </c:pt>
                <c:pt idx="3494">
                  <c:v> 15 </c:v>
                </c:pt>
                <c:pt idx="3495">
                  <c:v> 16 </c:v>
                </c:pt>
                <c:pt idx="3496">
                  <c:v> 17 </c:v>
                </c:pt>
                <c:pt idx="3497">
                  <c:v> 18 </c:v>
                </c:pt>
                <c:pt idx="3498">
                  <c:v> 19 </c:v>
                </c:pt>
                <c:pt idx="3499">
                  <c:v> 20 </c:v>
                </c:pt>
                <c:pt idx="3500">
                  <c:v> 21 </c:v>
                </c:pt>
                <c:pt idx="3501">
                  <c:v> 22 </c:v>
                </c:pt>
                <c:pt idx="3502">
                  <c:v> 23 </c:v>
                </c:pt>
                <c:pt idx="3503">
                  <c:v> 24 </c:v>
                </c:pt>
                <c:pt idx="3504">
                  <c:v>27 May 2014</c:v>
                </c:pt>
                <c:pt idx="3505">
                  <c:v> 2 </c:v>
                </c:pt>
                <c:pt idx="3506">
                  <c:v> 3 </c:v>
                </c:pt>
                <c:pt idx="3507">
                  <c:v> 4 </c:v>
                </c:pt>
                <c:pt idx="3508">
                  <c:v> 5 </c:v>
                </c:pt>
                <c:pt idx="3509">
                  <c:v> 6 </c:v>
                </c:pt>
                <c:pt idx="3510">
                  <c:v> 7 </c:v>
                </c:pt>
                <c:pt idx="3511">
                  <c:v> 8 </c:v>
                </c:pt>
                <c:pt idx="3512">
                  <c:v> 9 </c:v>
                </c:pt>
                <c:pt idx="3513">
                  <c:v> 10 </c:v>
                </c:pt>
                <c:pt idx="3514">
                  <c:v> 11 </c:v>
                </c:pt>
                <c:pt idx="3515">
                  <c:v> 12 </c:v>
                </c:pt>
                <c:pt idx="3516">
                  <c:v> 13 </c:v>
                </c:pt>
                <c:pt idx="3517">
                  <c:v> 14 </c:v>
                </c:pt>
                <c:pt idx="3518">
                  <c:v> 15 </c:v>
                </c:pt>
                <c:pt idx="3519">
                  <c:v> 16 </c:v>
                </c:pt>
                <c:pt idx="3520">
                  <c:v> 17 </c:v>
                </c:pt>
                <c:pt idx="3521">
                  <c:v> 18 </c:v>
                </c:pt>
                <c:pt idx="3522">
                  <c:v> 19 </c:v>
                </c:pt>
                <c:pt idx="3523">
                  <c:v> 20 </c:v>
                </c:pt>
                <c:pt idx="3524">
                  <c:v> 21 </c:v>
                </c:pt>
                <c:pt idx="3525">
                  <c:v> 22 </c:v>
                </c:pt>
                <c:pt idx="3526">
                  <c:v> 23 </c:v>
                </c:pt>
                <c:pt idx="3527">
                  <c:v> 24 </c:v>
                </c:pt>
                <c:pt idx="3528">
                  <c:v>28 May 2014</c:v>
                </c:pt>
                <c:pt idx="3529">
                  <c:v> 2 </c:v>
                </c:pt>
                <c:pt idx="3530">
                  <c:v> 3 </c:v>
                </c:pt>
                <c:pt idx="3531">
                  <c:v> 4 </c:v>
                </c:pt>
                <c:pt idx="3532">
                  <c:v> 5 </c:v>
                </c:pt>
                <c:pt idx="3533">
                  <c:v> 6 </c:v>
                </c:pt>
                <c:pt idx="3534">
                  <c:v> 7 </c:v>
                </c:pt>
                <c:pt idx="3535">
                  <c:v> 8 </c:v>
                </c:pt>
                <c:pt idx="3536">
                  <c:v> 9 </c:v>
                </c:pt>
                <c:pt idx="3537">
                  <c:v> 10 </c:v>
                </c:pt>
                <c:pt idx="3538">
                  <c:v> 11 </c:v>
                </c:pt>
                <c:pt idx="3539">
                  <c:v> 12 </c:v>
                </c:pt>
                <c:pt idx="3540">
                  <c:v> 13 </c:v>
                </c:pt>
                <c:pt idx="3541">
                  <c:v> 14 </c:v>
                </c:pt>
                <c:pt idx="3542">
                  <c:v> 15 </c:v>
                </c:pt>
                <c:pt idx="3543">
                  <c:v> 16 </c:v>
                </c:pt>
                <c:pt idx="3544">
                  <c:v> 17 </c:v>
                </c:pt>
                <c:pt idx="3545">
                  <c:v> 18 </c:v>
                </c:pt>
                <c:pt idx="3546">
                  <c:v> 19 </c:v>
                </c:pt>
                <c:pt idx="3547">
                  <c:v> 20 </c:v>
                </c:pt>
                <c:pt idx="3548">
                  <c:v> 21 </c:v>
                </c:pt>
                <c:pt idx="3549">
                  <c:v> 22 </c:v>
                </c:pt>
                <c:pt idx="3550">
                  <c:v> 23 </c:v>
                </c:pt>
                <c:pt idx="3551">
                  <c:v> 24 </c:v>
                </c:pt>
                <c:pt idx="3552">
                  <c:v>29 May 2014</c:v>
                </c:pt>
                <c:pt idx="3553">
                  <c:v> 2 </c:v>
                </c:pt>
                <c:pt idx="3554">
                  <c:v> 3 </c:v>
                </c:pt>
                <c:pt idx="3555">
                  <c:v> 4 </c:v>
                </c:pt>
                <c:pt idx="3556">
                  <c:v> 5 </c:v>
                </c:pt>
                <c:pt idx="3557">
                  <c:v> 6 </c:v>
                </c:pt>
                <c:pt idx="3558">
                  <c:v> 7 </c:v>
                </c:pt>
                <c:pt idx="3559">
                  <c:v> 8 </c:v>
                </c:pt>
                <c:pt idx="3560">
                  <c:v> 9 </c:v>
                </c:pt>
                <c:pt idx="3561">
                  <c:v> 10 </c:v>
                </c:pt>
                <c:pt idx="3562">
                  <c:v> 11 </c:v>
                </c:pt>
                <c:pt idx="3563">
                  <c:v> 12 </c:v>
                </c:pt>
                <c:pt idx="3564">
                  <c:v> 13 </c:v>
                </c:pt>
                <c:pt idx="3565">
                  <c:v> 14 </c:v>
                </c:pt>
                <c:pt idx="3566">
                  <c:v> 15 </c:v>
                </c:pt>
                <c:pt idx="3567">
                  <c:v> 16 </c:v>
                </c:pt>
                <c:pt idx="3568">
                  <c:v> 17 </c:v>
                </c:pt>
                <c:pt idx="3569">
                  <c:v> 18 </c:v>
                </c:pt>
                <c:pt idx="3570">
                  <c:v> 19 </c:v>
                </c:pt>
                <c:pt idx="3571">
                  <c:v> 20 </c:v>
                </c:pt>
                <c:pt idx="3572">
                  <c:v> 21 </c:v>
                </c:pt>
                <c:pt idx="3573">
                  <c:v> 22 </c:v>
                </c:pt>
                <c:pt idx="3574">
                  <c:v> 23 </c:v>
                </c:pt>
                <c:pt idx="3575">
                  <c:v> 24 </c:v>
                </c:pt>
                <c:pt idx="3576">
                  <c:v>30 May 2014</c:v>
                </c:pt>
                <c:pt idx="3577">
                  <c:v> 2 </c:v>
                </c:pt>
                <c:pt idx="3578">
                  <c:v> 3 </c:v>
                </c:pt>
                <c:pt idx="3579">
                  <c:v> 4 </c:v>
                </c:pt>
                <c:pt idx="3580">
                  <c:v> 5 </c:v>
                </c:pt>
                <c:pt idx="3581">
                  <c:v> 6 </c:v>
                </c:pt>
                <c:pt idx="3582">
                  <c:v> 7 </c:v>
                </c:pt>
                <c:pt idx="3583">
                  <c:v> 8 </c:v>
                </c:pt>
                <c:pt idx="3584">
                  <c:v> 9 </c:v>
                </c:pt>
                <c:pt idx="3585">
                  <c:v> 10 </c:v>
                </c:pt>
                <c:pt idx="3586">
                  <c:v> 11 </c:v>
                </c:pt>
                <c:pt idx="3587">
                  <c:v> 12 </c:v>
                </c:pt>
                <c:pt idx="3588">
                  <c:v> 13 </c:v>
                </c:pt>
                <c:pt idx="3589">
                  <c:v> 14 </c:v>
                </c:pt>
                <c:pt idx="3590">
                  <c:v> 15 </c:v>
                </c:pt>
                <c:pt idx="3591">
                  <c:v> 16 </c:v>
                </c:pt>
                <c:pt idx="3592">
                  <c:v> 17 </c:v>
                </c:pt>
                <c:pt idx="3593">
                  <c:v> 18 </c:v>
                </c:pt>
                <c:pt idx="3594">
                  <c:v> 19 </c:v>
                </c:pt>
                <c:pt idx="3595">
                  <c:v> 20 </c:v>
                </c:pt>
                <c:pt idx="3596">
                  <c:v> 21 </c:v>
                </c:pt>
                <c:pt idx="3597">
                  <c:v> 22 </c:v>
                </c:pt>
                <c:pt idx="3598">
                  <c:v> 23 </c:v>
                </c:pt>
                <c:pt idx="3599">
                  <c:v> 24 </c:v>
                </c:pt>
                <c:pt idx="3600">
                  <c:v>31 May 2014</c:v>
                </c:pt>
                <c:pt idx="3601">
                  <c:v> 2 </c:v>
                </c:pt>
                <c:pt idx="3602">
                  <c:v> 3 </c:v>
                </c:pt>
                <c:pt idx="3603">
                  <c:v> 4 </c:v>
                </c:pt>
                <c:pt idx="3604">
                  <c:v> 5 </c:v>
                </c:pt>
                <c:pt idx="3605">
                  <c:v> 6 </c:v>
                </c:pt>
                <c:pt idx="3606">
                  <c:v> 7 </c:v>
                </c:pt>
                <c:pt idx="3607">
                  <c:v> 8 </c:v>
                </c:pt>
                <c:pt idx="3608">
                  <c:v> 9 </c:v>
                </c:pt>
                <c:pt idx="3609">
                  <c:v> 10 </c:v>
                </c:pt>
                <c:pt idx="3610">
                  <c:v> 11 </c:v>
                </c:pt>
                <c:pt idx="3611">
                  <c:v> 12 </c:v>
                </c:pt>
                <c:pt idx="3612">
                  <c:v> 13 </c:v>
                </c:pt>
                <c:pt idx="3613">
                  <c:v> 14 </c:v>
                </c:pt>
                <c:pt idx="3614">
                  <c:v> 15 </c:v>
                </c:pt>
                <c:pt idx="3615">
                  <c:v> 16 </c:v>
                </c:pt>
                <c:pt idx="3616">
                  <c:v> 17 </c:v>
                </c:pt>
                <c:pt idx="3617">
                  <c:v> 18 </c:v>
                </c:pt>
                <c:pt idx="3618">
                  <c:v> 19 </c:v>
                </c:pt>
                <c:pt idx="3619">
                  <c:v> 20 </c:v>
                </c:pt>
                <c:pt idx="3620">
                  <c:v> 21 </c:v>
                </c:pt>
                <c:pt idx="3621">
                  <c:v> 22 </c:v>
                </c:pt>
                <c:pt idx="3622">
                  <c:v> 23 </c:v>
                </c:pt>
                <c:pt idx="3623">
                  <c:v> 24 </c:v>
                </c:pt>
                <c:pt idx="3624">
                  <c:v>01 Jun 2014</c:v>
                </c:pt>
                <c:pt idx="3625">
                  <c:v> 2 </c:v>
                </c:pt>
                <c:pt idx="3626">
                  <c:v> 3 </c:v>
                </c:pt>
                <c:pt idx="3627">
                  <c:v> 4 </c:v>
                </c:pt>
                <c:pt idx="3628">
                  <c:v> 5 </c:v>
                </c:pt>
                <c:pt idx="3629">
                  <c:v> 6 </c:v>
                </c:pt>
                <c:pt idx="3630">
                  <c:v> 7 </c:v>
                </c:pt>
                <c:pt idx="3631">
                  <c:v> 8 </c:v>
                </c:pt>
                <c:pt idx="3632">
                  <c:v> 9 </c:v>
                </c:pt>
                <c:pt idx="3633">
                  <c:v> 10 </c:v>
                </c:pt>
                <c:pt idx="3634">
                  <c:v> 11 </c:v>
                </c:pt>
                <c:pt idx="3635">
                  <c:v> 12 </c:v>
                </c:pt>
                <c:pt idx="3636">
                  <c:v> 13 </c:v>
                </c:pt>
                <c:pt idx="3637">
                  <c:v> 14 </c:v>
                </c:pt>
                <c:pt idx="3638">
                  <c:v> 15 </c:v>
                </c:pt>
                <c:pt idx="3639">
                  <c:v> 16 </c:v>
                </c:pt>
                <c:pt idx="3640">
                  <c:v> 17 </c:v>
                </c:pt>
                <c:pt idx="3641">
                  <c:v> 18 </c:v>
                </c:pt>
                <c:pt idx="3642">
                  <c:v> 19 </c:v>
                </c:pt>
                <c:pt idx="3643">
                  <c:v> 20 </c:v>
                </c:pt>
                <c:pt idx="3644">
                  <c:v> 21 </c:v>
                </c:pt>
                <c:pt idx="3645">
                  <c:v> 22 </c:v>
                </c:pt>
                <c:pt idx="3646">
                  <c:v> 23 </c:v>
                </c:pt>
                <c:pt idx="3647">
                  <c:v> 24 </c:v>
                </c:pt>
                <c:pt idx="3648">
                  <c:v>02 Jun 2014</c:v>
                </c:pt>
                <c:pt idx="3649">
                  <c:v> 2 </c:v>
                </c:pt>
                <c:pt idx="3650">
                  <c:v> 3 </c:v>
                </c:pt>
                <c:pt idx="3651">
                  <c:v> 4 </c:v>
                </c:pt>
                <c:pt idx="3652">
                  <c:v> 5 </c:v>
                </c:pt>
                <c:pt idx="3653">
                  <c:v> 6 </c:v>
                </c:pt>
                <c:pt idx="3654">
                  <c:v> 7 </c:v>
                </c:pt>
                <c:pt idx="3655">
                  <c:v> 8 </c:v>
                </c:pt>
                <c:pt idx="3656">
                  <c:v> 9 </c:v>
                </c:pt>
                <c:pt idx="3657">
                  <c:v> 10 </c:v>
                </c:pt>
                <c:pt idx="3658">
                  <c:v> 11 </c:v>
                </c:pt>
                <c:pt idx="3659">
                  <c:v> 12 </c:v>
                </c:pt>
                <c:pt idx="3660">
                  <c:v> 13 </c:v>
                </c:pt>
                <c:pt idx="3661">
                  <c:v> 14 </c:v>
                </c:pt>
                <c:pt idx="3662">
                  <c:v> 15 </c:v>
                </c:pt>
                <c:pt idx="3663">
                  <c:v> 16 </c:v>
                </c:pt>
                <c:pt idx="3664">
                  <c:v> 17 </c:v>
                </c:pt>
                <c:pt idx="3665">
                  <c:v> 18 </c:v>
                </c:pt>
                <c:pt idx="3666">
                  <c:v> 19 </c:v>
                </c:pt>
                <c:pt idx="3667">
                  <c:v> 20 </c:v>
                </c:pt>
                <c:pt idx="3668">
                  <c:v> 21 </c:v>
                </c:pt>
                <c:pt idx="3669">
                  <c:v> 22 </c:v>
                </c:pt>
                <c:pt idx="3670">
                  <c:v> 23 </c:v>
                </c:pt>
                <c:pt idx="3671">
                  <c:v> 24 </c:v>
                </c:pt>
                <c:pt idx="3672">
                  <c:v>03 Jun 2014</c:v>
                </c:pt>
                <c:pt idx="3673">
                  <c:v> 2 </c:v>
                </c:pt>
                <c:pt idx="3674">
                  <c:v> 3 </c:v>
                </c:pt>
                <c:pt idx="3675">
                  <c:v> 4 </c:v>
                </c:pt>
                <c:pt idx="3676">
                  <c:v> 5 </c:v>
                </c:pt>
                <c:pt idx="3677">
                  <c:v> 6 </c:v>
                </c:pt>
                <c:pt idx="3678">
                  <c:v> 7 </c:v>
                </c:pt>
                <c:pt idx="3679">
                  <c:v> 8 </c:v>
                </c:pt>
                <c:pt idx="3680">
                  <c:v> 9 </c:v>
                </c:pt>
                <c:pt idx="3681">
                  <c:v> 10 </c:v>
                </c:pt>
                <c:pt idx="3682">
                  <c:v> 11 </c:v>
                </c:pt>
                <c:pt idx="3683">
                  <c:v> 12 </c:v>
                </c:pt>
                <c:pt idx="3684">
                  <c:v> 13 </c:v>
                </c:pt>
                <c:pt idx="3685">
                  <c:v> 14 </c:v>
                </c:pt>
                <c:pt idx="3686">
                  <c:v> 15 </c:v>
                </c:pt>
                <c:pt idx="3687">
                  <c:v> 16 </c:v>
                </c:pt>
                <c:pt idx="3688">
                  <c:v> 17 </c:v>
                </c:pt>
                <c:pt idx="3689">
                  <c:v> 18 </c:v>
                </c:pt>
                <c:pt idx="3690">
                  <c:v> 19 </c:v>
                </c:pt>
                <c:pt idx="3691">
                  <c:v> 20 </c:v>
                </c:pt>
                <c:pt idx="3692">
                  <c:v> 21 </c:v>
                </c:pt>
                <c:pt idx="3693">
                  <c:v> 22 </c:v>
                </c:pt>
                <c:pt idx="3694">
                  <c:v> 23 </c:v>
                </c:pt>
                <c:pt idx="3695">
                  <c:v> 24 </c:v>
                </c:pt>
                <c:pt idx="3696">
                  <c:v>04 Jun 2014</c:v>
                </c:pt>
                <c:pt idx="3697">
                  <c:v> 2 </c:v>
                </c:pt>
                <c:pt idx="3698">
                  <c:v> 3 </c:v>
                </c:pt>
                <c:pt idx="3699">
                  <c:v> 4 </c:v>
                </c:pt>
                <c:pt idx="3700">
                  <c:v> 5 </c:v>
                </c:pt>
                <c:pt idx="3701">
                  <c:v> 6 </c:v>
                </c:pt>
                <c:pt idx="3702">
                  <c:v> 7 </c:v>
                </c:pt>
                <c:pt idx="3703">
                  <c:v> 8 </c:v>
                </c:pt>
                <c:pt idx="3704">
                  <c:v> 9 </c:v>
                </c:pt>
                <c:pt idx="3705">
                  <c:v> 10 </c:v>
                </c:pt>
                <c:pt idx="3706">
                  <c:v> 11 </c:v>
                </c:pt>
                <c:pt idx="3707">
                  <c:v> 12 </c:v>
                </c:pt>
                <c:pt idx="3708">
                  <c:v> 13 </c:v>
                </c:pt>
                <c:pt idx="3709">
                  <c:v> 14 </c:v>
                </c:pt>
                <c:pt idx="3710">
                  <c:v> 15 </c:v>
                </c:pt>
                <c:pt idx="3711">
                  <c:v> 16 </c:v>
                </c:pt>
                <c:pt idx="3712">
                  <c:v> 17 </c:v>
                </c:pt>
                <c:pt idx="3713">
                  <c:v> 18 </c:v>
                </c:pt>
                <c:pt idx="3714">
                  <c:v> 19 </c:v>
                </c:pt>
                <c:pt idx="3715">
                  <c:v> 20 </c:v>
                </c:pt>
                <c:pt idx="3716">
                  <c:v> 21 </c:v>
                </c:pt>
                <c:pt idx="3717">
                  <c:v> 22 </c:v>
                </c:pt>
                <c:pt idx="3718">
                  <c:v> 23 </c:v>
                </c:pt>
                <c:pt idx="3719">
                  <c:v> 24 </c:v>
                </c:pt>
                <c:pt idx="3720">
                  <c:v>05 Jun 2014</c:v>
                </c:pt>
                <c:pt idx="3721">
                  <c:v> 2 </c:v>
                </c:pt>
                <c:pt idx="3722">
                  <c:v> 3 </c:v>
                </c:pt>
                <c:pt idx="3723">
                  <c:v> 4 </c:v>
                </c:pt>
                <c:pt idx="3724">
                  <c:v> 5 </c:v>
                </c:pt>
                <c:pt idx="3725">
                  <c:v> 6 </c:v>
                </c:pt>
                <c:pt idx="3726">
                  <c:v> 7 </c:v>
                </c:pt>
                <c:pt idx="3727">
                  <c:v> 8 </c:v>
                </c:pt>
                <c:pt idx="3728">
                  <c:v> 9 </c:v>
                </c:pt>
                <c:pt idx="3729">
                  <c:v> 10 </c:v>
                </c:pt>
                <c:pt idx="3730">
                  <c:v> 11 </c:v>
                </c:pt>
                <c:pt idx="3731">
                  <c:v> 12 </c:v>
                </c:pt>
                <c:pt idx="3732">
                  <c:v> 13 </c:v>
                </c:pt>
                <c:pt idx="3733">
                  <c:v> 14 </c:v>
                </c:pt>
                <c:pt idx="3734">
                  <c:v> 15 </c:v>
                </c:pt>
                <c:pt idx="3735">
                  <c:v> 16 </c:v>
                </c:pt>
                <c:pt idx="3736">
                  <c:v> 17 </c:v>
                </c:pt>
                <c:pt idx="3737">
                  <c:v> 18 </c:v>
                </c:pt>
                <c:pt idx="3738">
                  <c:v> 19 </c:v>
                </c:pt>
                <c:pt idx="3739">
                  <c:v> 20 </c:v>
                </c:pt>
                <c:pt idx="3740">
                  <c:v> 21 </c:v>
                </c:pt>
                <c:pt idx="3741">
                  <c:v> 22 </c:v>
                </c:pt>
                <c:pt idx="3742">
                  <c:v> 23 </c:v>
                </c:pt>
                <c:pt idx="3743">
                  <c:v> 24 </c:v>
                </c:pt>
                <c:pt idx="3744">
                  <c:v>06 Jun 2014</c:v>
                </c:pt>
                <c:pt idx="3745">
                  <c:v> 2 </c:v>
                </c:pt>
                <c:pt idx="3746">
                  <c:v> 3 </c:v>
                </c:pt>
                <c:pt idx="3747">
                  <c:v> 4 </c:v>
                </c:pt>
                <c:pt idx="3748">
                  <c:v> 5 </c:v>
                </c:pt>
                <c:pt idx="3749">
                  <c:v> 6 </c:v>
                </c:pt>
                <c:pt idx="3750">
                  <c:v> 7 </c:v>
                </c:pt>
                <c:pt idx="3751">
                  <c:v> 8 </c:v>
                </c:pt>
                <c:pt idx="3752">
                  <c:v> 9 </c:v>
                </c:pt>
                <c:pt idx="3753">
                  <c:v> 10 </c:v>
                </c:pt>
                <c:pt idx="3754">
                  <c:v> 11 </c:v>
                </c:pt>
                <c:pt idx="3755">
                  <c:v> 12 </c:v>
                </c:pt>
                <c:pt idx="3756">
                  <c:v> 13 </c:v>
                </c:pt>
                <c:pt idx="3757">
                  <c:v> 14 </c:v>
                </c:pt>
                <c:pt idx="3758">
                  <c:v> 15 </c:v>
                </c:pt>
                <c:pt idx="3759">
                  <c:v> 16 </c:v>
                </c:pt>
                <c:pt idx="3760">
                  <c:v> 17 </c:v>
                </c:pt>
                <c:pt idx="3761">
                  <c:v> 18 </c:v>
                </c:pt>
                <c:pt idx="3762">
                  <c:v> 19 </c:v>
                </c:pt>
                <c:pt idx="3763">
                  <c:v> 20 </c:v>
                </c:pt>
                <c:pt idx="3764">
                  <c:v> 21 </c:v>
                </c:pt>
                <c:pt idx="3765">
                  <c:v> 22 </c:v>
                </c:pt>
                <c:pt idx="3766">
                  <c:v> 23 </c:v>
                </c:pt>
                <c:pt idx="3767">
                  <c:v> 24 </c:v>
                </c:pt>
                <c:pt idx="3768">
                  <c:v>07 Jun 2014</c:v>
                </c:pt>
                <c:pt idx="3769">
                  <c:v> 2 </c:v>
                </c:pt>
                <c:pt idx="3770">
                  <c:v> 3 </c:v>
                </c:pt>
                <c:pt idx="3771">
                  <c:v> 4 </c:v>
                </c:pt>
                <c:pt idx="3772">
                  <c:v> 5 </c:v>
                </c:pt>
                <c:pt idx="3773">
                  <c:v> 6 </c:v>
                </c:pt>
                <c:pt idx="3774">
                  <c:v> 7 </c:v>
                </c:pt>
                <c:pt idx="3775">
                  <c:v> 8 </c:v>
                </c:pt>
                <c:pt idx="3776">
                  <c:v> 9 </c:v>
                </c:pt>
                <c:pt idx="3777">
                  <c:v> 10 </c:v>
                </c:pt>
                <c:pt idx="3778">
                  <c:v> 11 </c:v>
                </c:pt>
                <c:pt idx="3779">
                  <c:v> 12 </c:v>
                </c:pt>
                <c:pt idx="3780">
                  <c:v> 13 </c:v>
                </c:pt>
                <c:pt idx="3781">
                  <c:v> 14 </c:v>
                </c:pt>
                <c:pt idx="3782">
                  <c:v> 15 </c:v>
                </c:pt>
                <c:pt idx="3783">
                  <c:v> 16 </c:v>
                </c:pt>
                <c:pt idx="3784">
                  <c:v> 17 </c:v>
                </c:pt>
                <c:pt idx="3785">
                  <c:v> 18 </c:v>
                </c:pt>
                <c:pt idx="3786">
                  <c:v> 19 </c:v>
                </c:pt>
                <c:pt idx="3787">
                  <c:v> 20 </c:v>
                </c:pt>
                <c:pt idx="3788">
                  <c:v> 21 </c:v>
                </c:pt>
                <c:pt idx="3789">
                  <c:v> 22 </c:v>
                </c:pt>
                <c:pt idx="3790">
                  <c:v> 23 </c:v>
                </c:pt>
                <c:pt idx="3791">
                  <c:v> 24 </c:v>
                </c:pt>
                <c:pt idx="3792">
                  <c:v>08 Jun 2014</c:v>
                </c:pt>
                <c:pt idx="3793">
                  <c:v> 2 </c:v>
                </c:pt>
                <c:pt idx="3794">
                  <c:v> 3 </c:v>
                </c:pt>
                <c:pt idx="3795">
                  <c:v> 4 </c:v>
                </c:pt>
                <c:pt idx="3796">
                  <c:v> 5 </c:v>
                </c:pt>
                <c:pt idx="3797">
                  <c:v> 6 </c:v>
                </c:pt>
                <c:pt idx="3798">
                  <c:v> 7 </c:v>
                </c:pt>
                <c:pt idx="3799">
                  <c:v> 8 </c:v>
                </c:pt>
                <c:pt idx="3800">
                  <c:v> 9 </c:v>
                </c:pt>
                <c:pt idx="3801">
                  <c:v> 10 </c:v>
                </c:pt>
                <c:pt idx="3802">
                  <c:v> 11 </c:v>
                </c:pt>
                <c:pt idx="3803">
                  <c:v> 12 </c:v>
                </c:pt>
                <c:pt idx="3804">
                  <c:v> 13 </c:v>
                </c:pt>
                <c:pt idx="3805">
                  <c:v> 14 </c:v>
                </c:pt>
                <c:pt idx="3806">
                  <c:v> 15 </c:v>
                </c:pt>
                <c:pt idx="3807">
                  <c:v> 16 </c:v>
                </c:pt>
                <c:pt idx="3808">
                  <c:v> 17 </c:v>
                </c:pt>
                <c:pt idx="3809">
                  <c:v> 18 </c:v>
                </c:pt>
                <c:pt idx="3810">
                  <c:v> 19 </c:v>
                </c:pt>
                <c:pt idx="3811">
                  <c:v> 20 </c:v>
                </c:pt>
                <c:pt idx="3812">
                  <c:v> 21 </c:v>
                </c:pt>
                <c:pt idx="3813">
                  <c:v> 22 </c:v>
                </c:pt>
                <c:pt idx="3814">
                  <c:v> 23 </c:v>
                </c:pt>
                <c:pt idx="3815">
                  <c:v> 24 </c:v>
                </c:pt>
                <c:pt idx="3816">
                  <c:v>09 Jun 2014</c:v>
                </c:pt>
                <c:pt idx="3817">
                  <c:v> 2 </c:v>
                </c:pt>
                <c:pt idx="3818">
                  <c:v> 3 </c:v>
                </c:pt>
                <c:pt idx="3819">
                  <c:v> 4 </c:v>
                </c:pt>
                <c:pt idx="3820">
                  <c:v> 5 </c:v>
                </c:pt>
                <c:pt idx="3821">
                  <c:v> 6 </c:v>
                </c:pt>
                <c:pt idx="3822">
                  <c:v> 7 </c:v>
                </c:pt>
                <c:pt idx="3823">
                  <c:v> 8 </c:v>
                </c:pt>
                <c:pt idx="3824">
                  <c:v> 9 </c:v>
                </c:pt>
                <c:pt idx="3825">
                  <c:v> 10 </c:v>
                </c:pt>
                <c:pt idx="3826">
                  <c:v> 11 </c:v>
                </c:pt>
                <c:pt idx="3827">
                  <c:v> 12 </c:v>
                </c:pt>
                <c:pt idx="3828">
                  <c:v> 13 </c:v>
                </c:pt>
                <c:pt idx="3829">
                  <c:v> 14 </c:v>
                </c:pt>
                <c:pt idx="3830">
                  <c:v> 15 </c:v>
                </c:pt>
                <c:pt idx="3831">
                  <c:v> 16 </c:v>
                </c:pt>
                <c:pt idx="3832">
                  <c:v> 17 </c:v>
                </c:pt>
                <c:pt idx="3833">
                  <c:v> 18 </c:v>
                </c:pt>
                <c:pt idx="3834">
                  <c:v> 19 </c:v>
                </c:pt>
                <c:pt idx="3835">
                  <c:v> 20 </c:v>
                </c:pt>
                <c:pt idx="3836">
                  <c:v> 21 </c:v>
                </c:pt>
                <c:pt idx="3837">
                  <c:v> 22 </c:v>
                </c:pt>
                <c:pt idx="3838">
                  <c:v> 23 </c:v>
                </c:pt>
                <c:pt idx="3839">
                  <c:v> 24 </c:v>
                </c:pt>
                <c:pt idx="3840">
                  <c:v>10 Jun 2014</c:v>
                </c:pt>
                <c:pt idx="3841">
                  <c:v> 2 </c:v>
                </c:pt>
                <c:pt idx="3842">
                  <c:v> 3 </c:v>
                </c:pt>
                <c:pt idx="3843">
                  <c:v> 4 </c:v>
                </c:pt>
                <c:pt idx="3844">
                  <c:v> 5 </c:v>
                </c:pt>
                <c:pt idx="3845">
                  <c:v> 6 </c:v>
                </c:pt>
                <c:pt idx="3846">
                  <c:v> 7 </c:v>
                </c:pt>
                <c:pt idx="3847">
                  <c:v> 8 </c:v>
                </c:pt>
                <c:pt idx="3848">
                  <c:v> 9 </c:v>
                </c:pt>
                <c:pt idx="3849">
                  <c:v> 10 </c:v>
                </c:pt>
                <c:pt idx="3850">
                  <c:v> 11 </c:v>
                </c:pt>
                <c:pt idx="3851">
                  <c:v> 12 </c:v>
                </c:pt>
                <c:pt idx="3852">
                  <c:v> 13 </c:v>
                </c:pt>
                <c:pt idx="3853">
                  <c:v> 14 </c:v>
                </c:pt>
                <c:pt idx="3854">
                  <c:v> 15 </c:v>
                </c:pt>
                <c:pt idx="3855">
                  <c:v> 16 </c:v>
                </c:pt>
                <c:pt idx="3856">
                  <c:v> 17 </c:v>
                </c:pt>
                <c:pt idx="3857">
                  <c:v> 18 </c:v>
                </c:pt>
                <c:pt idx="3858">
                  <c:v> 19 </c:v>
                </c:pt>
                <c:pt idx="3859">
                  <c:v> 20 </c:v>
                </c:pt>
                <c:pt idx="3860">
                  <c:v> 21 </c:v>
                </c:pt>
                <c:pt idx="3861">
                  <c:v> 22 </c:v>
                </c:pt>
                <c:pt idx="3862">
                  <c:v> 23 </c:v>
                </c:pt>
                <c:pt idx="3863">
                  <c:v> 24 </c:v>
                </c:pt>
                <c:pt idx="3864">
                  <c:v>11 Jun 2014</c:v>
                </c:pt>
                <c:pt idx="3865">
                  <c:v> 2 </c:v>
                </c:pt>
                <c:pt idx="3866">
                  <c:v> 3 </c:v>
                </c:pt>
                <c:pt idx="3867">
                  <c:v> 4 </c:v>
                </c:pt>
                <c:pt idx="3868">
                  <c:v> 5 </c:v>
                </c:pt>
                <c:pt idx="3869">
                  <c:v> 6 </c:v>
                </c:pt>
                <c:pt idx="3870">
                  <c:v> 7 </c:v>
                </c:pt>
                <c:pt idx="3871">
                  <c:v> 8 </c:v>
                </c:pt>
                <c:pt idx="3872">
                  <c:v> 9 </c:v>
                </c:pt>
                <c:pt idx="3873">
                  <c:v> 10 </c:v>
                </c:pt>
                <c:pt idx="3874">
                  <c:v> 11 </c:v>
                </c:pt>
                <c:pt idx="3875">
                  <c:v> 12 </c:v>
                </c:pt>
                <c:pt idx="3876">
                  <c:v> 13 </c:v>
                </c:pt>
                <c:pt idx="3877">
                  <c:v> 14 </c:v>
                </c:pt>
                <c:pt idx="3878">
                  <c:v> 15 </c:v>
                </c:pt>
                <c:pt idx="3879">
                  <c:v> 16 </c:v>
                </c:pt>
                <c:pt idx="3880">
                  <c:v> 17 </c:v>
                </c:pt>
                <c:pt idx="3881">
                  <c:v> 18 </c:v>
                </c:pt>
                <c:pt idx="3882">
                  <c:v> 19 </c:v>
                </c:pt>
                <c:pt idx="3883">
                  <c:v> 20 </c:v>
                </c:pt>
                <c:pt idx="3884">
                  <c:v> 21 </c:v>
                </c:pt>
                <c:pt idx="3885">
                  <c:v> 22 </c:v>
                </c:pt>
                <c:pt idx="3886">
                  <c:v> 23 </c:v>
                </c:pt>
                <c:pt idx="3887">
                  <c:v> 24 </c:v>
                </c:pt>
                <c:pt idx="3888">
                  <c:v>12 Jun 2014</c:v>
                </c:pt>
                <c:pt idx="3889">
                  <c:v> 2 </c:v>
                </c:pt>
                <c:pt idx="3890">
                  <c:v> 3 </c:v>
                </c:pt>
                <c:pt idx="3891">
                  <c:v> 4 </c:v>
                </c:pt>
                <c:pt idx="3892">
                  <c:v> 5 </c:v>
                </c:pt>
                <c:pt idx="3893">
                  <c:v> 6 </c:v>
                </c:pt>
                <c:pt idx="3894">
                  <c:v> 7 </c:v>
                </c:pt>
                <c:pt idx="3895">
                  <c:v> 8 </c:v>
                </c:pt>
                <c:pt idx="3896">
                  <c:v> 9 </c:v>
                </c:pt>
                <c:pt idx="3897">
                  <c:v> 10 </c:v>
                </c:pt>
                <c:pt idx="3898">
                  <c:v> 11 </c:v>
                </c:pt>
                <c:pt idx="3899">
                  <c:v> 12 </c:v>
                </c:pt>
                <c:pt idx="3900">
                  <c:v> 13 </c:v>
                </c:pt>
                <c:pt idx="3901">
                  <c:v> 14 </c:v>
                </c:pt>
                <c:pt idx="3902">
                  <c:v> 15 </c:v>
                </c:pt>
                <c:pt idx="3903">
                  <c:v> 16 </c:v>
                </c:pt>
                <c:pt idx="3904">
                  <c:v> 17 </c:v>
                </c:pt>
                <c:pt idx="3905">
                  <c:v> 18 </c:v>
                </c:pt>
                <c:pt idx="3906">
                  <c:v> 19 </c:v>
                </c:pt>
                <c:pt idx="3907">
                  <c:v> 20 </c:v>
                </c:pt>
                <c:pt idx="3908">
                  <c:v> 21 </c:v>
                </c:pt>
                <c:pt idx="3909">
                  <c:v> 22 </c:v>
                </c:pt>
                <c:pt idx="3910">
                  <c:v> 23 </c:v>
                </c:pt>
                <c:pt idx="3911">
                  <c:v> 24 </c:v>
                </c:pt>
                <c:pt idx="3912">
                  <c:v>13 Jun 2014</c:v>
                </c:pt>
                <c:pt idx="3913">
                  <c:v> 2 </c:v>
                </c:pt>
                <c:pt idx="3914">
                  <c:v> 3 </c:v>
                </c:pt>
                <c:pt idx="3915">
                  <c:v> 4 </c:v>
                </c:pt>
                <c:pt idx="3916">
                  <c:v> 5 </c:v>
                </c:pt>
                <c:pt idx="3917">
                  <c:v> 6 </c:v>
                </c:pt>
                <c:pt idx="3918">
                  <c:v> 7 </c:v>
                </c:pt>
                <c:pt idx="3919">
                  <c:v> 8 </c:v>
                </c:pt>
                <c:pt idx="3920">
                  <c:v> 9 </c:v>
                </c:pt>
                <c:pt idx="3921">
                  <c:v> 10 </c:v>
                </c:pt>
                <c:pt idx="3922">
                  <c:v> 11 </c:v>
                </c:pt>
                <c:pt idx="3923">
                  <c:v> 12 </c:v>
                </c:pt>
                <c:pt idx="3924">
                  <c:v> 13 </c:v>
                </c:pt>
                <c:pt idx="3925">
                  <c:v> 14 </c:v>
                </c:pt>
                <c:pt idx="3926">
                  <c:v> 15 </c:v>
                </c:pt>
                <c:pt idx="3927">
                  <c:v> 16 </c:v>
                </c:pt>
                <c:pt idx="3928">
                  <c:v> 17 </c:v>
                </c:pt>
                <c:pt idx="3929">
                  <c:v> 18 </c:v>
                </c:pt>
                <c:pt idx="3930">
                  <c:v> 19 </c:v>
                </c:pt>
                <c:pt idx="3931">
                  <c:v> 20 </c:v>
                </c:pt>
                <c:pt idx="3932">
                  <c:v> 21 </c:v>
                </c:pt>
                <c:pt idx="3933">
                  <c:v> 22 </c:v>
                </c:pt>
                <c:pt idx="3934">
                  <c:v> 23 </c:v>
                </c:pt>
                <c:pt idx="3935">
                  <c:v> 24 </c:v>
                </c:pt>
                <c:pt idx="3936">
                  <c:v>14 Jun 2014</c:v>
                </c:pt>
                <c:pt idx="3937">
                  <c:v> 2 </c:v>
                </c:pt>
                <c:pt idx="3938">
                  <c:v> 3 </c:v>
                </c:pt>
                <c:pt idx="3939">
                  <c:v> 4 </c:v>
                </c:pt>
                <c:pt idx="3940">
                  <c:v> 5 </c:v>
                </c:pt>
                <c:pt idx="3941">
                  <c:v> 6 </c:v>
                </c:pt>
                <c:pt idx="3942">
                  <c:v> 7 </c:v>
                </c:pt>
                <c:pt idx="3943">
                  <c:v> 8 </c:v>
                </c:pt>
                <c:pt idx="3944">
                  <c:v> 9 </c:v>
                </c:pt>
                <c:pt idx="3945">
                  <c:v> 10 </c:v>
                </c:pt>
                <c:pt idx="3946">
                  <c:v> 11 </c:v>
                </c:pt>
                <c:pt idx="3947">
                  <c:v> 12 </c:v>
                </c:pt>
                <c:pt idx="3948">
                  <c:v> 13 </c:v>
                </c:pt>
                <c:pt idx="3949">
                  <c:v> 14 </c:v>
                </c:pt>
                <c:pt idx="3950">
                  <c:v> 15 </c:v>
                </c:pt>
                <c:pt idx="3951">
                  <c:v> 16 </c:v>
                </c:pt>
                <c:pt idx="3952">
                  <c:v> 17 </c:v>
                </c:pt>
                <c:pt idx="3953">
                  <c:v> 18 </c:v>
                </c:pt>
                <c:pt idx="3954">
                  <c:v> 19 </c:v>
                </c:pt>
                <c:pt idx="3955">
                  <c:v> 20 </c:v>
                </c:pt>
                <c:pt idx="3956">
                  <c:v> 21 </c:v>
                </c:pt>
                <c:pt idx="3957">
                  <c:v> 22 </c:v>
                </c:pt>
                <c:pt idx="3958">
                  <c:v> 23 </c:v>
                </c:pt>
                <c:pt idx="3959">
                  <c:v> 24 </c:v>
                </c:pt>
                <c:pt idx="3960">
                  <c:v>15 Jun 2014</c:v>
                </c:pt>
                <c:pt idx="3961">
                  <c:v> 2 </c:v>
                </c:pt>
                <c:pt idx="3962">
                  <c:v> 3 </c:v>
                </c:pt>
                <c:pt idx="3963">
                  <c:v> 4 </c:v>
                </c:pt>
                <c:pt idx="3964">
                  <c:v> 5 </c:v>
                </c:pt>
                <c:pt idx="3965">
                  <c:v> 6 </c:v>
                </c:pt>
                <c:pt idx="3966">
                  <c:v> 7 </c:v>
                </c:pt>
                <c:pt idx="3967">
                  <c:v> 8 </c:v>
                </c:pt>
                <c:pt idx="3968">
                  <c:v> 9 </c:v>
                </c:pt>
                <c:pt idx="3969">
                  <c:v> 10 </c:v>
                </c:pt>
                <c:pt idx="3970">
                  <c:v> 11 </c:v>
                </c:pt>
                <c:pt idx="3971">
                  <c:v> 12 </c:v>
                </c:pt>
                <c:pt idx="3972">
                  <c:v> 13 </c:v>
                </c:pt>
                <c:pt idx="3973">
                  <c:v> 14 </c:v>
                </c:pt>
                <c:pt idx="3974">
                  <c:v> 15 </c:v>
                </c:pt>
                <c:pt idx="3975">
                  <c:v> 16 </c:v>
                </c:pt>
                <c:pt idx="3976">
                  <c:v> 17 </c:v>
                </c:pt>
                <c:pt idx="3977">
                  <c:v> 18 </c:v>
                </c:pt>
                <c:pt idx="3978">
                  <c:v> 19 </c:v>
                </c:pt>
                <c:pt idx="3979">
                  <c:v> 20 </c:v>
                </c:pt>
                <c:pt idx="3980">
                  <c:v> 21 </c:v>
                </c:pt>
                <c:pt idx="3981">
                  <c:v> 22 </c:v>
                </c:pt>
                <c:pt idx="3982">
                  <c:v> 23 </c:v>
                </c:pt>
                <c:pt idx="3983">
                  <c:v> 24 </c:v>
                </c:pt>
                <c:pt idx="3984">
                  <c:v>16 Jun 2014</c:v>
                </c:pt>
                <c:pt idx="3985">
                  <c:v> 2 </c:v>
                </c:pt>
                <c:pt idx="3986">
                  <c:v> 3 </c:v>
                </c:pt>
                <c:pt idx="3987">
                  <c:v> 4 </c:v>
                </c:pt>
                <c:pt idx="3988">
                  <c:v> 5 </c:v>
                </c:pt>
                <c:pt idx="3989">
                  <c:v> 6 </c:v>
                </c:pt>
                <c:pt idx="3990">
                  <c:v> 7 </c:v>
                </c:pt>
                <c:pt idx="3991">
                  <c:v> 8 </c:v>
                </c:pt>
                <c:pt idx="3992">
                  <c:v> 9 </c:v>
                </c:pt>
                <c:pt idx="3993">
                  <c:v> 10 </c:v>
                </c:pt>
                <c:pt idx="3994">
                  <c:v> 11 </c:v>
                </c:pt>
                <c:pt idx="3995">
                  <c:v> 12 </c:v>
                </c:pt>
                <c:pt idx="3996">
                  <c:v> 13 </c:v>
                </c:pt>
                <c:pt idx="3997">
                  <c:v> 14 </c:v>
                </c:pt>
                <c:pt idx="3998">
                  <c:v> 15 </c:v>
                </c:pt>
                <c:pt idx="3999">
                  <c:v> 16 </c:v>
                </c:pt>
                <c:pt idx="4000">
                  <c:v> 17 </c:v>
                </c:pt>
                <c:pt idx="4001">
                  <c:v> 18 </c:v>
                </c:pt>
                <c:pt idx="4002">
                  <c:v> 19 </c:v>
                </c:pt>
                <c:pt idx="4003">
                  <c:v> 20 </c:v>
                </c:pt>
                <c:pt idx="4004">
                  <c:v> 21 </c:v>
                </c:pt>
                <c:pt idx="4005">
                  <c:v> 22 </c:v>
                </c:pt>
                <c:pt idx="4006">
                  <c:v> 23 </c:v>
                </c:pt>
                <c:pt idx="4007">
                  <c:v> 24 </c:v>
                </c:pt>
                <c:pt idx="4008">
                  <c:v>17 Jun 2014</c:v>
                </c:pt>
                <c:pt idx="4009">
                  <c:v> 2 </c:v>
                </c:pt>
                <c:pt idx="4010">
                  <c:v> 3 </c:v>
                </c:pt>
                <c:pt idx="4011">
                  <c:v> 4 </c:v>
                </c:pt>
                <c:pt idx="4012">
                  <c:v> 5 </c:v>
                </c:pt>
                <c:pt idx="4013">
                  <c:v> 6 </c:v>
                </c:pt>
                <c:pt idx="4014">
                  <c:v> 7 </c:v>
                </c:pt>
                <c:pt idx="4015">
                  <c:v> 8 </c:v>
                </c:pt>
                <c:pt idx="4016">
                  <c:v> 9 </c:v>
                </c:pt>
                <c:pt idx="4017">
                  <c:v> 10 </c:v>
                </c:pt>
                <c:pt idx="4018">
                  <c:v> 11 </c:v>
                </c:pt>
                <c:pt idx="4019">
                  <c:v> 12 </c:v>
                </c:pt>
                <c:pt idx="4020">
                  <c:v> 13 </c:v>
                </c:pt>
                <c:pt idx="4021">
                  <c:v> 14 </c:v>
                </c:pt>
                <c:pt idx="4022">
                  <c:v> 15 </c:v>
                </c:pt>
                <c:pt idx="4023">
                  <c:v> 16 </c:v>
                </c:pt>
                <c:pt idx="4024">
                  <c:v> 17 </c:v>
                </c:pt>
                <c:pt idx="4025">
                  <c:v> 18 </c:v>
                </c:pt>
                <c:pt idx="4026">
                  <c:v> 19 </c:v>
                </c:pt>
                <c:pt idx="4027">
                  <c:v> 20 </c:v>
                </c:pt>
                <c:pt idx="4028">
                  <c:v> 21 </c:v>
                </c:pt>
                <c:pt idx="4029">
                  <c:v> 22 </c:v>
                </c:pt>
                <c:pt idx="4030">
                  <c:v> 23 </c:v>
                </c:pt>
                <c:pt idx="4031">
                  <c:v> 24 </c:v>
                </c:pt>
                <c:pt idx="4032">
                  <c:v>18 Jun 2014</c:v>
                </c:pt>
                <c:pt idx="4033">
                  <c:v> 2 </c:v>
                </c:pt>
                <c:pt idx="4034">
                  <c:v> 3 </c:v>
                </c:pt>
                <c:pt idx="4035">
                  <c:v> 4 </c:v>
                </c:pt>
                <c:pt idx="4036">
                  <c:v> 5 </c:v>
                </c:pt>
                <c:pt idx="4037">
                  <c:v> 6 </c:v>
                </c:pt>
                <c:pt idx="4038">
                  <c:v> 7 </c:v>
                </c:pt>
                <c:pt idx="4039">
                  <c:v> 8 </c:v>
                </c:pt>
                <c:pt idx="4040">
                  <c:v> 9 </c:v>
                </c:pt>
                <c:pt idx="4041">
                  <c:v> 10 </c:v>
                </c:pt>
                <c:pt idx="4042">
                  <c:v> 11 </c:v>
                </c:pt>
                <c:pt idx="4043">
                  <c:v> 12 </c:v>
                </c:pt>
                <c:pt idx="4044">
                  <c:v> 13 </c:v>
                </c:pt>
                <c:pt idx="4045">
                  <c:v> 14 </c:v>
                </c:pt>
                <c:pt idx="4046">
                  <c:v> 15 </c:v>
                </c:pt>
                <c:pt idx="4047">
                  <c:v> 16 </c:v>
                </c:pt>
                <c:pt idx="4048">
                  <c:v> 17 </c:v>
                </c:pt>
                <c:pt idx="4049">
                  <c:v> 18 </c:v>
                </c:pt>
                <c:pt idx="4050">
                  <c:v> 19 </c:v>
                </c:pt>
                <c:pt idx="4051">
                  <c:v> 20 </c:v>
                </c:pt>
                <c:pt idx="4052">
                  <c:v> 21 </c:v>
                </c:pt>
                <c:pt idx="4053">
                  <c:v> 22 </c:v>
                </c:pt>
                <c:pt idx="4054">
                  <c:v> 23 </c:v>
                </c:pt>
                <c:pt idx="4055">
                  <c:v> 24 </c:v>
                </c:pt>
                <c:pt idx="4056">
                  <c:v>19 Jun 2014</c:v>
                </c:pt>
                <c:pt idx="4057">
                  <c:v> 2 </c:v>
                </c:pt>
                <c:pt idx="4058">
                  <c:v> 3 </c:v>
                </c:pt>
                <c:pt idx="4059">
                  <c:v> 4 </c:v>
                </c:pt>
                <c:pt idx="4060">
                  <c:v> 5 </c:v>
                </c:pt>
                <c:pt idx="4061">
                  <c:v> 6 </c:v>
                </c:pt>
                <c:pt idx="4062">
                  <c:v> 7 </c:v>
                </c:pt>
                <c:pt idx="4063">
                  <c:v> 8 </c:v>
                </c:pt>
                <c:pt idx="4064">
                  <c:v> 9 </c:v>
                </c:pt>
                <c:pt idx="4065">
                  <c:v> 10 </c:v>
                </c:pt>
                <c:pt idx="4066">
                  <c:v> 11 </c:v>
                </c:pt>
                <c:pt idx="4067">
                  <c:v> 12 </c:v>
                </c:pt>
                <c:pt idx="4068">
                  <c:v> 13 </c:v>
                </c:pt>
                <c:pt idx="4069">
                  <c:v> 14 </c:v>
                </c:pt>
                <c:pt idx="4070">
                  <c:v> 15 </c:v>
                </c:pt>
                <c:pt idx="4071">
                  <c:v> 16 </c:v>
                </c:pt>
                <c:pt idx="4072">
                  <c:v> 17 </c:v>
                </c:pt>
                <c:pt idx="4073">
                  <c:v> 18 </c:v>
                </c:pt>
                <c:pt idx="4074">
                  <c:v> 19 </c:v>
                </c:pt>
                <c:pt idx="4075">
                  <c:v> 20 </c:v>
                </c:pt>
                <c:pt idx="4076">
                  <c:v> 21 </c:v>
                </c:pt>
                <c:pt idx="4077">
                  <c:v> 22 </c:v>
                </c:pt>
                <c:pt idx="4078">
                  <c:v> 23 </c:v>
                </c:pt>
                <c:pt idx="4079">
                  <c:v> 24 </c:v>
                </c:pt>
                <c:pt idx="4080">
                  <c:v>20 Jun 2014</c:v>
                </c:pt>
                <c:pt idx="4081">
                  <c:v> 2 </c:v>
                </c:pt>
                <c:pt idx="4082">
                  <c:v> 3 </c:v>
                </c:pt>
                <c:pt idx="4083">
                  <c:v> 4 </c:v>
                </c:pt>
                <c:pt idx="4084">
                  <c:v> 5 </c:v>
                </c:pt>
                <c:pt idx="4085">
                  <c:v> 6 </c:v>
                </c:pt>
                <c:pt idx="4086">
                  <c:v> 7 </c:v>
                </c:pt>
                <c:pt idx="4087">
                  <c:v> 8 </c:v>
                </c:pt>
                <c:pt idx="4088">
                  <c:v> 9 </c:v>
                </c:pt>
                <c:pt idx="4089">
                  <c:v> 10 </c:v>
                </c:pt>
                <c:pt idx="4090">
                  <c:v> 11 </c:v>
                </c:pt>
                <c:pt idx="4091">
                  <c:v> 12 </c:v>
                </c:pt>
                <c:pt idx="4092">
                  <c:v> 13 </c:v>
                </c:pt>
                <c:pt idx="4093">
                  <c:v> 14 </c:v>
                </c:pt>
                <c:pt idx="4094">
                  <c:v> 15 </c:v>
                </c:pt>
                <c:pt idx="4095">
                  <c:v> 16 </c:v>
                </c:pt>
                <c:pt idx="4096">
                  <c:v> 17 </c:v>
                </c:pt>
                <c:pt idx="4097">
                  <c:v> 18 </c:v>
                </c:pt>
                <c:pt idx="4098">
                  <c:v> 19 </c:v>
                </c:pt>
                <c:pt idx="4099">
                  <c:v> 20 </c:v>
                </c:pt>
                <c:pt idx="4100">
                  <c:v> 21 </c:v>
                </c:pt>
                <c:pt idx="4101">
                  <c:v> 22 </c:v>
                </c:pt>
                <c:pt idx="4102">
                  <c:v> 23 </c:v>
                </c:pt>
                <c:pt idx="4103">
                  <c:v> 24 </c:v>
                </c:pt>
                <c:pt idx="4104">
                  <c:v>21 Jun 2014</c:v>
                </c:pt>
                <c:pt idx="4105">
                  <c:v> 2 </c:v>
                </c:pt>
                <c:pt idx="4106">
                  <c:v> 3 </c:v>
                </c:pt>
                <c:pt idx="4107">
                  <c:v> 4 </c:v>
                </c:pt>
                <c:pt idx="4108">
                  <c:v> 5 </c:v>
                </c:pt>
                <c:pt idx="4109">
                  <c:v> 6 </c:v>
                </c:pt>
                <c:pt idx="4110">
                  <c:v> 7 </c:v>
                </c:pt>
                <c:pt idx="4111">
                  <c:v> 8 </c:v>
                </c:pt>
                <c:pt idx="4112">
                  <c:v> 9 </c:v>
                </c:pt>
                <c:pt idx="4113">
                  <c:v> 10 </c:v>
                </c:pt>
                <c:pt idx="4114">
                  <c:v> 11 </c:v>
                </c:pt>
                <c:pt idx="4115">
                  <c:v> 12 </c:v>
                </c:pt>
                <c:pt idx="4116">
                  <c:v> 13 </c:v>
                </c:pt>
                <c:pt idx="4117">
                  <c:v> 14 </c:v>
                </c:pt>
                <c:pt idx="4118">
                  <c:v> 15 </c:v>
                </c:pt>
                <c:pt idx="4119">
                  <c:v> 16 </c:v>
                </c:pt>
                <c:pt idx="4120">
                  <c:v> 17 </c:v>
                </c:pt>
                <c:pt idx="4121">
                  <c:v> 18 </c:v>
                </c:pt>
                <c:pt idx="4122">
                  <c:v> 19 </c:v>
                </c:pt>
                <c:pt idx="4123">
                  <c:v> 20 </c:v>
                </c:pt>
                <c:pt idx="4124">
                  <c:v> 21 </c:v>
                </c:pt>
                <c:pt idx="4125">
                  <c:v> 22 </c:v>
                </c:pt>
                <c:pt idx="4126">
                  <c:v> 23 </c:v>
                </c:pt>
                <c:pt idx="4127">
                  <c:v> 24 </c:v>
                </c:pt>
                <c:pt idx="4128">
                  <c:v>22 Jun 2014</c:v>
                </c:pt>
                <c:pt idx="4129">
                  <c:v> 2 </c:v>
                </c:pt>
                <c:pt idx="4130">
                  <c:v> 3 </c:v>
                </c:pt>
                <c:pt idx="4131">
                  <c:v> 4 </c:v>
                </c:pt>
                <c:pt idx="4132">
                  <c:v> 5 </c:v>
                </c:pt>
                <c:pt idx="4133">
                  <c:v> 6 </c:v>
                </c:pt>
                <c:pt idx="4134">
                  <c:v> 7 </c:v>
                </c:pt>
                <c:pt idx="4135">
                  <c:v> 8 </c:v>
                </c:pt>
                <c:pt idx="4136">
                  <c:v> 9 </c:v>
                </c:pt>
                <c:pt idx="4137">
                  <c:v> 10 </c:v>
                </c:pt>
                <c:pt idx="4138">
                  <c:v> 11 </c:v>
                </c:pt>
                <c:pt idx="4139">
                  <c:v> 12 </c:v>
                </c:pt>
                <c:pt idx="4140">
                  <c:v> 13 </c:v>
                </c:pt>
                <c:pt idx="4141">
                  <c:v> 14 </c:v>
                </c:pt>
                <c:pt idx="4142">
                  <c:v> 15 </c:v>
                </c:pt>
                <c:pt idx="4143">
                  <c:v> 16 </c:v>
                </c:pt>
                <c:pt idx="4144">
                  <c:v> 17 </c:v>
                </c:pt>
                <c:pt idx="4145">
                  <c:v> 18 </c:v>
                </c:pt>
                <c:pt idx="4146">
                  <c:v> 19 </c:v>
                </c:pt>
                <c:pt idx="4147">
                  <c:v> 20 </c:v>
                </c:pt>
                <c:pt idx="4148">
                  <c:v> 21 </c:v>
                </c:pt>
                <c:pt idx="4149">
                  <c:v> 22 </c:v>
                </c:pt>
                <c:pt idx="4150">
                  <c:v> 23 </c:v>
                </c:pt>
                <c:pt idx="4151">
                  <c:v> 24 </c:v>
                </c:pt>
                <c:pt idx="4152">
                  <c:v>23 Jun 2014</c:v>
                </c:pt>
                <c:pt idx="4153">
                  <c:v> 2 </c:v>
                </c:pt>
                <c:pt idx="4154">
                  <c:v> 3 </c:v>
                </c:pt>
                <c:pt idx="4155">
                  <c:v> 4 </c:v>
                </c:pt>
                <c:pt idx="4156">
                  <c:v> 5 </c:v>
                </c:pt>
                <c:pt idx="4157">
                  <c:v> 6 </c:v>
                </c:pt>
                <c:pt idx="4158">
                  <c:v> 7 </c:v>
                </c:pt>
                <c:pt idx="4159">
                  <c:v> 8 </c:v>
                </c:pt>
                <c:pt idx="4160">
                  <c:v> 9 </c:v>
                </c:pt>
                <c:pt idx="4161">
                  <c:v> 10 </c:v>
                </c:pt>
                <c:pt idx="4162">
                  <c:v> 11 </c:v>
                </c:pt>
                <c:pt idx="4163">
                  <c:v> 12 </c:v>
                </c:pt>
                <c:pt idx="4164">
                  <c:v> 13 </c:v>
                </c:pt>
                <c:pt idx="4165">
                  <c:v> 14 </c:v>
                </c:pt>
                <c:pt idx="4166">
                  <c:v> 15 </c:v>
                </c:pt>
                <c:pt idx="4167">
                  <c:v> 16 </c:v>
                </c:pt>
                <c:pt idx="4168">
                  <c:v> 17 </c:v>
                </c:pt>
                <c:pt idx="4169">
                  <c:v> 18 </c:v>
                </c:pt>
                <c:pt idx="4170">
                  <c:v> 19 </c:v>
                </c:pt>
                <c:pt idx="4171">
                  <c:v> 20 </c:v>
                </c:pt>
                <c:pt idx="4172">
                  <c:v> 21 </c:v>
                </c:pt>
                <c:pt idx="4173">
                  <c:v> 22 </c:v>
                </c:pt>
                <c:pt idx="4174">
                  <c:v> 23 </c:v>
                </c:pt>
                <c:pt idx="4175">
                  <c:v> 24 </c:v>
                </c:pt>
                <c:pt idx="4176">
                  <c:v>24 Jun 2014</c:v>
                </c:pt>
                <c:pt idx="4177">
                  <c:v> 2 </c:v>
                </c:pt>
                <c:pt idx="4178">
                  <c:v> 3 </c:v>
                </c:pt>
                <c:pt idx="4179">
                  <c:v> 4 </c:v>
                </c:pt>
                <c:pt idx="4180">
                  <c:v> 5 </c:v>
                </c:pt>
                <c:pt idx="4181">
                  <c:v> 6 </c:v>
                </c:pt>
                <c:pt idx="4182">
                  <c:v> 7 </c:v>
                </c:pt>
                <c:pt idx="4183">
                  <c:v> 8 </c:v>
                </c:pt>
                <c:pt idx="4184">
                  <c:v> 9 </c:v>
                </c:pt>
                <c:pt idx="4185">
                  <c:v> 10 </c:v>
                </c:pt>
                <c:pt idx="4186">
                  <c:v> 11 </c:v>
                </c:pt>
                <c:pt idx="4187">
                  <c:v> 12 </c:v>
                </c:pt>
                <c:pt idx="4188">
                  <c:v> 13 </c:v>
                </c:pt>
                <c:pt idx="4189">
                  <c:v> 14 </c:v>
                </c:pt>
                <c:pt idx="4190">
                  <c:v> 15 </c:v>
                </c:pt>
                <c:pt idx="4191">
                  <c:v> 16 </c:v>
                </c:pt>
                <c:pt idx="4192">
                  <c:v> 17 </c:v>
                </c:pt>
                <c:pt idx="4193">
                  <c:v> 18 </c:v>
                </c:pt>
                <c:pt idx="4194">
                  <c:v> 19 </c:v>
                </c:pt>
                <c:pt idx="4195">
                  <c:v> 20 </c:v>
                </c:pt>
                <c:pt idx="4196">
                  <c:v> 21 </c:v>
                </c:pt>
                <c:pt idx="4197">
                  <c:v> 22 </c:v>
                </c:pt>
                <c:pt idx="4198">
                  <c:v> 23 </c:v>
                </c:pt>
                <c:pt idx="4199">
                  <c:v> 24 </c:v>
                </c:pt>
                <c:pt idx="4200">
                  <c:v>25 Jun 2014</c:v>
                </c:pt>
                <c:pt idx="4201">
                  <c:v> 2 </c:v>
                </c:pt>
                <c:pt idx="4202">
                  <c:v> 3 </c:v>
                </c:pt>
                <c:pt idx="4203">
                  <c:v> 4 </c:v>
                </c:pt>
                <c:pt idx="4204">
                  <c:v> 5 </c:v>
                </c:pt>
                <c:pt idx="4205">
                  <c:v> 6 </c:v>
                </c:pt>
                <c:pt idx="4206">
                  <c:v> 7 </c:v>
                </c:pt>
                <c:pt idx="4207">
                  <c:v> 8 </c:v>
                </c:pt>
                <c:pt idx="4208">
                  <c:v> 9 </c:v>
                </c:pt>
                <c:pt idx="4209">
                  <c:v> 10 </c:v>
                </c:pt>
                <c:pt idx="4210">
                  <c:v> 11 </c:v>
                </c:pt>
                <c:pt idx="4211">
                  <c:v> 12 </c:v>
                </c:pt>
                <c:pt idx="4212">
                  <c:v> 13 </c:v>
                </c:pt>
                <c:pt idx="4213">
                  <c:v> 14 </c:v>
                </c:pt>
                <c:pt idx="4214">
                  <c:v> 15 </c:v>
                </c:pt>
                <c:pt idx="4215">
                  <c:v> 16 </c:v>
                </c:pt>
                <c:pt idx="4216">
                  <c:v> 17 </c:v>
                </c:pt>
                <c:pt idx="4217">
                  <c:v> 18 </c:v>
                </c:pt>
                <c:pt idx="4218">
                  <c:v> 19 </c:v>
                </c:pt>
                <c:pt idx="4219">
                  <c:v> 20 </c:v>
                </c:pt>
                <c:pt idx="4220">
                  <c:v> 21 </c:v>
                </c:pt>
                <c:pt idx="4221">
                  <c:v> 22 </c:v>
                </c:pt>
                <c:pt idx="4222">
                  <c:v> 23 </c:v>
                </c:pt>
                <c:pt idx="4223">
                  <c:v> 24 </c:v>
                </c:pt>
                <c:pt idx="4224">
                  <c:v>26 Jun 2014</c:v>
                </c:pt>
                <c:pt idx="4225">
                  <c:v> 2 </c:v>
                </c:pt>
                <c:pt idx="4226">
                  <c:v> 3 </c:v>
                </c:pt>
                <c:pt idx="4227">
                  <c:v> 4 </c:v>
                </c:pt>
                <c:pt idx="4228">
                  <c:v> 5 </c:v>
                </c:pt>
                <c:pt idx="4229">
                  <c:v> 6 </c:v>
                </c:pt>
                <c:pt idx="4230">
                  <c:v> 7 </c:v>
                </c:pt>
                <c:pt idx="4231">
                  <c:v> 8 </c:v>
                </c:pt>
                <c:pt idx="4232">
                  <c:v> 9 </c:v>
                </c:pt>
                <c:pt idx="4233">
                  <c:v> 10 </c:v>
                </c:pt>
                <c:pt idx="4234">
                  <c:v> 11 </c:v>
                </c:pt>
                <c:pt idx="4235">
                  <c:v> 12 </c:v>
                </c:pt>
                <c:pt idx="4236">
                  <c:v> 13 </c:v>
                </c:pt>
                <c:pt idx="4237">
                  <c:v> 14 </c:v>
                </c:pt>
                <c:pt idx="4238">
                  <c:v> 15 </c:v>
                </c:pt>
                <c:pt idx="4239">
                  <c:v> 16 </c:v>
                </c:pt>
                <c:pt idx="4240">
                  <c:v> 17 </c:v>
                </c:pt>
                <c:pt idx="4241">
                  <c:v> 18 </c:v>
                </c:pt>
                <c:pt idx="4242">
                  <c:v> 19 </c:v>
                </c:pt>
                <c:pt idx="4243">
                  <c:v> 20 </c:v>
                </c:pt>
                <c:pt idx="4244">
                  <c:v> 21 </c:v>
                </c:pt>
                <c:pt idx="4245">
                  <c:v> 22 </c:v>
                </c:pt>
                <c:pt idx="4246">
                  <c:v> 23 </c:v>
                </c:pt>
                <c:pt idx="4247">
                  <c:v> 24 </c:v>
                </c:pt>
                <c:pt idx="4248">
                  <c:v>27 Jun 2014</c:v>
                </c:pt>
                <c:pt idx="4249">
                  <c:v> 2 </c:v>
                </c:pt>
                <c:pt idx="4250">
                  <c:v> 3 </c:v>
                </c:pt>
                <c:pt idx="4251">
                  <c:v> 4 </c:v>
                </c:pt>
                <c:pt idx="4252">
                  <c:v> 5 </c:v>
                </c:pt>
                <c:pt idx="4253">
                  <c:v> 6 </c:v>
                </c:pt>
                <c:pt idx="4254">
                  <c:v> 7 </c:v>
                </c:pt>
                <c:pt idx="4255">
                  <c:v> 8 </c:v>
                </c:pt>
                <c:pt idx="4256">
                  <c:v> 9 </c:v>
                </c:pt>
                <c:pt idx="4257">
                  <c:v> 10 </c:v>
                </c:pt>
                <c:pt idx="4258">
                  <c:v> 11 </c:v>
                </c:pt>
                <c:pt idx="4259">
                  <c:v> 12 </c:v>
                </c:pt>
                <c:pt idx="4260">
                  <c:v> 13 </c:v>
                </c:pt>
                <c:pt idx="4261">
                  <c:v> 14 </c:v>
                </c:pt>
                <c:pt idx="4262">
                  <c:v> 15 </c:v>
                </c:pt>
                <c:pt idx="4263">
                  <c:v> 16 </c:v>
                </c:pt>
                <c:pt idx="4264">
                  <c:v> 17 </c:v>
                </c:pt>
                <c:pt idx="4265">
                  <c:v> 18 </c:v>
                </c:pt>
                <c:pt idx="4266">
                  <c:v> 19 </c:v>
                </c:pt>
                <c:pt idx="4267">
                  <c:v> 20 </c:v>
                </c:pt>
                <c:pt idx="4268">
                  <c:v> 21 </c:v>
                </c:pt>
                <c:pt idx="4269">
                  <c:v> 22 </c:v>
                </c:pt>
                <c:pt idx="4270">
                  <c:v> 23 </c:v>
                </c:pt>
                <c:pt idx="4271">
                  <c:v> 24 </c:v>
                </c:pt>
                <c:pt idx="4272">
                  <c:v>28 Jun 2014</c:v>
                </c:pt>
                <c:pt idx="4273">
                  <c:v> 2 </c:v>
                </c:pt>
                <c:pt idx="4274">
                  <c:v> 3 </c:v>
                </c:pt>
                <c:pt idx="4275">
                  <c:v> 4 </c:v>
                </c:pt>
                <c:pt idx="4276">
                  <c:v> 5 </c:v>
                </c:pt>
                <c:pt idx="4277">
                  <c:v> 6 </c:v>
                </c:pt>
                <c:pt idx="4278">
                  <c:v> 7 </c:v>
                </c:pt>
                <c:pt idx="4279">
                  <c:v> 8 </c:v>
                </c:pt>
                <c:pt idx="4280">
                  <c:v> 9 </c:v>
                </c:pt>
                <c:pt idx="4281">
                  <c:v> 10 </c:v>
                </c:pt>
                <c:pt idx="4282">
                  <c:v> 11 </c:v>
                </c:pt>
                <c:pt idx="4283">
                  <c:v> 12 </c:v>
                </c:pt>
                <c:pt idx="4284">
                  <c:v> 13 </c:v>
                </c:pt>
                <c:pt idx="4285">
                  <c:v> 14 </c:v>
                </c:pt>
                <c:pt idx="4286">
                  <c:v> 15 </c:v>
                </c:pt>
                <c:pt idx="4287">
                  <c:v> 16 </c:v>
                </c:pt>
                <c:pt idx="4288">
                  <c:v> 17 </c:v>
                </c:pt>
                <c:pt idx="4289">
                  <c:v> 18 </c:v>
                </c:pt>
                <c:pt idx="4290">
                  <c:v> 19 </c:v>
                </c:pt>
                <c:pt idx="4291">
                  <c:v> 20 </c:v>
                </c:pt>
                <c:pt idx="4292">
                  <c:v> 21 </c:v>
                </c:pt>
                <c:pt idx="4293">
                  <c:v> 22 </c:v>
                </c:pt>
                <c:pt idx="4294">
                  <c:v> 23 </c:v>
                </c:pt>
                <c:pt idx="4295">
                  <c:v> 24 </c:v>
                </c:pt>
                <c:pt idx="4296">
                  <c:v>29 Jun 2014</c:v>
                </c:pt>
                <c:pt idx="4297">
                  <c:v> 2 </c:v>
                </c:pt>
                <c:pt idx="4298">
                  <c:v> 3 </c:v>
                </c:pt>
                <c:pt idx="4299">
                  <c:v> 4 </c:v>
                </c:pt>
                <c:pt idx="4300">
                  <c:v> 5 </c:v>
                </c:pt>
                <c:pt idx="4301">
                  <c:v> 6 </c:v>
                </c:pt>
                <c:pt idx="4302">
                  <c:v> 7 </c:v>
                </c:pt>
                <c:pt idx="4303">
                  <c:v> 8 </c:v>
                </c:pt>
                <c:pt idx="4304">
                  <c:v> 9 </c:v>
                </c:pt>
                <c:pt idx="4305">
                  <c:v> 10 </c:v>
                </c:pt>
                <c:pt idx="4306">
                  <c:v> 11 </c:v>
                </c:pt>
                <c:pt idx="4307">
                  <c:v> 12 </c:v>
                </c:pt>
                <c:pt idx="4308">
                  <c:v> 13 </c:v>
                </c:pt>
                <c:pt idx="4309">
                  <c:v> 14 </c:v>
                </c:pt>
                <c:pt idx="4310">
                  <c:v> 15 </c:v>
                </c:pt>
                <c:pt idx="4311">
                  <c:v> 16 </c:v>
                </c:pt>
                <c:pt idx="4312">
                  <c:v> 17 </c:v>
                </c:pt>
                <c:pt idx="4313">
                  <c:v> 18 </c:v>
                </c:pt>
                <c:pt idx="4314">
                  <c:v> 19 </c:v>
                </c:pt>
                <c:pt idx="4315">
                  <c:v> 20 </c:v>
                </c:pt>
                <c:pt idx="4316">
                  <c:v> 21 </c:v>
                </c:pt>
                <c:pt idx="4317">
                  <c:v> 22 </c:v>
                </c:pt>
                <c:pt idx="4318">
                  <c:v> 23 </c:v>
                </c:pt>
                <c:pt idx="4319">
                  <c:v> 24 </c:v>
                </c:pt>
                <c:pt idx="4320">
                  <c:v>30 Jun 2014</c:v>
                </c:pt>
                <c:pt idx="4321">
                  <c:v> 2 </c:v>
                </c:pt>
                <c:pt idx="4322">
                  <c:v> 3 </c:v>
                </c:pt>
                <c:pt idx="4323">
                  <c:v> 4 </c:v>
                </c:pt>
                <c:pt idx="4324">
                  <c:v> 5 </c:v>
                </c:pt>
                <c:pt idx="4325">
                  <c:v> 6 </c:v>
                </c:pt>
                <c:pt idx="4326">
                  <c:v> 7 </c:v>
                </c:pt>
                <c:pt idx="4327">
                  <c:v> 8 </c:v>
                </c:pt>
                <c:pt idx="4328">
                  <c:v> 9 </c:v>
                </c:pt>
                <c:pt idx="4329">
                  <c:v> 10 </c:v>
                </c:pt>
                <c:pt idx="4330">
                  <c:v> 11 </c:v>
                </c:pt>
                <c:pt idx="4331">
                  <c:v> 12 </c:v>
                </c:pt>
                <c:pt idx="4332">
                  <c:v> 13 </c:v>
                </c:pt>
                <c:pt idx="4333">
                  <c:v> 14 </c:v>
                </c:pt>
                <c:pt idx="4334">
                  <c:v> 15 </c:v>
                </c:pt>
                <c:pt idx="4335">
                  <c:v> 16 </c:v>
                </c:pt>
                <c:pt idx="4336">
                  <c:v> 17 </c:v>
                </c:pt>
                <c:pt idx="4337">
                  <c:v> 18 </c:v>
                </c:pt>
                <c:pt idx="4338">
                  <c:v> 19 </c:v>
                </c:pt>
                <c:pt idx="4339">
                  <c:v> 20 </c:v>
                </c:pt>
                <c:pt idx="4340">
                  <c:v> 21 </c:v>
                </c:pt>
                <c:pt idx="4341">
                  <c:v> 22 </c:v>
                </c:pt>
                <c:pt idx="4342">
                  <c:v> 23 </c:v>
                </c:pt>
                <c:pt idx="4343">
                  <c:v> 24 </c:v>
                </c:pt>
                <c:pt idx="4344">
                  <c:v>01 Jul 2014</c:v>
                </c:pt>
                <c:pt idx="4345">
                  <c:v> 2 </c:v>
                </c:pt>
                <c:pt idx="4346">
                  <c:v> 3 </c:v>
                </c:pt>
                <c:pt idx="4347">
                  <c:v> 4 </c:v>
                </c:pt>
                <c:pt idx="4348">
                  <c:v> 5 </c:v>
                </c:pt>
                <c:pt idx="4349">
                  <c:v> 6 </c:v>
                </c:pt>
                <c:pt idx="4350">
                  <c:v> 7 </c:v>
                </c:pt>
                <c:pt idx="4351">
                  <c:v> 8 </c:v>
                </c:pt>
                <c:pt idx="4352">
                  <c:v> 9 </c:v>
                </c:pt>
                <c:pt idx="4353">
                  <c:v> 10 </c:v>
                </c:pt>
                <c:pt idx="4354">
                  <c:v> 11 </c:v>
                </c:pt>
                <c:pt idx="4355">
                  <c:v> 12 </c:v>
                </c:pt>
                <c:pt idx="4356">
                  <c:v> 13 </c:v>
                </c:pt>
                <c:pt idx="4357">
                  <c:v> 14 </c:v>
                </c:pt>
                <c:pt idx="4358">
                  <c:v> 15 </c:v>
                </c:pt>
                <c:pt idx="4359">
                  <c:v> 16 </c:v>
                </c:pt>
                <c:pt idx="4360">
                  <c:v> 17 </c:v>
                </c:pt>
                <c:pt idx="4361">
                  <c:v> 18 </c:v>
                </c:pt>
                <c:pt idx="4362">
                  <c:v> 19 </c:v>
                </c:pt>
                <c:pt idx="4363">
                  <c:v> 20 </c:v>
                </c:pt>
                <c:pt idx="4364">
                  <c:v> 21 </c:v>
                </c:pt>
                <c:pt idx="4365">
                  <c:v> 22 </c:v>
                </c:pt>
                <c:pt idx="4366">
                  <c:v> 23 </c:v>
                </c:pt>
                <c:pt idx="4367">
                  <c:v> 24 </c:v>
                </c:pt>
                <c:pt idx="4368">
                  <c:v>02 Jul 2014</c:v>
                </c:pt>
                <c:pt idx="4369">
                  <c:v> 2 </c:v>
                </c:pt>
                <c:pt idx="4370">
                  <c:v> 3 </c:v>
                </c:pt>
                <c:pt idx="4371">
                  <c:v> 4 </c:v>
                </c:pt>
                <c:pt idx="4372">
                  <c:v> 5 </c:v>
                </c:pt>
                <c:pt idx="4373">
                  <c:v> 6 </c:v>
                </c:pt>
                <c:pt idx="4374">
                  <c:v> 7 </c:v>
                </c:pt>
                <c:pt idx="4375">
                  <c:v> 8 </c:v>
                </c:pt>
                <c:pt idx="4376">
                  <c:v> 9 </c:v>
                </c:pt>
                <c:pt idx="4377">
                  <c:v> 10 </c:v>
                </c:pt>
                <c:pt idx="4378">
                  <c:v> 11 </c:v>
                </c:pt>
                <c:pt idx="4379">
                  <c:v> 12 </c:v>
                </c:pt>
                <c:pt idx="4380">
                  <c:v> 13 </c:v>
                </c:pt>
                <c:pt idx="4381">
                  <c:v> 14 </c:v>
                </c:pt>
                <c:pt idx="4382">
                  <c:v> 15 </c:v>
                </c:pt>
                <c:pt idx="4383">
                  <c:v> 16 </c:v>
                </c:pt>
                <c:pt idx="4384">
                  <c:v> 17 </c:v>
                </c:pt>
                <c:pt idx="4385">
                  <c:v> 18 </c:v>
                </c:pt>
                <c:pt idx="4386">
                  <c:v> 19 </c:v>
                </c:pt>
                <c:pt idx="4387">
                  <c:v> 20 </c:v>
                </c:pt>
                <c:pt idx="4388">
                  <c:v> 21 </c:v>
                </c:pt>
                <c:pt idx="4389">
                  <c:v> 22 </c:v>
                </c:pt>
                <c:pt idx="4390">
                  <c:v> 23 </c:v>
                </c:pt>
                <c:pt idx="4391">
                  <c:v> 24 </c:v>
                </c:pt>
                <c:pt idx="4392">
                  <c:v>03 Jul 2014</c:v>
                </c:pt>
                <c:pt idx="4393">
                  <c:v> 2 </c:v>
                </c:pt>
                <c:pt idx="4394">
                  <c:v> 3 </c:v>
                </c:pt>
                <c:pt idx="4395">
                  <c:v> 4 </c:v>
                </c:pt>
                <c:pt idx="4396">
                  <c:v> 5 </c:v>
                </c:pt>
                <c:pt idx="4397">
                  <c:v> 6 </c:v>
                </c:pt>
                <c:pt idx="4398">
                  <c:v> 7 </c:v>
                </c:pt>
                <c:pt idx="4399">
                  <c:v> 8 </c:v>
                </c:pt>
                <c:pt idx="4400">
                  <c:v> 9 </c:v>
                </c:pt>
                <c:pt idx="4401">
                  <c:v> 10 </c:v>
                </c:pt>
                <c:pt idx="4402">
                  <c:v> 11 </c:v>
                </c:pt>
                <c:pt idx="4403">
                  <c:v> 12 </c:v>
                </c:pt>
                <c:pt idx="4404">
                  <c:v> 13 </c:v>
                </c:pt>
                <c:pt idx="4405">
                  <c:v> 14 </c:v>
                </c:pt>
                <c:pt idx="4406">
                  <c:v> 15 </c:v>
                </c:pt>
                <c:pt idx="4407">
                  <c:v> 16 </c:v>
                </c:pt>
                <c:pt idx="4408">
                  <c:v> 17 </c:v>
                </c:pt>
                <c:pt idx="4409">
                  <c:v> 18 </c:v>
                </c:pt>
                <c:pt idx="4410">
                  <c:v> 19 </c:v>
                </c:pt>
                <c:pt idx="4411">
                  <c:v> 20 </c:v>
                </c:pt>
                <c:pt idx="4412">
                  <c:v> 21 </c:v>
                </c:pt>
                <c:pt idx="4413">
                  <c:v> 22 </c:v>
                </c:pt>
                <c:pt idx="4414">
                  <c:v> 23 </c:v>
                </c:pt>
                <c:pt idx="4415">
                  <c:v> 24 </c:v>
                </c:pt>
                <c:pt idx="4416">
                  <c:v>04 Jul 2014</c:v>
                </c:pt>
                <c:pt idx="4417">
                  <c:v> 2 </c:v>
                </c:pt>
                <c:pt idx="4418">
                  <c:v> 3 </c:v>
                </c:pt>
                <c:pt idx="4419">
                  <c:v> 4 </c:v>
                </c:pt>
                <c:pt idx="4420">
                  <c:v> 5 </c:v>
                </c:pt>
                <c:pt idx="4421">
                  <c:v> 6 </c:v>
                </c:pt>
                <c:pt idx="4422">
                  <c:v> 7 </c:v>
                </c:pt>
                <c:pt idx="4423">
                  <c:v> 8 </c:v>
                </c:pt>
                <c:pt idx="4424">
                  <c:v> 9 </c:v>
                </c:pt>
                <c:pt idx="4425">
                  <c:v> 10 </c:v>
                </c:pt>
                <c:pt idx="4426">
                  <c:v> 11 </c:v>
                </c:pt>
                <c:pt idx="4427">
                  <c:v> 12 </c:v>
                </c:pt>
                <c:pt idx="4428">
                  <c:v> 13 </c:v>
                </c:pt>
                <c:pt idx="4429">
                  <c:v> 14 </c:v>
                </c:pt>
                <c:pt idx="4430">
                  <c:v> 15 </c:v>
                </c:pt>
                <c:pt idx="4431">
                  <c:v> 16 </c:v>
                </c:pt>
                <c:pt idx="4432">
                  <c:v> 17 </c:v>
                </c:pt>
                <c:pt idx="4433">
                  <c:v> 18 </c:v>
                </c:pt>
                <c:pt idx="4434">
                  <c:v> 19 </c:v>
                </c:pt>
                <c:pt idx="4435">
                  <c:v> 20 </c:v>
                </c:pt>
                <c:pt idx="4436">
                  <c:v> 21 </c:v>
                </c:pt>
                <c:pt idx="4437">
                  <c:v> 22 </c:v>
                </c:pt>
                <c:pt idx="4438">
                  <c:v> 23 </c:v>
                </c:pt>
                <c:pt idx="4439">
                  <c:v> 24 </c:v>
                </c:pt>
                <c:pt idx="4440">
                  <c:v>05 Jul 2014</c:v>
                </c:pt>
                <c:pt idx="4441">
                  <c:v> 2 </c:v>
                </c:pt>
                <c:pt idx="4442">
                  <c:v> 3 </c:v>
                </c:pt>
                <c:pt idx="4443">
                  <c:v> 4 </c:v>
                </c:pt>
                <c:pt idx="4444">
                  <c:v> 5 </c:v>
                </c:pt>
                <c:pt idx="4445">
                  <c:v> 6 </c:v>
                </c:pt>
                <c:pt idx="4446">
                  <c:v> 7 </c:v>
                </c:pt>
                <c:pt idx="4447">
                  <c:v> 8 </c:v>
                </c:pt>
                <c:pt idx="4448">
                  <c:v> 9 </c:v>
                </c:pt>
                <c:pt idx="4449">
                  <c:v> 10 </c:v>
                </c:pt>
                <c:pt idx="4450">
                  <c:v> 11 </c:v>
                </c:pt>
                <c:pt idx="4451">
                  <c:v> 12 </c:v>
                </c:pt>
                <c:pt idx="4452">
                  <c:v> 13 </c:v>
                </c:pt>
                <c:pt idx="4453">
                  <c:v> 14 </c:v>
                </c:pt>
                <c:pt idx="4454">
                  <c:v> 15 </c:v>
                </c:pt>
                <c:pt idx="4455">
                  <c:v> 16 </c:v>
                </c:pt>
                <c:pt idx="4456">
                  <c:v> 17 </c:v>
                </c:pt>
                <c:pt idx="4457">
                  <c:v> 18 </c:v>
                </c:pt>
                <c:pt idx="4458">
                  <c:v> 19 </c:v>
                </c:pt>
                <c:pt idx="4459">
                  <c:v> 20 </c:v>
                </c:pt>
                <c:pt idx="4460">
                  <c:v> 21 </c:v>
                </c:pt>
                <c:pt idx="4461">
                  <c:v> 22 </c:v>
                </c:pt>
                <c:pt idx="4462">
                  <c:v> 23 </c:v>
                </c:pt>
                <c:pt idx="4463">
                  <c:v> 24 </c:v>
                </c:pt>
                <c:pt idx="4464">
                  <c:v>06 Jul 2014</c:v>
                </c:pt>
                <c:pt idx="4465">
                  <c:v> 2 </c:v>
                </c:pt>
                <c:pt idx="4466">
                  <c:v> 3 </c:v>
                </c:pt>
                <c:pt idx="4467">
                  <c:v> 4 </c:v>
                </c:pt>
                <c:pt idx="4468">
                  <c:v> 5 </c:v>
                </c:pt>
                <c:pt idx="4469">
                  <c:v> 6 </c:v>
                </c:pt>
                <c:pt idx="4470">
                  <c:v> 7 </c:v>
                </c:pt>
                <c:pt idx="4471">
                  <c:v> 8 </c:v>
                </c:pt>
                <c:pt idx="4472">
                  <c:v> 9 </c:v>
                </c:pt>
                <c:pt idx="4473">
                  <c:v> 10 </c:v>
                </c:pt>
                <c:pt idx="4474">
                  <c:v> 11 </c:v>
                </c:pt>
                <c:pt idx="4475">
                  <c:v> 12 </c:v>
                </c:pt>
                <c:pt idx="4476">
                  <c:v> 13 </c:v>
                </c:pt>
                <c:pt idx="4477">
                  <c:v> 14 </c:v>
                </c:pt>
                <c:pt idx="4478">
                  <c:v> 15 </c:v>
                </c:pt>
                <c:pt idx="4479">
                  <c:v> 16 </c:v>
                </c:pt>
                <c:pt idx="4480">
                  <c:v> 17 </c:v>
                </c:pt>
                <c:pt idx="4481">
                  <c:v> 18 </c:v>
                </c:pt>
                <c:pt idx="4482">
                  <c:v> 19 </c:v>
                </c:pt>
                <c:pt idx="4483">
                  <c:v> 20 </c:v>
                </c:pt>
                <c:pt idx="4484">
                  <c:v> 21 </c:v>
                </c:pt>
                <c:pt idx="4485">
                  <c:v> 22 </c:v>
                </c:pt>
                <c:pt idx="4486">
                  <c:v> 23 </c:v>
                </c:pt>
                <c:pt idx="4487">
                  <c:v> 24 </c:v>
                </c:pt>
                <c:pt idx="4488">
                  <c:v>07 Jul 2014</c:v>
                </c:pt>
                <c:pt idx="4489">
                  <c:v> 2 </c:v>
                </c:pt>
                <c:pt idx="4490">
                  <c:v> 3 </c:v>
                </c:pt>
                <c:pt idx="4491">
                  <c:v> 4 </c:v>
                </c:pt>
                <c:pt idx="4492">
                  <c:v> 5 </c:v>
                </c:pt>
                <c:pt idx="4493">
                  <c:v> 6 </c:v>
                </c:pt>
                <c:pt idx="4494">
                  <c:v> 7 </c:v>
                </c:pt>
                <c:pt idx="4495">
                  <c:v> 8 </c:v>
                </c:pt>
                <c:pt idx="4496">
                  <c:v> 9 </c:v>
                </c:pt>
                <c:pt idx="4497">
                  <c:v> 10 </c:v>
                </c:pt>
                <c:pt idx="4498">
                  <c:v> 11 </c:v>
                </c:pt>
                <c:pt idx="4499">
                  <c:v> 12 </c:v>
                </c:pt>
                <c:pt idx="4500">
                  <c:v> 13 </c:v>
                </c:pt>
                <c:pt idx="4501">
                  <c:v> 14 </c:v>
                </c:pt>
                <c:pt idx="4502">
                  <c:v> 15 </c:v>
                </c:pt>
                <c:pt idx="4503">
                  <c:v> 16 </c:v>
                </c:pt>
                <c:pt idx="4504">
                  <c:v> 17 </c:v>
                </c:pt>
                <c:pt idx="4505">
                  <c:v> 18 </c:v>
                </c:pt>
                <c:pt idx="4506">
                  <c:v> 19 </c:v>
                </c:pt>
                <c:pt idx="4507">
                  <c:v> 20 </c:v>
                </c:pt>
                <c:pt idx="4508">
                  <c:v> 21 </c:v>
                </c:pt>
                <c:pt idx="4509">
                  <c:v> 22 </c:v>
                </c:pt>
                <c:pt idx="4510">
                  <c:v> 23 </c:v>
                </c:pt>
                <c:pt idx="4511">
                  <c:v> 24 </c:v>
                </c:pt>
                <c:pt idx="4512">
                  <c:v>08 Jul 2014</c:v>
                </c:pt>
                <c:pt idx="4513">
                  <c:v> 2 </c:v>
                </c:pt>
                <c:pt idx="4514">
                  <c:v> 3 </c:v>
                </c:pt>
                <c:pt idx="4515">
                  <c:v> 4 </c:v>
                </c:pt>
                <c:pt idx="4516">
                  <c:v> 5 </c:v>
                </c:pt>
                <c:pt idx="4517">
                  <c:v> 6 </c:v>
                </c:pt>
                <c:pt idx="4518">
                  <c:v> 7 </c:v>
                </c:pt>
                <c:pt idx="4519">
                  <c:v> 8 </c:v>
                </c:pt>
                <c:pt idx="4520">
                  <c:v> 9 </c:v>
                </c:pt>
                <c:pt idx="4521">
                  <c:v> 10 </c:v>
                </c:pt>
                <c:pt idx="4522">
                  <c:v> 11 </c:v>
                </c:pt>
                <c:pt idx="4523">
                  <c:v> 12 </c:v>
                </c:pt>
                <c:pt idx="4524">
                  <c:v> 13 </c:v>
                </c:pt>
                <c:pt idx="4525">
                  <c:v> 14 </c:v>
                </c:pt>
                <c:pt idx="4526">
                  <c:v> 15 </c:v>
                </c:pt>
                <c:pt idx="4527">
                  <c:v> 16 </c:v>
                </c:pt>
                <c:pt idx="4528">
                  <c:v> 17 </c:v>
                </c:pt>
                <c:pt idx="4529">
                  <c:v> 18 </c:v>
                </c:pt>
                <c:pt idx="4530">
                  <c:v> 19 </c:v>
                </c:pt>
                <c:pt idx="4531">
                  <c:v> 20 </c:v>
                </c:pt>
                <c:pt idx="4532">
                  <c:v> 21 </c:v>
                </c:pt>
                <c:pt idx="4533">
                  <c:v> 22 </c:v>
                </c:pt>
                <c:pt idx="4534">
                  <c:v> 23 </c:v>
                </c:pt>
                <c:pt idx="4535">
                  <c:v> 24 </c:v>
                </c:pt>
                <c:pt idx="4536">
                  <c:v>09 Jul 2014</c:v>
                </c:pt>
                <c:pt idx="4537">
                  <c:v> 2 </c:v>
                </c:pt>
                <c:pt idx="4538">
                  <c:v> 3 </c:v>
                </c:pt>
                <c:pt idx="4539">
                  <c:v> 4 </c:v>
                </c:pt>
                <c:pt idx="4540">
                  <c:v> 5 </c:v>
                </c:pt>
                <c:pt idx="4541">
                  <c:v> 6 </c:v>
                </c:pt>
                <c:pt idx="4542">
                  <c:v> 7 </c:v>
                </c:pt>
                <c:pt idx="4543">
                  <c:v> 8 </c:v>
                </c:pt>
                <c:pt idx="4544">
                  <c:v> 9 </c:v>
                </c:pt>
                <c:pt idx="4545">
                  <c:v> 10 </c:v>
                </c:pt>
                <c:pt idx="4546">
                  <c:v> 11 </c:v>
                </c:pt>
                <c:pt idx="4547">
                  <c:v> 12 </c:v>
                </c:pt>
                <c:pt idx="4548">
                  <c:v> 13 </c:v>
                </c:pt>
                <c:pt idx="4549">
                  <c:v> 14 </c:v>
                </c:pt>
                <c:pt idx="4550">
                  <c:v> 15 </c:v>
                </c:pt>
                <c:pt idx="4551">
                  <c:v> 16 </c:v>
                </c:pt>
                <c:pt idx="4552">
                  <c:v> 17 </c:v>
                </c:pt>
                <c:pt idx="4553">
                  <c:v> 18 </c:v>
                </c:pt>
                <c:pt idx="4554">
                  <c:v> 19 </c:v>
                </c:pt>
                <c:pt idx="4555">
                  <c:v> 20 </c:v>
                </c:pt>
                <c:pt idx="4556">
                  <c:v> 21 </c:v>
                </c:pt>
                <c:pt idx="4557">
                  <c:v> 22 </c:v>
                </c:pt>
                <c:pt idx="4558">
                  <c:v> 23 </c:v>
                </c:pt>
                <c:pt idx="4559">
                  <c:v> 24 </c:v>
                </c:pt>
                <c:pt idx="4560">
                  <c:v>10 Jul 2014</c:v>
                </c:pt>
                <c:pt idx="4561">
                  <c:v> 2 </c:v>
                </c:pt>
                <c:pt idx="4562">
                  <c:v> 3 </c:v>
                </c:pt>
                <c:pt idx="4563">
                  <c:v> 4 </c:v>
                </c:pt>
                <c:pt idx="4564">
                  <c:v> 5 </c:v>
                </c:pt>
                <c:pt idx="4565">
                  <c:v> 6 </c:v>
                </c:pt>
                <c:pt idx="4566">
                  <c:v> 7 </c:v>
                </c:pt>
                <c:pt idx="4567">
                  <c:v> 8 </c:v>
                </c:pt>
                <c:pt idx="4568">
                  <c:v> 9 </c:v>
                </c:pt>
                <c:pt idx="4569">
                  <c:v> 10 </c:v>
                </c:pt>
                <c:pt idx="4570">
                  <c:v> 11 </c:v>
                </c:pt>
                <c:pt idx="4571">
                  <c:v> 12 </c:v>
                </c:pt>
                <c:pt idx="4572">
                  <c:v> 13 </c:v>
                </c:pt>
                <c:pt idx="4573">
                  <c:v> 14 </c:v>
                </c:pt>
                <c:pt idx="4574">
                  <c:v> 15 </c:v>
                </c:pt>
                <c:pt idx="4575">
                  <c:v> 16 </c:v>
                </c:pt>
                <c:pt idx="4576">
                  <c:v> 17 </c:v>
                </c:pt>
                <c:pt idx="4577">
                  <c:v> 18 </c:v>
                </c:pt>
                <c:pt idx="4578">
                  <c:v> 19 </c:v>
                </c:pt>
                <c:pt idx="4579">
                  <c:v> 20 </c:v>
                </c:pt>
                <c:pt idx="4580">
                  <c:v> 21 </c:v>
                </c:pt>
                <c:pt idx="4581">
                  <c:v> 22 </c:v>
                </c:pt>
                <c:pt idx="4582">
                  <c:v> 23 </c:v>
                </c:pt>
                <c:pt idx="4583">
                  <c:v> 24 </c:v>
                </c:pt>
                <c:pt idx="4584">
                  <c:v>11 Jul 2014</c:v>
                </c:pt>
                <c:pt idx="4585">
                  <c:v> 2 </c:v>
                </c:pt>
                <c:pt idx="4586">
                  <c:v> 3 </c:v>
                </c:pt>
                <c:pt idx="4587">
                  <c:v> 4 </c:v>
                </c:pt>
                <c:pt idx="4588">
                  <c:v> 5 </c:v>
                </c:pt>
                <c:pt idx="4589">
                  <c:v> 6 </c:v>
                </c:pt>
                <c:pt idx="4590">
                  <c:v> 7 </c:v>
                </c:pt>
                <c:pt idx="4591">
                  <c:v> 8 </c:v>
                </c:pt>
                <c:pt idx="4592">
                  <c:v> 9 </c:v>
                </c:pt>
                <c:pt idx="4593">
                  <c:v> 10 </c:v>
                </c:pt>
                <c:pt idx="4594">
                  <c:v> 11 </c:v>
                </c:pt>
                <c:pt idx="4595">
                  <c:v> 12 </c:v>
                </c:pt>
                <c:pt idx="4596">
                  <c:v> 13 </c:v>
                </c:pt>
                <c:pt idx="4597">
                  <c:v> 14 </c:v>
                </c:pt>
                <c:pt idx="4598">
                  <c:v> 15 </c:v>
                </c:pt>
                <c:pt idx="4599">
                  <c:v> 16 </c:v>
                </c:pt>
                <c:pt idx="4600">
                  <c:v> 17 </c:v>
                </c:pt>
                <c:pt idx="4601">
                  <c:v> 18 </c:v>
                </c:pt>
                <c:pt idx="4602">
                  <c:v> 19 </c:v>
                </c:pt>
                <c:pt idx="4603">
                  <c:v> 20 </c:v>
                </c:pt>
                <c:pt idx="4604">
                  <c:v> 21 </c:v>
                </c:pt>
                <c:pt idx="4605">
                  <c:v> 22 </c:v>
                </c:pt>
                <c:pt idx="4606">
                  <c:v> 23 </c:v>
                </c:pt>
                <c:pt idx="4607">
                  <c:v> 24 </c:v>
                </c:pt>
                <c:pt idx="4608">
                  <c:v>12 Jul 2014</c:v>
                </c:pt>
                <c:pt idx="4609">
                  <c:v> 2 </c:v>
                </c:pt>
                <c:pt idx="4610">
                  <c:v> 3 </c:v>
                </c:pt>
                <c:pt idx="4611">
                  <c:v> 4 </c:v>
                </c:pt>
                <c:pt idx="4612">
                  <c:v> 5 </c:v>
                </c:pt>
                <c:pt idx="4613">
                  <c:v> 6 </c:v>
                </c:pt>
                <c:pt idx="4614">
                  <c:v> 7 </c:v>
                </c:pt>
                <c:pt idx="4615">
                  <c:v> 8 </c:v>
                </c:pt>
                <c:pt idx="4616">
                  <c:v> 9 </c:v>
                </c:pt>
                <c:pt idx="4617">
                  <c:v> 10 </c:v>
                </c:pt>
                <c:pt idx="4618">
                  <c:v> 11 </c:v>
                </c:pt>
                <c:pt idx="4619">
                  <c:v> 12 </c:v>
                </c:pt>
                <c:pt idx="4620">
                  <c:v> 13 </c:v>
                </c:pt>
                <c:pt idx="4621">
                  <c:v> 14 </c:v>
                </c:pt>
                <c:pt idx="4622">
                  <c:v> 15 </c:v>
                </c:pt>
                <c:pt idx="4623">
                  <c:v> 16 </c:v>
                </c:pt>
                <c:pt idx="4624">
                  <c:v> 17 </c:v>
                </c:pt>
                <c:pt idx="4625">
                  <c:v> 18 </c:v>
                </c:pt>
                <c:pt idx="4626">
                  <c:v> 19 </c:v>
                </c:pt>
                <c:pt idx="4627">
                  <c:v> 20 </c:v>
                </c:pt>
                <c:pt idx="4628">
                  <c:v> 21 </c:v>
                </c:pt>
                <c:pt idx="4629">
                  <c:v> 22 </c:v>
                </c:pt>
                <c:pt idx="4630">
                  <c:v> 23 </c:v>
                </c:pt>
                <c:pt idx="4631">
                  <c:v> 24 </c:v>
                </c:pt>
                <c:pt idx="4632">
                  <c:v>13 Jul 2014</c:v>
                </c:pt>
                <c:pt idx="4633">
                  <c:v> 2 </c:v>
                </c:pt>
                <c:pt idx="4634">
                  <c:v> 3 </c:v>
                </c:pt>
                <c:pt idx="4635">
                  <c:v> 4 </c:v>
                </c:pt>
                <c:pt idx="4636">
                  <c:v> 5 </c:v>
                </c:pt>
                <c:pt idx="4637">
                  <c:v> 6 </c:v>
                </c:pt>
                <c:pt idx="4638">
                  <c:v> 7 </c:v>
                </c:pt>
                <c:pt idx="4639">
                  <c:v> 8 </c:v>
                </c:pt>
                <c:pt idx="4640">
                  <c:v> 9 </c:v>
                </c:pt>
                <c:pt idx="4641">
                  <c:v> 10 </c:v>
                </c:pt>
                <c:pt idx="4642">
                  <c:v> 11 </c:v>
                </c:pt>
                <c:pt idx="4643">
                  <c:v> 12 </c:v>
                </c:pt>
                <c:pt idx="4644">
                  <c:v> 13 </c:v>
                </c:pt>
                <c:pt idx="4645">
                  <c:v> 14 </c:v>
                </c:pt>
                <c:pt idx="4646">
                  <c:v> 15 </c:v>
                </c:pt>
                <c:pt idx="4647">
                  <c:v> 16 </c:v>
                </c:pt>
                <c:pt idx="4648">
                  <c:v> 17 </c:v>
                </c:pt>
                <c:pt idx="4649">
                  <c:v> 18 </c:v>
                </c:pt>
                <c:pt idx="4650">
                  <c:v> 19 </c:v>
                </c:pt>
                <c:pt idx="4651">
                  <c:v> 20 </c:v>
                </c:pt>
                <c:pt idx="4652">
                  <c:v> 21 </c:v>
                </c:pt>
                <c:pt idx="4653">
                  <c:v> 22 </c:v>
                </c:pt>
                <c:pt idx="4654">
                  <c:v> 23 </c:v>
                </c:pt>
                <c:pt idx="4655">
                  <c:v> 24 </c:v>
                </c:pt>
                <c:pt idx="4656">
                  <c:v>14 Jul 2014</c:v>
                </c:pt>
                <c:pt idx="4657">
                  <c:v> 2 </c:v>
                </c:pt>
                <c:pt idx="4658">
                  <c:v> 3 </c:v>
                </c:pt>
                <c:pt idx="4659">
                  <c:v> 4 </c:v>
                </c:pt>
                <c:pt idx="4660">
                  <c:v> 5 </c:v>
                </c:pt>
                <c:pt idx="4661">
                  <c:v> 6 </c:v>
                </c:pt>
                <c:pt idx="4662">
                  <c:v> 7 </c:v>
                </c:pt>
                <c:pt idx="4663">
                  <c:v> 8 </c:v>
                </c:pt>
                <c:pt idx="4664">
                  <c:v> 9 </c:v>
                </c:pt>
                <c:pt idx="4665">
                  <c:v> 10 </c:v>
                </c:pt>
                <c:pt idx="4666">
                  <c:v> 11 </c:v>
                </c:pt>
                <c:pt idx="4667">
                  <c:v> 12 </c:v>
                </c:pt>
                <c:pt idx="4668">
                  <c:v> 13 </c:v>
                </c:pt>
                <c:pt idx="4669">
                  <c:v> 14 </c:v>
                </c:pt>
                <c:pt idx="4670">
                  <c:v> 15 </c:v>
                </c:pt>
                <c:pt idx="4671">
                  <c:v> 16 </c:v>
                </c:pt>
                <c:pt idx="4672">
                  <c:v> 17 </c:v>
                </c:pt>
                <c:pt idx="4673">
                  <c:v> 18 </c:v>
                </c:pt>
                <c:pt idx="4674">
                  <c:v> 19 </c:v>
                </c:pt>
                <c:pt idx="4675">
                  <c:v> 20 </c:v>
                </c:pt>
                <c:pt idx="4676">
                  <c:v> 21 </c:v>
                </c:pt>
                <c:pt idx="4677">
                  <c:v> 22 </c:v>
                </c:pt>
                <c:pt idx="4678">
                  <c:v> 23 </c:v>
                </c:pt>
                <c:pt idx="4679">
                  <c:v> 24 </c:v>
                </c:pt>
                <c:pt idx="4680">
                  <c:v>15 Jul 2014</c:v>
                </c:pt>
                <c:pt idx="4681">
                  <c:v> 2 </c:v>
                </c:pt>
                <c:pt idx="4682">
                  <c:v> 3 </c:v>
                </c:pt>
                <c:pt idx="4683">
                  <c:v> 4 </c:v>
                </c:pt>
                <c:pt idx="4684">
                  <c:v> 5 </c:v>
                </c:pt>
                <c:pt idx="4685">
                  <c:v> 6 </c:v>
                </c:pt>
                <c:pt idx="4686">
                  <c:v> 7 </c:v>
                </c:pt>
                <c:pt idx="4687">
                  <c:v> 8 </c:v>
                </c:pt>
                <c:pt idx="4688">
                  <c:v> 9 </c:v>
                </c:pt>
                <c:pt idx="4689">
                  <c:v> 10 </c:v>
                </c:pt>
                <c:pt idx="4690">
                  <c:v> 11 </c:v>
                </c:pt>
                <c:pt idx="4691">
                  <c:v> 12 </c:v>
                </c:pt>
                <c:pt idx="4692">
                  <c:v> 13 </c:v>
                </c:pt>
                <c:pt idx="4693">
                  <c:v> 14 </c:v>
                </c:pt>
                <c:pt idx="4694">
                  <c:v> 15 </c:v>
                </c:pt>
                <c:pt idx="4695">
                  <c:v> 16 </c:v>
                </c:pt>
                <c:pt idx="4696">
                  <c:v> 17 </c:v>
                </c:pt>
                <c:pt idx="4697">
                  <c:v> 18 </c:v>
                </c:pt>
                <c:pt idx="4698">
                  <c:v> 19 </c:v>
                </c:pt>
                <c:pt idx="4699">
                  <c:v> 20 </c:v>
                </c:pt>
                <c:pt idx="4700">
                  <c:v> 21 </c:v>
                </c:pt>
                <c:pt idx="4701">
                  <c:v> 22 </c:v>
                </c:pt>
                <c:pt idx="4702">
                  <c:v> 23 </c:v>
                </c:pt>
                <c:pt idx="4703">
                  <c:v> 24 </c:v>
                </c:pt>
                <c:pt idx="4704">
                  <c:v>16 Jul 2014</c:v>
                </c:pt>
                <c:pt idx="4705">
                  <c:v> 2 </c:v>
                </c:pt>
                <c:pt idx="4706">
                  <c:v> 3 </c:v>
                </c:pt>
                <c:pt idx="4707">
                  <c:v> 4 </c:v>
                </c:pt>
                <c:pt idx="4708">
                  <c:v> 5 </c:v>
                </c:pt>
                <c:pt idx="4709">
                  <c:v> 6 </c:v>
                </c:pt>
                <c:pt idx="4710">
                  <c:v> 7 </c:v>
                </c:pt>
                <c:pt idx="4711">
                  <c:v> 8 </c:v>
                </c:pt>
                <c:pt idx="4712">
                  <c:v> 9 </c:v>
                </c:pt>
                <c:pt idx="4713">
                  <c:v> 10 </c:v>
                </c:pt>
                <c:pt idx="4714">
                  <c:v> 11 </c:v>
                </c:pt>
                <c:pt idx="4715">
                  <c:v> 12 </c:v>
                </c:pt>
                <c:pt idx="4716">
                  <c:v> 13 </c:v>
                </c:pt>
                <c:pt idx="4717">
                  <c:v> 14 </c:v>
                </c:pt>
                <c:pt idx="4718">
                  <c:v> 15 </c:v>
                </c:pt>
                <c:pt idx="4719">
                  <c:v> 16 </c:v>
                </c:pt>
                <c:pt idx="4720">
                  <c:v> 17 </c:v>
                </c:pt>
                <c:pt idx="4721">
                  <c:v> 18 </c:v>
                </c:pt>
                <c:pt idx="4722">
                  <c:v> 19 </c:v>
                </c:pt>
                <c:pt idx="4723">
                  <c:v> 20 </c:v>
                </c:pt>
                <c:pt idx="4724">
                  <c:v> 21 </c:v>
                </c:pt>
                <c:pt idx="4725">
                  <c:v> 22 </c:v>
                </c:pt>
                <c:pt idx="4726">
                  <c:v> 23 </c:v>
                </c:pt>
                <c:pt idx="4727">
                  <c:v> 24 </c:v>
                </c:pt>
                <c:pt idx="4728">
                  <c:v>17 Jul 2014</c:v>
                </c:pt>
                <c:pt idx="4729">
                  <c:v> 2 </c:v>
                </c:pt>
                <c:pt idx="4730">
                  <c:v> 3 </c:v>
                </c:pt>
                <c:pt idx="4731">
                  <c:v> 4 </c:v>
                </c:pt>
                <c:pt idx="4732">
                  <c:v> 5 </c:v>
                </c:pt>
                <c:pt idx="4733">
                  <c:v> 6 </c:v>
                </c:pt>
                <c:pt idx="4734">
                  <c:v> 7 </c:v>
                </c:pt>
                <c:pt idx="4735">
                  <c:v> 8 </c:v>
                </c:pt>
                <c:pt idx="4736">
                  <c:v> 9 </c:v>
                </c:pt>
                <c:pt idx="4737">
                  <c:v> 10 </c:v>
                </c:pt>
                <c:pt idx="4738">
                  <c:v> 11 </c:v>
                </c:pt>
                <c:pt idx="4739">
                  <c:v> 12 </c:v>
                </c:pt>
                <c:pt idx="4740">
                  <c:v> 13 </c:v>
                </c:pt>
                <c:pt idx="4741">
                  <c:v> 14 </c:v>
                </c:pt>
                <c:pt idx="4742">
                  <c:v> 15 </c:v>
                </c:pt>
                <c:pt idx="4743">
                  <c:v> 16 </c:v>
                </c:pt>
                <c:pt idx="4744">
                  <c:v> 17 </c:v>
                </c:pt>
                <c:pt idx="4745">
                  <c:v> 18 </c:v>
                </c:pt>
                <c:pt idx="4746">
                  <c:v> 19 </c:v>
                </c:pt>
                <c:pt idx="4747">
                  <c:v> 20 </c:v>
                </c:pt>
                <c:pt idx="4748">
                  <c:v> 21 </c:v>
                </c:pt>
                <c:pt idx="4749">
                  <c:v> 22 </c:v>
                </c:pt>
                <c:pt idx="4750">
                  <c:v> 23 </c:v>
                </c:pt>
                <c:pt idx="4751">
                  <c:v> 24 </c:v>
                </c:pt>
                <c:pt idx="4752">
                  <c:v>18 Jul 2014</c:v>
                </c:pt>
                <c:pt idx="4753">
                  <c:v> 2 </c:v>
                </c:pt>
                <c:pt idx="4754">
                  <c:v> 3 </c:v>
                </c:pt>
                <c:pt idx="4755">
                  <c:v> 4 </c:v>
                </c:pt>
                <c:pt idx="4756">
                  <c:v> 5 </c:v>
                </c:pt>
                <c:pt idx="4757">
                  <c:v> 6 </c:v>
                </c:pt>
                <c:pt idx="4758">
                  <c:v> 7 </c:v>
                </c:pt>
                <c:pt idx="4759">
                  <c:v> 8 </c:v>
                </c:pt>
                <c:pt idx="4760">
                  <c:v> 9 </c:v>
                </c:pt>
                <c:pt idx="4761">
                  <c:v> 10 </c:v>
                </c:pt>
                <c:pt idx="4762">
                  <c:v> 11 </c:v>
                </c:pt>
                <c:pt idx="4763">
                  <c:v> 12 </c:v>
                </c:pt>
                <c:pt idx="4764">
                  <c:v> 13 </c:v>
                </c:pt>
                <c:pt idx="4765">
                  <c:v> 14 </c:v>
                </c:pt>
                <c:pt idx="4766">
                  <c:v> 15 </c:v>
                </c:pt>
                <c:pt idx="4767">
                  <c:v> 16 </c:v>
                </c:pt>
                <c:pt idx="4768">
                  <c:v> 17 </c:v>
                </c:pt>
                <c:pt idx="4769">
                  <c:v> 18 </c:v>
                </c:pt>
                <c:pt idx="4770">
                  <c:v> 19 </c:v>
                </c:pt>
                <c:pt idx="4771">
                  <c:v> 20 </c:v>
                </c:pt>
                <c:pt idx="4772">
                  <c:v> 21 </c:v>
                </c:pt>
                <c:pt idx="4773">
                  <c:v> 22 </c:v>
                </c:pt>
                <c:pt idx="4774">
                  <c:v> 23 </c:v>
                </c:pt>
                <c:pt idx="4775">
                  <c:v> 24 </c:v>
                </c:pt>
                <c:pt idx="4776">
                  <c:v>19 Jul 2014</c:v>
                </c:pt>
                <c:pt idx="4777">
                  <c:v> 2 </c:v>
                </c:pt>
                <c:pt idx="4778">
                  <c:v> 3 </c:v>
                </c:pt>
                <c:pt idx="4779">
                  <c:v> 4 </c:v>
                </c:pt>
                <c:pt idx="4780">
                  <c:v> 5 </c:v>
                </c:pt>
                <c:pt idx="4781">
                  <c:v> 6 </c:v>
                </c:pt>
                <c:pt idx="4782">
                  <c:v> 7 </c:v>
                </c:pt>
                <c:pt idx="4783">
                  <c:v> 8 </c:v>
                </c:pt>
                <c:pt idx="4784">
                  <c:v> 9 </c:v>
                </c:pt>
                <c:pt idx="4785">
                  <c:v> 10 </c:v>
                </c:pt>
                <c:pt idx="4786">
                  <c:v> 11 </c:v>
                </c:pt>
                <c:pt idx="4787">
                  <c:v> 12 </c:v>
                </c:pt>
                <c:pt idx="4788">
                  <c:v> 13 </c:v>
                </c:pt>
                <c:pt idx="4789">
                  <c:v> 14 </c:v>
                </c:pt>
                <c:pt idx="4790">
                  <c:v> 15 </c:v>
                </c:pt>
                <c:pt idx="4791">
                  <c:v> 16 </c:v>
                </c:pt>
                <c:pt idx="4792">
                  <c:v> 17 </c:v>
                </c:pt>
                <c:pt idx="4793">
                  <c:v> 18 </c:v>
                </c:pt>
                <c:pt idx="4794">
                  <c:v> 19 </c:v>
                </c:pt>
                <c:pt idx="4795">
                  <c:v> 20 </c:v>
                </c:pt>
                <c:pt idx="4796">
                  <c:v> 21 </c:v>
                </c:pt>
                <c:pt idx="4797">
                  <c:v> 22 </c:v>
                </c:pt>
                <c:pt idx="4798">
                  <c:v> 23 </c:v>
                </c:pt>
                <c:pt idx="4799">
                  <c:v> 24 </c:v>
                </c:pt>
                <c:pt idx="4800">
                  <c:v>20 Jul 2014</c:v>
                </c:pt>
                <c:pt idx="4801">
                  <c:v> 2 </c:v>
                </c:pt>
                <c:pt idx="4802">
                  <c:v> 3 </c:v>
                </c:pt>
                <c:pt idx="4803">
                  <c:v> 4 </c:v>
                </c:pt>
                <c:pt idx="4804">
                  <c:v> 5 </c:v>
                </c:pt>
                <c:pt idx="4805">
                  <c:v> 6 </c:v>
                </c:pt>
                <c:pt idx="4806">
                  <c:v> 7 </c:v>
                </c:pt>
                <c:pt idx="4807">
                  <c:v> 8 </c:v>
                </c:pt>
                <c:pt idx="4808">
                  <c:v> 9 </c:v>
                </c:pt>
                <c:pt idx="4809">
                  <c:v> 10 </c:v>
                </c:pt>
                <c:pt idx="4810">
                  <c:v> 11 </c:v>
                </c:pt>
                <c:pt idx="4811">
                  <c:v> 12 </c:v>
                </c:pt>
                <c:pt idx="4812">
                  <c:v> 13 </c:v>
                </c:pt>
                <c:pt idx="4813">
                  <c:v> 14 </c:v>
                </c:pt>
                <c:pt idx="4814">
                  <c:v> 15 </c:v>
                </c:pt>
                <c:pt idx="4815">
                  <c:v> 16 </c:v>
                </c:pt>
                <c:pt idx="4816">
                  <c:v> 17 </c:v>
                </c:pt>
                <c:pt idx="4817">
                  <c:v> 18 </c:v>
                </c:pt>
                <c:pt idx="4818">
                  <c:v> 19 </c:v>
                </c:pt>
                <c:pt idx="4819">
                  <c:v> 20 </c:v>
                </c:pt>
                <c:pt idx="4820">
                  <c:v> 21 </c:v>
                </c:pt>
                <c:pt idx="4821">
                  <c:v> 22 </c:v>
                </c:pt>
                <c:pt idx="4822">
                  <c:v> 23 </c:v>
                </c:pt>
                <c:pt idx="4823">
                  <c:v> 24 </c:v>
                </c:pt>
                <c:pt idx="4824">
                  <c:v>21 Jul 2014</c:v>
                </c:pt>
                <c:pt idx="4825">
                  <c:v> 2 </c:v>
                </c:pt>
                <c:pt idx="4826">
                  <c:v> 3 </c:v>
                </c:pt>
                <c:pt idx="4827">
                  <c:v> 4 </c:v>
                </c:pt>
                <c:pt idx="4828">
                  <c:v> 5 </c:v>
                </c:pt>
                <c:pt idx="4829">
                  <c:v> 6 </c:v>
                </c:pt>
                <c:pt idx="4830">
                  <c:v> 7 </c:v>
                </c:pt>
                <c:pt idx="4831">
                  <c:v> 8 </c:v>
                </c:pt>
                <c:pt idx="4832">
                  <c:v> 9 </c:v>
                </c:pt>
                <c:pt idx="4833">
                  <c:v> 10 </c:v>
                </c:pt>
                <c:pt idx="4834">
                  <c:v> 11 </c:v>
                </c:pt>
                <c:pt idx="4835">
                  <c:v> 12 </c:v>
                </c:pt>
                <c:pt idx="4836">
                  <c:v> 13 </c:v>
                </c:pt>
                <c:pt idx="4837">
                  <c:v> 14 </c:v>
                </c:pt>
                <c:pt idx="4838">
                  <c:v> 15 </c:v>
                </c:pt>
                <c:pt idx="4839">
                  <c:v> 16 </c:v>
                </c:pt>
                <c:pt idx="4840">
                  <c:v> 17 </c:v>
                </c:pt>
                <c:pt idx="4841">
                  <c:v> 18 </c:v>
                </c:pt>
                <c:pt idx="4842">
                  <c:v> 19 </c:v>
                </c:pt>
                <c:pt idx="4843">
                  <c:v> 20 </c:v>
                </c:pt>
                <c:pt idx="4844">
                  <c:v> 21 </c:v>
                </c:pt>
                <c:pt idx="4845">
                  <c:v> 22 </c:v>
                </c:pt>
                <c:pt idx="4846">
                  <c:v> 23 </c:v>
                </c:pt>
                <c:pt idx="4847">
                  <c:v> 24 </c:v>
                </c:pt>
                <c:pt idx="4848">
                  <c:v>22 Jul 2014</c:v>
                </c:pt>
                <c:pt idx="4849">
                  <c:v> 2 </c:v>
                </c:pt>
                <c:pt idx="4850">
                  <c:v> 3 </c:v>
                </c:pt>
                <c:pt idx="4851">
                  <c:v> 4 </c:v>
                </c:pt>
                <c:pt idx="4852">
                  <c:v> 5 </c:v>
                </c:pt>
                <c:pt idx="4853">
                  <c:v> 6 </c:v>
                </c:pt>
                <c:pt idx="4854">
                  <c:v> 7 </c:v>
                </c:pt>
                <c:pt idx="4855">
                  <c:v> 8 </c:v>
                </c:pt>
                <c:pt idx="4856">
                  <c:v> 9 </c:v>
                </c:pt>
                <c:pt idx="4857">
                  <c:v> 10 </c:v>
                </c:pt>
                <c:pt idx="4858">
                  <c:v> 11 </c:v>
                </c:pt>
                <c:pt idx="4859">
                  <c:v> 12 </c:v>
                </c:pt>
                <c:pt idx="4860">
                  <c:v> 13 </c:v>
                </c:pt>
                <c:pt idx="4861">
                  <c:v> 14 </c:v>
                </c:pt>
                <c:pt idx="4862">
                  <c:v> 15 </c:v>
                </c:pt>
                <c:pt idx="4863">
                  <c:v> 16 </c:v>
                </c:pt>
                <c:pt idx="4864">
                  <c:v> 17 </c:v>
                </c:pt>
                <c:pt idx="4865">
                  <c:v> 18 </c:v>
                </c:pt>
                <c:pt idx="4866">
                  <c:v> 19 </c:v>
                </c:pt>
                <c:pt idx="4867">
                  <c:v> 20 </c:v>
                </c:pt>
                <c:pt idx="4868">
                  <c:v> 21 </c:v>
                </c:pt>
                <c:pt idx="4869">
                  <c:v> 22 </c:v>
                </c:pt>
                <c:pt idx="4870">
                  <c:v> 23 </c:v>
                </c:pt>
                <c:pt idx="4871">
                  <c:v> 24 </c:v>
                </c:pt>
                <c:pt idx="4872">
                  <c:v>23 Jul 2014</c:v>
                </c:pt>
                <c:pt idx="4873">
                  <c:v> 2 </c:v>
                </c:pt>
                <c:pt idx="4874">
                  <c:v> 3 </c:v>
                </c:pt>
                <c:pt idx="4875">
                  <c:v> 4 </c:v>
                </c:pt>
                <c:pt idx="4876">
                  <c:v> 5 </c:v>
                </c:pt>
                <c:pt idx="4877">
                  <c:v> 6 </c:v>
                </c:pt>
                <c:pt idx="4878">
                  <c:v> 7 </c:v>
                </c:pt>
                <c:pt idx="4879">
                  <c:v> 8 </c:v>
                </c:pt>
                <c:pt idx="4880">
                  <c:v> 9 </c:v>
                </c:pt>
                <c:pt idx="4881">
                  <c:v> 10 </c:v>
                </c:pt>
                <c:pt idx="4882">
                  <c:v> 11 </c:v>
                </c:pt>
                <c:pt idx="4883">
                  <c:v> 12 </c:v>
                </c:pt>
                <c:pt idx="4884">
                  <c:v> 13 </c:v>
                </c:pt>
                <c:pt idx="4885">
                  <c:v> 14 </c:v>
                </c:pt>
                <c:pt idx="4886">
                  <c:v> 15 </c:v>
                </c:pt>
                <c:pt idx="4887">
                  <c:v> 16 </c:v>
                </c:pt>
                <c:pt idx="4888">
                  <c:v> 17 </c:v>
                </c:pt>
                <c:pt idx="4889">
                  <c:v> 18 </c:v>
                </c:pt>
                <c:pt idx="4890">
                  <c:v> 19 </c:v>
                </c:pt>
                <c:pt idx="4891">
                  <c:v> 20 </c:v>
                </c:pt>
                <c:pt idx="4892">
                  <c:v> 21 </c:v>
                </c:pt>
                <c:pt idx="4893">
                  <c:v> 22 </c:v>
                </c:pt>
                <c:pt idx="4894">
                  <c:v> 23 </c:v>
                </c:pt>
                <c:pt idx="4895">
                  <c:v> 24 </c:v>
                </c:pt>
                <c:pt idx="4896">
                  <c:v>24 Jul 2014</c:v>
                </c:pt>
                <c:pt idx="4897">
                  <c:v> 2 </c:v>
                </c:pt>
                <c:pt idx="4898">
                  <c:v> 3 </c:v>
                </c:pt>
                <c:pt idx="4899">
                  <c:v> 4 </c:v>
                </c:pt>
                <c:pt idx="4900">
                  <c:v> 5 </c:v>
                </c:pt>
                <c:pt idx="4901">
                  <c:v> 6 </c:v>
                </c:pt>
                <c:pt idx="4902">
                  <c:v> 7 </c:v>
                </c:pt>
                <c:pt idx="4903">
                  <c:v> 8 </c:v>
                </c:pt>
                <c:pt idx="4904">
                  <c:v> 9 </c:v>
                </c:pt>
                <c:pt idx="4905">
                  <c:v> 10 </c:v>
                </c:pt>
                <c:pt idx="4906">
                  <c:v> 11 </c:v>
                </c:pt>
                <c:pt idx="4907">
                  <c:v> 12 </c:v>
                </c:pt>
                <c:pt idx="4908">
                  <c:v> 13 </c:v>
                </c:pt>
                <c:pt idx="4909">
                  <c:v> 14 </c:v>
                </c:pt>
                <c:pt idx="4910">
                  <c:v> 15 </c:v>
                </c:pt>
                <c:pt idx="4911">
                  <c:v> 16 </c:v>
                </c:pt>
                <c:pt idx="4912">
                  <c:v> 17 </c:v>
                </c:pt>
                <c:pt idx="4913">
                  <c:v> 18 </c:v>
                </c:pt>
                <c:pt idx="4914">
                  <c:v> 19 </c:v>
                </c:pt>
                <c:pt idx="4915">
                  <c:v> 20 </c:v>
                </c:pt>
                <c:pt idx="4916">
                  <c:v> 21 </c:v>
                </c:pt>
                <c:pt idx="4917">
                  <c:v> 22 </c:v>
                </c:pt>
                <c:pt idx="4918">
                  <c:v> 23 </c:v>
                </c:pt>
                <c:pt idx="4919">
                  <c:v> 24 </c:v>
                </c:pt>
                <c:pt idx="4920">
                  <c:v>25 Jul 2014</c:v>
                </c:pt>
                <c:pt idx="4921">
                  <c:v> 2 </c:v>
                </c:pt>
                <c:pt idx="4922">
                  <c:v> 3 </c:v>
                </c:pt>
                <c:pt idx="4923">
                  <c:v> 4 </c:v>
                </c:pt>
                <c:pt idx="4924">
                  <c:v> 5 </c:v>
                </c:pt>
                <c:pt idx="4925">
                  <c:v> 6 </c:v>
                </c:pt>
                <c:pt idx="4926">
                  <c:v> 7 </c:v>
                </c:pt>
                <c:pt idx="4927">
                  <c:v> 8 </c:v>
                </c:pt>
                <c:pt idx="4928">
                  <c:v> 9 </c:v>
                </c:pt>
                <c:pt idx="4929">
                  <c:v> 10 </c:v>
                </c:pt>
                <c:pt idx="4930">
                  <c:v> 11 </c:v>
                </c:pt>
                <c:pt idx="4931">
                  <c:v> 12 </c:v>
                </c:pt>
                <c:pt idx="4932">
                  <c:v> 13 </c:v>
                </c:pt>
                <c:pt idx="4933">
                  <c:v> 14 </c:v>
                </c:pt>
                <c:pt idx="4934">
                  <c:v> 15 </c:v>
                </c:pt>
                <c:pt idx="4935">
                  <c:v> 16 </c:v>
                </c:pt>
                <c:pt idx="4936">
                  <c:v> 17 </c:v>
                </c:pt>
                <c:pt idx="4937">
                  <c:v> 18 </c:v>
                </c:pt>
                <c:pt idx="4938">
                  <c:v> 19 </c:v>
                </c:pt>
                <c:pt idx="4939">
                  <c:v> 20 </c:v>
                </c:pt>
                <c:pt idx="4940">
                  <c:v> 21 </c:v>
                </c:pt>
                <c:pt idx="4941">
                  <c:v> 22 </c:v>
                </c:pt>
                <c:pt idx="4942">
                  <c:v> 23 </c:v>
                </c:pt>
                <c:pt idx="4943">
                  <c:v> 24 </c:v>
                </c:pt>
                <c:pt idx="4944">
                  <c:v>26 Jul 2014</c:v>
                </c:pt>
                <c:pt idx="4945">
                  <c:v> 2 </c:v>
                </c:pt>
                <c:pt idx="4946">
                  <c:v> 3 </c:v>
                </c:pt>
                <c:pt idx="4947">
                  <c:v> 4 </c:v>
                </c:pt>
                <c:pt idx="4948">
                  <c:v> 5 </c:v>
                </c:pt>
                <c:pt idx="4949">
                  <c:v> 6 </c:v>
                </c:pt>
                <c:pt idx="4950">
                  <c:v> 7 </c:v>
                </c:pt>
                <c:pt idx="4951">
                  <c:v> 8 </c:v>
                </c:pt>
                <c:pt idx="4952">
                  <c:v> 9 </c:v>
                </c:pt>
                <c:pt idx="4953">
                  <c:v> 10 </c:v>
                </c:pt>
                <c:pt idx="4954">
                  <c:v> 11 </c:v>
                </c:pt>
                <c:pt idx="4955">
                  <c:v> 12 </c:v>
                </c:pt>
                <c:pt idx="4956">
                  <c:v> 13 </c:v>
                </c:pt>
                <c:pt idx="4957">
                  <c:v> 14 </c:v>
                </c:pt>
                <c:pt idx="4958">
                  <c:v> 15 </c:v>
                </c:pt>
                <c:pt idx="4959">
                  <c:v> 16 </c:v>
                </c:pt>
                <c:pt idx="4960">
                  <c:v> 17 </c:v>
                </c:pt>
                <c:pt idx="4961">
                  <c:v> 18 </c:v>
                </c:pt>
                <c:pt idx="4962">
                  <c:v> 19 </c:v>
                </c:pt>
                <c:pt idx="4963">
                  <c:v> 20 </c:v>
                </c:pt>
                <c:pt idx="4964">
                  <c:v> 21 </c:v>
                </c:pt>
                <c:pt idx="4965">
                  <c:v> 22 </c:v>
                </c:pt>
                <c:pt idx="4966">
                  <c:v> 23 </c:v>
                </c:pt>
                <c:pt idx="4967">
                  <c:v> 24 </c:v>
                </c:pt>
                <c:pt idx="4968">
                  <c:v>27 Jul 2014</c:v>
                </c:pt>
                <c:pt idx="4969">
                  <c:v> 2 </c:v>
                </c:pt>
                <c:pt idx="4970">
                  <c:v> 3 </c:v>
                </c:pt>
                <c:pt idx="4971">
                  <c:v> 4 </c:v>
                </c:pt>
                <c:pt idx="4972">
                  <c:v> 5 </c:v>
                </c:pt>
                <c:pt idx="4973">
                  <c:v> 6 </c:v>
                </c:pt>
                <c:pt idx="4974">
                  <c:v> 7 </c:v>
                </c:pt>
                <c:pt idx="4975">
                  <c:v> 8 </c:v>
                </c:pt>
                <c:pt idx="4976">
                  <c:v> 9 </c:v>
                </c:pt>
                <c:pt idx="4977">
                  <c:v> 10 </c:v>
                </c:pt>
                <c:pt idx="4978">
                  <c:v> 11 </c:v>
                </c:pt>
                <c:pt idx="4979">
                  <c:v> 12 </c:v>
                </c:pt>
                <c:pt idx="4980">
                  <c:v> 13 </c:v>
                </c:pt>
                <c:pt idx="4981">
                  <c:v> 14 </c:v>
                </c:pt>
                <c:pt idx="4982">
                  <c:v> 15 </c:v>
                </c:pt>
                <c:pt idx="4983">
                  <c:v> 16 </c:v>
                </c:pt>
                <c:pt idx="4984">
                  <c:v> 17 </c:v>
                </c:pt>
                <c:pt idx="4985">
                  <c:v> 18 </c:v>
                </c:pt>
                <c:pt idx="4986">
                  <c:v> 19 </c:v>
                </c:pt>
                <c:pt idx="4987">
                  <c:v> 20 </c:v>
                </c:pt>
                <c:pt idx="4988">
                  <c:v> 21 </c:v>
                </c:pt>
                <c:pt idx="4989">
                  <c:v> 22 </c:v>
                </c:pt>
                <c:pt idx="4990">
                  <c:v> 23 </c:v>
                </c:pt>
                <c:pt idx="4991">
                  <c:v> 24 </c:v>
                </c:pt>
                <c:pt idx="4992">
                  <c:v>28 Jul 2014</c:v>
                </c:pt>
                <c:pt idx="4993">
                  <c:v> 2 </c:v>
                </c:pt>
                <c:pt idx="4994">
                  <c:v> 3 </c:v>
                </c:pt>
                <c:pt idx="4995">
                  <c:v> 4 </c:v>
                </c:pt>
                <c:pt idx="4996">
                  <c:v> 5 </c:v>
                </c:pt>
                <c:pt idx="4997">
                  <c:v> 6 </c:v>
                </c:pt>
                <c:pt idx="4998">
                  <c:v> 7 </c:v>
                </c:pt>
                <c:pt idx="4999">
                  <c:v> 8 </c:v>
                </c:pt>
                <c:pt idx="5000">
                  <c:v> 9 </c:v>
                </c:pt>
                <c:pt idx="5001">
                  <c:v> 10 </c:v>
                </c:pt>
                <c:pt idx="5002">
                  <c:v> 11 </c:v>
                </c:pt>
                <c:pt idx="5003">
                  <c:v> 12 </c:v>
                </c:pt>
                <c:pt idx="5004">
                  <c:v> 13 </c:v>
                </c:pt>
                <c:pt idx="5005">
                  <c:v> 14 </c:v>
                </c:pt>
                <c:pt idx="5006">
                  <c:v> 15 </c:v>
                </c:pt>
                <c:pt idx="5007">
                  <c:v> 16 </c:v>
                </c:pt>
                <c:pt idx="5008">
                  <c:v> 17 </c:v>
                </c:pt>
                <c:pt idx="5009">
                  <c:v> 18 </c:v>
                </c:pt>
                <c:pt idx="5010">
                  <c:v> 19 </c:v>
                </c:pt>
                <c:pt idx="5011">
                  <c:v> 20 </c:v>
                </c:pt>
                <c:pt idx="5012">
                  <c:v> 21 </c:v>
                </c:pt>
                <c:pt idx="5013">
                  <c:v> 22 </c:v>
                </c:pt>
                <c:pt idx="5014">
                  <c:v> 23 </c:v>
                </c:pt>
                <c:pt idx="5015">
                  <c:v> 24 </c:v>
                </c:pt>
                <c:pt idx="5016">
                  <c:v>29 Jul 2014</c:v>
                </c:pt>
                <c:pt idx="5017">
                  <c:v> 2 </c:v>
                </c:pt>
                <c:pt idx="5018">
                  <c:v> 3 </c:v>
                </c:pt>
                <c:pt idx="5019">
                  <c:v> 4 </c:v>
                </c:pt>
                <c:pt idx="5020">
                  <c:v> 5 </c:v>
                </c:pt>
                <c:pt idx="5021">
                  <c:v> 6 </c:v>
                </c:pt>
                <c:pt idx="5022">
                  <c:v> 7 </c:v>
                </c:pt>
                <c:pt idx="5023">
                  <c:v> 8 </c:v>
                </c:pt>
                <c:pt idx="5024">
                  <c:v> 9 </c:v>
                </c:pt>
                <c:pt idx="5025">
                  <c:v> 10 </c:v>
                </c:pt>
                <c:pt idx="5026">
                  <c:v> 11 </c:v>
                </c:pt>
                <c:pt idx="5027">
                  <c:v> 12 </c:v>
                </c:pt>
                <c:pt idx="5028">
                  <c:v> 13 </c:v>
                </c:pt>
                <c:pt idx="5029">
                  <c:v> 14 </c:v>
                </c:pt>
                <c:pt idx="5030">
                  <c:v> 15 </c:v>
                </c:pt>
                <c:pt idx="5031">
                  <c:v> 16 </c:v>
                </c:pt>
                <c:pt idx="5032">
                  <c:v> 17 </c:v>
                </c:pt>
                <c:pt idx="5033">
                  <c:v> 18 </c:v>
                </c:pt>
                <c:pt idx="5034">
                  <c:v> 19 </c:v>
                </c:pt>
                <c:pt idx="5035">
                  <c:v> 20 </c:v>
                </c:pt>
                <c:pt idx="5036">
                  <c:v> 21 </c:v>
                </c:pt>
                <c:pt idx="5037">
                  <c:v> 22 </c:v>
                </c:pt>
                <c:pt idx="5038">
                  <c:v> 23 </c:v>
                </c:pt>
                <c:pt idx="5039">
                  <c:v> 24 </c:v>
                </c:pt>
                <c:pt idx="5040">
                  <c:v>30 Jul 2014</c:v>
                </c:pt>
                <c:pt idx="5041">
                  <c:v> 2 </c:v>
                </c:pt>
                <c:pt idx="5042">
                  <c:v> 3 </c:v>
                </c:pt>
                <c:pt idx="5043">
                  <c:v> 4 </c:v>
                </c:pt>
                <c:pt idx="5044">
                  <c:v> 5 </c:v>
                </c:pt>
                <c:pt idx="5045">
                  <c:v> 6 </c:v>
                </c:pt>
                <c:pt idx="5046">
                  <c:v> 7 </c:v>
                </c:pt>
                <c:pt idx="5047">
                  <c:v> 8 </c:v>
                </c:pt>
                <c:pt idx="5048">
                  <c:v> 9 </c:v>
                </c:pt>
                <c:pt idx="5049">
                  <c:v> 10 </c:v>
                </c:pt>
                <c:pt idx="5050">
                  <c:v> 11 </c:v>
                </c:pt>
                <c:pt idx="5051">
                  <c:v> 12 </c:v>
                </c:pt>
                <c:pt idx="5052">
                  <c:v> 13 </c:v>
                </c:pt>
                <c:pt idx="5053">
                  <c:v> 14 </c:v>
                </c:pt>
                <c:pt idx="5054">
                  <c:v> 15 </c:v>
                </c:pt>
                <c:pt idx="5055">
                  <c:v> 16 </c:v>
                </c:pt>
                <c:pt idx="5056">
                  <c:v> 17 </c:v>
                </c:pt>
                <c:pt idx="5057">
                  <c:v> 18 </c:v>
                </c:pt>
                <c:pt idx="5058">
                  <c:v> 19 </c:v>
                </c:pt>
                <c:pt idx="5059">
                  <c:v> 20 </c:v>
                </c:pt>
                <c:pt idx="5060">
                  <c:v> 21 </c:v>
                </c:pt>
                <c:pt idx="5061">
                  <c:v> 22 </c:v>
                </c:pt>
                <c:pt idx="5062">
                  <c:v> 23 </c:v>
                </c:pt>
                <c:pt idx="5063">
                  <c:v> 24 </c:v>
                </c:pt>
                <c:pt idx="5064">
                  <c:v>31 Jul 2014</c:v>
                </c:pt>
                <c:pt idx="5065">
                  <c:v> 2 </c:v>
                </c:pt>
                <c:pt idx="5066">
                  <c:v> 3 </c:v>
                </c:pt>
                <c:pt idx="5067">
                  <c:v> 4 </c:v>
                </c:pt>
                <c:pt idx="5068">
                  <c:v> 5 </c:v>
                </c:pt>
                <c:pt idx="5069">
                  <c:v> 6 </c:v>
                </c:pt>
                <c:pt idx="5070">
                  <c:v> 7 </c:v>
                </c:pt>
                <c:pt idx="5071">
                  <c:v> 8 </c:v>
                </c:pt>
                <c:pt idx="5072">
                  <c:v> 9 </c:v>
                </c:pt>
                <c:pt idx="5073">
                  <c:v> 10 </c:v>
                </c:pt>
                <c:pt idx="5074">
                  <c:v> 11 </c:v>
                </c:pt>
                <c:pt idx="5075">
                  <c:v> 12 </c:v>
                </c:pt>
                <c:pt idx="5076">
                  <c:v> 13 </c:v>
                </c:pt>
                <c:pt idx="5077">
                  <c:v> 14 </c:v>
                </c:pt>
                <c:pt idx="5078">
                  <c:v> 15 </c:v>
                </c:pt>
                <c:pt idx="5079">
                  <c:v> 16 </c:v>
                </c:pt>
                <c:pt idx="5080">
                  <c:v> 17 </c:v>
                </c:pt>
                <c:pt idx="5081">
                  <c:v> 18 </c:v>
                </c:pt>
                <c:pt idx="5082">
                  <c:v> 19 </c:v>
                </c:pt>
                <c:pt idx="5083">
                  <c:v> 20 </c:v>
                </c:pt>
                <c:pt idx="5084">
                  <c:v> 21 </c:v>
                </c:pt>
                <c:pt idx="5085">
                  <c:v> 22 </c:v>
                </c:pt>
                <c:pt idx="5086">
                  <c:v> 23 </c:v>
                </c:pt>
                <c:pt idx="5087">
                  <c:v> 24 </c:v>
                </c:pt>
                <c:pt idx="5088">
                  <c:v>01 Aug 2014</c:v>
                </c:pt>
                <c:pt idx="5089">
                  <c:v> 2 </c:v>
                </c:pt>
                <c:pt idx="5090">
                  <c:v> 3 </c:v>
                </c:pt>
                <c:pt idx="5091">
                  <c:v> 4 </c:v>
                </c:pt>
                <c:pt idx="5092">
                  <c:v> 5 </c:v>
                </c:pt>
                <c:pt idx="5093">
                  <c:v> 6 </c:v>
                </c:pt>
                <c:pt idx="5094">
                  <c:v> 7 </c:v>
                </c:pt>
                <c:pt idx="5095">
                  <c:v> 8 </c:v>
                </c:pt>
                <c:pt idx="5096">
                  <c:v> 9 </c:v>
                </c:pt>
                <c:pt idx="5097">
                  <c:v> 10 </c:v>
                </c:pt>
                <c:pt idx="5098">
                  <c:v> 11 </c:v>
                </c:pt>
                <c:pt idx="5099">
                  <c:v> 12 </c:v>
                </c:pt>
                <c:pt idx="5100">
                  <c:v> 13 </c:v>
                </c:pt>
                <c:pt idx="5101">
                  <c:v> 14 </c:v>
                </c:pt>
                <c:pt idx="5102">
                  <c:v> 15 </c:v>
                </c:pt>
                <c:pt idx="5103">
                  <c:v> 16 </c:v>
                </c:pt>
                <c:pt idx="5104">
                  <c:v> 17 </c:v>
                </c:pt>
                <c:pt idx="5105">
                  <c:v> 18 </c:v>
                </c:pt>
                <c:pt idx="5106">
                  <c:v> 19 </c:v>
                </c:pt>
                <c:pt idx="5107">
                  <c:v> 20 </c:v>
                </c:pt>
                <c:pt idx="5108">
                  <c:v> 21 </c:v>
                </c:pt>
                <c:pt idx="5109">
                  <c:v> 22 </c:v>
                </c:pt>
                <c:pt idx="5110">
                  <c:v> 23 </c:v>
                </c:pt>
                <c:pt idx="5111">
                  <c:v> 24 </c:v>
                </c:pt>
                <c:pt idx="5112">
                  <c:v>02 Aug 2014</c:v>
                </c:pt>
                <c:pt idx="5113">
                  <c:v> 2 </c:v>
                </c:pt>
                <c:pt idx="5114">
                  <c:v> 3 </c:v>
                </c:pt>
                <c:pt idx="5115">
                  <c:v> 4 </c:v>
                </c:pt>
                <c:pt idx="5116">
                  <c:v> 5 </c:v>
                </c:pt>
                <c:pt idx="5117">
                  <c:v> 6 </c:v>
                </c:pt>
                <c:pt idx="5118">
                  <c:v> 7 </c:v>
                </c:pt>
                <c:pt idx="5119">
                  <c:v> 8 </c:v>
                </c:pt>
                <c:pt idx="5120">
                  <c:v> 9 </c:v>
                </c:pt>
                <c:pt idx="5121">
                  <c:v> 10 </c:v>
                </c:pt>
                <c:pt idx="5122">
                  <c:v> 11 </c:v>
                </c:pt>
                <c:pt idx="5123">
                  <c:v> 12 </c:v>
                </c:pt>
                <c:pt idx="5124">
                  <c:v> 13 </c:v>
                </c:pt>
                <c:pt idx="5125">
                  <c:v> 14 </c:v>
                </c:pt>
                <c:pt idx="5126">
                  <c:v> 15 </c:v>
                </c:pt>
                <c:pt idx="5127">
                  <c:v> 16 </c:v>
                </c:pt>
                <c:pt idx="5128">
                  <c:v> 17 </c:v>
                </c:pt>
                <c:pt idx="5129">
                  <c:v> 18 </c:v>
                </c:pt>
                <c:pt idx="5130">
                  <c:v> 19 </c:v>
                </c:pt>
                <c:pt idx="5131">
                  <c:v> 20 </c:v>
                </c:pt>
                <c:pt idx="5132">
                  <c:v> 21 </c:v>
                </c:pt>
                <c:pt idx="5133">
                  <c:v> 22 </c:v>
                </c:pt>
                <c:pt idx="5134">
                  <c:v> 23 </c:v>
                </c:pt>
                <c:pt idx="5135">
                  <c:v> 24 </c:v>
                </c:pt>
                <c:pt idx="5136">
                  <c:v>03 Aug 2014</c:v>
                </c:pt>
                <c:pt idx="5137">
                  <c:v> 2 </c:v>
                </c:pt>
                <c:pt idx="5138">
                  <c:v> 3 </c:v>
                </c:pt>
                <c:pt idx="5139">
                  <c:v> 4 </c:v>
                </c:pt>
                <c:pt idx="5140">
                  <c:v> 5 </c:v>
                </c:pt>
                <c:pt idx="5141">
                  <c:v> 6 </c:v>
                </c:pt>
                <c:pt idx="5142">
                  <c:v> 7 </c:v>
                </c:pt>
                <c:pt idx="5143">
                  <c:v> 8 </c:v>
                </c:pt>
                <c:pt idx="5144">
                  <c:v> 9 </c:v>
                </c:pt>
                <c:pt idx="5145">
                  <c:v> 10 </c:v>
                </c:pt>
                <c:pt idx="5146">
                  <c:v> 11 </c:v>
                </c:pt>
                <c:pt idx="5147">
                  <c:v> 12 </c:v>
                </c:pt>
                <c:pt idx="5148">
                  <c:v> 13 </c:v>
                </c:pt>
                <c:pt idx="5149">
                  <c:v> 14 </c:v>
                </c:pt>
                <c:pt idx="5150">
                  <c:v> 15 </c:v>
                </c:pt>
                <c:pt idx="5151">
                  <c:v> 16 </c:v>
                </c:pt>
                <c:pt idx="5152">
                  <c:v> 17 </c:v>
                </c:pt>
                <c:pt idx="5153">
                  <c:v> 18 </c:v>
                </c:pt>
                <c:pt idx="5154">
                  <c:v> 19 </c:v>
                </c:pt>
                <c:pt idx="5155">
                  <c:v> 20 </c:v>
                </c:pt>
                <c:pt idx="5156">
                  <c:v> 21 </c:v>
                </c:pt>
                <c:pt idx="5157">
                  <c:v> 22 </c:v>
                </c:pt>
                <c:pt idx="5158">
                  <c:v> 23 </c:v>
                </c:pt>
                <c:pt idx="5159">
                  <c:v> 24 </c:v>
                </c:pt>
                <c:pt idx="5160">
                  <c:v>04 Aug 2014</c:v>
                </c:pt>
                <c:pt idx="5161">
                  <c:v> 2 </c:v>
                </c:pt>
                <c:pt idx="5162">
                  <c:v> 3 </c:v>
                </c:pt>
                <c:pt idx="5163">
                  <c:v> 4 </c:v>
                </c:pt>
                <c:pt idx="5164">
                  <c:v> 5 </c:v>
                </c:pt>
                <c:pt idx="5165">
                  <c:v> 6 </c:v>
                </c:pt>
                <c:pt idx="5166">
                  <c:v> 7 </c:v>
                </c:pt>
                <c:pt idx="5167">
                  <c:v> 8 </c:v>
                </c:pt>
                <c:pt idx="5168">
                  <c:v> 9 </c:v>
                </c:pt>
                <c:pt idx="5169">
                  <c:v> 10 </c:v>
                </c:pt>
                <c:pt idx="5170">
                  <c:v> 11 </c:v>
                </c:pt>
                <c:pt idx="5171">
                  <c:v> 12 </c:v>
                </c:pt>
                <c:pt idx="5172">
                  <c:v> 13 </c:v>
                </c:pt>
                <c:pt idx="5173">
                  <c:v> 14 </c:v>
                </c:pt>
                <c:pt idx="5174">
                  <c:v> 15 </c:v>
                </c:pt>
                <c:pt idx="5175">
                  <c:v> 16 </c:v>
                </c:pt>
                <c:pt idx="5176">
                  <c:v> 17 </c:v>
                </c:pt>
                <c:pt idx="5177">
                  <c:v> 18 </c:v>
                </c:pt>
                <c:pt idx="5178">
                  <c:v> 19 </c:v>
                </c:pt>
                <c:pt idx="5179">
                  <c:v> 20 </c:v>
                </c:pt>
                <c:pt idx="5180">
                  <c:v> 21 </c:v>
                </c:pt>
                <c:pt idx="5181">
                  <c:v> 22 </c:v>
                </c:pt>
                <c:pt idx="5182">
                  <c:v> 23 </c:v>
                </c:pt>
                <c:pt idx="5183">
                  <c:v> 24 </c:v>
                </c:pt>
                <c:pt idx="5184">
                  <c:v>05 Aug 2014</c:v>
                </c:pt>
                <c:pt idx="5185">
                  <c:v> 2 </c:v>
                </c:pt>
                <c:pt idx="5186">
                  <c:v> 3 </c:v>
                </c:pt>
                <c:pt idx="5187">
                  <c:v> 4 </c:v>
                </c:pt>
                <c:pt idx="5188">
                  <c:v> 5 </c:v>
                </c:pt>
                <c:pt idx="5189">
                  <c:v> 6 </c:v>
                </c:pt>
                <c:pt idx="5190">
                  <c:v> 7 </c:v>
                </c:pt>
                <c:pt idx="5191">
                  <c:v> 8 </c:v>
                </c:pt>
                <c:pt idx="5192">
                  <c:v> 9 </c:v>
                </c:pt>
                <c:pt idx="5193">
                  <c:v> 10 </c:v>
                </c:pt>
                <c:pt idx="5194">
                  <c:v> 11 </c:v>
                </c:pt>
                <c:pt idx="5195">
                  <c:v> 12 </c:v>
                </c:pt>
                <c:pt idx="5196">
                  <c:v> 13 </c:v>
                </c:pt>
                <c:pt idx="5197">
                  <c:v> 14 </c:v>
                </c:pt>
                <c:pt idx="5198">
                  <c:v> 15 </c:v>
                </c:pt>
                <c:pt idx="5199">
                  <c:v> 16 </c:v>
                </c:pt>
                <c:pt idx="5200">
                  <c:v> 17 </c:v>
                </c:pt>
                <c:pt idx="5201">
                  <c:v> 18 </c:v>
                </c:pt>
                <c:pt idx="5202">
                  <c:v> 19 </c:v>
                </c:pt>
                <c:pt idx="5203">
                  <c:v> 20 </c:v>
                </c:pt>
                <c:pt idx="5204">
                  <c:v> 21 </c:v>
                </c:pt>
                <c:pt idx="5205">
                  <c:v> 22 </c:v>
                </c:pt>
                <c:pt idx="5206">
                  <c:v> 23 </c:v>
                </c:pt>
                <c:pt idx="5207">
                  <c:v> 24 </c:v>
                </c:pt>
                <c:pt idx="5208">
                  <c:v>06 Aug 2014</c:v>
                </c:pt>
                <c:pt idx="5209">
                  <c:v> 2 </c:v>
                </c:pt>
                <c:pt idx="5210">
                  <c:v> 3 </c:v>
                </c:pt>
                <c:pt idx="5211">
                  <c:v> 4 </c:v>
                </c:pt>
                <c:pt idx="5212">
                  <c:v> 5 </c:v>
                </c:pt>
                <c:pt idx="5213">
                  <c:v> 6 </c:v>
                </c:pt>
                <c:pt idx="5214">
                  <c:v> 7 </c:v>
                </c:pt>
                <c:pt idx="5215">
                  <c:v> 8 </c:v>
                </c:pt>
                <c:pt idx="5216">
                  <c:v> 9 </c:v>
                </c:pt>
                <c:pt idx="5217">
                  <c:v> 10 </c:v>
                </c:pt>
                <c:pt idx="5218">
                  <c:v> 11 </c:v>
                </c:pt>
                <c:pt idx="5219">
                  <c:v> 12 </c:v>
                </c:pt>
                <c:pt idx="5220">
                  <c:v> 13 </c:v>
                </c:pt>
                <c:pt idx="5221">
                  <c:v> 14 </c:v>
                </c:pt>
                <c:pt idx="5222">
                  <c:v> 15 </c:v>
                </c:pt>
                <c:pt idx="5223">
                  <c:v> 16 </c:v>
                </c:pt>
                <c:pt idx="5224">
                  <c:v> 17 </c:v>
                </c:pt>
                <c:pt idx="5225">
                  <c:v> 18 </c:v>
                </c:pt>
                <c:pt idx="5226">
                  <c:v> 19 </c:v>
                </c:pt>
                <c:pt idx="5227">
                  <c:v> 20 </c:v>
                </c:pt>
                <c:pt idx="5228">
                  <c:v> 21 </c:v>
                </c:pt>
                <c:pt idx="5229">
                  <c:v> 22 </c:v>
                </c:pt>
                <c:pt idx="5230">
                  <c:v> 23 </c:v>
                </c:pt>
                <c:pt idx="5231">
                  <c:v> 24 </c:v>
                </c:pt>
                <c:pt idx="5232">
                  <c:v>07 Aug 2014</c:v>
                </c:pt>
                <c:pt idx="5233">
                  <c:v> 2 </c:v>
                </c:pt>
                <c:pt idx="5234">
                  <c:v> 3 </c:v>
                </c:pt>
                <c:pt idx="5235">
                  <c:v> 4 </c:v>
                </c:pt>
                <c:pt idx="5236">
                  <c:v> 5 </c:v>
                </c:pt>
                <c:pt idx="5237">
                  <c:v> 6 </c:v>
                </c:pt>
                <c:pt idx="5238">
                  <c:v> 7 </c:v>
                </c:pt>
                <c:pt idx="5239">
                  <c:v> 8 </c:v>
                </c:pt>
                <c:pt idx="5240">
                  <c:v> 9 </c:v>
                </c:pt>
                <c:pt idx="5241">
                  <c:v> 10 </c:v>
                </c:pt>
                <c:pt idx="5242">
                  <c:v> 11 </c:v>
                </c:pt>
                <c:pt idx="5243">
                  <c:v> 12 </c:v>
                </c:pt>
                <c:pt idx="5244">
                  <c:v> 13 </c:v>
                </c:pt>
                <c:pt idx="5245">
                  <c:v> 14 </c:v>
                </c:pt>
                <c:pt idx="5246">
                  <c:v> 15 </c:v>
                </c:pt>
                <c:pt idx="5247">
                  <c:v> 16 </c:v>
                </c:pt>
                <c:pt idx="5248">
                  <c:v> 17 </c:v>
                </c:pt>
                <c:pt idx="5249">
                  <c:v> 18 </c:v>
                </c:pt>
                <c:pt idx="5250">
                  <c:v> 19 </c:v>
                </c:pt>
                <c:pt idx="5251">
                  <c:v> 20 </c:v>
                </c:pt>
                <c:pt idx="5252">
                  <c:v> 21 </c:v>
                </c:pt>
                <c:pt idx="5253">
                  <c:v> 22 </c:v>
                </c:pt>
                <c:pt idx="5254">
                  <c:v> 23 </c:v>
                </c:pt>
                <c:pt idx="5255">
                  <c:v> 24 </c:v>
                </c:pt>
                <c:pt idx="5256">
                  <c:v>08 Aug 2014</c:v>
                </c:pt>
                <c:pt idx="5257">
                  <c:v> 2 </c:v>
                </c:pt>
                <c:pt idx="5258">
                  <c:v> 3 </c:v>
                </c:pt>
                <c:pt idx="5259">
                  <c:v> 4 </c:v>
                </c:pt>
                <c:pt idx="5260">
                  <c:v> 5 </c:v>
                </c:pt>
                <c:pt idx="5261">
                  <c:v> 6 </c:v>
                </c:pt>
                <c:pt idx="5262">
                  <c:v> 7 </c:v>
                </c:pt>
                <c:pt idx="5263">
                  <c:v> 8 </c:v>
                </c:pt>
                <c:pt idx="5264">
                  <c:v> 9 </c:v>
                </c:pt>
                <c:pt idx="5265">
                  <c:v> 10 </c:v>
                </c:pt>
                <c:pt idx="5266">
                  <c:v> 11 </c:v>
                </c:pt>
                <c:pt idx="5267">
                  <c:v> 12 </c:v>
                </c:pt>
                <c:pt idx="5268">
                  <c:v> 13 </c:v>
                </c:pt>
                <c:pt idx="5269">
                  <c:v> 14 </c:v>
                </c:pt>
                <c:pt idx="5270">
                  <c:v> 15 </c:v>
                </c:pt>
                <c:pt idx="5271">
                  <c:v> 16 </c:v>
                </c:pt>
                <c:pt idx="5272">
                  <c:v> 17 </c:v>
                </c:pt>
                <c:pt idx="5273">
                  <c:v> 18 </c:v>
                </c:pt>
                <c:pt idx="5274">
                  <c:v> 19 </c:v>
                </c:pt>
                <c:pt idx="5275">
                  <c:v> 20 </c:v>
                </c:pt>
                <c:pt idx="5276">
                  <c:v> 21 </c:v>
                </c:pt>
                <c:pt idx="5277">
                  <c:v> 22 </c:v>
                </c:pt>
                <c:pt idx="5278">
                  <c:v> 23 </c:v>
                </c:pt>
                <c:pt idx="5279">
                  <c:v> 24 </c:v>
                </c:pt>
                <c:pt idx="5280">
                  <c:v>09 Aug 2014</c:v>
                </c:pt>
                <c:pt idx="5281">
                  <c:v> 2 </c:v>
                </c:pt>
                <c:pt idx="5282">
                  <c:v> 3 </c:v>
                </c:pt>
                <c:pt idx="5283">
                  <c:v> 4 </c:v>
                </c:pt>
                <c:pt idx="5284">
                  <c:v> 5 </c:v>
                </c:pt>
                <c:pt idx="5285">
                  <c:v> 6 </c:v>
                </c:pt>
                <c:pt idx="5286">
                  <c:v> 7 </c:v>
                </c:pt>
                <c:pt idx="5287">
                  <c:v> 8 </c:v>
                </c:pt>
                <c:pt idx="5288">
                  <c:v> 9 </c:v>
                </c:pt>
                <c:pt idx="5289">
                  <c:v> 10 </c:v>
                </c:pt>
                <c:pt idx="5290">
                  <c:v> 11 </c:v>
                </c:pt>
                <c:pt idx="5291">
                  <c:v> 12 </c:v>
                </c:pt>
                <c:pt idx="5292">
                  <c:v> 13 </c:v>
                </c:pt>
                <c:pt idx="5293">
                  <c:v> 14 </c:v>
                </c:pt>
                <c:pt idx="5294">
                  <c:v> 15 </c:v>
                </c:pt>
                <c:pt idx="5295">
                  <c:v> 16 </c:v>
                </c:pt>
                <c:pt idx="5296">
                  <c:v> 17 </c:v>
                </c:pt>
                <c:pt idx="5297">
                  <c:v> 18 </c:v>
                </c:pt>
                <c:pt idx="5298">
                  <c:v> 19 </c:v>
                </c:pt>
                <c:pt idx="5299">
                  <c:v> 20 </c:v>
                </c:pt>
                <c:pt idx="5300">
                  <c:v> 21 </c:v>
                </c:pt>
                <c:pt idx="5301">
                  <c:v> 22 </c:v>
                </c:pt>
                <c:pt idx="5302">
                  <c:v> 23 </c:v>
                </c:pt>
                <c:pt idx="5303">
                  <c:v> 24 </c:v>
                </c:pt>
                <c:pt idx="5304">
                  <c:v>10 Aug 2014</c:v>
                </c:pt>
                <c:pt idx="5305">
                  <c:v> 2 </c:v>
                </c:pt>
                <c:pt idx="5306">
                  <c:v> 3 </c:v>
                </c:pt>
                <c:pt idx="5307">
                  <c:v> 4 </c:v>
                </c:pt>
                <c:pt idx="5308">
                  <c:v> 5 </c:v>
                </c:pt>
                <c:pt idx="5309">
                  <c:v> 6 </c:v>
                </c:pt>
                <c:pt idx="5310">
                  <c:v> 7 </c:v>
                </c:pt>
                <c:pt idx="5311">
                  <c:v> 8 </c:v>
                </c:pt>
                <c:pt idx="5312">
                  <c:v> 9 </c:v>
                </c:pt>
                <c:pt idx="5313">
                  <c:v> 10 </c:v>
                </c:pt>
                <c:pt idx="5314">
                  <c:v> 11 </c:v>
                </c:pt>
                <c:pt idx="5315">
                  <c:v> 12 </c:v>
                </c:pt>
                <c:pt idx="5316">
                  <c:v> 13 </c:v>
                </c:pt>
                <c:pt idx="5317">
                  <c:v> 14 </c:v>
                </c:pt>
                <c:pt idx="5318">
                  <c:v> 15 </c:v>
                </c:pt>
                <c:pt idx="5319">
                  <c:v> 16 </c:v>
                </c:pt>
                <c:pt idx="5320">
                  <c:v> 17 </c:v>
                </c:pt>
                <c:pt idx="5321">
                  <c:v> 18 </c:v>
                </c:pt>
                <c:pt idx="5322">
                  <c:v> 19 </c:v>
                </c:pt>
                <c:pt idx="5323">
                  <c:v> 20 </c:v>
                </c:pt>
                <c:pt idx="5324">
                  <c:v> 21 </c:v>
                </c:pt>
                <c:pt idx="5325">
                  <c:v> 22 </c:v>
                </c:pt>
                <c:pt idx="5326">
                  <c:v> 23 </c:v>
                </c:pt>
                <c:pt idx="5327">
                  <c:v> 24 </c:v>
                </c:pt>
                <c:pt idx="5328">
                  <c:v>11 Aug 2014</c:v>
                </c:pt>
                <c:pt idx="5329">
                  <c:v> 2 </c:v>
                </c:pt>
                <c:pt idx="5330">
                  <c:v> 3 </c:v>
                </c:pt>
                <c:pt idx="5331">
                  <c:v> 4 </c:v>
                </c:pt>
                <c:pt idx="5332">
                  <c:v> 5 </c:v>
                </c:pt>
                <c:pt idx="5333">
                  <c:v> 6 </c:v>
                </c:pt>
                <c:pt idx="5334">
                  <c:v> 7 </c:v>
                </c:pt>
                <c:pt idx="5335">
                  <c:v> 8 </c:v>
                </c:pt>
                <c:pt idx="5336">
                  <c:v> 9 </c:v>
                </c:pt>
                <c:pt idx="5337">
                  <c:v> 10 </c:v>
                </c:pt>
                <c:pt idx="5338">
                  <c:v> 11 </c:v>
                </c:pt>
                <c:pt idx="5339">
                  <c:v> 12 </c:v>
                </c:pt>
                <c:pt idx="5340">
                  <c:v> 13 </c:v>
                </c:pt>
                <c:pt idx="5341">
                  <c:v> 14 </c:v>
                </c:pt>
                <c:pt idx="5342">
                  <c:v> 15 </c:v>
                </c:pt>
                <c:pt idx="5343">
                  <c:v> 16 </c:v>
                </c:pt>
                <c:pt idx="5344">
                  <c:v> 17 </c:v>
                </c:pt>
                <c:pt idx="5345">
                  <c:v> 18 </c:v>
                </c:pt>
                <c:pt idx="5346">
                  <c:v> 19 </c:v>
                </c:pt>
                <c:pt idx="5347">
                  <c:v> 20 </c:v>
                </c:pt>
                <c:pt idx="5348">
                  <c:v> 21 </c:v>
                </c:pt>
                <c:pt idx="5349">
                  <c:v> 22 </c:v>
                </c:pt>
                <c:pt idx="5350">
                  <c:v> 23 </c:v>
                </c:pt>
                <c:pt idx="5351">
                  <c:v> 24 </c:v>
                </c:pt>
                <c:pt idx="5352">
                  <c:v>12 Aug 2014</c:v>
                </c:pt>
                <c:pt idx="5353">
                  <c:v> 2 </c:v>
                </c:pt>
                <c:pt idx="5354">
                  <c:v> 3 </c:v>
                </c:pt>
                <c:pt idx="5355">
                  <c:v> 4 </c:v>
                </c:pt>
                <c:pt idx="5356">
                  <c:v> 5 </c:v>
                </c:pt>
                <c:pt idx="5357">
                  <c:v> 6 </c:v>
                </c:pt>
                <c:pt idx="5358">
                  <c:v> 7 </c:v>
                </c:pt>
                <c:pt idx="5359">
                  <c:v> 8 </c:v>
                </c:pt>
                <c:pt idx="5360">
                  <c:v> 9 </c:v>
                </c:pt>
                <c:pt idx="5361">
                  <c:v> 10 </c:v>
                </c:pt>
                <c:pt idx="5362">
                  <c:v> 11 </c:v>
                </c:pt>
                <c:pt idx="5363">
                  <c:v> 12 </c:v>
                </c:pt>
                <c:pt idx="5364">
                  <c:v> 13 </c:v>
                </c:pt>
                <c:pt idx="5365">
                  <c:v> 14 </c:v>
                </c:pt>
                <c:pt idx="5366">
                  <c:v> 15 </c:v>
                </c:pt>
                <c:pt idx="5367">
                  <c:v> 16 </c:v>
                </c:pt>
                <c:pt idx="5368">
                  <c:v> 17 </c:v>
                </c:pt>
                <c:pt idx="5369">
                  <c:v> 18 </c:v>
                </c:pt>
                <c:pt idx="5370">
                  <c:v> 19 </c:v>
                </c:pt>
                <c:pt idx="5371">
                  <c:v> 20 </c:v>
                </c:pt>
                <c:pt idx="5372">
                  <c:v> 21 </c:v>
                </c:pt>
                <c:pt idx="5373">
                  <c:v> 22 </c:v>
                </c:pt>
                <c:pt idx="5374">
                  <c:v> 23 </c:v>
                </c:pt>
                <c:pt idx="5375">
                  <c:v> 24 </c:v>
                </c:pt>
                <c:pt idx="5376">
                  <c:v>13 Aug 2014</c:v>
                </c:pt>
                <c:pt idx="5377">
                  <c:v> 2 </c:v>
                </c:pt>
                <c:pt idx="5378">
                  <c:v> 3 </c:v>
                </c:pt>
                <c:pt idx="5379">
                  <c:v> 4 </c:v>
                </c:pt>
                <c:pt idx="5380">
                  <c:v> 5 </c:v>
                </c:pt>
                <c:pt idx="5381">
                  <c:v> 6 </c:v>
                </c:pt>
                <c:pt idx="5382">
                  <c:v> 7 </c:v>
                </c:pt>
                <c:pt idx="5383">
                  <c:v> 8 </c:v>
                </c:pt>
                <c:pt idx="5384">
                  <c:v> 9 </c:v>
                </c:pt>
                <c:pt idx="5385">
                  <c:v> 10 </c:v>
                </c:pt>
                <c:pt idx="5386">
                  <c:v> 11 </c:v>
                </c:pt>
                <c:pt idx="5387">
                  <c:v> 12 </c:v>
                </c:pt>
                <c:pt idx="5388">
                  <c:v> 13 </c:v>
                </c:pt>
                <c:pt idx="5389">
                  <c:v> 14 </c:v>
                </c:pt>
                <c:pt idx="5390">
                  <c:v> 15 </c:v>
                </c:pt>
                <c:pt idx="5391">
                  <c:v> 16 </c:v>
                </c:pt>
                <c:pt idx="5392">
                  <c:v> 17 </c:v>
                </c:pt>
                <c:pt idx="5393">
                  <c:v> 18 </c:v>
                </c:pt>
                <c:pt idx="5394">
                  <c:v> 19 </c:v>
                </c:pt>
                <c:pt idx="5395">
                  <c:v> 20 </c:v>
                </c:pt>
                <c:pt idx="5396">
                  <c:v> 21 </c:v>
                </c:pt>
                <c:pt idx="5397">
                  <c:v> 22 </c:v>
                </c:pt>
                <c:pt idx="5398">
                  <c:v> 23 </c:v>
                </c:pt>
                <c:pt idx="5399">
                  <c:v> 24 </c:v>
                </c:pt>
                <c:pt idx="5400">
                  <c:v>14 Aug 2014</c:v>
                </c:pt>
                <c:pt idx="5401">
                  <c:v> 2 </c:v>
                </c:pt>
                <c:pt idx="5402">
                  <c:v> 3 </c:v>
                </c:pt>
                <c:pt idx="5403">
                  <c:v> 4 </c:v>
                </c:pt>
                <c:pt idx="5404">
                  <c:v> 5 </c:v>
                </c:pt>
                <c:pt idx="5405">
                  <c:v> 6 </c:v>
                </c:pt>
                <c:pt idx="5406">
                  <c:v> 7 </c:v>
                </c:pt>
                <c:pt idx="5407">
                  <c:v> 8 </c:v>
                </c:pt>
                <c:pt idx="5408">
                  <c:v> 9 </c:v>
                </c:pt>
                <c:pt idx="5409">
                  <c:v> 10 </c:v>
                </c:pt>
                <c:pt idx="5410">
                  <c:v> 11 </c:v>
                </c:pt>
                <c:pt idx="5411">
                  <c:v> 12 </c:v>
                </c:pt>
                <c:pt idx="5412">
                  <c:v> 13 </c:v>
                </c:pt>
                <c:pt idx="5413">
                  <c:v> 14 </c:v>
                </c:pt>
                <c:pt idx="5414">
                  <c:v> 15 </c:v>
                </c:pt>
                <c:pt idx="5415">
                  <c:v> 16 </c:v>
                </c:pt>
                <c:pt idx="5416">
                  <c:v> 17 </c:v>
                </c:pt>
                <c:pt idx="5417">
                  <c:v> 18 </c:v>
                </c:pt>
                <c:pt idx="5418">
                  <c:v> 19 </c:v>
                </c:pt>
                <c:pt idx="5419">
                  <c:v> 20 </c:v>
                </c:pt>
                <c:pt idx="5420">
                  <c:v> 21 </c:v>
                </c:pt>
                <c:pt idx="5421">
                  <c:v> 22 </c:v>
                </c:pt>
                <c:pt idx="5422">
                  <c:v> 23 </c:v>
                </c:pt>
                <c:pt idx="5423">
                  <c:v> 24 </c:v>
                </c:pt>
                <c:pt idx="5424">
                  <c:v>15 Aug 2014</c:v>
                </c:pt>
                <c:pt idx="5425">
                  <c:v> 2 </c:v>
                </c:pt>
                <c:pt idx="5426">
                  <c:v> 3 </c:v>
                </c:pt>
                <c:pt idx="5427">
                  <c:v> 4 </c:v>
                </c:pt>
                <c:pt idx="5428">
                  <c:v> 5 </c:v>
                </c:pt>
                <c:pt idx="5429">
                  <c:v> 6 </c:v>
                </c:pt>
                <c:pt idx="5430">
                  <c:v> 7 </c:v>
                </c:pt>
                <c:pt idx="5431">
                  <c:v> 8 </c:v>
                </c:pt>
                <c:pt idx="5432">
                  <c:v> 9 </c:v>
                </c:pt>
                <c:pt idx="5433">
                  <c:v> 10 </c:v>
                </c:pt>
                <c:pt idx="5434">
                  <c:v> 11 </c:v>
                </c:pt>
                <c:pt idx="5435">
                  <c:v> 12 </c:v>
                </c:pt>
                <c:pt idx="5436">
                  <c:v> 13 </c:v>
                </c:pt>
                <c:pt idx="5437">
                  <c:v> 14 </c:v>
                </c:pt>
                <c:pt idx="5438">
                  <c:v> 15 </c:v>
                </c:pt>
                <c:pt idx="5439">
                  <c:v> 16 </c:v>
                </c:pt>
                <c:pt idx="5440">
                  <c:v> 17 </c:v>
                </c:pt>
                <c:pt idx="5441">
                  <c:v> 18 </c:v>
                </c:pt>
                <c:pt idx="5442">
                  <c:v> 19 </c:v>
                </c:pt>
                <c:pt idx="5443">
                  <c:v> 20 </c:v>
                </c:pt>
                <c:pt idx="5444">
                  <c:v> 21 </c:v>
                </c:pt>
                <c:pt idx="5445">
                  <c:v> 22 </c:v>
                </c:pt>
                <c:pt idx="5446">
                  <c:v> 23 </c:v>
                </c:pt>
                <c:pt idx="5447">
                  <c:v> 24 </c:v>
                </c:pt>
                <c:pt idx="5448">
                  <c:v>16 Aug 2014</c:v>
                </c:pt>
                <c:pt idx="5449">
                  <c:v> 2 </c:v>
                </c:pt>
                <c:pt idx="5450">
                  <c:v> 3 </c:v>
                </c:pt>
                <c:pt idx="5451">
                  <c:v> 4 </c:v>
                </c:pt>
                <c:pt idx="5452">
                  <c:v> 5 </c:v>
                </c:pt>
                <c:pt idx="5453">
                  <c:v> 6 </c:v>
                </c:pt>
                <c:pt idx="5454">
                  <c:v> 7 </c:v>
                </c:pt>
                <c:pt idx="5455">
                  <c:v> 8 </c:v>
                </c:pt>
                <c:pt idx="5456">
                  <c:v> 9 </c:v>
                </c:pt>
                <c:pt idx="5457">
                  <c:v> 10 </c:v>
                </c:pt>
                <c:pt idx="5458">
                  <c:v> 11 </c:v>
                </c:pt>
                <c:pt idx="5459">
                  <c:v> 12 </c:v>
                </c:pt>
                <c:pt idx="5460">
                  <c:v> 13 </c:v>
                </c:pt>
                <c:pt idx="5461">
                  <c:v> 14 </c:v>
                </c:pt>
                <c:pt idx="5462">
                  <c:v> 15 </c:v>
                </c:pt>
                <c:pt idx="5463">
                  <c:v> 16 </c:v>
                </c:pt>
                <c:pt idx="5464">
                  <c:v> 17 </c:v>
                </c:pt>
                <c:pt idx="5465">
                  <c:v> 18 </c:v>
                </c:pt>
                <c:pt idx="5466">
                  <c:v> 19 </c:v>
                </c:pt>
                <c:pt idx="5467">
                  <c:v> 20 </c:v>
                </c:pt>
                <c:pt idx="5468">
                  <c:v> 21 </c:v>
                </c:pt>
                <c:pt idx="5469">
                  <c:v> 22 </c:v>
                </c:pt>
                <c:pt idx="5470">
                  <c:v> 23 </c:v>
                </c:pt>
                <c:pt idx="5471">
                  <c:v> 24 </c:v>
                </c:pt>
                <c:pt idx="5472">
                  <c:v>17 Aug 2014</c:v>
                </c:pt>
                <c:pt idx="5473">
                  <c:v> 2 </c:v>
                </c:pt>
                <c:pt idx="5474">
                  <c:v> 3 </c:v>
                </c:pt>
                <c:pt idx="5475">
                  <c:v> 4 </c:v>
                </c:pt>
                <c:pt idx="5476">
                  <c:v> 5 </c:v>
                </c:pt>
                <c:pt idx="5477">
                  <c:v> 6 </c:v>
                </c:pt>
                <c:pt idx="5478">
                  <c:v> 7 </c:v>
                </c:pt>
                <c:pt idx="5479">
                  <c:v> 8 </c:v>
                </c:pt>
                <c:pt idx="5480">
                  <c:v> 9 </c:v>
                </c:pt>
                <c:pt idx="5481">
                  <c:v> 10 </c:v>
                </c:pt>
                <c:pt idx="5482">
                  <c:v> 11 </c:v>
                </c:pt>
                <c:pt idx="5483">
                  <c:v> 12 </c:v>
                </c:pt>
                <c:pt idx="5484">
                  <c:v> 13 </c:v>
                </c:pt>
                <c:pt idx="5485">
                  <c:v> 14 </c:v>
                </c:pt>
                <c:pt idx="5486">
                  <c:v> 15 </c:v>
                </c:pt>
                <c:pt idx="5487">
                  <c:v> 16 </c:v>
                </c:pt>
                <c:pt idx="5488">
                  <c:v> 17 </c:v>
                </c:pt>
                <c:pt idx="5489">
                  <c:v> 18 </c:v>
                </c:pt>
                <c:pt idx="5490">
                  <c:v> 19 </c:v>
                </c:pt>
                <c:pt idx="5491">
                  <c:v> 20 </c:v>
                </c:pt>
                <c:pt idx="5492">
                  <c:v> 21 </c:v>
                </c:pt>
                <c:pt idx="5493">
                  <c:v> 22 </c:v>
                </c:pt>
                <c:pt idx="5494">
                  <c:v> 23 </c:v>
                </c:pt>
                <c:pt idx="5495">
                  <c:v> 24 </c:v>
                </c:pt>
                <c:pt idx="5496">
                  <c:v>18 Aug 2014</c:v>
                </c:pt>
                <c:pt idx="5497">
                  <c:v> 2 </c:v>
                </c:pt>
                <c:pt idx="5498">
                  <c:v> 3 </c:v>
                </c:pt>
                <c:pt idx="5499">
                  <c:v> 4 </c:v>
                </c:pt>
                <c:pt idx="5500">
                  <c:v> 5 </c:v>
                </c:pt>
                <c:pt idx="5501">
                  <c:v> 6 </c:v>
                </c:pt>
                <c:pt idx="5502">
                  <c:v> 7 </c:v>
                </c:pt>
                <c:pt idx="5503">
                  <c:v> 8 </c:v>
                </c:pt>
                <c:pt idx="5504">
                  <c:v> 9 </c:v>
                </c:pt>
                <c:pt idx="5505">
                  <c:v> 10 </c:v>
                </c:pt>
                <c:pt idx="5506">
                  <c:v> 11 </c:v>
                </c:pt>
                <c:pt idx="5507">
                  <c:v> 12 </c:v>
                </c:pt>
                <c:pt idx="5508">
                  <c:v> 13 </c:v>
                </c:pt>
                <c:pt idx="5509">
                  <c:v> 14 </c:v>
                </c:pt>
                <c:pt idx="5510">
                  <c:v> 15 </c:v>
                </c:pt>
                <c:pt idx="5511">
                  <c:v> 16 </c:v>
                </c:pt>
                <c:pt idx="5512">
                  <c:v> 17 </c:v>
                </c:pt>
                <c:pt idx="5513">
                  <c:v> 18 </c:v>
                </c:pt>
                <c:pt idx="5514">
                  <c:v> 19 </c:v>
                </c:pt>
                <c:pt idx="5515">
                  <c:v> 20 </c:v>
                </c:pt>
                <c:pt idx="5516">
                  <c:v> 21 </c:v>
                </c:pt>
                <c:pt idx="5517">
                  <c:v> 22 </c:v>
                </c:pt>
                <c:pt idx="5518">
                  <c:v> 23 </c:v>
                </c:pt>
                <c:pt idx="5519">
                  <c:v> 24 </c:v>
                </c:pt>
                <c:pt idx="5520">
                  <c:v>19 Aug 2014</c:v>
                </c:pt>
                <c:pt idx="5521">
                  <c:v> 2 </c:v>
                </c:pt>
                <c:pt idx="5522">
                  <c:v> 3 </c:v>
                </c:pt>
                <c:pt idx="5523">
                  <c:v> 4 </c:v>
                </c:pt>
                <c:pt idx="5524">
                  <c:v> 5 </c:v>
                </c:pt>
                <c:pt idx="5525">
                  <c:v> 6 </c:v>
                </c:pt>
                <c:pt idx="5526">
                  <c:v> 7 </c:v>
                </c:pt>
                <c:pt idx="5527">
                  <c:v> 8 </c:v>
                </c:pt>
                <c:pt idx="5528">
                  <c:v> 9 </c:v>
                </c:pt>
                <c:pt idx="5529">
                  <c:v> 10 </c:v>
                </c:pt>
                <c:pt idx="5530">
                  <c:v> 11 </c:v>
                </c:pt>
                <c:pt idx="5531">
                  <c:v> 12 </c:v>
                </c:pt>
                <c:pt idx="5532">
                  <c:v> 13 </c:v>
                </c:pt>
                <c:pt idx="5533">
                  <c:v> 14 </c:v>
                </c:pt>
                <c:pt idx="5534">
                  <c:v> 15 </c:v>
                </c:pt>
                <c:pt idx="5535">
                  <c:v> 16 </c:v>
                </c:pt>
                <c:pt idx="5536">
                  <c:v> 17 </c:v>
                </c:pt>
                <c:pt idx="5537">
                  <c:v> 18 </c:v>
                </c:pt>
                <c:pt idx="5538">
                  <c:v> 19 </c:v>
                </c:pt>
                <c:pt idx="5539">
                  <c:v> 20 </c:v>
                </c:pt>
                <c:pt idx="5540">
                  <c:v> 21 </c:v>
                </c:pt>
                <c:pt idx="5541">
                  <c:v> 22 </c:v>
                </c:pt>
                <c:pt idx="5542">
                  <c:v> 23 </c:v>
                </c:pt>
                <c:pt idx="5543">
                  <c:v> 24 </c:v>
                </c:pt>
                <c:pt idx="5544">
                  <c:v>20 Aug 2014</c:v>
                </c:pt>
                <c:pt idx="5545">
                  <c:v> 2 </c:v>
                </c:pt>
                <c:pt idx="5546">
                  <c:v> 3 </c:v>
                </c:pt>
                <c:pt idx="5547">
                  <c:v> 4 </c:v>
                </c:pt>
                <c:pt idx="5548">
                  <c:v> 5 </c:v>
                </c:pt>
                <c:pt idx="5549">
                  <c:v> 6 </c:v>
                </c:pt>
                <c:pt idx="5550">
                  <c:v> 7 </c:v>
                </c:pt>
                <c:pt idx="5551">
                  <c:v> 8 </c:v>
                </c:pt>
                <c:pt idx="5552">
                  <c:v> 9 </c:v>
                </c:pt>
                <c:pt idx="5553">
                  <c:v> 10 </c:v>
                </c:pt>
                <c:pt idx="5554">
                  <c:v> 11 </c:v>
                </c:pt>
                <c:pt idx="5555">
                  <c:v> 12 </c:v>
                </c:pt>
                <c:pt idx="5556">
                  <c:v> 13 </c:v>
                </c:pt>
                <c:pt idx="5557">
                  <c:v> 14 </c:v>
                </c:pt>
                <c:pt idx="5558">
                  <c:v> 15 </c:v>
                </c:pt>
                <c:pt idx="5559">
                  <c:v> 16 </c:v>
                </c:pt>
                <c:pt idx="5560">
                  <c:v> 17 </c:v>
                </c:pt>
                <c:pt idx="5561">
                  <c:v> 18 </c:v>
                </c:pt>
                <c:pt idx="5562">
                  <c:v> 19 </c:v>
                </c:pt>
                <c:pt idx="5563">
                  <c:v> 20 </c:v>
                </c:pt>
                <c:pt idx="5564">
                  <c:v> 21 </c:v>
                </c:pt>
                <c:pt idx="5565">
                  <c:v> 22 </c:v>
                </c:pt>
                <c:pt idx="5566">
                  <c:v> 23 </c:v>
                </c:pt>
                <c:pt idx="5567">
                  <c:v> 24 </c:v>
                </c:pt>
                <c:pt idx="5568">
                  <c:v>21 Aug 2014</c:v>
                </c:pt>
                <c:pt idx="5569">
                  <c:v> 2 </c:v>
                </c:pt>
                <c:pt idx="5570">
                  <c:v> 3 </c:v>
                </c:pt>
                <c:pt idx="5571">
                  <c:v> 4 </c:v>
                </c:pt>
                <c:pt idx="5572">
                  <c:v> 5 </c:v>
                </c:pt>
                <c:pt idx="5573">
                  <c:v> 6 </c:v>
                </c:pt>
                <c:pt idx="5574">
                  <c:v> 7 </c:v>
                </c:pt>
                <c:pt idx="5575">
                  <c:v> 8 </c:v>
                </c:pt>
                <c:pt idx="5576">
                  <c:v> 9 </c:v>
                </c:pt>
                <c:pt idx="5577">
                  <c:v> 10 </c:v>
                </c:pt>
                <c:pt idx="5578">
                  <c:v> 11 </c:v>
                </c:pt>
                <c:pt idx="5579">
                  <c:v> 12 </c:v>
                </c:pt>
                <c:pt idx="5580">
                  <c:v> 13 </c:v>
                </c:pt>
                <c:pt idx="5581">
                  <c:v> 14 </c:v>
                </c:pt>
                <c:pt idx="5582">
                  <c:v> 15 </c:v>
                </c:pt>
                <c:pt idx="5583">
                  <c:v> 16 </c:v>
                </c:pt>
                <c:pt idx="5584">
                  <c:v> 17 </c:v>
                </c:pt>
                <c:pt idx="5585">
                  <c:v> 18 </c:v>
                </c:pt>
                <c:pt idx="5586">
                  <c:v> 19 </c:v>
                </c:pt>
                <c:pt idx="5587">
                  <c:v> 20 </c:v>
                </c:pt>
                <c:pt idx="5588">
                  <c:v> 21 </c:v>
                </c:pt>
                <c:pt idx="5589">
                  <c:v> 22 </c:v>
                </c:pt>
                <c:pt idx="5590">
                  <c:v> 23 </c:v>
                </c:pt>
                <c:pt idx="5591">
                  <c:v> 24 </c:v>
                </c:pt>
                <c:pt idx="5592">
                  <c:v>22 Aug 2014</c:v>
                </c:pt>
                <c:pt idx="5593">
                  <c:v> 2 </c:v>
                </c:pt>
                <c:pt idx="5594">
                  <c:v> 3 </c:v>
                </c:pt>
                <c:pt idx="5595">
                  <c:v> 4 </c:v>
                </c:pt>
                <c:pt idx="5596">
                  <c:v> 5 </c:v>
                </c:pt>
                <c:pt idx="5597">
                  <c:v> 6 </c:v>
                </c:pt>
                <c:pt idx="5598">
                  <c:v> 7 </c:v>
                </c:pt>
                <c:pt idx="5599">
                  <c:v> 8 </c:v>
                </c:pt>
                <c:pt idx="5600">
                  <c:v> 9 </c:v>
                </c:pt>
                <c:pt idx="5601">
                  <c:v> 10 </c:v>
                </c:pt>
                <c:pt idx="5602">
                  <c:v> 11 </c:v>
                </c:pt>
                <c:pt idx="5603">
                  <c:v> 12 </c:v>
                </c:pt>
                <c:pt idx="5604">
                  <c:v> 13 </c:v>
                </c:pt>
                <c:pt idx="5605">
                  <c:v> 14 </c:v>
                </c:pt>
                <c:pt idx="5606">
                  <c:v> 15 </c:v>
                </c:pt>
                <c:pt idx="5607">
                  <c:v> 16 </c:v>
                </c:pt>
                <c:pt idx="5608">
                  <c:v> 17 </c:v>
                </c:pt>
                <c:pt idx="5609">
                  <c:v> 18 </c:v>
                </c:pt>
                <c:pt idx="5610">
                  <c:v> 19 </c:v>
                </c:pt>
                <c:pt idx="5611">
                  <c:v> 20 </c:v>
                </c:pt>
                <c:pt idx="5612">
                  <c:v> 21 </c:v>
                </c:pt>
                <c:pt idx="5613">
                  <c:v> 22 </c:v>
                </c:pt>
                <c:pt idx="5614">
                  <c:v> 23 </c:v>
                </c:pt>
                <c:pt idx="5615">
                  <c:v> 24 </c:v>
                </c:pt>
                <c:pt idx="5616">
                  <c:v>23 Aug 2014</c:v>
                </c:pt>
                <c:pt idx="5617">
                  <c:v> 2 </c:v>
                </c:pt>
                <c:pt idx="5618">
                  <c:v> 3 </c:v>
                </c:pt>
                <c:pt idx="5619">
                  <c:v> 4 </c:v>
                </c:pt>
                <c:pt idx="5620">
                  <c:v> 5 </c:v>
                </c:pt>
                <c:pt idx="5621">
                  <c:v> 6 </c:v>
                </c:pt>
                <c:pt idx="5622">
                  <c:v> 7 </c:v>
                </c:pt>
                <c:pt idx="5623">
                  <c:v> 8 </c:v>
                </c:pt>
                <c:pt idx="5624">
                  <c:v> 9 </c:v>
                </c:pt>
                <c:pt idx="5625">
                  <c:v> 10 </c:v>
                </c:pt>
                <c:pt idx="5626">
                  <c:v> 11 </c:v>
                </c:pt>
                <c:pt idx="5627">
                  <c:v> 12 </c:v>
                </c:pt>
                <c:pt idx="5628">
                  <c:v> 13 </c:v>
                </c:pt>
                <c:pt idx="5629">
                  <c:v> 14 </c:v>
                </c:pt>
                <c:pt idx="5630">
                  <c:v> 15 </c:v>
                </c:pt>
                <c:pt idx="5631">
                  <c:v> 16 </c:v>
                </c:pt>
                <c:pt idx="5632">
                  <c:v> 17 </c:v>
                </c:pt>
                <c:pt idx="5633">
                  <c:v> 18 </c:v>
                </c:pt>
                <c:pt idx="5634">
                  <c:v> 19 </c:v>
                </c:pt>
                <c:pt idx="5635">
                  <c:v> 20 </c:v>
                </c:pt>
                <c:pt idx="5636">
                  <c:v> 21 </c:v>
                </c:pt>
                <c:pt idx="5637">
                  <c:v> 22 </c:v>
                </c:pt>
                <c:pt idx="5638">
                  <c:v> 23 </c:v>
                </c:pt>
                <c:pt idx="5639">
                  <c:v> 24 </c:v>
                </c:pt>
                <c:pt idx="5640">
                  <c:v>24 Aug 2014</c:v>
                </c:pt>
                <c:pt idx="5641">
                  <c:v> 2 </c:v>
                </c:pt>
                <c:pt idx="5642">
                  <c:v> 3 </c:v>
                </c:pt>
                <c:pt idx="5643">
                  <c:v> 4 </c:v>
                </c:pt>
                <c:pt idx="5644">
                  <c:v> 5 </c:v>
                </c:pt>
                <c:pt idx="5645">
                  <c:v> 6 </c:v>
                </c:pt>
                <c:pt idx="5646">
                  <c:v> 7 </c:v>
                </c:pt>
                <c:pt idx="5647">
                  <c:v> 8 </c:v>
                </c:pt>
                <c:pt idx="5648">
                  <c:v> 9 </c:v>
                </c:pt>
                <c:pt idx="5649">
                  <c:v> 10 </c:v>
                </c:pt>
                <c:pt idx="5650">
                  <c:v> 11 </c:v>
                </c:pt>
                <c:pt idx="5651">
                  <c:v> 12 </c:v>
                </c:pt>
                <c:pt idx="5652">
                  <c:v> 13 </c:v>
                </c:pt>
                <c:pt idx="5653">
                  <c:v> 14 </c:v>
                </c:pt>
                <c:pt idx="5654">
                  <c:v> 15 </c:v>
                </c:pt>
                <c:pt idx="5655">
                  <c:v> 16 </c:v>
                </c:pt>
                <c:pt idx="5656">
                  <c:v> 17 </c:v>
                </c:pt>
                <c:pt idx="5657">
                  <c:v> 18 </c:v>
                </c:pt>
                <c:pt idx="5658">
                  <c:v> 19 </c:v>
                </c:pt>
                <c:pt idx="5659">
                  <c:v> 20 </c:v>
                </c:pt>
                <c:pt idx="5660">
                  <c:v> 21 </c:v>
                </c:pt>
                <c:pt idx="5661">
                  <c:v> 22 </c:v>
                </c:pt>
                <c:pt idx="5662">
                  <c:v> 23 </c:v>
                </c:pt>
                <c:pt idx="5663">
                  <c:v> 24 </c:v>
                </c:pt>
                <c:pt idx="5664">
                  <c:v>25 Aug 2014</c:v>
                </c:pt>
                <c:pt idx="5665">
                  <c:v> 2 </c:v>
                </c:pt>
                <c:pt idx="5666">
                  <c:v> 3 </c:v>
                </c:pt>
                <c:pt idx="5667">
                  <c:v> 4 </c:v>
                </c:pt>
                <c:pt idx="5668">
                  <c:v> 5 </c:v>
                </c:pt>
                <c:pt idx="5669">
                  <c:v> 6 </c:v>
                </c:pt>
                <c:pt idx="5670">
                  <c:v> 7 </c:v>
                </c:pt>
                <c:pt idx="5671">
                  <c:v> 8 </c:v>
                </c:pt>
                <c:pt idx="5672">
                  <c:v> 9 </c:v>
                </c:pt>
                <c:pt idx="5673">
                  <c:v> 10 </c:v>
                </c:pt>
                <c:pt idx="5674">
                  <c:v> 11 </c:v>
                </c:pt>
                <c:pt idx="5675">
                  <c:v> 12 </c:v>
                </c:pt>
                <c:pt idx="5676">
                  <c:v> 13 </c:v>
                </c:pt>
                <c:pt idx="5677">
                  <c:v> 14 </c:v>
                </c:pt>
                <c:pt idx="5678">
                  <c:v> 15 </c:v>
                </c:pt>
                <c:pt idx="5679">
                  <c:v> 16 </c:v>
                </c:pt>
                <c:pt idx="5680">
                  <c:v> 17 </c:v>
                </c:pt>
                <c:pt idx="5681">
                  <c:v> 18 </c:v>
                </c:pt>
                <c:pt idx="5682">
                  <c:v> 19 </c:v>
                </c:pt>
                <c:pt idx="5683">
                  <c:v> 20 </c:v>
                </c:pt>
                <c:pt idx="5684">
                  <c:v> 21 </c:v>
                </c:pt>
                <c:pt idx="5685">
                  <c:v> 22 </c:v>
                </c:pt>
                <c:pt idx="5686">
                  <c:v> 23 </c:v>
                </c:pt>
                <c:pt idx="5687">
                  <c:v> 24 </c:v>
                </c:pt>
                <c:pt idx="5688">
                  <c:v>26 Aug 2014</c:v>
                </c:pt>
                <c:pt idx="5689">
                  <c:v> 2 </c:v>
                </c:pt>
                <c:pt idx="5690">
                  <c:v> 3 </c:v>
                </c:pt>
                <c:pt idx="5691">
                  <c:v> 4 </c:v>
                </c:pt>
                <c:pt idx="5692">
                  <c:v> 5 </c:v>
                </c:pt>
                <c:pt idx="5693">
                  <c:v> 6 </c:v>
                </c:pt>
                <c:pt idx="5694">
                  <c:v> 7 </c:v>
                </c:pt>
                <c:pt idx="5695">
                  <c:v> 8 </c:v>
                </c:pt>
                <c:pt idx="5696">
                  <c:v> 9 </c:v>
                </c:pt>
                <c:pt idx="5697">
                  <c:v> 10 </c:v>
                </c:pt>
                <c:pt idx="5698">
                  <c:v> 11 </c:v>
                </c:pt>
                <c:pt idx="5699">
                  <c:v> 12 </c:v>
                </c:pt>
                <c:pt idx="5700">
                  <c:v> 13 </c:v>
                </c:pt>
                <c:pt idx="5701">
                  <c:v> 14 </c:v>
                </c:pt>
                <c:pt idx="5702">
                  <c:v> 15 </c:v>
                </c:pt>
                <c:pt idx="5703">
                  <c:v> 16 </c:v>
                </c:pt>
                <c:pt idx="5704">
                  <c:v> 17 </c:v>
                </c:pt>
                <c:pt idx="5705">
                  <c:v> 18 </c:v>
                </c:pt>
                <c:pt idx="5706">
                  <c:v> 19 </c:v>
                </c:pt>
                <c:pt idx="5707">
                  <c:v> 20 </c:v>
                </c:pt>
                <c:pt idx="5708">
                  <c:v> 21 </c:v>
                </c:pt>
                <c:pt idx="5709">
                  <c:v> 22 </c:v>
                </c:pt>
                <c:pt idx="5710">
                  <c:v> 23 </c:v>
                </c:pt>
                <c:pt idx="5711">
                  <c:v> 24 </c:v>
                </c:pt>
                <c:pt idx="5712">
                  <c:v>27 Aug 2014</c:v>
                </c:pt>
                <c:pt idx="5713">
                  <c:v> 2 </c:v>
                </c:pt>
                <c:pt idx="5714">
                  <c:v> 3 </c:v>
                </c:pt>
                <c:pt idx="5715">
                  <c:v> 4 </c:v>
                </c:pt>
                <c:pt idx="5716">
                  <c:v> 5 </c:v>
                </c:pt>
                <c:pt idx="5717">
                  <c:v> 6 </c:v>
                </c:pt>
                <c:pt idx="5718">
                  <c:v> 7 </c:v>
                </c:pt>
                <c:pt idx="5719">
                  <c:v> 8 </c:v>
                </c:pt>
                <c:pt idx="5720">
                  <c:v> 9 </c:v>
                </c:pt>
                <c:pt idx="5721">
                  <c:v> 10 </c:v>
                </c:pt>
                <c:pt idx="5722">
                  <c:v> 11 </c:v>
                </c:pt>
                <c:pt idx="5723">
                  <c:v> 12 </c:v>
                </c:pt>
                <c:pt idx="5724">
                  <c:v> 13 </c:v>
                </c:pt>
                <c:pt idx="5725">
                  <c:v> 14 </c:v>
                </c:pt>
                <c:pt idx="5726">
                  <c:v> 15 </c:v>
                </c:pt>
                <c:pt idx="5727">
                  <c:v> 16 </c:v>
                </c:pt>
                <c:pt idx="5728">
                  <c:v> 17 </c:v>
                </c:pt>
                <c:pt idx="5729">
                  <c:v> 18 </c:v>
                </c:pt>
                <c:pt idx="5730">
                  <c:v> 19 </c:v>
                </c:pt>
                <c:pt idx="5731">
                  <c:v> 20 </c:v>
                </c:pt>
                <c:pt idx="5732">
                  <c:v> 21 </c:v>
                </c:pt>
                <c:pt idx="5733">
                  <c:v> 22 </c:v>
                </c:pt>
                <c:pt idx="5734">
                  <c:v> 23 </c:v>
                </c:pt>
                <c:pt idx="5735">
                  <c:v> 24 </c:v>
                </c:pt>
                <c:pt idx="5736">
                  <c:v>28 Aug 2014</c:v>
                </c:pt>
                <c:pt idx="5737">
                  <c:v> 2 </c:v>
                </c:pt>
                <c:pt idx="5738">
                  <c:v> 3 </c:v>
                </c:pt>
                <c:pt idx="5739">
                  <c:v> 4 </c:v>
                </c:pt>
                <c:pt idx="5740">
                  <c:v> 5 </c:v>
                </c:pt>
                <c:pt idx="5741">
                  <c:v> 6 </c:v>
                </c:pt>
                <c:pt idx="5742">
                  <c:v> 7 </c:v>
                </c:pt>
                <c:pt idx="5743">
                  <c:v> 8 </c:v>
                </c:pt>
                <c:pt idx="5744">
                  <c:v> 9 </c:v>
                </c:pt>
                <c:pt idx="5745">
                  <c:v> 10 </c:v>
                </c:pt>
                <c:pt idx="5746">
                  <c:v> 11 </c:v>
                </c:pt>
                <c:pt idx="5747">
                  <c:v> 12 </c:v>
                </c:pt>
                <c:pt idx="5748">
                  <c:v> 13 </c:v>
                </c:pt>
                <c:pt idx="5749">
                  <c:v> 14 </c:v>
                </c:pt>
                <c:pt idx="5750">
                  <c:v> 15 </c:v>
                </c:pt>
                <c:pt idx="5751">
                  <c:v> 16 </c:v>
                </c:pt>
                <c:pt idx="5752">
                  <c:v> 17 </c:v>
                </c:pt>
                <c:pt idx="5753">
                  <c:v> 18 </c:v>
                </c:pt>
                <c:pt idx="5754">
                  <c:v> 19 </c:v>
                </c:pt>
                <c:pt idx="5755">
                  <c:v> 20 </c:v>
                </c:pt>
                <c:pt idx="5756">
                  <c:v> 21 </c:v>
                </c:pt>
                <c:pt idx="5757">
                  <c:v> 22 </c:v>
                </c:pt>
                <c:pt idx="5758">
                  <c:v> 23 </c:v>
                </c:pt>
                <c:pt idx="5759">
                  <c:v> 24 </c:v>
                </c:pt>
                <c:pt idx="5760">
                  <c:v>29 Aug 2014</c:v>
                </c:pt>
                <c:pt idx="5761">
                  <c:v> 2 </c:v>
                </c:pt>
                <c:pt idx="5762">
                  <c:v> 3 </c:v>
                </c:pt>
                <c:pt idx="5763">
                  <c:v> 4 </c:v>
                </c:pt>
                <c:pt idx="5764">
                  <c:v> 5 </c:v>
                </c:pt>
                <c:pt idx="5765">
                  <c:v> 6 </c:v>
                </c:pt>
                <c:pt idx="5766">
                  <c:v> 7 </c:v>
                </c:pt>
                <c:pt idx="5767">
                  <c:v> 8 </c:v>
                </c:pt>
                <c:pt idx="5768">
                  <c:v> 9 </c:v>
                </c:pt>
                <c:pt idx="5769">
                  <c:v> 10 </c:v>
                </c:pt>
                <c:pt idx="5770">
                  <c:v> 11 </c:v>
                </c:pt>
                <c:pt idx="5771">
                  <c:v> 12 </c:v>
                </c:pt>
                <c:pt idx="5772">
                  <c:v> 13 </c:v>
                </c:pt>
                <c:pt idx="5773">
                  <c:v> 14 </c:v>
                </c:pt>
                <c:pt idx="5774">
                  <c:v> 15 </c:v>
                </c:pt>
                <c:pt idx="5775">
                  <c:v> 16 </c:v>
                </c:pt>
                <c:pt idx="5776">
                  <c:v> 17 </c:v>
                </c:pt>
                <c:pt idx="5777">
                  <c:v> 18 </c:v>
                </c:pt>
                <c:pt idx="5778">
                  <c:v> 19 </c:v>
                </c:pt>
                <c:pt idx="5779">
                  <c:v> 20 </c:v>
                </c:pt>
                <c:pt idx="5780">
                  <c:v> 21 </c:v>
                </c:pt>
                <c:pt idx="5781">
                  <c:v> 22 </c:v>
                </c:pt>
                <c:pt idx="5782">
                  <c:v> 23 </c:v>
                </c:pt>
                <c:pt idx="5783">
                  <c:v> 24 </c:v>
                </c:pt>
                <c:pt idx="5784">
                  <c:v>30 Aug 2014</c:v>
                </c:pt>
                <c:pt idx="5785">
                  <c:v> 2 </c:v>
                </c:pt>
                <c:pt idx="5786">
                  <c:v> 3 </c:v>
                </c:pt>
                <c:pt idx="5787">
                  <c:v> 4 </c:v>
                </c:pt>
                <c:pt idx="5788">
                  <c:v> 5 </c:v>
                </c:pt>
                <c:pt idx="5789">
                  <c:v> 6 </c:v>
                </c:pt>
                <c:pt idx="5790">
                  <c:v> 7 </c:v>
                </c:pt>
                <c:pt idx="5791">
                  <c:v> 8 </c:v>
                </c:pt>
                <c:pt idx="5792">
                  <c:v> 9 </c:v>
                </c:pt>
                <c:pt idx="5793">
                  <c:v> 10 </c:v>
                </c:pt>
                <c:pt idx="5794">
                  <c:v> 11 </c:v>
                </c:pt>
                <c:pt idx="5795">
                  <c:v> 12 </c:v>
                </c:pt>
                <c:pt idx="5796">
                  <c:v> 13 </c:v>
                </c:pt>
                <c:pt idx="5797">
                  <c:v> 14 </c:v>
                </c:pt>
                <c:pt idx="5798">
                  <c:v> 15 </c:v>
                </c:pt>
                <c:pt idx="5799">
                  <c:v> 16 </c:v>
                </c:pt>
                <c:pt idx="5800">
                  <c:v> 17 </c:v>
                </c:pt>
                <c:pt idx="5801">
                  <c:v> 18 </c:v>
                </c:pt>
                <c:pt idx="5802">
                  <c:v> 19 </c:v>
                </c:pt>
                <c:pt idx="5803">
                  <c:v> 20 </c:v>
                </c:pt>
                <c:pt idx="5804">
                  <c:v> 21 </c:v>
                </c:pt>
                <c:pt idx="5805">
                  <c:v> 22 </c:v>
                </c:pt>
                <c:pt idx="5806">
                  <c:v> 23 </c:v>
                </c:pt>
                <c:pt idx="5807">
                  <c:v> 24 </c:v>
                </c:pt>
                <c:pt idx="5808">
                  <c:v>31 Aug 2014</c:v>
                </c:pt>
                <c:pt idx="5809">
                  <c:v> 2 </c:v>
                </c:pt>
                <c:pt idx="5810">
                  <c:v> 3 </c:v>
                </c:pt>
                <c:pt idx="5811">
                  <c:v> 4 </c:v>
                </c:pt>
                <c:pt idx="5812">
                  <c:v> 5 </c:v>
                </c:pt>
                <c:pt idx="5813">
                  <c:v> 6 </c:v>
                </c:pt>
                <c:pt idx="5814">
                  <c:v> 7 </c:v>
                </c:pt>
                <c:pt idx="5815">
                  <c:v> 8 </c:v>
                </c:pt>
                <c:pt idx="5816">
                  <c:v> 9 </c:v>
                </c:pt>
                <c:pt idx="5817">
                  <c:v> 10 </c:v>
                </c:pt>
                <c:pt idx="5818">
                  <c:v> 11 </c:v>
                </c:pt>
                <c:pt idx="5819">
                  <c:v> 12 </c:v>
                </c:pt>
                <c:pt idx="5820">
                  <c:v> 13 </c:v>
                </c:pt>
                <c:pt idx="5821">
                  <c:v> 14 </c:v>
                </c:pt>
                <c:pt idx="5822">
                  <c:v> 15 </c:v>
                </c:pt>
                <c:pt idx="5823">
                  <c:v> 16 </c:v>
                </c:pt>
                <c:pt idx="5824">
                  <c:v> 17 </c:v>
                </c:pt>
                <c:pt idx="5825">
                  <c:v> 18 </c:v>
                </c:pt>
                <c:pt idx="5826">
                  <c:v> 19 </c:v>
                </c:pt>
                <c:pt idx="5827">
                  <c:v> 20 </c:v>
                </c:pt>
                <c:pt idx="5828">
                  <c:v> 21 </c:v>
                </c:pt>
                <c:pt idx="5829">
                  <c:v> 22 </c:v>
                </c:pt>
                <c:pt idx="5830">
                  <c:v> 23 </c:v>
                </c:pt>
                <c:pt idx="5831">
                  <c:v> 24 </c:v>
                </c:pt>
                <c:pt idx="5832">
                  <c:v>01 Sep 2014</c:v>
                </c:pt>
                <c:pt idx="5833">
                  <c:v> 2 </c:v>
                </c:pt>
                <c:pt idx="5834">
                  <c:v> 3 </c:v>
                </c:pt>
                <c:pt idx="5835">
                  <c:v> 4 </c:v>
                </c:pt>
                <c:pt idx="5836">
                  <c:v> 5 </c:v>
                </c:pt>
                <c:pt idx="5837">
                  <c:v> 6 </c:v>
                </c:pt>
                <c:pt idx="5838">
                  <c:v> 7 </c:v>
                </c:pt>
                <c:pt idx="5839">
                  <c:v> 8 </c:v>
                </c:pt>
                <c:pt idx="5840">
                  <c:v> 9 </c:v>
                </c:pt>
                <c:pt idx="5841">
                  <c:v> 10 </c:v>
                </c:pt>
                <c:pt idx="5842">
                  <c:v> 11 </c:v>
                </c:pt>
                <c:pt idx="5843">
                  <c:v> 12 </c:v>
                </c:pt>
                <c:pt idx="5844">
                  <c:v> 13 </c:v>
                </c:pt>
                <c:pt idx="5845">
                  <c:v> 14 </c:v>
                </c:pt>
                <c:pt idx="5846">
                  <c:v> 15 </c:v>
                </c:pt>
                <c:pt idx="5847">
                  <c:v> 16 </c:v>
                </c:pt>
                <c:pt idx="5848">
                  <c:v> 17 </c:v>
                </c:pt>
                <c:pt idx="5849">
                  <c:v> 18 </c:v>
                </c:pt>
                <c:pt idx="5850">
                  <c:v> 19 </c:v>
                </c:pt>
                <c:pt idx="5851">
                  <c:v> 20 </c:v>
                </c:pt>
                <c:pt idx="5852">
                  <c:v> 21 </c:v>
                </c:pt>
                <c:pt idx="5853">
                  <c:v> 22 </c:v>
                </c:pt>
                <c:pt idx="5854">
                  <c:v> 23 </c:v>
                </c:pt>
                <c:pt idx="5855">
                  <c:v> 24 </c:v>
                </c:pt>
                <c:pt idx="5856">
                  <c:v>02 Sep 2014</c:v>
                </c:pt>
                <c:pt idx="5857">
                  <c:v> 2 </c:v>
                </c:pt>
                <c:pt idx="5858">
                  <c:v> 3 </c:v>
                </c:pt>
                <c:pt idx="5859">
                  <c:v> 4 </c:v>
                </c:pt>
                <c:pt idx="5860">
                  <c:v> 5 </c:v>
                </c:pt>
                <c:pt idx="5861">
                  <c:v> 6 </c:v>
                </c:pt>
                <c:pt idx="5862">
                  <c:v> 7 </c:v>
                </c:pt>
                <c:pt idx="5863">
                  <c:v> 8 </c:v>
                </c:pt>
                <c:pt idx="5864">
                  <c:v> 9 </c:v>
                </c:pt>
                <c:pt idx="5865">
                  <c:v> 10 </c:v>
                </c:pt>
                <c:pt idx="5866">
                  <c:v> 11 </c:v>
                </c:pt>
                <c:pt idx="5867">
                  <c:v> 12 </c:v>
                </c:pt>
                <c:pt idx="5868">
                  <c:v> 13 </c:v>
                </c:pt>
                <c:pt idx="5869">
                  <c:v> 14 </c:v>
                </c:pt>
                <c:pt idx="5870">
                  <c:v> 15 </c:v>
                </c:pt>
                <c:pt idx="5871">
                  <c:v> 16 </c:v>
                </c:pt>
                <c:pt idx="5872">
                  <c:v> 17 </c:v>
                </c:pt>
                <c:pt idx="5873">
                  <c:v> 18 </c:v>
                </c:pt>
                <c:pt idx="5874">
                  <c:v> 19 </c:v>
                </c:pt>
                <c:pt idx="5875">
                  <c:v> 20 </c:v>
                </c:pt>
                <c:pt idx="5876">
                  <c:v> 21 </c:v>
                </c:pt>
                <c:pt idx="5877">
                  <c:v> 22 </c:v>
                </c:pt>
                <c:pt idx="5878">
                  <c:v> 23 </c:v>
                </c:pt>
                <c:pt idx="5879">
                  <c:v> 24 </c:v>
                </c:pt>
                <c:pt idx="5880">
                  <c:v>03 Sep 2014</c:v>
                </c:pt>
                <c:pt idx="5881">
                  <c:v> 2 </c:v>
                </c:pt>
                <c:pt idx="5882">
                  <c:v> 3 </c:v>
                </c:pt>
                <c:pt idx="5883">
                  <c:v> 4 </c:v>
                </c:pt>
                <c:pt idx="5884">
                  <c:v> 5 </c:v>
                </c:pt>
                <c:pt idx="5885">
                  <c:v> 6 </c:v>
                </c:pt>
                <c:pt idx="5886">
                  <c:v> 7 </c:v>
                </c:pt>
                <c:pt idx="5887">
                  <c:v> 8 </c:v>
                </c:pt>
                <c:pt idx="5888">
                  <c:v> 9 </c:v>
                </c:pt>
                <c:pt idx="5889">
                  <c:v> 10 </c:v>
                </c:pt>
                <c:pt idx="5890">
                  <c:v> 11 </c:v>
                </c:pt>
                <c:pt idx="5891">
                  <c:v> 12 </c:v>
                </c:pt>
                <c:pt idx="5892">
                  <c:v> 13 </c:v>
                </c:pt>
                <c:pt idx="5893">
                  <c:v> 14 </c:v>
                </c:pt>
                <c:pt idx="5894">
                  <c:v> 15 </c:v>
                </c:pt>
                <c:pt idx="5895">
                  <c:v> 16 </c:v>
                </c:pt>
                <c:pt idx="5896">
                  <c:v> 17 </c:v>
                </c:pt>
                <c:pt idx="5897">
                  <c:v> 18 </c:v>
                </c:pt>
                <c:pt idx="5898">
                  <c:v> 19 </c:v>
                </c:pt>
                <c:pt idx="5899">
                  <c:v> 20 </c:v>
                </c:pt>
                <c:pt idx="5900">
                  <c:v> 21 </c:v>
                </c:pt>
                <c:pt idx="5901">
                  <c:v> 22 </c:v>
                </c:pt>
                <c:pt idx="5902">
                  <c:v> 23 </c:v>
                </c:pt>
                <c:pt idx="5903">
                  <c:v> 24 </c:v>
                </c:pt>
                <c:pt idx="5904">
                  <c:v>04 Sep 2014</c:v>
                </c:pt>
                <c:pt idx="5905">
                  <c:v> 2 </c:v>
                </c:pt>
                <c:pt idx="5906">
                  <c:v> 3 </c:v>
                </c:pt>
                <c:pt idx="5907">
                  <c:v> 4 </c:v>
                </c:pt>
                <c:pt idx="5908">
                  <c:v> 5 </c:v>
                </c:pt>
                <c:pt idx="5909">
                  <c:v> 6 </c:v>
                </c:pt>
                <c:pt idx="5910">
                  <c:v> 7 </c:v>
                </c:pt>
                <c:pt idx="5911">
                  <c:v> 8 </c:v>
                </c:pt>
                <c:pt idx="5912">
                  <c:v> 9 </c:v>
                </c:pt>
                <c:pt idx="5913">
                  <c:v> 10 </c:v>
                </c:pt>
                <c:pt idx="5914">
                  <c:v> 11 </c:v>
                </c:pt>
                <c:pt idx="5915">
                  <c:v> 12 </c:v>
                </c:pt>
                <c:pt idx="5916">
                  <c:v> 13 </c:v>
                </c:pt>
                <c:pt idx="5917">
                  <c:v> 14 </c:v>
                </c:pt>
                <c:pt idx="5918">
                  <c:v> 15 </c:v>
                </c:pt>
                <c:pt idx="5919">
                  <c:v> 16 </c:v>
                </c:pt>
                <c:pt idx="5920">
                  <c:v> 17 </c:v>
                </c:pt>
                <c:pt idx="5921">
                  <c:v> 18 </c:v>
                </c:pt>
                <c:pt idx="5922">
                  <c:v> 19 </c:v>
                </c:pt>
                <c:pt idx="5923">
                  <c:v> 20 </c:v>
                </c:pt>
                <c:pt idx="5924">
                  <c:v> 21 </c:v>
                </c:pt>
                <c:pt idx="5925">
                  <c:v> 22 </c:v>
                </c:pt>
                <c:pt idx="5926">
                  <c:v> 23 </c:v>
                </c:pt>
                <c:pt idx="5927">
                  <c:v> 24 </c:v>
                </c:pt>
                <c:pt idx="5928">
                  <c:v>05 Sep 2014</c:v>
                </c:pt>
                <c:pt idx="5929">
                  <c:v> 2 </c:v>
                </c:pt>
                <c:pt idx="5930">
                  <c:v> 3 </c:v>
                </c:pt>
                <c:pt idx="5931">
                  <c:v> 4 </c:v>
                </c:pt>
                <c:pt idx="5932">
                  <c:v> 5 </c:v>
                </c:pt>
                <c:pt idx="5933">
                  <c:v> 6 </c:v>
                </c:pt>
                <c:pt idx="5934">
                  <c:v> 7 </c:v>
                </c:pt>
                <c:pt idx="5935">
                  <c:v> 8 </c:v>
                </c:pt>
                <c:pt idx="5936">
                  <c:v> 9 </c:v>
                </c:pt>
                <c:pt idx="5937">
                  <c:v> 10 </c:v>
                </c:pt>
                <c:pt idx="5938">
                  <c:v> 11 </c:v>
                </c:pt>
                <c:pt idx="5939">
                  <c:v> 12 </c:v>
                </c:pt>
                <c:pt idx="5940">
                  <c:v> 13 </c:v>
                </c:pt>
                <c:pt idx="5941">
                  <c:v> 14 </c:v>
                </c:pt>
                <c:pt idx="5942">
                  <c:v> 15 </c:v>
                </c:pt>
                <c:pt idx="5943">
                  <c:v> 16 </c:v>
                </c:pt>
                <c:pt idx="5944">
                  <c:v> 17 </c:v>
                </c:pt>
                <c:pt idx="5945">
                  <c:v> 18 </c:v>
                </c:pt>
                <c:pt idx="5946">
                  <c:v> 19 </c:v>
                </c:pt>
                <c:pt idx="5947">
                  <c:v> 20 </c:v>
                </c:pt>
                <c:pt idx="5948">
                  <c:v> 21 </c:v>
                </c:pt>
                <c:pt idx="5949">
                  <c:v> 22 </c:v>
                </c:pt>
                <c:pt idx="5950">
                  <c:v> 23 </c:v>
                </c:pt>
                <c:pt idx="5951">
                  <c:v> 24 </c:v>
                </c:pt>
                <c:pt idx="5952">
                  <c:v>06 Sep 2014</c:v>
                </c:pt>
                <c:pt idx="5953">
                  <c:v> 2 </c:v>
                </c:pt>
                <c:pt idx="5954">
                  <c:v> 3 </c:v>
                </c:pt>
                <c:pt idx="5955">
                  <c:v> 4 </c:v>
                </c:pt>
                <c:pt idx="5956">
                  <c:v> 5 </c:v>
                </c:pt>
                <c:pt idx="5957">
                  <c:v> 6 </c:v>
                </c:pt>
                <c:pt idx="5958">
                  <c:v> 7 </c:v>
                </c:pt>
                <c:pt idx="5959">
                  <c:v> 8 </c:v>
                </c:pt>
                <c:pt idx="5960">
                  <c:v> 9 </c:v>
                </c:pt>
                <c:pt idx="5961">
                  <c:v> 10 </c:v>
                </c:pt>
                <c:pt idx="5962">
                  <c:v> 11 </c:v>
                </c:pt>
                <c:pt idx="5963">
                  <c:v> 12 </c:v>
                </c:pt>
                <c:pt idx="5964">
                  <c:v> 13 </c:v>
                </c:pt>
                <c:pt idx="5965">
                  <c:v> 14 </c:v>
                </c:pt>
                <c:pt idx="5966">
                  <c:v> 15 </c:v>
                </c:pt>
                <c:pt idx="5967">
                  <c:v> 16 </c:v>
                </c:pt>
                <c:pt idx="5968">
                  <c:v> 17 </c:v>
                </c:pt>
                <c:pt idx="5969">
                  <c:v> 18 </c:v>
                </c:pt>
                <c:pt idx="5970">
                  <c:v> 19 </c:v>
                </c:pt>
                <c:pt idx="5971">
                  <c:v> 20 </c:v>
                </c:pt>
                <c:pt idx="5972">
                  <c:v> 21 </c:v>
                </c:pt>
                <c:pt idx="5973">
                  <c:v> 22 </c:v>
                </c:pt>
                <c:pt idx="5974">
                  <c:v> 23 </c:v>
                </c:pt>
                <c:pt idx="5975">
                  <c:v> 24 </c:v>
                </c:pt>
                <c:pt idx="5976">
                  <c:v>07 Sep 2014</c:v>
                </c:pt>
                <c:pt idx="5977">
                  <c:v> 2 </c:v>
                </c:pt>
                <c:pt idx="5978">
                  <c:v> 3 </c:v>
                </c:pt>
                <c:pt idx="5979">
                  <c:v> 4 </c:v>
                </c:pt>
                <c:pt idx="5980">
                  <c:v> 5 </c:v>
                </c:pt>
                <c:pt idx="5981">
                  <c:v> 6 </c:v>
                </c:pt>
                <c:pt idx="5982">
                  <c:v> 7 </c:v>
                </c:pt>
                <c:pt idx="5983">
                  <c:v> 8 </c:v>
                </c:pt>
                <c:pt idx="5984">
                  <c:v> 9 </c:v>
                </c:pt>
                <c:pt idx="5985">
                  <c:v> 10 </c:v>
                </c:pt>
                <c:pt idx="5986">
                  <c:v> 11 </c:v>
                </c:pt>
                <c:pt idx="5987">
                  <c:v> 12 </c:v>
                </c:pt>
                <c:pt idx="5988">
                  <c:v> 13 </c:v>
                </c:pt>
                <c:pt idx="5989">
                  <c:v> 14 </c:v>
                </c:pt>
                <c:pt idx="5990">
                  <c:v> 15 </c:v>
                </c:pt>
                <c:pt idx="5991">
                  <c:v> 16 </c:v>
                </c:pt>
                <c:pt idx="5992">
                  <c:v> 17 </c:v>
                </c:pt>
                <c:pt idx="5993">
                  <c:v> 18 </c:v>
                </c:pt>
                <c:pt idx="5994">
                  <c:v> 19 </c:v>
                </c:pt>
                <c:pt idx="5995">
                  <c:v> 20 </c:v>
                </c:pt>
                <c:pt idx="5996">
                  <c:v> 21 </c:v>
                </c:pt>
                <c:pt idx="5997">
                  <c:v> 22 </c:v>
                </c:pt>
                <c:pt idx="5998">
                  <c:v> 23 </c:v>
                </c:pt>
                <c:pt idx="5999">
                  <c:v> 24 </c:v>
                </c:pt>
                <c:pt idx="6000">
                  <c:v>08 Sep 2014</c:v>
                </c:pt>
                <c:pt idx="6001">
                  <c:v> 2 </c:v>
                </c:pt>
                <c:pt idx="6002">
                  <c:v> 3 </c:v>
                </c:pt>
                <c:pt idx="6003">
                  <c:v> 4 </c:v>
                </c:pt>
                <c:pt idx="6004">
                  <c:v> 5 </c:v>
                </c:pt>
                <c:pt idx="6005">
                  <c:v> 6 </c:v>
                </c:pt>
                <c:pt idx="6006">
                  <c:v> 7 </c:v>
                </c:pt>
                <c:pt idx="6007">
                  <c:v> 8 </c:v>
                </c:pt>
                <c:pt idx="6008">
                  <c:v> 9 </c:v>
                </c:pt>
                <c:pt idx="6009">
                  <c:v> 10 </c:v>
                </c:pt>
                <c:pt idx="6010">
                  <c:v> 11 </c:v>
                </c:pt>
                <c:pt idx="6011">
                  <c:v> 12 </c:v>
                </c:pt>
                <c:pt idx="6012">
                  <c:v> 13 </c:v>
                </c:pt>
                <c:pt idx="6013">
                  <c:v> 14 </c:v>
                </c:pt>
                <c:pt idx="6014">
                  <c:v> 15 </c:v>
                </c:pt>
                <c:pt idx="6015">
                  <c:v> 16 </c:v>
                </c:pt>
                <c:pt idx="6016">
                  <c:v> 17 </c:v>
                </c:pt>
                <c:pt idx="6017">
                  <c:v> 18 </c:v>
                </c:pt>
                <c:pt idx="6018">
                  <c:v> 19 </c:v>
                </c:pt>
                <c:pt idx="6019">
                  <c:v> 20 </c:v>
                </c:pt>
                <c:pt idx="6020">
                  <c:v> 21 </c:v>
                </c:pt>
                <c:pt idx="6021">
                  <c:v> 22 </c:v>
                </c:pt>
                <c:pt idx="6022">
                  <c:v> 23 </c:v>
                </c:pt>
                <c:pt idx="6023">
                  <c:v> 24 </c:v>
                </c:pt>
                <c:pt idx="6024">
                  <c:v>09 Sep 2014</c:v>
                </c:pt>
                <c:pt idx="6025">
                  <c:v> 2 </c:v>
                </c:pt>
                <c:pt idx="6026">
                  <c:v> 3 </c:v>
                </c:pt>
                <c:pt idx="6027">
                  <c:v> 4 </c:v>
                </c:pt>
                <c:pt idx="6028">
                  <c:v> 5 </c:v>
                </c:pt>
                <c:pt idx="6029">
                  <c:v> 6 </c:v>
                </c:pt>
                <c:pt idx="6030">
                  <c:v> 7 </c:v>
                </c:pt>
                <c:pt idx="6031">
                  <c:v> 8 </c:v>
                </c:pt>
                <c:pt idx="6032">
                  <c:v> 9 </c:v>
                </c:pt>
                <c:pt idx="6033">
                  <c:v> 10 </c:v>
                </c:pt>
                <c:pt idx="6034">
                  <c:v> 11 </c:v>
                </c:pt>
                <c:pt idx="6035">
                  <c:v> 12 </c:v>
                </c:pt>
                <c:pt idx="6036">
                  <c:v> 13 </c:v>
                </c:pt>
                <c:pt idx="6037">
                  <c:v> 14 </c:v>
                </c:pt>
                <c:pt idx="6038">
                  <c:v> 15 </c:v>
                </c:pt>
                <c:pt idx="6039">
                  <c:v> 16 </c:v>
                </c:pt>
                <c:pt idx="6040">
                  <c:v> 17 </c:v>
                </c:pt>
                <c:pt idx="6041">
                  <c:v> 18 </c:v>
                </c:pt>
                <c:pt idx="6042">
                  <c:v> 19 </c:v>
                </c:pt>
                <c:pt idx="6043">
                  <c:v> 20 </c:v>
                </c:pt>
                <c:pt idx="6044">
                  <c:v> 21 </c:v>
                </c:pt>
                <c:pt idx="6045">
                  <c:v> 22 </c:v>
                </c:pt>
                <c:pt idx="6046">
                  <c:v> 23 </c:v>
                </c:pt>
                <c:pt idx="6047">
                  <c:v> 24 </c:v>
                </c:pt>
                <c:pt idx="6048">
                  <c:v>10 Sep 2014</c:v>
                </c:pt>
                <c:pt idx="6049">
                  <c:v> 2 </c:v>
                </c:pt>
                <c:pt idx="6050">
                  <c:v> 3 </c:v>
                </c:pt>
                <c:pt idx="6051">
                  <c:v> 4 </c:v>
                </c:pt>
                <c:pt idx="6052">
                  <c:v> 5 </c:v>
                </c:pt>
                <c:pt idx="6053">
                  <c:v> 6 </c:v>
                </c:pt>
                <c:pt idx="6054">
                  <c:v> 7 </c:v>
                </c:pt>
                <c:pt idx="6055">
                  <c:v> 8 </c:v>
                </c:pt>
                <c:pt idx="6056">
                  <c:v> 9 </c:v>
                </c:pt>
                <c:pt idx="6057">
                  <c:v> 10 </c:v>
                </c:pt>
                <c:pt idx="6058">
                  <c:v> 11 </c:v>
                </c:pt>
                <c:pt idx="6059">
                  <c:v> 12 </c:v>
                </c:pt>
                <c:pt idx="6060">
                  <c:v> 13 </c:v>
                </c:pt>
                <c:pt idx="6061">
                  <c:v> 14 </c:v>
                </c:pt>
                <c:pt idx="6062">
                  <c:v> 15 </c:v>
                </c:pt>
                <c:pt idx="6063">
                  <c:v> 16 </c:v>
                </c:pt>
                <c:pt idx="6064">
                  <c:v> 17 </c:v>
                </c:pt>
                <c:pt idx="6065">
                  <c:v> 18 </c:v>
                </c:pt>
                <c:pt idx="6066">
                  <c:v> 19 </c:v>
                </c:pt>
                <c:pt idx="6067">
                  <c:v> 20 </c:v>
                </c:pt>
                <c:pt idx="6068">
                  <c:v> 21 </c:v>
                </c:pt>
                <c:pt idx="6069">
                  <c:v> 22 </c:v>
                </c:pt>
                <c:pt idx="6070">
                  <c:v> 23 </c:v>
                </c:pt>
                <c:pt idx="6071">
                  <c:v> 24 </c:v>
                </c:pt>
                <c:pt idx="6072">
                  <c:v>11 Sep 2014</c:v>
                </c:pt>
                <c:pt idx="6073">
                  <c:v> 2 </c:v>
                </c:pt>
                <c:pt idx="6074">
                  <c:v> 3 </c:v>
                </c:pt>
                <c:pt idx="6075">
                  <c:v> 4 </c:v>
                </c:pt>
                <c:pt idx="6076">
                  <c:v> 5 </c:v>
                </c:pt>
                <c:pt idx="6077">
                  <c:v> 6 </c:v>
                </c:pt>
                <c:pt idx="6078">
                  <c:v> 7 </c:v>
                </c:pt>
                <c:pt idx="6079">
                  <c:v> 8 </c:v>
                </c:pt>
                <c:pt idx="6080">
                  <c:v> 9 </c:v>
                </c:pt>
                <c:pt idx="6081">
                  <c:v> 10 </c:v>
                </c:pt>
                <c:pt idx="6082">
                  <c:v> 11 </c:v>
                </c:pt>
                <c:pt idx="6083">
                  <c:v> 12 </c:v>
                </c:pt>
                <c:pt idx="6084">
                  <c:v> 13 </c:v>
                </c:pt>
                <c:pt idx="6085">
                  <c:v> 14 </c:v>
                </c:pt>
                <c:pt idx="6086">
                  <c:v> 15 </c:v>
                </c:pt>
                <c:pt idx="6087">
                  <c:v> 16 </c:v>
                </c:pt>
                <c:pt idx="6088">
                  <c:v> 17 </c:v>
                </c:pt>
                <c:pt idx="6089">
                  <c:v> 18 </c:v>
                </c:pt>
                <c:pt idx="6090">
                  <c:v> 19 </c:v>
                </c:pt>
                <c:pt idx="6091">
                  <c:v> 20 </c:v>
                </c:pt>
                <c:pt idx="6092">
                  <c:v> 21 </c:v>
                </c:pt>
                <c:pt idx="6093">
                  <c:v> 22 </c:v>
                </c:pt>
                <c:pt idx="6094">
                  <c:v> 23 </c:v>
                </c:pt>
                <c:pt idx="6095">
                  <c:v> 24 </c:v>
                </c:pt>
                <c:pt idx="6096">
                  <c:v>12 Sep 2014</c:v>
                </c:pt>
                <c:pt idx="6097">
                  <c:v> 2 </c:v>
                </c:pt>
                <c:pt idx="6098">
                  <c:v> 3 </c:v>
                </c:pt>
                <c:pt idx="6099">
                  <c:v> 4 </c:v>
                </c:pt>
                <c:pt idx="6100">
                  <c:v> 5 </c:v>
                </c:pt>
                <c:pt idx="6101">
                  <c:v> 6 </c:v>
                </c:pt>
                <c:pt idx="6102">
                  <c:v> 7 </c:v>
                </c:pt>
                <c:pt idx="6103">
                  <c:v> 8 </c:v>
                </c:pt>
                <c:pt idx="6104">
                  <c:v> 9 </c:v>
                </c:pt>
                <c:pt idx="6105">
                  <c:v> 10 </c:v>
                </c:pt>
                <c:pt idx="6106">
                  <c:v> 11 </c:v>
                </c:pt>
                <c:pt idx="6107">
                  <c:v> 12 </c:v>
                </c:pt>
                <c:pt idx="6108">
                  <c:v> 13 </c:v>
                </c:pt>
                <c:pt idx="6109">
                  <c:v> 14 </c:v>
                </c:pt>
                <c:pt idx="6110">
                  <c:v> 15 </c:v>
                </c:pt>
                <c:pt idx="6111">
                  <c:v> 16 </c:v>
                </c:pt>
                <c:pt idx="6112">
                  <c:v> 17 </c:v>
                </c:pt>
                <c:pt idx="6113">
                  <c:v> 18 </c:v>
                </c:pt>
                <c:pt idx="6114">
                  <c:v> 19 </c:v>
                </c:pt>
                <c:pt idx="6115">
                  <c:v> 20 </c:v>
                </c:pt>
                <c:pt idx="6116">
                  <c:v> 21 </c:v>
                </c:pt>
                <c:pt idx="6117">
                  <c:v> 22 </c:v>
                </c:pt>
                <c:pt idx="6118">
                  <c:v> 23 </c:v>
                </c:pt>
                <c:pt idx="6119">
                  <c:v> 24 </c:v>
                </c:pt>
                <c:pt idx="6120">
                  <c:v>13 Sep 2014</c:v>
                </c:pt>
                <c:pt idx="6121">
                  <c:v> 2 </c:v>
                </c:pt>
                <c:pt idx="6122">
                  <c:v> 3 </c:v>
                </c:pt>
                <c:pt idx="6123">
                  <c:v> 4 </c:v>
                </c:pt>
                <c:pt idx="6124">
                  <c:v> 5 </c:v>
                </c:pt>
                <c:pt idx="6125">
                  <c:v> 6 </c:v>
                </c:pt>
                <c:pt idx="6126">
                  <c:v> 7 </c:v>
                </c:pt>
                <c:pt idx="6127">
                  <c:v> 8 </c:v>
                </c:pt>
                <c:pt idx="6128">
                  <c:v> 9 </c:v>
                </c:pt>
                <c:pt idx="6129">
                  <c:v> 10 </c:v>
                </c:pt>
                <c:pt idx="6130">
                  <c:v> 11 </c:v>
                </c:pt>
                <c:pt idx="6131">
                  <c:v> 12 </c:v>
                </c:pt>
                <c:pt idx="6132">
                  <c:v> 13 </c:v>
                </c:pt>
                <c:pt idx="6133">
                  <c:v> 14 </c:v>
                </c:pt>
                <c:pt idx="6134">
                  <c:v> 15 </c:v>
                </c:pt>
                <c:pt idx="6135">
                  <c:v> 16 </c:v>
                </c:pt>
                <c:pt idx="6136">
                  <c:v> 17 </c:v>
                </c:pt>
                <c:pt idx="6137">
                  <c:v> 18 </c:v>
                </c:pt>
                <c:pt idx="6138">
                  <c:v> 19 </c:v>
                </c:pt>
                <c:pt idx="6139">
                  <c:v> 20 </c:v>
                </c:pt>
                <c:pt idx="6140">
                  <c:v> 21 </c:v>
                </c:pt>
                <c:pt idx="6141">
                  <c:v> 22 </c:v>
                </c:pt>
                <c:pt idx="6142">
                  <c:v> 23 </c:v>
                </c:pt>
                <c:pt idx="6143">
                  <c:v> 24 </c:v>
                </c:pt>
                <c:pt idx="6144">
                  <c:v>14 Sep 2014</c:v>
                </c:pt>
                <c:pt idx="6145">
                  <c:v> 2 </c:v>
                </c:pt>
                <c:pt idx="6146">
                  <c:v> 3 </c:v>
                </c:pt>
                <c:pt idx="6147">
                  <c:v> 4 </c:v>
                </c:pt>
                <c:pt idx="6148">
                  <c:v> 5 </c:v>
                </c:pt>
                <c:pt idx="6149">
                  <c:v> 6 </c:v>
                </c:pt>
                <c:pt idx="6150">
                  <c:v> 7 </c:v>
                </c:pt>
                <c:pt idx="6151">
                  <c:v> 8 </c:v>
                </c:pt>
                <c:pt idx="6152">
                  <c:v> 9 </c:v>
                </c:pt>
                <c:pt idx="6153">
                  <c:v> 10 </c:v>
                </c:pt>
                <c:pt idx="6154">
                  <c:v> 11 </c:v>
                </c:pt>
                <c:pt idx="6155">
                  <c:v> 12 </c:v>
                </c:pt>
                <c:pt idx="6156">
                  <c:v> 13 </c:v>
                </c:pt>
                <c:pt idx="6157">
                  <c:v> 14 </c:v>
                </c:pt>
                <c:pt idx="6158">
                  <c:v> 15 </c:v>
                </c:pt>
                <c:pt idx="6159">
                  <c:v> 16 </c:v>
                </c:pt>
                <c:pt idx="6160">
                  <c:v> 17 </c:v>
                </c:pt>
                <c:pt idx="6161">
                  <c:v> 18 </c:v>
                </c:pt>
                <c:pt idx="6162">
                  <c:v> 19 </c:v>
                </c:pt>
                <c:pt idx="6163">
                  <c:v> 20 </c:v>
                </c:pt>
                <c:pt idx="6164">
                  <c:v> 21 </c:v>
                </c:pt>
                <c:pt idx="6165">
                  <c:v> 22 </c:v>
                </c:pt>
                <c:pt idx="6166">
                  <c:v> 23 </c:v>
                </c:pt>
                <c:pt idx="6167">
                  <c:v> 24 </c:v>
                </c:pt>
                <c:pt idx="6168">
                  <c:v>15 Sep 2014</c:v>
                </c:pt>
                <c:pt idx="6169">
                  <c:v> 2 </c:v>
                </c:pt>
                <c:pt idx="6170">
                  <c:v> 3 </c:v>
                </c:pt>
                <c:pt idx="6171">
                  <c:v> 4 </c:v>
                </c:pt>
                <c:pt idx="6172">
                  <c:v> 5 </c:v>
                </c:pt>
                <c:pt idx="6173">
                  <c:v> 6 </c:v>
                </c:pt>
                <c:pt idx="6174">
                  <c:v> 7 </c:v>
                </c:pt>
                <c:pt idx="6175">
                  <c:v> 8 </c:v>
                </c:pt>
                <c:pt idx="6176">
                  <c:v> 9 </c:v>
                </c:pt>
                <c:pt idx="6177">
                  <c:v> 10 </c:v>
                </c:pt>
                <c:pt idx="6178">
                  <c:v> 11 </c:v>
                </c:pt>
                <c:pt idx="6179">
                  <c:v> 12 </c:v>
                </c:pt>
                <c:pt idx="6180">
                  <c:v> 13 </c:v>
                </c:pt>
                <c:pt idx="6181">
                  <c:v> 14 </c:v>
                </c:pt>
                <c:pt idx="6182">
                  <c:v> 15 </c:v>
                </c:pt>
                <c:pt idx="6183">
                  <c:v> 16 </c:v>
                </c:pt>
                <c:pt idx="6184">
                  <c:v> 17 </c:v>
                </c:pt>
                <c:pt idx="6185">
                  <c:v> 18 </c:v>
                </c:pt>
                <c:pt idx="6186">
                  <c:v> 19 </c:v>
                </c:pt>
                <c:pt idx="6187">
                  <c:v> 20 </c:v>
                </c:pt>
                <c:pt idx="6188">
                  <c:v> 21 </c:v>
                </c:pt>
                <c:pt idx="6189">
                  <c:v> 22 </c:v>
                </c:pt>
                <c:pt idx="6190">
                  <c:v> 23 </c:v>
                </c:pt>
                <c:pt idx="6191">
                  <c:v> 24 </c:v>
                </c:pt>
                <c:pt idx="6192">
                  <c:v>16 Sep 2014</c:v>
                </c:pt>
                <c:pt idx="6193">
                  <c:v> 2 </c:v>
                </c:pt>
                <c:pt idx="6194">
                  <c:v> 3 </c:v>
                </c:pt>
                <c:pt idx="6195">
                  <c:v> 4 </c:v>
                </c:pt>
                <c:pt idx="6196">
                  <c:v> 5 </c:v>
                </c:pt>
                <c:pt idx="6197">
                  <c:v> 6 </c:v>
                </c:pt>
                <c:pt idx="6198">
                  <c:v> 7 </c:v>
                </c:pt>
                <c:pt idx="6199">
                  <c:v> 8 </c:v>
                </c:pt>
                <c:pt idx="6200">
                  <c:v> 9 </c:v>
                </c:pt>
                <c:pt idx="6201">
                  <c:v> 10 </c:v>
                </c:pt>
                <c:pt idx="6202">
                  <c:v> 11 </c:v>
                </c:pt>
                <c:pt idx="6203">
                  <c:v> 12 </c:v>
                </c:pt>
                <c:pt idx="6204">
                  <c:v> 13 </c:v>
                </c:pt>
                <c:pt idx="6205">
                  <c:v> 14 </c:v>
                </c:pt>
                <c:pt idx="6206">
                  <c:v> 15 </c:v>
                </c:pt>
                <c:pt idx="6207">
                  <c:v> 16 </c:v>
                </c:pt>
                <c:pt idx="6208">
                  <c:v> 17 </c:v>
                </c:pt>
                <c:pt idx="6209">
                  <c:v> 18 </c:v>
                </c:pt>
                <c:pt idx="6210">
                  <c:v> 19 </c:v>
                </c:pt>
                <c:pt idx="6211">
                  <c:v> 20 </c:v>
                </c:pt>
                <c:pt idx="6212">
                  <c:v> 21 </c:v>
                </c:pt>
                <c:pt idx="6213">
                  <c:v> 22 </c:v>
                </c:pt>
                <c:pt idx="6214">
                  <c:v> 23 </c:v>
                </c:pt>
                <c:pt idx="6215">
                  <c:v> 24 </c:v>
                </c:pt>
                <c:pt idx="6216">
                  <c:v>17 Sep 2014</c:v>
                </c:pt>
                <c:pt idx="6217">
                  <c:v> 2 </c:v>
                </c:pt>
                <c:pt idx="6218">
                  <c:v> 3 </c:v>
                </c:pt>
                <c:pt idx="6219">
                  <c:v> 4 </c:v>
                </c:pt>
                <c:pt idx="6220">
                  <c:v> 5 </c:v>
                </c:pt>
                <c:pt idx="6221">
                  <c:v> 6 </c:v>
                </c:pt>
                <c:pt idx="6222">
                  <c:v> 7 </c:v>
                </c:pt>
                <c:pt idx="6223">
                  <c:v> 8 </c:v>
                </c:pt>
                <c:pt idx="6224">
                  <c:v> 9 </c:v>
                </c:pt>
                <c:pt idx="6225">
                  <c:v> 10 </c:v>
                </c:pt>
                <c:pt idx="6226">
                  <c:v> 11 </c:v>
                </c:pt>
                <c:pt idx="6227">
                  <c:v> 12 </c:v>
                </c:pt>
                <c:pt idx="6228">
                  <c:v> 13 </c:v>
                </c:pt>
                <c:pt idx="6229">
                  <c:v> 14 </c:v>
                </c:pt>
                <c:pt idx="6230">
                  <c:v> 15 </c:v>
                </c:pt>
                <c:pt idx="6231">
                  <c:v> 16 </c:v>
                </c:pt>
                <c:pt idx="6232">
                  <c:v> 17 </c:v>
                </c:pt>
                <c:pt idx="6233">
                  <c:v> 18 </c:v>
                </c:pt>
                <c:pt idx="6234">
                  <c:v> 19 </c:v>
                </c:pt>
                <c:pt idx="6235">
                  <c:v> 20 </c:v>
                </c:pt>
                <c:pt idx="6236">
                  <c:v> 21 </c:v>
                </c:pt>
                <c:pt idx="6237">
                  <c:v> 22 </c:v>
                </c:pt>
                <c:pt idx="6238">
                  <c:v> 23 </c:v>
                </c:pt>
                <c:pt idx="6239">
                  <c:v> 24 </c:v>
                </c:pt>
                <c:pt idx="6240">
                  <c:v>18 Sep 2014</c:v>
                </c:pt>
                <c:pt idx="6241">
                  <c:v> 2 </c:v>
                </c:pt>
                <c:pt idx="6242">
                  <c:v> 3 </c:v>
                </c:pt>
                <c:pt idx="6243">
                  <c:v> 4 </c:v>
                </c:pt>
                <c:pt idx="6244">
                  <c:v> 5 </c:v>
                </c:pt>
                <c:pt idx="6245">
                  <c:v> 6 </c:v>
                </c:pt>
                <c:pt idx="6246">
                  <c:v> 7 </c:v>
                </c:pt>
                <c:pt idx="6247">
                  <c:v> 8 </c:v>
                </c:pt>
                <c:pt idx="6248">
                  <c:v> 9 </c:v>
                </c:pt>
                <c:pt idx="6249">
                  <c:v> 10 </c:v>
                </c:pt>
                <c:pt idx="6250">
                  <c:v> 11 </c:v>
                </c:pt>
                <c:pt idx="6251">
                  <c:v> 12 </c:v>
                </c:pt>
                <c:pt idx="6252">
                  <c:v> 13 </c:v>
                </c:pt>
                <c:pt idx="6253">
                  <c:v> 14 </c:v>
                </c:pt>
                <c:pt idx="6254">
                  <c:v> 15 </c:v>
                </c:pt>
                <c:pt idx="6255">
                  <c:v> 16 </c:v>
                </c:pt>
                <c:pt idx="6256">
                  <c:v> 17 </c:v>
                </c:pt>
                <c:pt idx="6257">
                  <c:v> 18 </c:v>
                </c:pt>
                <c:pt idx="6258">
                  <c:v> 19 </c:v>
                </c:pt>
                <c:pt idx="6259">
                  <c:v> 20 </c:v>
                </c:pt>
                <c:pt idx="6260">
                  <c:v> 21 </c:v>
                </c:pt>
                <c:pt idx="6261">
                  <c:v> 22 </c:v>
                </c:pt>
                <c:pt idx="6262">
                  <c:v> 23 </c:v>
                </c:pt>
                <c:pt idx="6263">
                  <c:v> 24 </c:v>
                </c:pt>
                <c:pt idx="6264">
                  <c:v>19 Sep 2014</c:v>
                </c:pt>
                <c:pt idx="6265">
                  <c:v> 2 </c:v>
                </c:pt>
                <c:pt idx="6266">
                  <c:v> 3 </c:v>
                </c:pt>
                <c:pt idx="6267">
                  <c:v> 4 </c:v>
                </c:pt>
                <c:pt idx="6268">
                  <c:v> 5 </c:v>
                </c:pt>
                <c:pt idx="6269">
                  <c:v> 6 </c:v>
                </c:pt>
                <c:pt idx="6270">
                  <c:v> 7 </c:v>
                </c:pt>
                <c:pt idx="6271">
                  <c:v> 8 </c:v>
                </c:pt>
                <c:pt idx="6272">
                  <c:v> 9 </c:v>
                </c:pt>
                <c:pt idx="6273">
                  <c:v> 10 </c:v>
                </c:pt>
                <c:pt idx="6274">
                  <c:v> 11 </c:v>
                </c:pt>
                <c:pt idx="6275">
                  <c:v> 12 </c:v>
                </c:pt>
                <c:pt idx="6276">
                  <c:v> 13 </c:v>
                </c:pt>
                <c:pt idx="6277">
                  <c:v> 14 </c:v>
                </c:pt>
                <c:pt idx="6278">
                  <c:v> 15 </c:v>
                </c:pt>
                <c:pt idx="6279">
                  <c:v> 16 </c:v>
                </c:pt>
                <c:pt idx="6280">
                  <c:v> 17 </c:v>
                </c:pt>
                <c:pt idx="6281">
                  <c:v> 18 </c:v>
                </c:pt>
                <c:pt idx="6282">
                  <c:v> 19 </c:v>
                </c:pt>
                <c:pt idx="6283">
                  <c:v> 20 </c:v>
                </c:pt>
                <c:pt idx="6284">
                  <c:v> 21 </c:v>
                </c:pt>
                <c:pt idx="6285">
                  <c:v> 22 </c:v>
                </c:pt>
                <c:pt idx="6286">
                  <c:v> 23 </c:v>
                </c:pt>
                <c:pt idx="6287">
                  <c:v> 24 </c:v>
                </c:pt>
                <c:pt idx="6288">
                  <c:v>20 Sep 2014</c:v>
                </c:pt>
                <c:pt idx="6289">
                  <c:v> 2 </c:v>
                </c:pt>
                <c:pt idx="6290">
                  <c:v> 3 </c:v>
                </c:pt>
                <c:pt idx="6291">
                  <c:v> 4 </c:v>
                </c:pt>
                <c:pt idx="6292">
                  <c:v> 5 </c:v>
                </c:pt>
                <c:pt idx="6293">
                  <c:v> 6 </c:v>
                </c:pt>
                <c:pt idx="6294">
                  <c:v> 7 </c:v>
                </c:pt>
                <c:pt idx="6295">
                  <c:v> 8 </c:v>
                </c:pt>
                <c:pt idx="6296">
                  <c:v> 9 </c:v>
                </c:pt>
                <c:pt idx="6297">
                  <c:v> 10 </c:v>
                </c:pt>
                <c:pt idx="6298">
                  <c:v> 11 </c:v>
                </c:pt>
                <c:pt idx="6299">
                  <c:v> 12 </c:v>
                </c:pt>
                <c:pt idx="6300">
                  <c:v> 13 </c:v>
                </c:pt>
                <c:pt idx="6301">
                  <c:v> 14 </c:v>
                </c:pt>
                <c:pt idx="6302">
                  <c:v> 15 </c:v>
                </c:pt>
                <c:pt idx="6303">
                  <c:v> 16 </c:v>
                </c:pt>
                <c:pt idx="6304">
                  <c:v> 17 </c:v>
                </c:pt>
                <c:pt idx="6305">
                  <c:v> 18 </c:v>
                </c:pt>
                <c:pt idx="6306">
                  <c:v> 19 </c:v>
                </c:pt>
                <c:pt idx="6307">
                  <c:v> 20 </c:v>
                </c:pt>
                <c:pt idx="6308">
                  <c:v> 21 </c:v>
                </c:pt>
                <c:pt idx="6309">
                  <c:v> 22 </c:v>
                </c:pt>
                <c:pt idx="6310">
                  <c:v> 23 </c:v>
                </c:pt>
                <c:pt idx="6311">
                  <c:v> 24 </c:v>
                </c:pt>
                <c:pt idx="6312">
                  <c:v>21 Sep 2014</c:v>
                </c:pt>
                <c:pt idx="6313">
                  <c:v> 2 </c:v>
                </c:pt>
                <c:pt idx="6314">
                  <c:v> 3 </c:v>
                </c:pt>
                <c:pt idx="6315">
                  <c:v> 4 </c:v>
                </c:pt>
                <c:pt idx="6316">
                  <c:v> 5 </c:v>
                </c:pt>
                <c:pt idx="6317">
                  <c:v> 6 </c:v>
                </c:pt>
                <c:pt idx="6318">
                  <c:v> 7 </c:v>
                </c:pt>
                <c:pt idx="6319">
                  <c:v> 8 </c:v>
                </c:pt>
                <c:pt idx="6320">
                  <c:v> 9 </c:v>
                </c:pt>
                <c:pt idx="6321">
                  <c:v> 10 </c:v>
                </c:pt>
                <c:pt idx="6322">
                  <c:v> 11 </c:v>
                </c:pt>
                <c:pt idx="6323">
                  <c:v> 12 </c:v>
                </c:pt>
                <c:pt idx="6324">
                  <c:v> 13 </c:v>
                </c:pt>
                <c:pt idx="6325">
                  <c:v> 14 </c:v>
                </c:pt>
                <c:pt idx="6326">
                  <c:v> 15 </c:v>
                </c:pt>
                <c:pt idx="6327">
                  <c:v> 16 </c:v>
                </c:pt>
                <c:pt idx="6328">
                  <c:v> 17 </c:v>
                </c:pt>
                <c:pt idx="6329">
                  <c:v> 18 </c:v>
                </c:pt>
                <c:pt idx="6330">
                  <c:v> 19 </c:v>
                </c:pt>
                <c:pt idx="6331">
                  <c:v> 20 </c:v>
                </c:pt>
                <c:pt idx="6332">
                  <c:v> 21 </c:v>
                </c:pt>
                <c:pt idx="6333">
                  <c:v> 22 </c:v>
                </c:pt>
                <c:pt idx="6334">
                  <c:v> 23 </c:v>
                </c:pt>
                <c:pt idx="6335">
                  <c:v> 24 </c:v>
                </c:pt>
                <c:pt idx="6336">
                  <c:v>22 Sep 2014</c:v>
                </c:pt>
                <c:pt idx="6337">
                  <c:v> 2 </c:v>
                </c:pt>
                <c:pt idx="6338">
                  <c:v> 3 </c:v>
                </c:pt>
                <c:pt idx="6339">
                  <c:v> 4 </c:v>
                </c:pt>
                <c:pt idx="6340">
                  <c:v> 5 </c:v>
                </c:pt>
                <c:pt idx="6341">
                  <c:v> 6 </c:v>
                </c:pt>
                <c:pt idx="6342">
                  <c:v> 7 </c:v>
                </c:pt>
                <c:pt idx="6343">
                  <c:v> 8 </c:v>
                </c:pt>
                <c:pt idx="6344">
                  <c:v> 9 </c:v>
                </c:pt>
                <c:pt idx="6345">
                  <c:v> 10 </c:v>
                </c:pt>
                <c:pt idx="6346">
                  <c:v> 11 </c:v>
                </c:pt>
                <c:pt idx="6347">
                  <c:v> 12 </c:v>
                </c:pt>
                <c:pt idx="6348">
                  <c:v> 13 </c:v>
                </c:pt>
                <c:pt idx="6349">
                  <c:v> 14 </c:v>
                </c:pt>
                <c:pt idx="6350">
                  <c:v> 15 </c:v>
                </c:pt>
                <c:pt idx="6351">
                  <c:v> 16 </c:v>
                </c:pt>
                <c:pt idx="6352">
                  <c:v> 17 </c:v>
                </c:pt>
                <c:pt idx="6353">
                  <c:v> 18 </c:v>
                </c:pt>
                <c:pt idx="6354">
                  <c:v> 19 </c:v>
                </c:pt>
                <c:pt idx="6355">
                  <c:v> 20 </c:v>
                </c:pt>
                <c:pt idx="6356">
                  <c:v> 21 </c:v>
                </c:pt>
                <c:pt idx="6357">
                  <c:v> 22 </c:v>
                </c:pt>
                <c:pt idx="6358">
                  <c:v> 23 </c:v>
                </c:pt>
                <c:pt idx="6359">
                  <c:v> 24 </c:v>
                </c:pt>
                <c:pt idx="6360">
                  <c:v>23 Sep 2014</c:v>
                </c:pt>
                <c:pt idx="6361">
                  <c:v> 2 </c:v>
                </c:pt>
                <c:pt idx="6362">
                  <c:v> 3 </c:v>
                </c:pt>
                <c:pt idx="6363">
                  <c:v> 4 </c:v>
                </c:pt>
                <c:pt idx="6364">
                  <c:v> 5 </c:v>
                </c:pt>
                <c:pt idx="6365">
                  <c:v> 6 </c:v>
                </c:pt>
                <c:pt idx="6366">
                  <c:v> 7 </c:v>
                </c:pt>
                <c:pt idx="6367">
                  <c:v> 8 </c:v>
                </c:pt>
                <c:pt idx="6368">
                  <c:v> 9 </c:v>
                </c:pt>
                <c:pt idx="6369">
                  <c:v> 10 </c:v>
                </c:pt>
                <c:pt idx="6370">
                  <c:v> 11 </c:v>
                </c:pt>
                <c:pt idx="6371">
                  <c:v> 12 </c:v>
                </c:pt>
                <c:pt idx="6372">
                  <c:v> 13 </c:v>
                </c:pt>
                <c:pt idx="6373">
                  <c:v> 14 </c:v>
                </c:pt>
                <c:pt idx="6374">
                  <c:v> 15 </c:v>
                </c:pt>
                <c:pt idx="6375">
                  <c:v> 16 </c:v>
                </c:pt>
                <c:pt idx="6376">
                  <c:v> 17 </c:v>
                </c:pt>
                <c:pt idx="6377">
                  <c:v> 18 </c:v>
                </c:pt>
                <c:pt idx="6378">
                  <c:v> 19 </c:v>
                </c:pt>
                <c:pt idx="6379">
                  <c:v> 20 </c:v>
                </c:pt>
                <c:pt idx="6380">
                  <c:v> 21 </c:v>
                </c:pt>
                <c:pt idx="6381">
                  <c:v> 22 </c:v>
                </c:pt>
                <c:pt idx="6382">
                  <c:v> 23 </c:v>
                </c:pt>
                <c:pt idx="6383">
                  <c:v> 24 </c:v>
                </c:pt>
                <c:pt idx="6384">
                  <c:v>24 Sep 2014</c:v>
                </c:pt>
                <c:pt idx="6385">
                  <c:v> 2 </c:v>
                </c:pt>
                <c:pt idx="6386">
                  <c:v> 3 </c:v>
                </c:pt>
                <c:pt idx="6387">
                  <c:v> 4 </c:v>
                </c:pt>
                <c:pt idx="6388">
                  <c:v> 5 </c:v>
                </c:pt>
                <c:pt idx="6389">
                  <c:v> 6 </c:v>
                </c:pt>
                <c:pt idx="6390">
                  <c:v> 7 </c:v>
                </c:pt>
                <c:pt idx="6391">
                  <c:v> 8 </c:v>
                </c:pt>
                <c:pt idx="6392">
                  <c:v> 9 </c:v>
                </c:pt>
                <c:pt idx="6393">
                  <c:v> 10 </c:v>
                </c:pt>
                <c:pt idx="6394">
                  <c:v> 11 </c:v>
                </c:pt>
                <c:pt idx="6395">
                  <c:v> 12 </c:v>
                </c:pt>
                <c:pt idx="6396">
                  <c:v> 13 </c:v>
                </c:pt>
                <c:pt idx="6397">
                  <c:v> 14 </c:v>
                </c:pt>
                <c:pt idx="6398">
                  <c:v> 15 </c:v>
                </c:pt>
                <c:pt idx="6399">
                  <c:v> 16 </c:v>
                </c:pt>
                <c:pt idx="6400">
                  <c:v> 17 </c:v>
                </c:pt>
                <c:pt idx="6401">
                  <c:v> 18 </c:v>
                </c:pt>
                <c:pt idx="6402">
                  <c:v> 19 </c:v>
                </c:pt>
                <c:pt idx="6403">
                  <c:v> 20 </c:v>
                </c:pt>
                <c:pt idx="6404">
                  <c:v> 21 </c:v>
                </c:pt>
                <c:pt idx="6405">
                  <c:v> 22 </c:v>
                </c:pt>
                <c:pt idx="6406">
                  <c:v> 23 </c:v>
                </c:pt>
                <c:pt idx="6407">
                  <c:v> 24 </c:v>
                </c:pt>
                <c:pt idx="6408">
                  <c:v>25 Sep 2014</c:v>
                </c:pt>
                <c:pt idx="6409">
                  <c:v> 2 </c:v>
                </c:pt>
                <c:pt idx="6410">
                  <c:v> 3 </c:v>
                </c:pt>
                <c:pt idx="6411">
                  <c:v> 4 </c:v>
                </c:pt>
                <c:pt idx="6412">
                  <c:v> 5 </c:v>
                </c:pt>
                <c:pt idx="6413">
                  <c:v> 6 </c:v>
                </c:pt>
                <c:pt idx="6414">
                  <c:v> 7 </c:v>
                </c:pt>
                <c:pt idx="6415">
                  <c:v> 8 </c:v>
                </c:pt>
                <c:pt idx="6416">
                  <c:v> 9 </c:v>
                </c:pt>
                <c:pt idx="6417">
                  <c:v> 10 </c:v>
                </c:pt>
                <c:pt idx="6418">
                  <c:v> 11 </c:v>
                </c:pt>
                <c:pt idx="6419">
                  <c:v> 12 </c:v>
                </c:pt>
                <c:pt idx="6420">
                  <c:v> 13 </c:v>
                </c:pt>
                <c:pt idx="6421">
                  <c:v> 14 </c:v>
                </c:pt>
                <c:pt idx="6422">
                  <c:v> 15 </c:v>
                </c:pt>
                <c:pt idx="6423">
                  <c:v> 16 </c:v>
                </c:pt>
                <c:pt idx="6424">
                  <c:v> 17 </c:v>
                </c:pt>
                <c:pt idx="6425">
                  <c:v> 18 </c:v>
                </c:pt>
                <c:pt idx="6426">
                  <c:v> 19 </c:v>
                </c:pt>
                <c:pt idx="6427">
                  <c:v> 20 </c:v>
                </c:pt>
                <c:pt idx="6428">
                  <c:v> 21 </c:v>
                </c:pt>
                <c:pt idx="6429">
                  <c:v> 22 </c:v>
                </c:pt>
                <c:pt idx="6430">
                  <c:v> 23 </c:v>
                </c:pt>
                <c:pt idx="6431">
                  <c:v> 24 </c:v>
                </c:pt>
                <c:pt idx="6432">
                  <c:v>26 Sep 2014</c:v>
                </c:pt>
                <c:pt idx="6433">
                  <c:v> 2 </c:v>
                </c:pt>
                <c:pt idx="6434">
                  <c:v> 3 </c:v>
                </c:pt>
                <c:pt idx="6435">
                  <c:v> 4 </c:v>
                </c:pt>
                <c:pt idx="6436">
                  <c:v> 5 </c:v>
                </c:pt>
                <c:pt idx="6437">
                  <c:v> 6 </c:v>
                </c:pt>
                <c:pt idx="6438">
                  <c:v> 7 </c:v>
                </c:pt>
                <c:pt idx="6439">
                  <c:v> 8 </c:v>
                </c:pt>
                <c:pt idx="6440">
                  <c:v> 9 </c:v>
                </c:pt>
                <c:pt idx="6441">
                  <c:v> 10 </c:v>
                </c:pt>
                <c:pt idx="6442">
                  <c:v> 11 </c:v>
                </c:pt>
                <c:pt idx="6443">
                  <c:v> 12 </c:v>
                </c:pt>
                <c:pt idx="6444">
                  <c:v> 13 </c:v>
                </c:pt>
                <c:pt idx="6445">
                  <c:v> 14 </c:v>
                </c:pt>
                <c:pt idx="6446">
                  <c:v> 15 </c:v>
                </c:pt>
                <c:pt idx="6447">
                  <c:v> 16 </c:v>
                </c:pt>
                <c:pt idx="6448">
                  <c:v> 17 </c:v>
                </c:pt>
                <c:pt idx="6449">
                  <c:v> 18 </c:v>
                </c:pt>
                <c:pt idx="6450">
                  <c:v> 19 </c:v>
                </c:pt>
                <c:pt idx="6451">
                  <c:v> 20 </c:v>
                </c:pt>
                <c:pt idx="6452">
                  <c:v> 21 </c:v>
                </c:pt>
                <c:pt idx="6453">
                  <c:v> 22 </c:v>
                </c:pt>
                <c:pt idx="6454">
                  <c:v> 23 </c:v>
                </c:pt>
                <c:pt idx="6455">
                  <c:v> 24 </c:v>
                </c:pt>
                <c:pt idx="6456">
                  <c:v>27 Sep 2014</c:v>
                </c:pt>
                <c:pt idx="6457">
                  <c:v> 2 </c:v>
                </c:pt>
                <c:pt idx="6458">
                  <c:v> 3 </c:v>
                </c:pt>
                <c:pt idx="6459">
                  <c:v> 4 </c:v>
                </c:pt>
                <c:pt idx="6460">
                  <c:v> 5 </c:v>
                </c:pt>
                <c:pt idx="6461">
                  <c:v> 6 </c:v>
                </c:pt>
                <c:pt idx="6462">
                  <c:v> 7 </c:v>
                </c:pt>
                <c:pt idx="6463">
                  <c:v> 8 </c:v>
                </c:pt>
                <c:pt idx="6464">
                  <c:v> 9 </c:v>
                </c:pt>
                <c:pt idx="6465">
                  <c:v> 10 </c:v>
                </c:pt>
                <c:pt idx="6466">
                  <c:v> 11 </c:v>
                </c:pt>
                <c:pt idx="6467">
                  <c:v> 12 </c:v>
                </c:pt>
                <c:pt idx="6468">
                  <c:v> 13 </c:v>
                </c:pt>
                <c:pt idx="6469">
                  <c:v> 14 </c:v>
                </c:pt>
                <c:pt idx="6470">
                  <c:v> 15 </c:v>
                </c:pt>
                <c:pt idx="6471">
                  <c:v> 16 </c:v>
                </c:pt>
                <c:pt idx="6472">
                  <c:v> 17 </c:v>
                </c:pt>
                <c:pt idx="6473">
                  <c:v> 18 </c:v>
                </c:pt>
                <c:pt idx="6474">
                  <c:v> 19 </c:v>
                </c:pt>
                <c:pt idx="6475">
                  <c:v> 20 </c:v>
                </c:pt>
                <c:pt idx="6476">
                  <c:v> 21 </c:v>
                </c:pt>
                <c:pt idx="6477">
                  <c:v> 22 </c:v>
                </c:pt>
                <c:pt idx="6478">
                  <c:v> 23 </c:v>
                </c:pt>
                <c:pt idx="6479">
                  <c:v> 24 </c:v>
                </c:pt>
                <c:pt idx="6480">
                  <c:v>28 Sep 2014</c:v>
                </c:pt>
                <c:pt idx="6481">
                  <c:v> 2 </c:v>
                </c:pt>
                <c:pt idx="6482">
                  <c:v> 3 </c:v>
                </c:pt>
                <c:pt idx="6483">
                  <c:v> 4 </c:v>
                </c:pt>
                <c:pt idx="6484">
                  <c:v> 5 </c:v>
                </c:pt>
                <c:pt idx="6485">
                  <c:v> 6 </c:v>
                </c:pt>
                <c:pt idx="6486">
                  <c:v> 7 </c:v>
                </c:pt>
                <c:pt idx="6487">
                  <c:v> 8 </c:v>
                </c:pt>
                <c:pt idx="6488">
                  <c:v> 9 </c:v>
                </c:pt>
                <c:pt idx="6489">
                  <c:v> 10 </c:v>
                </c:pt>
                <c:pt idx="6490">
                  <c:v> 11 </c:v>
                </c:pt>
                <c:pt idx="6491">
                  <c:v> 12 </c:v>
                </c:pt>
                <c:pt idx="6492">
                  <c:v> 13 </c:v>
                </c:pt>
                <c:pt idx="6493">
                  <c:v> 14 </c:v>
                </c:pt>
                <c:pt idx="6494">
                  <c:v> 15 </c:v>
                </c:pt>
                <c:pt idx="6495">
                  <c:v> 16 </c:v>
                </c:pt>
                <c:pt idx="6496">
                  <c:v> 17 </c:v>
                </c:pt>
                <c:pt idx="6497">
                  <c:v> 18 </c:v>
                </c:pt>
                <c:pt idx="6498">
                  <c:v> 19 </c:v>
                </c:pt>
                <c:pt idx="6499">
                  <c:v> 20 </c:v>
                </c:pt>
                <c:pt idx="6500">
                  <c:v> 21 </c:v>
                </c:pt>
                <c:pt idx="6501">
                  <c:v> 22 </c:v>
                </c:pt>
                <c:pt idx="6502">
                  <c:v> 23 </c:v>
                </c:pt>
                <c:pt idx="6503">
                  <c:v> 24 </c:v>
                </c:pt>
                <c:pt idx="6504">
                  <c:v>29 Sep 2014</c:v>
                </c:pt>
                <c:pt idx="6505">
                  <c:v> 2 </c:v>
                </c:pt>
                <c:pt idx="6506">
                  <c:v> 3 </c:v>
                </c:pt>
                <c:pt idx="6507">
                  <c:v> 4 </c:v>
                </c:pt>
                <c:pt idx="6508">
                  <c:v> 5 </c:v>
                </c:pt>
                <c:pt idx="6509">
                  <c:v> 6 </c:v>
                </c:pt>
                <c:pt idx="6510">
                  <c:v> 7 </c:v>
                </c:pt>
                <c:pt idx="6511">
                  <c:v> 8 </c:v>
                </c:pt>
                <c:pt idx="6512">
                  <c:v> 9 </c:v>
                </c:pt>
                <c:pt idx="6513">
                  <c:v> 10 </c:v>
                </c:pt>
                <c:pt idx="6514">
                  <c:v> 11 </c:v>
                </c:pt>
                <c:pt idx="6515">
                  <c:v> 12 </c:v>
                </c:pt>
                <c:pt idx="6516">
                  <c:v> 13 </c:v>
                </c:pt>
                <c:pt idx="6517">
                  <c:v> 14 </c:v>
                </c:pt>
                <c:pt idx="6518">
                  <c:v> 15 </c:v>
                </c:pt>
                <c:pt idx="6519">
                  <c:v> 16 </c:v>
                </c:pt>
                <c:pt idx="6520">
                  <c:v> 17 </c:v>
                </c:pt>
                <c:pt idx="6521">
                  <c:v> 18 </c:v>
                </c:pt>
                <c:pt idx="6522">
                  <c:v> 19 </c:v>
                </c:pt>
                <c:pt idx="6523">
                  <c:v> 20 </c:v>
                </c:pt>
                <c:pt idx="6524">
                  <c:v> 21 </c:v>
                </c:pt>
                <c:pt idx="6525">
                  <c:v> 22 </c:v>
                </c:pt>
                <c:pt idx="6526">
                  <c:v> 23 </c:v>
                </c:pt>
                <c:pt idx="6527">
                  <c:v> 24 </c:v>
                </c:pt>
                <c:pt idx="6528">
                  <c:v>30 Sep 2014</c:v>
                </c:pt>
                <c:pt idx="6529">
                  <c:v> 2 </c:v>
                </c:pt>
                <c:pt idx="6530">
                  <c:v> 3 </c:v>
                </c:pt>
                <c:pt idx="6531">
                  <c:v> 4 </c:v>
                </c:pt>
                <c:pt idx="6532">
                  <c:v> 5 </c:v>
                </c:pt>
                <c:pt idx="6533">
                  <c:v> 6 </c:v>
                </c:pt>
                <c:pt idx="6534">
                  <c:v> 7 </c:v>
                </c:pt>
                <c:pt idx="6535">
                  <c:v> 8 </c:v>
                </c:pt>
                <c:pt idx="6536">
                  <c:v> 9 </c:v>
                </c:pt>
                <c:pt idx="6537">
                  <c:v> 10 </c:v>
                </c:pt>
                <c:pt idx="6538">
                  <c:v> 11 </c:v>
                </c:pt>
                <c:pt idx="6539">
                  <c:v> 12 </c:v>
                </c:pt>
                <c:pt idx="6540">
                  <c:v> 13 </c:v>
                </c:pt>
                <c:pt idx="6541">
                  <c:v> 14 </c:v>
                </c:pt>
                <c:pt idx="6542">
                  <c:v> 15 </c:v>
                </c:pt>
                <c:pt idx="6543">
                  <c:v> 16 </c:v>
                </c:pt>
                <c:pt idx="6544">
                  <c:v> 17 </c:v>
                </c:pt>
                <c:pt idx="6545">
                  <c:v> 18 </c:v>
                </c:pt>
                <c:pt idx="6546">
                  <c:v> 19 </c:v>
                </c:pt>
                <c:pt idx="6547">
                  <c:v> 20 </c:v>
                </c:pt>
                <c:pt idx="6548">
                  <c:v> 21 </c:v>
                </c:pt>
                <c:pt idx="6549">
                  <c:v> 22 </c:v>
                </c:pt>
                <c:pt idx="6550">
                  <c:v> 23 </c:v>
                </c:pt>
                <c:pt idx="6551">
                  <c:v> 24 </c:v>
                </c:pt>
                <c:pt idx="6552">
                  <c:v>01 Oct 2014</c:v>
                </c:pt>
                <c:pt idx="6553">
                  <c:v> 2 </c:v>
                </c:pt>
                <c:pt idx="6554">
                  <c:v> 3 </c:v>
                </c:pt>
                <c:pt idx="6555">
                  <c:v> 4 </c:v>
                </c:pt>
                <c:pt idx="6556">
                  <c:v> 5 </c:v>
                </c:pt>
                <c:pt idx="6557">
                  <c:v> 6 </c:v>
                </c:pt>
                <c:pt idx="6558">
                  <c:v> 7 </c:v>
                </c:pt>
                <c:pt idx="6559">
                  <c:v> 8 </c:v>
                </c:pt>
                <c:pt idx="6560">
                  <c:v> 9 </c:v>
                </c:pt>
                <c:pt idx="6561">
                  <c:v> 10 </c:v>
                </c:pt>
                <c:pt idx="6562">
                  <c:v> 11 </c:v>
                </c:pt>
                <c:pt idx="6563">
                  <c:v> 12 </c:v>
                </c:pt>
                <c:pt idx="6564">
                  <c:v> 13 </c:v>
                </c:pt>
                <c:pt idx="6565">
                  <c:v> 14 </c:v>
                </c:pt>
                <c:pt idx="6566">
                  <c:v> 15 </c:v>
                </c:pt>
                <c:pt idx="6567">
                  <c:v> 16 </c:v>
                </c:pt>
                <c:pt idx="6568">
                  <c:v> 17 </c:v>
                </c:pt>
                <c:pt idx="6569">
                  <c:v> 18 </c:v>
                </c:pt>
                <c:pt idx="6570">
                  <c:v> 19 </c:v>
                </c:pt>
                <c:pt idx="6571">
                  <c:v> 20 </c:v>
                </c:pt>
                <c:pt idx="6572">
                  <c:v> 21 </c:v>
                </c:pt>
                <c:pt idx="6573">
                  <c:v> 22 </c:v>
                </c:pt>
                <c:pt idx="6574">
                  <c:v> 23 </c:v>
                </c:pt>
                <c:pt idx="6575">
                  <c:v> 24 </c:v>
                </c:pt>
                <c:pt idx="6576">
                  <c:v>02 Oct 2014</c:v>
                </c:pt>
                <c:pt idx="6577">
                  <c:v> 2 </c:v>
                </c:pt>
                <c:pt idx="6578">
                  <c:v> 3 </c:v>
                </c:pt>
                <c:pt idx="6579">
                  <c:v> 4 </c:v>
                </c:pt>
                <c:pt idx="6580">
                  <c:v> 5 </c:v>
                </c:pt>
                <c:pt idx="6581">
                  <c:v> 6 </c:v>
                </c:pt>
                <c:pt idx="6582">
                  <c:v> 7 </c:v>
                </c:pt>
                <c:pt idx="6583">
                  <c:v> 8 </c:v>
                </c:pt>
                <c:pt idx="6584">
                  <c:v> 9 </c:v>
                </c:pt>
                <c:pt idx="6585">
                  <c:v> 10 </c:v>
                </c:pt>
                <c:pt idx="6586">
                  <c:v> 11 </c:v>
                </c:pt>
                <c:pt idx="6587">
                  <c:v> 12 </c:v>
                </c:pt>
                <c:pt idx="6588">
                  <c:v> 13 </c:v>
                </c:pt>
                <c:pt idx="6589">
                  <c:v> 14 </c:v>
                </c:pt>
                <c:pt idx="6590">
                  <c:v> 15 </c:v>
                </c:pt>
                <c:pt idx="6591">
                  <c:v> 16 </c:v>
                </c:pt>
                <c:pt idx="6592">
                  <c:v> 17 </c:v>
                </c:pt>
                <c:pt idx="6593">
                  <c:v> 18 </c:v>
                </c:pt>
                <c:pt idx="6594">
                  <c:v> 19 </c:v>
                </c:pt>
                <c:pt idx="6595">
                  <c:v> 20 </c:v>
                </c:pt>
                <c:pt idx="6596">
                  <c:v> 21 </c:v>
                </c:pt>
                <c:pt idx="6597">
                  <c:v> 22 </c:v>
                </c:pt>
                <c:pt idx="6598">
                  <c:v> 23 </c:v>
                </c:pt>
                <c:pt idx="6599">
                  <c:v> 24 </c:v>
                </c:pt>
                <c:pt idx="6600">
                  <c:v>03 Oct 2014</c:v>
                </c:pt>
                <c:pt idx="6601">
                  <c:v> 2 </c:v>
                </c:pt>
                <c:pt idx="6602">
                  <c:v> 3 </c:v>
                </c:pt>
                <c:pt idx="6603">
                  <c:v> 4 </c:v>
                </c:pt>
                <c:pt idx="6604">
                  <c:v> 5 </c:v>
                </c:pt>
                <c:pt idx="6605">
                  <c:v> 6 </c:v>
                </c:pt>
                <c:pt idx="6606">
                  <c:v> 7 </c:v>
                </c:pt>
                <c:pt idx="6607">
                  <c:v> 8 </c:v>
                </c:pt>
                <c:pt idx="6608">
                  <c:v> 9 </c:v>
                </c:pt>
                <c:pt idx="6609">
                  <c:v> 10 </c:v>
                </c:pt>
                <c:pt idx="6610">
                  <c:v> 11 </c:v>
                </c:pt>
                <c:pt idx="6611">
                  <c:v> 12 </c:v>
                </c:pt>
                <c:pt idx="6612">
                  <c:v> 13 </c:v>
                </c:pt>
                <c:pt idx="6613">
                  <c:v> 14 </c:v>
                </c:pt>
                <c:pt idx="6614">
                  <c:v> 15 </c:v>
                </c:pt>
                <c:pt idx="6615">
                  <c:v> 16 </c:v>
                </c:pt>
                <c:pt idx="6616">
                  <c:v> 17 </c:v>
                </c:pt>
                <c:pt idx="6617">
                  <c:v> 18 </c:v>
                </c:pt>
                <c:pt idx="6618">
                  <c:v> 19 </c:v>
                </c:pt>
                <c:pt idx="6619">
                  <c:v> 20 </c:v>
                </c:pt>
                <c:pt idx="6620">
                  <c:v> 21 </c:v>
                </c:pt>
                <c:pt idx="6621">
                  <c:v> 22 </c:v>
                </c:pt>
                <c:pt idx="6622">
                  <c:v> 23 </c:v>
                </c:pt>
                <c:pt idx="6623">
                  <c:v> 24 </c:v>
                </c:pt>
                <c:pt idx="6624">
                  <c:v>04 Oct 2014</c:v>
                </c:pt>
                <c:pt idx="6625">
                  <c:v> 2 </c:v>
                </c:pt>
                <c:pt idx="6626">
                  <c:v> 3 </c:v>
                </c:pt>
                <c:pt idx="6627">
                  <c:v> 4 </c:v>
                </c:pt>
                <c:pt idx="6628">
                  <c:v> 5 </c:v>
                </c:pt>
                <c:pt idx="6629">
                  <c:v> 6 </c:v>
                </c:pt>
                <c:pt idx="6630">
                  <c:v> 7 </c:v>
                </c:pt>
                <c:pt idx="6631">
                  <c:v> 8 </c:v>
                </c:pt>
                <c:pt idx="6632">
                  <c:v> 9 </c:v>
                </c:pt>
                <c:pt idx="6633">
                  <c:v> 10 </c:v>
                </c:pt>
                <c:pt idx="6634">
                  <c:v> 11 </c:v>
                </c:pt>
                <c:pt idx="6635">
                  <c:v> 12 </c:v>
                </c:pt>
                <c:pt idx="6636">
                  <c:v> 13 </c:v>
                </c:pt>
                <c:pt idx="6637">
                  <c:v> 14 </c:v>
                </c:pt>
                <c:pt idx="6638">
                  <c:v> 15 </c:v>
                </c:pt>
                <c:pt idx="6639">
                  <c:v> 16 </c:v>
                </c:pt>
                <c:pt idx="6640">
                  <c:v> 17 </c:v>
                </c:pt>
                <c:pt idx="6641">
                  <c:v> 18 </c:v>
                </c:pt>
                <c:pt idx="6642">
                  <c:v> 19 </c:v>
                </c:pt>
                <c:pt idx="6643">
                  <c:v> 20 </c:v>
                </c:pt>
                <c:pt idx="6644">
                  <c:v> 21 </c:v>
                </c:pt>
                <c:pt idx="6645">
                  <c:v> 22 </c:v>
                </c:pt>
                <c:pt idx="6646">
                  <c:v> 23 </c:v>
                </c:pt>
                <c:pt idx="6647">
                  <c:v> 24 </c:v>
                </c:pt>
                <c:pt idx="6648">
                  <c:v>05 Oct 2014</c:v>
                </c:pt>
                <c:pt idx="6649">
                  <c:v> 2 </c:v>
                </c:pt>
                <c:pt idx="6650">
                  <c:v> 3 </c:v>
                </c:pt>
                <c:pt idx="6651">
                  <c:v> 4 </c:v>
                </c:pt>
                <c:pt idx="6652">
                  <c:v> 5 </c:v>
                </c:pt>
                <c:pt idx="6653">
                  <c:v> 6 </c:v>
                </c:pt>
                <c:pt idx="6654">
                  <c:v> 7 </c:v>
                </c:pt>
                <c:pt idx="6655">
                  <c:v> 8 </c:v>
                </c:pt>
                <c:pt idx="6656">
                  <c:v> 9 </c:v>
                </c:pt>
                <c:pt idx="6657">
                  <c:v> 10 </c:v>
                </c:pt>
                <c:pt idx="6658">
                  <c:v> 11 </c:v>
                </c:pt>
                <c:pt idx="6659">
                  <c:v> 12 </c:v>
                </c:pt>
                <c:pt idx="6660">
                  <c:v> 13 </c:v>
                </c:pt>
                <c:pt idx="6661">
                  <c:v> 14 </c:v>
                </c:pt>
                <c:pt idx="6662">
                  <c:v> 15 </c:v>
                </c:pt>
                <c:pt idx="6663">
                  <c:v> 16 </c:v>
                </c:pt>
                <c:pt idx="6664">
                  <c:v> 17 </c:v>
                </c:pt>
                <c:pt idx="6665">
                  <c:v> 18 </c:v>
                </c:pt>
                <c:pt idx="6666">
                  <c:v> 19 </c:v>
                </c:pt>
                <c:pt idx="6667">
                  <c:v> 20 </c:v>
                </c:pt>
                <c:pt idx="6668">
                  <c:v> 21 </c:v>
                </c:pt>
                <c:pt idx="6669">
                  <c:v> 22 </c:v>
                </c:pt>
                <c:pt idx="6670">
                  <c:v> 23 </c:v>
                </c:pt>
                <c:pt idx="6671">
                  <c:v> 24 </c:v>
                </c:pt>
                <c:pt idx="6672">
                  <c:v>06 Oct 2014</c:v>
                </c:pt>
                <c:pt idx="6673">
                  <c:v> 2 </c:v>
                </c:pt>
                <c:pt idx="6674">
                  <c:v> 3 </c:v>
                </c:pt>
                <c:pt idx="6675">
                  <c:v> 4 </c:v>
                </c:pt>
                <c:pt idx="6676">
                  <c:v> 5 </c:v>
                </c:pt>
                <c:pt idx="6677">
                  <c:v> 6 </c:v>
                </c:pt>
                <c:pt idx="6678">
                  <c:v> 7 </c:v>
                </c:pt>
                <c:pt idx="6679">
                  <c:v> 8 </c:v>
                </c:pt>
                <c:pt idx="6680">
                  <c:v> 9 </c:v>
                </c:pt>
                <c:pt idx="6681">
                  <c:v> 10 </c:v>
                </c:pt>
                <c:pt idx="6682">
                  <c:v> 11 </c:v>
                </c:pt>
                <c:pt idx="6683">
                  <c:v> 12 </c:v>
                </c:pt>
                <c:pt idx="6684">
                  <c:v> 13 </c:v>
                </c:pt>
                <c:pt idx="6685">
                  <c:v> 14 </c:v>
                </c:pt>
                <c:pt idx="6686">
                  <c:v> 15 </c:v>
                </c:pt>
                <c:pt idx="6687">
                  <c:v> 16 </c:v>
                </c:pt>
                <c:pt idx="6688">
                  <c:v> 17 </c:v>
                </c:pt>
                <c:pt idx="6689">
                  <c:v> 18 </c:v>
                </c:pt>
                <c:pt idx="6690">
                  <c:v> 19 </c:v>
                </c:pt>
                <c:pt idx="6691">
                  <c:v> 20 </c:v>
                </c:pt>
                <c:pt idx="6692">
                  <c:v> 21 </c:v>
                </c:pt>
                <c:pt idx="6693">
                  <c:v> 22 </c:v>
                </c:pt>
                <c:pt idx="6694">
                  <c:v> 23 </c:v>
                </c:pt>
                <c:pt idx="6695">
                  <c:v> 24 </c:v>
                </c:pt>
                <c:pt idx="6696">
                  <c:v>07 Oct 2014</c:v>
                </c:pt>
                <c:pt idx="6697">
                  <c:v> 2 </c:v>
                </c:pt>
                <c:pt idx="6698">
                  <c:v> 3 </c:v>
                </c:pt>
                <c:pt idx="6699">
                  <c:v> 4 </c:v>
                </c:pt>
                <c:pt idx="6700">
                  <c:v> 5 </c:v>
                </c:pt>
                <c:pt idx="6701">
                  <c:v> 6 </c:v>
                </c:pt>
                <c:pt idx="6702">
                  <c:v> 7 </c:v>
                </c:pt>
                <c:pt idx="6703">
                  <c:v> 8 </c:v>
                </c:pt>
                <c:pt idx="6704">
                  <c:v> 9 </c:v>
                </c:pt>
                <c:pt idx="6705">
                  <c:v> 10 </c:v>
                </c:pt>
                <c:pt idx="6706">
                  <c:v> 11 </c:v>
                </c:pt>
                <c:pt idx="6707">
                  <c:v> 12 </c:v>
                </c:pt>
                <c:pt idx="6708">
                  <c:v> 13 </c:v>
                </c:pt>
                <c:pt idx="6709">
                  <c:v> 14 </c:v>
                </c:pt>
                <c:pt idx="6710">
                  <c:v> 15 </c:v>
                </c:pt>
                <c:pt idx="6711">
                  <c:v> 16 </c:v>
                </c:pt>
                <c:pt idx="6712">
                  <c:v> 17 </c:v>
                </c:pt>
                <c:pt idx="6713">
                  <c:v> 18 </c:v>
                </c:pt>
                <c:pt idx="6714">
                  <c:v> 19 </c:v>
                </c:pt>
                <c:pt idx="6715">
                  <c:v> 20 </c:v>
                </c:pt>
                <c:pt idx="6716">
                  <c:v> 21 </c:v>
                </c:pt>
                <c:pt idx="6717">
                  <c:v> 22 </c:v>
                </c:pt>
                <c:pt idx="6718">
                  <c:v> 23 </c:v>
                </c:pt>
                <c:pt idx="6719">
                  <c:v> 24 </c:v>
                </c:pt>
                <c:pt idx="6720">
                  <c:v>08 Oct 2014</c:v>
                </c:pt>
                <c:pt idx="6721">
                  <c:v> 2 </c:v>
                </c:pt>
                <c:pt idx="6722">
                  <c:v> 3 </c:v>
                </c:pt>
                <c:pt idx="6723">
                  <c:v> 4 </c:v>
                </c:pt>
                <c:pt idx="6724">
                  <c:v> 5 </c:v>
                </c:pt>
                <c:pt idx="6725">
                  <c:v> 6 </c:v>
                </c:pt>
                <c:pt idx="6726">
                  <c:v> 7 </c:v>
                </c:pt>
                <c:pt idx="6727">
                  <c:v> 8 </c:v>
                </c:pt>
                <c:pt idx="6728">
                  <c:v> 9 </c:v>
                </c:pt>
                <c:pt idx="6729">
                  <c:v> 10 </c:v>
                </c:pt>
                <c:pt idx="6730">
                  <c:v> 11 </c:v>
                </c:pt>
                <c:pt idx="6731">
                  <c:v> 12 </c:v>
                </c:pt>
                <c:pt idx="6732">
                  <c:v> 13 </c:v>
                </c:pt>
                <c:pt idx="6733">
                  <c:v> 14 </c:v>
                </c:pt>
                <c:pt idx="6734">
                  <c:v> 15 </c:v>
                </c:pt>
                <c:pt idx="6735">
                  <c:v> 16 </c:v>
                </c:pt>
                <c:pt idx="6736">
                  <c:v> 17 </c:v>
                </c:pt>
                <c:pt idx="6737">
                  <c:v> 18 </c:v>
                </c:pt>
                <c:pt idx="6738">
                  <c:v> 19 </c:v>
                </c:pt>
                <c:pt idx="6739">
                  <c:v> 20 </c:v>
                </c:pt>
                <c:pt idx="6740">
                  <c:v> 21 </c:v>
                </c:pt>
                <c:pt idx="6741">
                  <c:v> 22 </c:v>
                </c:pt>
                <c:pt idx="6742">
                  <c:v> 23 </c:v>
                </c:pt>
                <c:pt idx="6743">
                  <c:v> 24 </c:v>
                </c:pt>
                <c:pt idx="6744">
                  <c:v>09 Oct 2014</c:v>
                </c:pt>
                <c:pt idx="6745">
                  <c:v> 2 </c:v>
                </c:pt>
                <c:pt idx="6746">
                  <c:v> 3 </c:v>
                </c:pt>
                <c:pt idx="6747">
                  <c:v> 4 </c:v>
                </c:pt>
                <c:pt idx="6748">
                  <c:v> 5 </c:v>
                </c:pt>
                <c:pt idx="6749">
                  <c:v> 6 </c:v>
                </c:pt>
                <c:pt idx="6750">
                  <c:v> 7 </c:v>
                </c:pt>
                <c:pt idx="6751">
                  <c:v> 8 </c:v>
                </c:pt>
                <c:pt idx="6752">
                  <c:v> 9 </c:v>
                </c:pt>
                <c:pt idx="6753">
                  <c:v> 10 </c:v>
                </c:pt>
                <c:pt idx="6754">
                  <c:v> 11 </c:v>
                </c:pt>
                <c:pt idx="6755">
                  <c:v> 12 </c:v>
                </c:pt>
                <c:pt idx="6756">
                  <c:v> 13 </c:v>
                </c:pt>
                <c:pt idx="6757">
                  <c:v> 14 </c:v>
                </c:pt>
                <c:pt idx="6758">
                  <c:v> 15 </c:v>
                </c:pt>
                <c:pt idx="6759">
                  <c:v> 16 </c:v>
                </c:pt>
                <c:pt idx="6760">
                  <c:v> 17 </c:v>
                </c:pt>
                <c:pt idx="6761">
                  <c:v> 18 </c:v>
                </c:pt>
                <c:pt idx="6762">
                  <c:v> 19 </c:v>
                </c:pt>
                <c:pt idx="6763">
                  <c:v> 20 </c:v>
                </c:pt>
                <c:pt idx="6764">
                  <c:v> 21 </c:v>
                </c:pt>
                <c:pt idx="6765">
                  <c:v> 22 </c:v>
                </c:pt>
                <c:pt idx="6766">
                  <c:v> 23 </c:v>
                </c:pt>
                <c:pt idx="6767">
                  <c:v> 24 </c:v>
                </c:pt>
                <c:pt idx="6768">
                  <c:v>10 Oct 2014</c:v>
                </c:pt>
                <c:pt idx="6769">
                  <c:v> 2 </c:v>
                </c:pt>
                <c:pt idx="6770">
                  <c:v> 3 </c:v>
                </c:pt>
                <c:pt idx="6771">
                  <c:v> 4 </c:v>
                </c:pt>
                <c:pt idx="6772">
                  <c:v> 5 </c:v>
                </c:pt>
                <c:pt idx="6773">
                  <c:v> 6 </c:v>
                </c:pt>
                <c:pt idx="6774">
                  <c:v> 7 </c:v>
                </c:pt>
                <c:pt idx="6775">
                  <c:v> 8 </c:v>
                </c:pt>
                <c:pt idx="6776">
                  <c:v> 9 </c:v>
                </c:pt>
                <c:pt idx="6777">
                  <c:v> 10 </c:v>
                </c:pt>
                <c:pt idx="6778">
                  <c:v> 11 </c:v>
                </c:pt>
                <c:pt idx="6779">
                  <c:v> 12 </c:v>
                </c:pt>
                <c:pt idx="6780">
                  <c:v> 13 </c:v>
                </c:pt>
                <c:pt idx="6781">
                  <c:v> 14 </c:v>
                </c:pt>
                <c:pt idx="6782">
                  <c:v> 15 </c:v>
                </c:pt>
                <c:pt idx="6783">
                  <c:v> 16 </c:v>
                </c:pt>
                <c:pt idx="6784">
                  <c:v> 17 </c:v>
                </c:pt>
                <c:pt idx="6785">
                  <c:v> 18 </c:v>
                </c:pt>
                <c:pt idx="6786">
                  <c:v> 19 </c:v>
                </c:pt>
                <c:pt idx="6787">
                  <c:v> 20 </c:v>
                </c:pt>
                <c:pt idx="6788">
                  <c:v> 21 </c:v>
                </c:pt>
                <c:pt idx="6789">
                  <c:v> 22 </c:v>
                </c:pt>
                <c:pt idx="6790">
                  <c:v> 23 </c:v>
                </c:pt>
                <c:pt idx="6791">
                  <c:v> 24 </c:v>
                </c:pt>
                <c:pt idx="6792">
                  <c:v>11 Oct 2014</c:v>
                </c:pt>
                <c:pt idx="6793">
                  <c:v> 2 </c:v>
                </c:pt>
                <c:pt idx="6794">
                  <c:v> 3 </c:v>
                </c:pt>
                <c:pt idx="6795">
                  <c:v> 4 </c:v>
                </c:pt>
                <c:pt idx="6796">
                  <c:v> 5 </c:v>
                </c:pt>
                <c:pt idx="6797">
                  <c:v> 6 </c:v>
                </c:pt>
                <c:pt idx="6798">
                  <c:v> 7 </c:v>
                </c:pt>
                <c:pt idx="6799">
                  <c:v> 8 </c:v>
                </c:pt>
                <c:pt idx="6800">
                  <c:v> 9 </c:v>
                </c:pt>
                <c:pt idx="6801">
                  <c:v> 10 </c:v>
                </c:pt>
                <c:pt idx="6802">
                  <c:v> 11 </c:v>
                </c:pt>
                <c:pt idx="6803">
                  <c:v> 12 </c:v>
                </c:pt>
                <c:pt idx="6804">
                  <c:v> 13 </c:v>
                </c:pt>
                <c:pt idx="6805">
                  <c:v> 14 </c:v>
                </c:pt>
                <c:pt idx="6806">
                  <c:v> 15 </c:v>
                </c:pt>
                <c:pt idx="6807">
                  <c:v> 16 </c:v>
                </c:pt>
                <c:pt idx="6808">
                  <c:v> 17 </c:v>
                </c:pt>
                <c:pt idx="6809">
                  <c:v> 18 </c:v>
                </c:pt>
                <c:pt idx="6810">
                  <c:v> 19 </c:v>
                </c:pt>
                <c:pt idx="6811">
                  <c:v> 20 </c:v>
                </c:pt>
                <c:pt idx="6812">
                  <c:v> 21 </c:v>
                </c:pt>
                <c:pt idx="6813">
                  <c:v> 22 </c:v>
                </c:pt>
                <c:pt idx="6814">
                  <c:v> 23 </c:v>
                </c:pt>
                <c:pt idx="6815">
                  <c:v> 24 </c:v>
                </c:pt>
                <c:pt idx="6816">
                  <c:v>12 Oct 2014</c:v>
                </c:pt>
                <c:pt idx="6817">
                  <c:v> 2 </c:v>
                </c:pt>
                <c:pt idx="6818">
                  <c:v> 3 </c:v>
                </c:pt>
                <c:pt idx="6819">
                  <c:v> 4 </c:v>
                </c:pt>
                <c:pt idx="6820">
                  <c:v> 5 </c:v>
                </c:pt>
                <c:pt idx="6821">
                  <c:v> 6 </c:v>
                </c:pt>
                <c:pt idx="6822">
                  <c:v> 7 </c:v>
                </c:pt>
                <c:pt idx="6823">
                  <c:v> 8 </c:v>
                </c:pt>
                <c:pt idx="6824">
                  <c:v> 9 </c:v>
                </c:pt>
                <c:pt idx="6825">
                  <c:v> 10 </c:v>
                </c:pt>
                <c:pt idx="6826">
                  <c:v> 11 </c:v>
                </c:pt>
                <c:pt idx="6827">
                  <c:v> 12 </c:v>
                </c:pt>
                <c:pt idx="6828">
                  <c:v> 13 </c:v>
                </c:pt>
                <c:pt idx="6829">
                  <c:v> 14 </c:v>
                </c:pt>
                <c:pt idx="6830">
                  <c:v> 15 </c:v>
                </c:pt>
                <c:pt idx="6831">
                  <c:v> 16 </c:v>
                </c:pt>
                <c:pt idx="6832">
                  <c:v> 17 </c:v>
                </c:pt>
                <c:pt idx="6833">
                  <c:v> 18 </c:v>
                </c:pt>
                <c:pt idx="6834">
                  <c:v> 19 </c:v>
                </c:pt>
                <c:pt idx="6835">
                  <c:v> 20 </c:v>
                </c:pt>
                <c:pt idx="6836">
                  <c:v> 21 </c:v>
                </c:pt>
                <c:pt idx="6837">
                  <c:v> 22 </c:v>
                </c:pt>
                <c:pt idx="6838">
                  <c:v> 23 </c:v>
                </c:pt>
                <c:pt idx="6839">
                  <c:v> 24 </c:v>
                </c:pt>
                <c:pt idx="6840">
                  <c:v>13 Oct 2014</c:v>
                </c:pt>
                <c:pt idx="6841">
                  <c:v> 2 </c:v>
                </c:pt>
                <c:pt idx="6842">
                  <c:v> 3 </c:v>
                </c:pt>
                <c:pt idx="6843">
                  <c:v> 4 </c:v>
                </c:pt>
                <c:pt idx="6844">
                  <c:v> 5 </c:v>
                </c:pt>
                <c:pt idx="6845">
                  <c:v> 6 </c:v>
                </c:pt>
                <c:pt idx="6846">
                  <c:v> 7 </c:v>
                </c:pt>
                <c:pt idx="6847">
                  <c:v> 8 </c:v>
                </c:pt>
                <c:pt idx="6848">
                  <c:v> 9 </c:v>
                </c:pt>
                <c:pt idx="6849">
                  <c:v> 10 </c:v>
                </c:pt>
                <c:pt idx="6850">
                  <c:v> 11 </c:v>
                </c:pt>
                <c:pt idx="6851">
                  <c:v> 12 </c:v>
                </c:pt>
                <c:pt idx="6852">
                  <c:v> 13 </c:v>
                </c:pt>
                <c:pt idx="6853">
                  <c:v> 14 </c:v>
                </c:pt>
                <c:pt idx="6854">
                  <c:v> 15 </c:v>
                </c:pt>
                <c:pt idx="6855">
                  <c:v> 16 </c:v>
                </c:pt>
                <c:pt idx="6856">
                  <c:v> 17 </c:v>
                </c:pt>
                <c:pt idx="6857">
                  <c:v> 18 </c:v>
                </c:pt>
                <c:pt idx="6858">
                  <c:v> 19 </c:v>
                </c:pt>
                <c:pt idx="6859">
                  <c:v> 20 </c:v>
                </c:pt>
                <c:pt idx="6860">
                  <c:v> 21 </c:v>
                </c:pt>
                <c:pt idx="6861">
                  <c:v> 22 </c:v>
                </c:pt>
                <c:pt idx="6862">
                  <c:v> 23 </c:v>
                </c:pt>
                <c:pt idx="6863">
                  <c:v> 24 </c:v>
                </c:pt>
                <c:pt idx="6864">
                  <c:v>14 Oct 2014</c:v>
                </c:pt>
                <c:pt idx="6865">
                  <c:v> 2 </c:v>
                </c:pt>
                <c:pt idx="6866">
                  <c:v> 3 </c:v>
                </c:pt>
                <c:pt idx="6867">
                  <c:v> 4 </c:v>
                </c:pt>
                <c:pt idx="6868">
                  <c:v> 5 </c:v>
                </c:pt>
                <c:pt idx="6869">
                  <c:v> 6 </c:v>
                </c:pt>
                <c:pt idx="6870">
                  <c:v> 7 </c:v>
                </c:pt>
                <c:pt idx="6871">
                  <c:v> 8 </c:v>
                </c:pt>
                <c:pt idx="6872">
                  <c:v> 9 </c:v>
                </c:pt>
                <c:pt idx="6873">
                  <c:v> 10 </c:v>
                </c:pt>
                <c:pt idx="6874">
                  <c:v> 11 </c:v>
                </c:pt>
                <c:pt idx="6875">
                  <c:v> 12 </c:v>
                </c:pt>
                <c:pt idx="6876">
                  <c:v> 13 </c:v>
                </c:pt>
                <c:pt idx="6877">
                  <c:v> 14 </c:v>
                </c:pt>
                <c:pt idx="6878">
                  <c:v> 15 </c:v>
                </c:pt>
                <c:pt idx="6879">
                  <c:v> 16 </c:v>
                </c:pt>
                <c:pt idx="6880">
                  <c:v> 17 </c:v>
                </c:pt>
                <c:pt idx="6881">
                  <c:v> 18 </c:v>
                </c:pt>
                <c:pt idx="6882">
                  <c:v> 19 </c:v>
                </c:pt>
                <c:pt idx="6883">
                  <c:v> 20 </c:v>
                </c:pt>
                <c:pt idx="6884">
                  <c:v> 21 </c:v>
                </c:pt>
                <c:pt idx="6885">
                  <c:v> 22 </c:v>
                </c:pt>
                <c:pt idx="6886">
                  <c:v> 23 </c:v>
                </c:pt>
                <c:pt idx="6887">
                  <c:v> 24 </c:v>
                </c:pt>
                <c:pt idx="6888">
                  <c:v>15 Oct 2014</c:v>
                </c:pt>
                <c:pt idx="6889">
                  <c:v> 2 </c:v>
                </c:pt>
                <c:pt idx="6890">
                  <c:v> 3 </c:v>
                </c:pt>
                <c:pt idx="6891">
                  <c:v> 4 </c:v>
                </c:pt>
                <c:pt idx="6892">
                  <c:v> 5 </c:v>
                </c:pt>
                <c:pt idx="6893">
                  <c:v> 6 </c:v>
                </c:pt>
                <c:pt idx="6894">
                  <c:v> 7 </c:v>
                </c:pt>
                <c:pt idx="6895">
                  <c:v> 8 </c:v>
                </c:pt>
                <c:pt idx="6896">
                  <c:v> 9 </c:v>
                </c:pt>
                <c:pt idx="6897">
                  <c:v> 10 </c:v>
                </c:pt>
                <c:pt idx="6898">
                  <c:v> 11 </c:v>
                </c:pt>
                <c:pt idx="6899">
                  <c:v> 12 </c:v>
                </c:pt>
                <c:pt idx="6900">
                  <c:v> 13 </c:v>
                </c:pt>
                <c:pt idx="6901">
                  <c:v> 14 </c:v>
                </c:pt>
                <c:pt idx="6902">
                  <c:v> 15 </c:v>
                </c:pt>
                <c:pt idx="6903">
                  <c:v> 16 </c:v>
                </c:pt>
                <c:pt idx="6904">
                  <c:v> 17 </c:v>
                </c:pt>
                <c:pt idx="6905">
                  <c:v> 18 </c:v>
                </c:pt>
                <c:pt idx="6906">
                  <c:v> 19 </c:v>
                </c:pt>
                <c:pt idx="6907">
                  <c:v> 20 </c:v>
                </c:pt>
                <c:pt idx="6908">
                  <c:v> 21 </c:v>
                </c:pt>
                <c:pt idx="6909">
                  <c:v> 22 </c:v>
                </c:pt>
                <c:pt idx="6910">
                  <c:v> 23 </c:v>
                </c:pt>
                <c:pt idx="6911">
                  <c:v> 24 </c:v>
                </c:pt>
                <c:pt idx="6912">
                  <c:v>16 Oct 2014</c:v>
                </c:pt>
                <c:pt idx="6913">
                  <c:v> 2 </c:v>
                </c:pt>
                <c:pt idx="6914">
                  <c:v> 3 </c:v>
                </c:pt>
                <c:pt idx="6915">
                  <c:v> 4 </c:v>
                </c:pt>
                <c:pt idx="6916">
                  <c:v> 5 </c:v>
                </c:pt>
                <c:pt idx="6917">
                  <c:v> 6 </c:v>
                </c:pt>
                <c:pt idx="6918">
                  <c:v> 7 </c:v>
                </c:pt>
                <c:pt idx="6919">
                  <c:v> 8 </c:v>
                </c:pt>
                <c:pt idx="6920">
                  <c:v> 9 </c:v>
                </c:pt>
                <c:pt idx="6921">
                  <c:v> 10 </c:v>
                </c:pt>
                <c:pt idx="6922">
                  <c:v> 11 </c:v>
                </c:pt>
                <c:pt idx="6923">
                  <c:v> 12 </c:v>
                </c:pt>
                <c:pt idx="6924">
                  <c:v> 13 </c:v>
                </c:pt>
                <c:pt idx="6925">
                  <c:v> 14 </c:v>
                </c:pt>
                <c:pt idx="6926">
                  <c:v> 15 </c:v>
                </c:pt>
                <c:pt idx="6927">
                  <c:v> 16 </c:v>
                </c:pt>
                <c:pt idx="6928">
                  <c:v> 17 </c:v>
                </c:pt>
                <c:pt idx="6929">
                  <c:v> 18 </c:v>
                </c:pt>
                <c:pt idx="6930">
                  <c:v> 19 </c:v>
                </c:pt>
                <c:pt idx="6931">
                  <c:v> 20 </c:v>
                </c:pt>
                <c:pt idx="6932">
                  <c:v> 21 </c:v>
                </c:pt>
                <c:pt idx="6933">
                  <c:v> 22 </c:v>
                </c:pt>
                <c:pt idx="6934">
                  <c:v> 23 </c:v>
                </c:pt>
                <c:pt idx="6935">
                  <c:v> 24 </c:v>
                </c:pt>
                <c:pt idx="6936">
                  <c:v>17 Oct 2014</c:v>
                </c:pt>
                <c:pt idx="6937">
                  <c:v> 2 </c:v>
                </c:pt>
                <c:pt idx="6938">
                  <c:v> 3 </c:v>
                </c:pt>
                <c:pt idx="6939">
                  <c:v> 4 </c:v>
                </c:pt>
                <c:pt idx="6940">
                  <c:v> 5 </c:v>
                </c:pt>
                <c:pt idx="6941">
                  <c:v> 6 </c:v>
                </c:pt>
                <c:pt idx="6942">
                  <c:v> 7 </c:v>
                </c:pt>
                <c:pt idx="6943">
                  <c:v> 8 </c:v>
                </c:pt>
                <c:pt idx="6944">
                  <c:v> 9 </c:v>
                </c:pt>
                <c:pt idx="6945">
                  <c:v> 10 </c:v>
                </c:pt>
                <c:pt idx="6946">
                  <c:v> 11 </c:v>
                </c:pt>
                <c:pt idx="6947">
                  <c:v> 12 </c:v>
                </c:pt>
                <c:pt idx="6948">
                  <c:v> 13 </c:v>
                </c:pt>
                <c:pt idx="6949">
                  <c:v> 14 </c:v>
                </c:pt>
                <c:pt idx="6950">
                  <c:v> 15 </c:v>
                </c:pt>
                <c:pt idx="6951">
                  <c:v> 16 </c:v>
                </c:pt>
                <c:pt idx="6952">
                  <c:v> 17 </c:v>
                </c:pt>
                <c:pt idx="6953">
                  <c:v> 18 </c:v>
                </c:pt>
                <c:pt idx="6954">
                  <c:v> 19 </c:v>
                </c:pt>
                <c:pt idx="6955">
                  <c:v> 20 </c:v>
                </c:pt>
                <c:pt idx="6956">
                  <c:v> 21 </c:v>
                </c:pt>
                <c:pt idx="6957">
                  <c:v> 22 </c:v>
                </c:pt>
                <c:pt idx="6958">
                  <c:v> 23 </c:v>
                </c:pt>
                <c:pt idx="6959">
                  <c:v> 24 </c:v>
                </c:pt>
                <c:pt idx="6960">
                  <c:v>18 Oct 2014</c:v>
                </c:pt>
                <c:pt idx="6961">
                  <c:v> 2 </c:v>
                </c:pt>
                <c:pt idx="6962">
                  <c:v> 3 </c:v>
                </c:pt>
                <c:pt idx="6963">
                  <c:v> 4 </c:v>
                </c:pt>
                <c:pt idx="6964">
                  <c:v> 5 </c:v>
                </c:pt>
                <c:pt idx="6965">
                  <c:v> 6 </c:v>
                </c:pt>
                <c:pt idx="6966">
                  <c:v> 7 </c:v>
                </c:pt>
                <c:pt idx="6967">
                  <c:v> 8 </c:v>
                </c:pt>
                <c:pt idx="6968">
                  <c:v> 9 </c:v>
                </c:pt>
                <c:pt idx="6969">
                  <c:v> 10 </c:v>
                </c:pt>
                <c:pt idx="6970">
                  <c:v> 11 </c:v>
                </c:pt>
                <c:pt idx="6971">
                  <c:v> 12 </c:v>
                </c:pt>
                <c:pt idx="6972">
                  <c:v> 13 </c:v>
                </c:pt>
                <c:pt idx="6973">
                  <c:v> 14 </c:v>
                </c:pt>
                <c:pt idx="6974">
                  <c:v> 15 </c:v>
                </c:pt>
                <c:pt idx="6975">
                  <c:v> 16 </c:v>
                </c:pt>
                <c:pt idx="6976">
                  <c:v> 17 </c:v>
                </c:pt>
                <c:pt idx="6977">
                  <c:v> 18 </c:v>
                </c:pt>
                <c:pt idx="6978">
                  <c:v> 19 </c:v>
                </c:pt>
                <c:pt idx="6979">
                  <c:v> 20 </c:v>
                </c:pt>
                <c:pt idx="6980">
                  <c:v> 21 </c:v>
                </c:pt>
                <c:pt idx="6981">
                  <c:v> 22 </c:v>
                </c:pt>
                <c:pt idx="6982">
                  <c:v> 23 </c:v>
                </c:pt>
                <c:pt idx="6983">
                  <c:v> 24 </c:v>
                </c:pt>
                <c:pt idx="6984">
                  <c:v>19 Oct 2014</c:v>
                </c:pt>
                <c:pt idx="6985">
                  <c:v> 2 </c:v>
                </c:pt>
                <c:pt idx="6986">
                  <c:v> 3 </c:v>
                </c:pt>
                <c:pt idx="6987">
                  <c:v> 4 </c:v>
                </c:pt>
                <c:pt idx="6988">
                  <c:v> 5 </c:v>
                </c:pt>
                <c:pt idx="6989">
                  <c:v> 6 </c:v>
                </c:pt>
                <c:pt idx="6990">
                  <c:v> 7 </c:v>
                </c:pt>
                <c:pt idx="6991">
                  <c:v> 8 </c:v>
                </c:pt>
                <c:pt idx="6992">
                  <c:v> 9 </c:v>
                </c:pt>
                <c:pt idx="6993">
                  <c:v> 10 </c:v>
                </c:pt>
                <c:pt idx="6994">
                  <c:v> 11 </c:v>
                </c:pt>
                <c:pt idx="6995">
                  <c:v> 12 </c:v>
                </c:pt>
                <c:pt idx="6996">
                  <c:v> 13 </c:v>
                </c:pt>
                <c:pt idx="6997">
                  <c:v> 14 </c:v>
                </c:pt>
                <c:pt idx="6998">
                  <c:v> 15 </c:v>
                </c:pt>
                <c:pt idx="6999">
                  <c:v> 16 </c:v>
                </c:pt>
                <c:pt idx="7000">
                  <c:v> 17 </c:v>
                </c:pt>
                <c:pt idx="7001">
                  <c:v> 18 </c:v>
                </c:pt>
                <c:pt idx="7002">
                  <c:v> 19 </c:v>
                </c:pt>
                <c:pt idx="7003">
                  <c:v> 20 </c:v>
                </c:pt>
                <c:pt idx="7004">
                  <c:v> 21 </c:v>
                </c:pt>
                <c:pt idx="7005">
                  <c:v> 22 </c:v>
                </c:pt>
                <c:pt idx="7006">
                  <c:v> 23 </c:v>
                </c:pt>
                <c:pt idx="7007">
                  <c:v> 24 </c:v>
                </c:pt>
                <c:pt idx="7008">
                  <c:v>20 Oct 2014</c:v>
                </c:pt>
                <c:pt idx="7009">
                  <c:v> 2 </c:v>
                </c:pt>
                <c:pt idx="7010">
                  <c:v> 3 </c:v>
                </c:pt>
                <c:pt idx="7011">
                  <c:v> 4 </c:v>
                </c:pt>
                <c:pt idx="7012">
                  <c:v> 5 </c:v>
                </c:pt>
                <c:pt idx="7013">
                  <c:v> 6 </c:v>
                </c:pt>
                <c:pt idx="7014">
                  <c:v> 7 </c:v>
                </c:pt>
                <c:pt idx="7015">
                  <c:v> 8 </c:v>
                </c:pt>
                <c:pt idx="7016">
                  <c:v> 9 </c:v>
                </c:pt>
                <c:pt idx="7017">
                  <c:v> 10 </c:v>
                </c:pt>
                <c:pt idx="7018">
                  <c:v> 11 </c:v>
                </c:pt>
                <c:pt idx="7019">
                  <c:v> 12 </c:v>
                </c:pt>
                <c:pt idx="7020">
                  <c:v> 13 </c:v>
                </c:pt>
                <c:pt idx="7021">
                  <c:v> 14 </c:v>
                </c:pt>
                <c:pt idx="7022">
                  <c:v> 15 </c:v>
                </c:pt>
                <c:pt idx="7023">
                  <c:v> 16 </c:v>
                </c:pt>
                <c:pt idx="7024">
                  <c:v> 17 </c:v>
                </c:pt>
                <c:pt idx="7025">
                  <c:v> 18 </c:v>
                </c:pt>
                <c:pt idx="7026">
                  <c:v> 19 </c:v>
                </c:pt>
                <c:pt idx="7027">
                  <c:v> 20 </c:v>
                </c:pt>
                <c:pt idx="7028">
                  <c:v> 21 </c:v>
                </c:pt>
                <c:pt idx="7029">
                  <c:v> 22 </c:v>
                </c:pt>
                <c:pt idx="7030">
                  <c:v> 23 </c:v>
                </c:pt>
                <c:pt idx="7031">
                  <c:v> 24 </c:v>
                </c:pt>
                <c:pt idx="7032">
                  <c:v>21 Oct 2014</c:v>
                </c:pt>
                <c:pt idx="7033">
                  <c:v> 2 </c:v>
                </c:pt>
                <c:pt idx="7034">
                  <c:v> 3 </c:v>
                </c:pt>
                <c:pt idx="7035">
                  <c:v> 4 </c:v>
                </c:pt>
                <c:pt idx="7036">
                  <c:v> 5 </c:v>
                </c:pt>
                <c:pt idx="7037">
                  <c:v> 6 </c:v>
                </c:pt>
                <c:pt idx="7038">
                  <c:v> 7 </c:v>
                </c:pt>
                <c:pt idx="7039">
                  <c:v> 8 </c:v>
                </c:pt>
                <c:pt idx="7040">
                  <c:v> 9 </c:v>
                </c:pt>
                <c:pt idx="7041">
                  <c:v> 10 </c:v>
                </c:pt>
                <c:pt idx="7042">
                  <c:v> 11 </c:v>
                </c:pt>
                <c:pt idx="7043">
                  <c:v> 12 </c:v>
                </c:pt>
                <c:pt idx="7044">
                  <c:v> 13 </c:v>
                </c:pt>
                <c:pt idx="7045">
                  <c:v> 14 </c:v>
                </c:pt>
                <c:pt idx="7046">
                  <c:v> 15 </c:v>
                </c:pt>
                <c:pt idx="7047">
                  <c:v> 16 </c:v>
                </c:pt>
                <c:pt idx="7048">
                  <c:v> 17 </c:v>
                </c:pt>
                <c:pt idx="7049">
                  <c:v> 18 </c:v>
                </c:pt>
                <c:pt idx="7050">
                  <c:v> 19 </c:v>
                </c:pt>
                <c:pt idx="7051">
                  <c:v> 20 </c:v>
                </c:pt>
                <c:pt idx="7052">
                  <c:v> 21 </c:v>
                </c:pt>
                <c:pt idx="7053">
                  <c:v> 22 </c:v>
                </c:pt>
                <c:pt idx="7054">
                  <c:v> 23 </c:v>
                </c:pt>
                <c:pt idx="7055">
                  <c:v> 24 </c:v>
                </c:pt>
                <c:pt idx="7056">
                  <c:v>22 Oct 2014</c:v>
                </c:pt>
                <c:pt idx="7057">
                  <c:v> 2 </c:v>
                </c:pt>
                <c:pt idx="7058">
                  <c:v> 3 </c:v>
                </c:pt>
                <c:pt idx="7059">
                  <c:v> 4 </c:v>
                </c:pt>
                <c:pt idx="7060">
                  <c:v> 5 </c:v>
                </c:pt>
                <c:pt idx="7061">
                  <c:v> 6 </c:v>
                </c:pt>
                <c:pt idx="7062">
                  <c:v> 7 </c:v>
                </c:pt>
                <c:pt idx="7063">
                  <c:v> 8 </c:v>
                </c:pt>
                <c:pt idx="7064">
                  <c:v> 9 </c:v>
                </c:pt>
                <c:pt idx="7065">
                  <c:v> 10 </c:v>
                </c:pt>
                <c:pt idx="7066">
                  <c:v> 11 </c:v>
                </c:pt>
                <c:pt idx="7067">
                  <c:v> 12 </c:v>
                </c:pt>
                <c:pt idx="7068">
                  <c:v> 13 </c:v>
                </c:pt>
                <c:pt idx="7069">
                  <c:v> 14 </c:v>
                </c:pt>
                <c:pt idx="7070">
                  <c:v> 15 </c:v>
                </c:pt>
                <c:pt idx="7071">
                  <c:v> 16 </c:v>
                </c:pt>
                <c:pt idx="7072">
                  <c:v> 17 </c:v>
                </c:pt>
                <c:pt idx="7073">
                  <c:v> 18 </c:v>
                </c:pt>
                <c:pt idx="7074">
                  <c:v> 19 </c:v>
                </c:pt>
                <c:pt idx="7075">
                  <c:v> 20 </c:v>
                </c:pt>
                <c:pt idx="7076">
                  <c:v> 21 </c:v>
                </c:pt>
                <c:pt idx="7077">
                  <c:v> 22 </c:v>
                </c:pt>
                <c:pt idx="7078">
                  <c:v> 23 </c:v>
                </c:pt>
                <c:pt idx="7079">
                  <c:v> 24 </c:v>
                </c:pt>
                <c:pt idx="7080">
                  <c:v>23 Oct 2014</c:v>
                </c:pt>
                <c:pt idx="7081">
                  <c:v> 2 </c:v>
                </c:pt>
                <c:pt idx="7082">
                  <c:v> 3 </c:v>
                </c:pt>
                <c:pt idx="7083">
                  <c:v> 4 </c:v>
                </c:pt>
                <c:pt idx="7084">
                  <c:v> 5 </c:v>
                </c:pt>
                <c:pt idx="7085">
                  <c:v> 6 </c:v>
                </c:pt>
                <c:pt idx="7086">
                  <c:v> 7 </c:v>
                </c:pt>
                <c:pt idx="7087">
                  <c:v> 8 </c:v>
                </c:pt>
                <c:pt idx="7088">
                  <c:v> 9 </c:v>
                </c:pt>
                <c:pt idx="7089">
                  <c:v> 10 </c:v>
                </c:pt>
                <c:pt idx="7090">
                  <c:v> 11 </c:v>
                </c:pt>
                <c:pt idx="7091">
                  <c:v> 12 </c:v>
                </c:pt>
                <c:pt idx="7092">
                  <c:v> 13 </c:v>
                </c:pt>
                <c:pt idx="7093">
                  <c:v> 14 </c:v>
                </c:pt>
                <c:pt idx="7094">
                  <c:v> 15 </c:v>
                </c:pt>
                <c:pt idx="7095">
                  <c:v> 16 </c:v>
                </c:pt>
                <c:pt idx="7096">
                  <c:v> 17 </c:v>
                </c:pt>
                <c:pt idx="7097">
                  <c:v> 18 </c:v>
                </c:pt>
                <c:pt idx="7098">
                  <c:v> 19 </c:v>
                </c:pt>
                <c:pt idx="7099">
                  <c:v> 20 </c:v>
                </c:pt>
                <c:pt idx="7100">
                  <c:v> 21 </c:v>
                </c:pt>
                <c:pt idx="7101">
                  <c:v> 22 </c:v>
                </c:pt>
                <c:pt idx="7102">
                  <c:v> 23 </c:v>
                </c:pt>
                <c:pt idx="7103">
                  <c:v> 24 </c:v>
                </c:pt>
                <c:pt idx="7104">
                  <c:v>24 Oct 2014</c:v>
                </c:pt>
                <c:pt idx="7105">
                  <c:v> 2 </c:v>
                </c:pt>
                <c:pt idx="7106">
                  <c:v> 3 </c:v>
                </c:pt>
                <c:pt idx="7107">
                  <c:v> 4 </c:v>
                </c:pt>
                <c:pt idx="7108">
                  <c:v> 5 </c:v>
                </c:pt>
                <c:pt idx="7109">
                  <c:v> 6 </c:v>
                </c:pt>
                <c:pt idx="7110">
                  <c:v> 7 </c:v>
                </c:pt>
                <c:pt idx="7111">
                  <c:v> 8 </c:v>
                </c:pt>
                <c:pt idx="7112">
                  <c:v> 9 </c:v>
                </c:pt>
                <c:pt idx="7113">
                  <c:v> 10 </c:v>
                </c:pt>
                <c:pt idx="7114">
                  <c:v> 11 </c:v>
                </c:pt>
                <c:pt idx="7115">
                  <c:v> 12 </c:v>
                </c:pt>
                <c:pt idx="7116">
                  <c:v> 13 </c:v>
                </c:pt>
                <c:pt idx="7117">
                  <c:v> 14 </c:v>
                </c:pt>
                <c:pt idx="7118">
                  <c:v> 15 </c:v>
                </c:pt>
                <c:pt idx="7119">
                  <c:v> 16 </c:v>
                </c:pt>
                <c:pt idx="7120">
                  <c:v> 17 </c:v>
                </c:pt>
                <c:pt idx="7121">
                  <c:v> 18 </c:v>
                </c:pt>
                <c:pt idx="7122">
                  <c:v> 19 </c:v>
                </c:pt>
                <c:pt idx="7123">
                  <c:v> 20 </c:v>
                </c:pt>
                <c:pt idx="7124">
                  <c:v> 21 </c:v>
                </c:pt>
                <c:pt idx="7125">
                  <c:v> 22 </c:v>
                </c:pt>
                <c:pt idx="7126">
                  <c:v> 23 </c:v>
                </c:pt>
                <c:pt idx="7127">
                  <c:v> 24 </c:v>
                </c:pt>
                <c:pt idx="7128">
                  <c:v>25 Oct 2014</c:v>
                </c:pt>
                <c:pt idx="7129">
                  <c:v> 2 </c:v>
                </c:pt>
                <c:pt idx="7130">
                  <c:v> 3 </c:v>
                </c:pt>
                <c:pt idx="7131">
                  <c:v> 4 </c:v>
                </c:pt>
                <c:pt idx="7132">
                  <c:v> 5 </c:v>
                </c:pt>
                <c:pt idx="7133">
                  <c:v> 6 </c:v>
                </c:pt>
                <c:pt idx="7134">
                  <c:v> 7 </c:v>
                </c:pt>
                <c:pt idx="7135">
                  <c:v> 8 </c:v>
                </c:pt>
                <c:pt idx="7136">
                  <c:v> 9 </c:v>
                </c:pt>
                <c:pt idx="7137">
                  <c:v> 10 </c:v>
                </c:pt>
                <c:pt idx="7138">
                  <c:v> 11 </c:v>
                </c:pt>
                <c:pt idx="7139">
                  <c:v> 12 </c:v>
                </c:pt>
                <c:pt idx="7140">
                  <c:v> 13 </c:v>
                </c:pt>
                <c:pt idx="7141">
                  <c:v> 14 </c:v>
                </c:pt>
                <c:pt idx="7142">
                  <c:v> 15 </c:v>
                </c:pt>
                <c:pt idx="7143">
                  <c:v> 16 </c:v>
                </c:pt>
                <c:pt idx="7144">
                  <c:v> 17 </c:v>
                </c:pt>
                <c:pt idx="7145">
                  <c:v> 18 </c:v>
                </c:pt>
                <c:pt idx="7146">
                  <c:v> 19 </c:v>
                </c:pt>
                <c:pt idx="7147">
                  <c:v> 20 </c:v>
                </c:pt>
                <c:pt idx="7148">
                  <c:v> 21 </c:v>
                </c:pt>
                <c:pt idx="7149">
                  <c:v> 22 </c:v>
                </c:pt>
                <c:pt idx="7150">
                  <c:v> 23 </c:v>
                </c:pt>
                <c:pt idx="7151">
                  <c:v> 24 </c:v>
                </c:pt>
                <c:pt idx="7152">
                  <c:v>26 Oct 2014</c:v>
                </c:pt>
                <c:pt idx="7153">
                  <c:v> 2 </c:v>
                </c:pt>
                <c:pt idx="7154">
                  <c:v> 3 </c:v>
                </c:pt>
                <c:pt idx="7155">
                  <c:v> 4 </c:v>
                </c:pt>
                <c:pt idx="7156">
                  <c:v> 5 </c:v>
                </c:pt>
                <c:pt idx="7157">
                  <c:v> 6 </c:v>
                </c:pt>
                <c:pt idx="7158">
                  <c:v> 7 </c:v>
                </c:pt>
                <c:pt idx="7159">
                  <c:v> 8 </c:v>
                </c:pt>
                <c:pt idx="7160">
                  <c:v> 9 </c:v>
                </c:pt>
                <c:pt idx="7161">
                  <c:v> 10 </c:v>
                </c:pt>
                <c:pt idx="7162">
                  <c:v> 11 </c:v>
                </c:pt>
                <c:pt idx="7163">
                  <c:v> 12 </c:v>
                </c:pt>
                <c:pt idx="7164">
                  <c:v> 13 </c:v>
                </c:pt>
                <c:pt idx="7165">
                  <c:v> 14 </c:v>
                </c:pt>
                <c:pt idx="7166">
                  <c:v> 15 </c:v>
                </c:pt>
                <c:pt idx="7167">
                  <c:v> 16 </c:v>
                </c:pt>
                <c:pt idx="7168">
                  <c:v> 17 </c:v>
                </c:pt>
                <c:pt idx="7169">
                  <c:v> 18 </c:v>
                </c:pt>
                <c:pt idx="7170">
                  <c:v> 19 </c:v>
                </c:pt>
                <c:pt idx="7171">
                  <c:v> 20 </c:v>
                </c:pt>
                <c:pt idx="7172">
                  <c:v> 21 </c:v>
                </c:pt>
                <c:pt idx="7173">
                  <c:v> 22 </c:v>
                </c:pt>
                <c:pt idx="7174">
                  <c:v> 23 </c:v>
                </c:pt>
                <c:pt idx="7175">
                  <c:v> 24 </c:v>
                </c:pt>
                <c:pt idx="7176">
                  <c:v>27 Oct 2014</c:v>
                </c:pt>
                <c:pt idx="7177">
                  <c:v> 2 </c:v>
                </c:pt>
                <c:pt idx="7178">
                  <c:v> 3 </c:v>
                </c:pt>
                <c:pt idx="7179">
                  <c:v> 4 </c:v>
                </c:pt>
                <c:pt idx="7180">
                  <c:v> 5 </c:v>
                </c:pt>
                <c:pt idx="7181">
                  <c:v> 6 </c:v>
                </c:pt>
                <c:pt idx="7182">
                  <c:v> 7 </c:v>
                </c:pt>
                <c:pt idx="7183">
                  <c:v> 8 </c:v>
                </c:pt>
                <c:pt idx="7184">
                  <c:v> 9 </c:v>
                </c:pt>
                <c:pt idx="7185">
                  <c:v> 10 </c:v>
                </c:pt>
                <c:pt idx="7186">
                  <c:v> 11 </c:v>
                </c:pt>
                <c:pt idx="7187">
                  <c:v> 12 </c:v>
                </c:pt>
                <c:pt idx="7188">
                  <c:v> 13 </c:v>
                </c:pt>
                <c:pt idx="7189">
                  <c:v> 14 </c:v>
                </c:pt>
                <c:pt idx="7190">
                  <c:v> 15 </c:v>
                </c:pt>
                <c:pt idx="7191">
                  <c:v> 16 </c:v>
                </c:pt>
                <c:pt idx="7192">
                  <c:v> 17 </c:v>
                </c:pt>
                <c:pt idx="7193">
                  <c:v> 18 </c:v>
                </c:pt>
                <c:pt idx="7194">
                  <c:v> 19 </c:v>
                </c:pt>
                <c:pt idx="7195">
                  <c:v> 20 </c:v>
                </c:pt>
                <c:pt idx="7196">
                  <c:v> 21 </c:v>
                </c:pt>
                <c:pt idx="7197">
                  <c:v> 22 </c:v>
                </c:pt>
                <c:pt idx="7198">
                  <c:v> 23 </c:v>
                </c:pt>
                <c:pt idx="7199">
                  <c:v> 24 </c:v>
                </c:pt>
                <c:pt idx="7200">
                  <c:v>28 Oct 2014</c:v>
                </c:pt>
                <c:pt idx="7201">
                  <c:v> 2 </c:v>
                </c:pt>
                <c:pt idx="7202">
                  <c:v> 3 </c:v>
                </c:pt>
                <c:pt idx="7203">
                  <c:v> 4 </c:v>
                </c:pt>
                <c:pt idx="7204">
                  <c:v> 5 </c:v>
                </c:pt>
                <c:pt idx="7205">
                  <c:v> 6 </c:v>
                </c:pt>
                <c:pt idx="7206">
                  <c:v> 7 </c:v>
                </c:pt>
                <c:pt idx="7207">
                  <c:v> 8 </c:v>
                </c:pt>
                <c:pt idx="7208">
                  <c:v> 9 </c:v>
                </c:pt>
                <c:pt idx="7209">
                  <c:v> 10 </c:v>
                </c:pt>
                <c:pt idx="7210">
                  <c:v> 11 </c:v>
                </c:pt>
                <c:pt idx="7211">
                  <c:v> 12 </c:v>
                </c:pt>
                <c:pt idx="7212">
                  <c:v> 13 </c:v>
                </c:pt>
                <c:pt idx="7213">
                  <c:v> 14 </c:v>
                </c:pt>
                <c:pt idx="7214">
                  <c:v> 15 </c:v>
                </c:pt>
                <c:pt idx="7215">
                  <c:v> 16 </c:v>
                </c:pt>
                <c:pt idx="7216">
                  <c:v> 17 </c:v>
                </c:pt>
                <c:pt idx="7217">
                  <c:v> 18 </c:v>
                </c:pt>
                <c:pt idx="7218">
                  <c:v> 19 </c:v>
                </c:pt>
                <c:pt idx="7219">
                  <c:v> 20 </c:v>
                </c:pt>
                <c:pt idx="7220">
                  <c:v> 21 </c:v>
                </c:pt>
                <c:pt idx="7221">
                  <c:v> 22 </c:v>
                </c:pt>
                <c:pt idx="7222">
                  <c:v> 23 </c:v>
                </c:pt>
                <c:pt idx="7223">
                  <c:v> 24 </c:v>
                </c:pt>
                <c:pt idx="7224">
                  <c:v>29 Oct 2014</c:v>
                </c:pt>
                <c:pt idx="7225">
                  <c:v> 2 </c:v>
                </c:pt>
                <c:pt idx="7226">
                  <c:v> 3 </c:v>
                </c:pt>
                <c:pt idx="7227">
                  <c:v> 4 </c:v>
                </c:pt>
                <c:pt idx="7228">
                  <c:v> 5 </c:v>
                </c:pt>
                <c:pt idx="7229">
                  <c:v> 6 </c:v>
                </c:pt>
                <c:pt idx="7230">
                  <c:v> 7 </c:v>
                </c:pt>
                <c:pt idx="7231">
                  <c:v> 8 </c:v>
                </c:pt>
                <c:pt idx="7232">
                  <c:v> 9 </c:v>
                </c:pt>
                <c:pt idx="7233">
                  <c:v> 10 </c:v>
                </c:pt>
                <c:pt idx="7234">
                  <c:v> 11 </c:v>
                </c:pt>
                <c:pt idx="7235">
                  <c:v> 12 </c:v>
                </c:pt>
                <c:pt idx="7236">
                  <c:v> 13 </c:v>
                </c:pt>
                <c:pt idx="7237">
                  <c:v> 14 </c:v>
                </c:pt>
                <c:pt idx="7238">
                  <c:v> 15 </c:v>
                </c:pt>
                <c:pt idx="7239">
                  <c:v> 16 </c:v>
                </c:pt>
                <c:pt idx="7240">
                  <c:v> 17 </c:v>
                </c:pt>
                <c:pt idx="7241">
                  <c:v> 18 </c:v>
                </c:pt>
                <c:pt idx="7242">
                  <c:v> 19 </c:v>
                </c:pt>
                <c:pt idx="7243">
                  <c:v> 20 </c:v>
                </c:pt>
                <c:pt idx="7244">
                  <c:v> 21 </c:v>
                </c:pt>
                <c:pt idx="7245">
                  <c:v> 22 </c:v>
                </c:pt>
                <c:pt idx="7246">
                  <c:v> 23 </c:v>
                </c:pt>
                <c:pt idx="7247">
                  <c:v> 24 </c:v>
                </c:pt>
                <c:pt idx="7248">
                  <c:v>30 Oct 2014</c:v>
                </c:pt>
                <c:pt idx="7249">
                  <c:v> 2 </c:v>
                </c:pt>
                <c:pt idx="7250">
                  <c:v> 3 </c:v>
                </c:pt>
                <c:pt idx="7251">
                  <c:v> 4 </c:v>
                </c:pt>
                <c:pt idx="7252">
                  <c:v> 5 </c:v>
                </c:pt>
                <c:pt idx="7253">
                  <c:v> 6 </c:v>
                </c:pt>
                <c:pt idx="7254">
                  <c:v> 7 </c:v>
                </c:pt>
                <c:pt idx="7255">
                  <c:v> 8 </c:v>
                </c:pt>
                <c:pt idx="7256">
                  <c:v> 9 </c:v>
                </c:pt>
                <c:pt idx="7257">
                  <c:v> 10 </c:v>
                </c:pt>
                <c:pt idx="7258">
                  <c:v> 11 </c:v>
                </c:pt>
                <c:pt idx="7259">
                  <c:v> 12 </c:v>
                </c:pt>
                <c:pt idx="7260">
                  <c:v> 13 </c:v>
                </c:pt>
                <c:pt idx="7261">
                  <c:v> 14 </c:v>
                </c:pt>
                <c:pt idx="7262">
                  <c:v> 15 </c:v>
                </c:pt>
                <c:pt idx="7263">
                  <c:v> 16 </c:v>
                </c:pt>
                <c:pt idx="7264">
                  <c:v> 17 </c:v>
                </c:pt>
                <c:pt idx="7265">
                  <c:v> 18 </c:v>
                </c:pt>
                <c:pt idx="7266">
                  <c:v> 19 </c:v>
                </c:pt>
                <c:pt idx="7267">
                  <c:v> 20 </c:v>
                </c:pt>
                <c:pt idx="7268">
                  <c:v> 21 </c:v>
                </c:pt>
                <c:pt idx="7269">
                  <c:v> 22 </c:v>
                </c:pt>
                <c:pt idx="7270">
                  <c:v> 23 </c:v>
                </c:pt>
                <c:pt idx="7271">
                  <c:v> 24 </c:v>
                </c:pt>
                <c:pt idx="7272">
                  <c:v>31 Oct 2014</c:v>
                </c:pt>
                <c:pt idx="7273">
                  <c:v> 2 </c:v>
                </c:pt>
                <c:pt idx="7274">
                  <c:v> 3 </c:v>
                </c:pt>
                <c:pt idx="7275">
                  <c:v> 4 </c:v>
                </c:pt>
                <c:pt idx="7276">
                  <c:v> 5 </c:v>
                </c:pt>
                <c:pt idx="7277">
                  <c:v> 6 </c:v>
                </c:pt>
                <c:pt idx="7278">
                  <c:v> 7 </c:v>
                </c:pt>
                <c:pt idx="7279">
                  <c:v> 8 </c:v>
                </c:pt>
                <c:pt idx="7280">
                  <c:v> 9 </c:v>
                </c:pt>
                <c:pt idx="7281">
                  <c:v> 10 </c:v>
                </c:pt>
                <c:pt idx="7282">
                  <c:v> 11 </c:v>
                </c:pt>
                <c:pt idx="7283">
                  <c:v> 12 </c:v>
                </c:pt>
                <c:pt idx="7284">
                  <c:v> 13 </c:v>
                </c:pt>
                <c:pt idx="7285">
                  <c:v> 14 </c:v>
                </c:pt>
                <c:pt idx="7286">
                  <c:v> 15 </c:v>
                </c:pt>
                <c:pt idx="7287">
                  <c:v> 16 </c:v>
                </c:pt>
                <c:pt idx="7288">
                  <c:v> 17 </c:v>
                </c:pt>
                <c:pt idx="7289">
                  <c:v> 18 </c:v>
                </c:pt>
                <c:pt idx="7290">
                  <c:v> 19 </c:v>
                </c:pt>
                <c:pt idx="7291">
                  <c:v> 20 </c:v>
                </c:pt>
                <c:pt idx="7292">
                  <c:v> 21 </c:v>
                </c:pt>
                <c:pt idx="7293">
                  <c:v> 22 </c:v>
                </c:pt>
                <c:pt idx="7294">
                  <c:v> 23 </c:v>
                </c:pt>
                <c:pt idx="7295">
                  <c:v> 24 </c:v>
                </c:pt>
                <c:pt idx="7296">
                  <c:v>01 Nov 2014</c:v>
                </c:pt>
                <c:pt idx="7297">
                  <c:v> 2 </c:v>
                </c:pt>
                <c:pt idx="7298">
                  <c:v> 3 </c:v>
                </c:pt>
                <c:pt idx="7299">
                  <c:v> 4 </c:v>
                </c:pt>
                <c:pt idx="7300">
                  <c:v> 5 </c:v>
                </c:pt>
                <c:pt idx="7301">
                  <c:v> 6 </c:v>
                </c:pt>
                <c:pt idx="7302">
                  <c:v> 7 </c:v>
                </c:pt>
                <c:pt idx="7303">
                  <c:v> 8 </c:v>
                </c:pt>
                <c:pt idx="7304">
                  <c:v> 9 </c:v>
                </c:pt>
                <c:pt idx="7305">
                  <c:v> 10 </c:v>
                </c:pt>
                <c:pt idx="7306">
                  <c:v> 11 </c:v>
                </c:pt>
                <c:pt idx="7307">
                  <c:v> 12 </c:v>
                </c:pt>
                <c:pt idx="7308">
                  <c:v> 13 </c:v>
                </c:pt>
                <c:pt idx="7309">
                  <c:v> 14 </c:v>
                </c:pt>
                <c:pt idx="7310">
                  <c:v> 15 </c:v>
                </c:pt>
                <c:pt idx="7311">
                  <c:v> 16 </c:v>
                </c:pt>
                <c:pt idx="7312">
                  <c:v> 17 </c:v>
                </c:pt>
                <c:pt idx="7313">
                  <c:v> 18 </c:v>
                </c:pt>
                <c:pt idx="7314">
                  <c:v> 19 </c:v>
                </c:pt>
                <c:pt idx="7315">
                  <c:v> 20 </c:v>
                </c:pt>
                <c:pt idx="7316">
                  <c:v> 21 </c:v>
                </c:pt>
                <c:pt idx="7317">
                  <c:v> 22 </c:v>
                </c:pt>
                <c:pt idx="7318">
                  <c:v> 23 </c:v>
                </c:pt>
                <c:pt idx="7319">
                  <c:v> 24 </c:v>
                </c:pt>
                <c:pt idx="7320">
                  <c:v>02 Nov 2014</c:v>
                </c:pt>
                <c:pt idx="7321">
                  <c:v> 2 </c:v>
                </c:pt>
                <c:pt idx="7322">
                  <c:v> 3 </c:v>
                </c:pt>
                <c:pt idx="7323">
                  <c:v> 4 </c:v>
                </c:pt>
                <c:pt idx="7324">
                  <c:v> 5 </c:v>
                </c:pt>
                <c:pt idx="7325">
                  <c:v> 6 </c:v>
                </c:pt>
                <c:pt idx="7326">
                  <c:v> 7 </c:v>
                </c:pt>
                <c:pt idx="7327">
                  <c:v> 8 </c:v>
                </c:pt>
                <c:pt idx="7328">
                  <c:v> 9 </c:v>
                </c:pt>
                <c:pt idx="7329">
                  <c:v> 10 </c:v>
                </c:pt>
                <c:pt idx="7330">
                  <c:v> 11 </c:v>
                </c:pt>
                <c:pt idx="7331">
                  <c:v> 12 </c:v>
                </c:pt>
                <c:pt idx="7332">
                  <c:v> 13 </c:v>
                </c:pt>
                <c:pt idx="7333">
                  <c:v> 14 </c:v>
                </c:pt>
                <c:pt idx="7334">
                  <c:v> 15 </c:v>
                </c:pt>
                <c:pt idx="7335">
                  <c:v> 16 </c:v>
                </c:pt>
                <c:pt idx="7336">
                  <c:v> 17 </c:v>
                </c:pt>
                <c:pt idx="7337">
                  <c:v> 18 </c:v>
                </c:pt>
                <c:pt idx="7338">
                  <c:v> 19 </c:v>
                </c:pt>
                <c:pt idx="7339">
                  <c:v> 20 </c:v>
                </c:pt>
                <c:pt idx="7340">
                  <c:v> 21 </c:v>
                </c:pt>
                <c:pt idx="7341">
                  <c:v> 22 </c:v>
                </c:pt>
                <c:pt idx="7342">
                  <c:v> 23 </c:v>
                </c:pt>
                <c:pt idx="7343">
                  <c:v> 24 </c:v>
                </c:pt>
                <c:pt idx="7344">
                  <c:v>03 Nov 2014</c:v>
                </c:pt>
                <c:pt idx="7345">
                  <c:v> 2 </c:v>
                </c:pt>
                <c:pt idx="7346">
                  <c:v> 3 </c:v>
                </c:pt>
                <c:pt idx="7347">
                  <c:v> 4 </c:v>
                </c:pt>
                <c:pt idx="7348">
                  <c:v> 5 </c:v>
                </c:pt>
                <c:pt idx="7349">
                  <c:v> 6 </c:v>
                </c:pt>
                <c:pt idx="7350">
                  <c:v> 7 </c:v>
                </c:pt>
                <c:pt idx="7351">
                  <c:v> 8 </c:v>
                </c:pt>
                <c:pt idx="7352">
                  <c:v> 9 </c:v>
                </c:pt>
                <c:pt idx="7353">
                  <c:v> 10 </c:v>
                </c:pt>
                <c:pt idx="7354">
                  <c:v> 11 </c:v>
                </c:pt>
                <c:pt idx="7355">
                  <c:v> 12 </c:v>
                </c:pt>
                <c:pt idx="7356">
                  <c:v> 13 </c:v>
                </c:pt>
                <c:pt idx="7357">
                  <c:v> 14 </c:v>
                </c:pt>
                <c:pt idx="7358">
                  <c:v> 15 </c:v>
                </c:pt>
                <c:pt idx="7359">
                  <c:v> 16 </c:v>
                </c:pt>
                <c:pt idx="7360">
                  <c:v> 17 </c:v>
                </c:pt>
                <c:pt idx="7361">
                  <c:v> 18 </c:v>
                </c:pt>
                <c:pt idx="7362">
                  <c:v> 19 </c:v>
                </c:pt>
                <c:pt idx="7363">
                  <c:v> 20 </c:v>
                </c:pt>
                <c:pt idx="7364">
                  <c:v> 21 </c:v>
                </c:pt>
                <c:pt idx="7365">
                  <c:v> 22 </c:v>
                </c:pt>
                <c:pt idx="7366">
                  <c:v> 23 </c:v>
                </c:pt>
                <c:pt idx="7367">
                  <c:v> 24 </c:v>
                </c:pt>
                <c:pt idx="7368">
                  <c:v>04 Nov 2014</c:v>
                </c:pt>
                <c:pt idx="7369">
                  <c:v> 2 </c:v>
                </c:pt>
                <c:pt idx="7370">
                  <c:v> 3 </c:v>
                </c:pt>
                <c:pt idx="7371">
                  <c:v> 4 </c:v>
                </c:pt>
                <c:pt idx="7372">
                  <c:v> 5 </c:v>
                </c:pt>
                <c:pt idx="7373">
                  <c:v> 6 </c:v>
                </c:pt>
                <c:pt idx="7374">
                  <c:v> 7 </c:v>
                </c:pt>
                <c:pt idx="7375">
                  <c:v> 8 </c:v>
                </c:pt>
                <c:pt idx="7376">
                  <c:v> 9 </c:v>
                </c:pt>
                <c:pt idx="7377">
                  <c:v> 10 </c:v>
                </c:pt>
                <c:pt idx="7378">
                  <c:v> 11 </c:v>
                </c:pt>
                <c:pt idx="7379">
                  <c:v> 12 </c:v>
                </c:pt>
                <c:pt idx="7380">
                  <c:v> 13 </c:v>
                </c:pt>
                <c:pt idx="7381">
                  <c:v> 14 </c:v>
                </c:pt>
                <c:pt idx="7382">
                  <c:v> 15 </c:v>
                </c:pt>
                <c:pt idx="7383">
                  <c:v> 16 </c:v>
                </c:pt>
                <c:pt idx="7384">
                  <c:v> 17 </c:v>
                </c:pt>
                <c:pt idx="7385">
                  <c:v> 18 </c:v>
                </c:pt>
                <c:pt idx="7386">
                  <c:v> 19 </c:v>
                </c:pt>
                <c:pt idx="7387">
                  <c:v> 20 </c:v>
                </c:pt>
                <c:pt idx="7388">
                  <c:v> 21 </c:v>
                </c:pt>
                <c:pt idx="7389">
                  <c:v> 22 </c:v>
                </c:pt>
                <c:pt idx="7390">
                  <c:v> 23 </c:v>
                </c:pt>
                <c:pt idx="7391">
                  <c:v> 24 </c:v>
                </c:pt>
                <c:pt idx="7392">
                  <c:v>05 Nov 2014</c:v>
                </c:pt>
                <c:pt idx="7393">
                  <c:v> 2 </c:v>
                </c:pt>
                <c:pt idx="7394">
                  <c:v> 3 </c:v>
                </c:pt>
                <c:pt idx="7395">
                  <c:v> 4 </c:v>
                </c:pt>
                <c:pt idx="7396">
                  <c:v> 5 </c:v>
                </c:pt>
                <c:pt idx="7397">
                  <c:v> 6 </c:v>
                </c:pt>
                <c:pt idx="7398">
                  <c:v> 7 </c:v>
                </c:pt>
                <c:pt idx="7399">
                  <c:v> 8 </c:v>
                </c:pt>
                <c:pt idx="7400">
                  <c:v> 9 </c:v>
                </c:pt>
                <c:pt idx="7401">
                  <c:v> 10 </c:v>
                </c:pt>
                <c:pt idx="7402">
                  <c:v> 11 </c:v>
                </c:pt>
                <c:pt idx="7403">
                  <c:v> 12 </c:v>
                </c:pt>
                <c:pt idx="7404">
                  <c:v> 13 </c:v>
                </c:pt>
                <c:pt idx="7405">
                  <c:v> 14 </c:v>
                </c:pt>
                <c:pt idx="7406">
                  <c:v> 15 </c:v>
                </c:pt>
                <c:pt idx="7407">
                  <c:v> 16 </c:v>
                </c:pt>
                <c:pt idx="7408">
                  <c:v> 17 </c:v>
                </c:pt>
                <c:pt idx="7409">
                  <c:v> 18 </c:v>
                </c:pt>
                <c:pt idx="7410">
                  <c:v> 19 </c:v>
                </c:pt>
                <c:pt idx="7411">
                  <c:v> 20 </c:v>
                </c:pt>
                <c:pt idx="7412">
                  <c:v> 21 </c:v>
                </c:pt>
                <c:pt idx="7413">
                  <c:v> 22 </c:v>
                </c:pt>
                <c:pt idx="7414">
                  <c:v> 23 </c:v>
                </c:pt>
                <c:pt idx="7415">
                  <c:v> 24 </c:v>
                </c:pt>
                <c:pt idx="7416">
                  <c:v>06 Nov 2014</c:v>
                </c:pt>
                <c:pt idx="7417">
                  <c:v> 2 </c:v>
                </c:pt>
                <c:pt idx="7418">
                  <c:v> 3 </c:v>
                </c:pt>
                <c:pt idx="7419">
                  <c:v> 4 </c:v>
                </c:pt>
                <c:pt idx="7420">
                  <c:v> 5 </c:v>
                </c:pt>
                <c:pt idx="7421">
                  <c:v> 6 </c:v>
                </c:pt>
                <c:pt idx="7422">
                  <c:v> 7 </c:v>
                </c:pt>
                <c:pt idx="7423">
                  <c:v> 8 </c:v>
                </c:pt>
                <c:pt idx="7424">
                  <c:v> 9 </c:v>
                </c:pt>
                <c:pt idx="7425">
                  <c:v> 10 </c:v>
                </c:pt>
                <c:pt idx="7426">
                  <c:v> 11 </c:v>
                </c:pt>
                <c:pt idx="7427">
                  <c:v> 12 </c:v>
                </c:pt>
                <c:pt idx="7428">
                  <c:v> 13 </c:v>
                </c:pt>
                <c:pt idx="7429">
                  <c:v> 14 </c:v>
                </c:pt>
                <c:pt idx="7430">
                  <c:v> 15 </c:v>
                </c:pt>
                <c:pt idx="7431">
                  <c:v> 16 </c:v>
                </c:pt>
                <c:pt idx="7432">
                  <c:v> 17 </c:v>
                </c:pt>
                <c:pt idx="7433">
                  <c:v> 18 </c:v>
                </c:pt>
                <c:pt idx="7434">
                  <c:v> 19 </c:v>
                </c:pt>
                <c:pt idx="7435">
                  <c:v> 20 </c:v>
                </c:pt>
                <c:pt idx="7436">
                  <c:v> 21 </c:v>
                </c:pt>
                <c:pt idx="7437">
                  <c:v> 22 </c:v>
                </c:pt>
                <c:pt idx="7438">
                  <c:v> 23 </c:v>
                </c:pt>
                <c:pt idx="7439">
                  <c:v> 24 </c:v>
                </c:pt>
                <c:pt idx="7440">
                  <c:v>07 Nov 2014</c:v>
                </c:pt>
                <c:pt idx="7441">
                  <c:v> 2 </c:v>
                </c:pt>
                <c:pt idx="7442">
                  <c:v> 3 </c:v>
                </c:pt>
                <c:pt idx="7443">
                  <c:v> 4 </c:v>
                </c:pt>
                <c:pt idx="7444">
                  <c:v> 5 </c:v>
                </c:pt>
                <c:pt idx="7445">
                  <c:v> 6 </c:v>
                </c:pt>
                <c:pt idx="7446">
                  <c:v> 7 </c:v>
                </c:pt>
                <c:pt idx="7447">
                  <c:v> 8 </c:v>
                </c:pt>
                <c:pt idx="7448">
                  <c:v> 9 </c:v>
                </c:pt>
                <c:pt idx="7449">
                  <c:v> 10 </c:v>
                </c:pt>
                <c:pt idx="7450">
                  <c:v> 11 </c:v>
                </c:pt>
                <c:pt idx="7451">
                  <c:v> 12 </c:v>
                </c:pt>
                <c:pt idx="7452">
                  <c:v> 13 </c:v>
                </c:pt>
                <c:pt idx="7453">
                  <c:v> 14 </c:v>
                </c:pt>
                <c:pt idx="7454">
                  <c:v> 15 </c:v>
                </c:pt>
                <c:pt idx="7455">
                  <c:v> 16 </c:v>
                </c:pt>
                <c:pt idx="7456">
                  <c:v> 17 </c:v>
                </c:pt>
                <c:pt idx="7457">
                  <c:v> 18 </c:v>
                </c:pt>
                <c:pt idx="7458">
                  <c:v> 19 </c:v>
                </c:pt>
                <c:pt idx="7459">
                  <c:v> 20 </c:v>
                </c:pt>
                <c:pt idx="7460">
                  <c:v> 21 </c:v>
                </c:pt>
                <c:pt idx="7461">
                  <c:v> 22 </c:v>
                </c:pt>
                <c:pt idx="7462">
                  <c:v> 23 </c:v>
                </c:pt>
                <c:pt idx="7463">
                  <c:v> 24 </c:v>
                </c:pt>
                <c:pt idx="7464">
                  <c:v>08 Nov 2014</c:v>
                </c:pt>
                <c:pt idx="7465">
                  <c:v> 2 </c:v>
                </c:pt>
                <c:pt idx="7466">
                  <c:v> 3 </c:v>
                </c:pt>
                <c:pt idx="7467">
                  <c:v> 4 </c:v>
                </c:pt>
                <c:pt idx="7468">
                  <c:v> 5 </c:v>
                </c:pt>
                <c:pt idx="7469">
                  <c:v> 6 </c:v>
                </c:pt>
                <c:pt idx="7470">
                  <c:v> 7 </c:v>
                </c:pt>
                <c:pt idx="7471">
                  <c:v> 8 </c:v>
                </c:pt>
                <c:pt idx="7472">
                  <c:v> 9 </c:v>
                </c:pt>
                <c:pt idx="7473">
                  <c:v> 10 </c:v>
                </c:pt>
                <c:pt idx="7474">
                  <c:v> 11 </c:v>
                </c:pt>
                <c:pt idx="7475">
                  <c:v> 12 </c:v>
                </c:pt>
                <c:pt idx="7476">
                  <c:v> 13 </c:v>
                </c:pt>
                <c:pt idx="7477">
                  <c:v> 14 </c:v>
                </c:pt>
                <c:pt idx="7478">
                  <c:v> 15 </c:v>
                </c:pt>
                <c:pt idx="7479">
                  <c:v> 16 </c:v>
                </c:pt>
                <c:pt idx="7480">
                  <c:v> 17 </c:v>
                </c:pt>
                <c:pt idx="7481">
                  <c:v> 18 </c:v>
                </c:pt>
                <c:pt idx="7482">
                  <c:v> 19 </c:v>
                </c:pt>
                <c:pt idx="7483">
                  <c:v> 20 </c:v>
                </c:pt>
                <c:pt idx="7484">
                  <c:v> 21 </c:v>
                </c:pt>
                <c:pt idx="7485">
                  <c:v> 22 </c:v>
                </c:pt>
                <c:pt idx="7486">
                  <c:v> 23 </c:v>
                </c:pt>
                <c:pt idx="7487">
                  <c:v> 24 </c:v>
                </c:pt>
                <c:pt idx="7488">
                  <c:v>09 Nov 2014</c:v>
                </c:pt>
                <c:pt idx="7489">
                  <c:v> 2 </c:v>
                </c:pt>
                <c:pt idx="7490">
                  <c:v> 3 </c:v>
                </c:pt>
                <c:pt idx="7491">
                  <c:v> 4 </c:v>
                </c:pt>
                <c:pt idx="7492">
                  <c:v> 5 </c:v>
                </c:pt>
                <c:pt idx="7493">
                  <c:v> 6 </c:v>
                </c:pt>
                <c:pt idx="7494">
                  <c:v> 7 </c:v>
                </c:pt>
                <c:pt idx="7495">
                  <c:v> 8 </c:v>
                </c:pt>
                <c:pt idx="7496">
                  <c:v> 9 </c:v>
                </c:pt>
                <c:pt idx="7497">
                  <c:v> 10 </c:v>
                </c:pt>
                <c:pt idx="7498">
                  <c:v> 11 </c:v>
                </c:pt>
                <c:pt idx="7499">
                  <c:v> 12 </c:v>
                </c:pt>
                <c:pt idx="7500">
                  <c:v> 13 </c:v>
                </c:pt>
                <c:pt idx="7501">
                  <c:v> 14 </c:v>
                </c:pt>
                <c:pt idx="7502">
                  <c:v> 15 </c:v>
                </c:pt>
                <c:pt idx="7503">
                  <c:v> 16 </c:v>
                </c:pt>
                <c:pt idx="7504">
                  <c:v> 17 </c:v>
                </c:pt>
                <c:pt idx="7505">
                  <c:v> 18 </c:v>
                </c:pt>
                <c:pt idx="7506">
                  <c:v> 19 </c:v>
                </c:pt>
                <c:pt idx="7507">
                  <c:v> 20 </c:v>
                </c:pt>
                <c:pt idx="7508">
                  <c:v> 21 </c:v>
                </c:pt>
                <c:pt idx="7509">
                  <c:v> 22 </c:v>
                </c:pt>
                <c:pt idx="7510">
                  <c:v> 23 </c:v>
                </c:pt>
                <c:pt idx="7511">
                  <c:v> 24 </c:v>
                </c:pt>
                <c:pt idx="7512">
                  <c:v>10 Nov 2014</c:v>
                </c:pt>
                <c:pt idx="7513">
                  <c:v> 2 </c:v>
                </c:pt>
                <c:pt idx="7514">
                  <c:v> 3 </c:v>
                </c:pt>
                <c:pt idx="7515">
                  <c:v> 4 </c:v>
                </c:pt>
                <c:pt idx="7516">
                  <c:v> 5 </c:v>
                </c:pt>
                <c:pt idx="7517">
                  <c:v> 6 </c:v>
                </c:pt>
                <c:pt idx="7518">
                  <c:v> 7 </c:v>
                </c:pt>
                <c:pt idx="7519">
                  <c:v> 8 </c:v>
                </c:pt>
                <c:pt idx="7520">
                  <c:v> 9 </c:v>
                </c:pt>
                <c:pt idx="7521">
                  <c:v> 10 </c:v>
                </c:pt>
                <c:pt idx="7522">
                  <c:v> 11 </c:v>
                </c:pt>
                <c:pt idx="7523">
                  <c:v> 12 </c:v>
                </c:pt>
                <c:pt idx="7524">
                  <c:v> 13 </c:v>
                </c:pt>
                <c:pt idx="7525">
                  <c:v> 14 </c:v>
                </c:pt>
                <c:pt idx="7526">
                  <c:v> 15 </c:v>
                </c:pt>
                <c:pt idx="7527">
                  <c:v> 16 </c:v>
                </c:pt>
                <c:pt idx="7528">
                  <c:v> 17 </c:v>
                </c:pt>
                <c:pt idx="7529">
                  <c:v> 18 </c:v>
                </c:pt>
                <c:pt idx="7530">
                  <c:v> 19 </c:v>
                </c:pt>
                <c:pt idx="7531">
                  <c:v> 20 </c:v>
                </c:pt>
                <c:pt idx="7532">
                  <c:v> 21 </c:v>
                </c:pt>
                <c:pt idx="7533">
                  <c:v> 22 </c:v>
                </c:pt>
                <c:pt idx="7534">
                  <c:v> 23 </c:v>
                </c:pt>
                <c:pt idx="7535">
                  <c:v> 24 </c:v>
                </c:pt>
                <c:pt idx="7536">
                  <c:v>11 Nov 2014</c:v>
                </c:pt>
                <c:pt idx="7537">
                  <c:v> 2 </c:v>
                </c:pt>
                <c:pt idx="7538">
                  <c:v> 3 </c:v>
                </c:pt>
                <c:pt idx="7539">
                  <c:v> 4 </c:v>
                </c:pt>
                <c:pt idx="7540">
                  <c:v> 5 </c:v>
                </c:pt>
                <c:pt idx="7541">
                  <c:v> 6 </c:v>
                </c:pt>
                <c:pt idx="7542">
                  <c:v> 7 </c:v>
                </c:pt>
                <c:pt idx="7543">
                  <c:v> 8 </c:v>
                </c:pt>
                <c:pt idx="7544">
                  <c:v> 9 </c:v>
                </c:pt>
                <c:pt idx="7545">
                  <c:v> 10 </c:v>
                </c:pt>
                <c:pt idx="7546">
                  <c:v> 11 </c:v>
                </c:pt>
                <c:pt idx="7547">
                  <c:v> 12 </c:v>
                </c:pt>
                <c:pt idx="7548">
                  <c:v> 13 </c:v>
                </c:pt>
                <c:pt idx="7549">
                  <c:v> 14 </c:v>
                </c:pt>
                <c:pt idx="7550">
                  <c:v> 15 </c:v>
                </c:pt>
                <c:pt idx="7551">
                  <c:v> 16 </c:v>
                </c:pt>
                <c:pt idx="7552">
                  <c:v> 17 </c:v>
                </c:pt>
                <c:pt idx="7553">
                  <c:v> 18 </c:v>
                </c:pt>
                <c:pt idx="7554">
                  <c:v> 19 </c:v>
                </c:pt>
                <c:pt idx="7555">
                  <c:v> 20 </c:v>
                </c:pt>
                <c:pt idx="7556">
                  <c:v> 21 </c:v>
                </c:pt>
                <c:pt idx="7557">
                  <c:v> 22 </c:v>
                </c:pt>
                <c:pt idx="7558">
                  <c:v> 23 </c:v>
                </c:pt>
                <c:pt idx="7559">
                  <c:v> 24 </c:v>
                </c:pt>
                <c:pt idx="7560">
                  <c:v>12 Nov 2014</c:v>
                </c:pt>
                <c:pt idx="7561">
                  <c:v> 2 </c:v>
                </c:pt>
                <c:pt idx="7562">
                  <c:v> 3 </c:v>
                </c:pt>
                <c:pt idx="7563">
                  <c:v> 4 </c:v>
                </c:pt>
                <c:pt idx="7564">
                  <c:v> 5 </c:v>
                </c:pt>
                <c:pt idx="7565">
                  <c:v> 6 </c:v>
                </c:pt>
                <c:pt idx="7566">
                  <c:v> 7 </c:v>
                </c:pt>
                <c:pt idx="7567">
                  <c:v> 8 </c:v>
                </c:pt>
                <c:pt idx="7568">
                  <c:v> 9 </c:v>
                </c:pt>
                <c:pt idx="7569">
                  <c:v> 10 </c:v>
                </c:pt>
                <c:pt idx="7570">
                  <c:v> 11 </c:v>
                </c:pt>
                <c:pt idx="7571">
                  <c:v> 12 </c:v>
                </c:pt>
                <c:pt idx="7572">
                  <c:v> 13 </c:v>
                </c:pt>
                <c:pt idx="7573">
                  <c:v> 14 </c:v>
                </c:pt>
                <c:pt idx="7574">
                  <c:v> 15 </c:v>
                </c:pt>
                <c:pt idx="7575">
                  <c:v> 16 </c:v>
                </c:pt>
                <c:pt idx="7576">
                  <c:v> 17 </c:v>
                </c:pt>
                <c:pt idx="7577">
                  <c:v> 18 </c:v>
                </c:pt>
                <c:pt idx="7578">
                  <c:v> 19 </c:v>
                </c:pt>
                <c:pt idx="7579">
                  <c:v> 20 </c:v>
                </c:pt>
                <c:pt idx="7580">
                  <c:v> 21 </c:v>
                </c:pt>
                <c:pt idx="7581">
                  <c:v> 22 </c:v>
                </c:pt>
                <c:pt idx="7582">
                  <c:v> 23 </c:v>
                </c:pt>
                <c:pt idx="7583">
                  <c:v> 24 </c:v>
                </c:pt>
                <c:pt idx="7584">
                  <c:v>13 Nov 2014</c:v>
                </c:pt>
                <c:pt idx="7585">
                  <c:v> 2 </c:v>
                </c:pt>
                <c:pt idx="7586">
                  <c:v> 3 </c:v>
                </c:pt>
                <c:pt idx="7587">
                  <c:v> 4 </c:v>
                </c:pt>
                <c:pt idx="7588">
                  <c:v> 5 </c:v>
                </c:pt>
                <c:pt idx="7589">
                  <c:v> 6 </c:v>
                </c:pt>
                <c:pt idx="7590">
                  <c:v> 7 </c:v>
                </c:pt>
                <c:pt idx="7591">
                  <c:v> 8 </c:v>
                </c:pt>
                <c:pt idx="7592">
                  <c:v> 9 </c:v>
                </c:pt>
                <c:pt idx="7593">
                  <c:v> 10 </c:v>
                </c:pt>
                <c:pt idx="7594">
                  <c:v> 11 </c:v>
                </c:pt>
                <c:pt idx="7595">
                  <c:v> 12 </c:v>
                </c:pt>
                <c:pt idx="7596">
                  <c:v> 13 </c:v>
                </c:pt>
                <c:pt idx="7597">
                  <c:v> 14 </c:v>
                </c:pt>
                <c:pt idx="7598">
                  <c:v> 15 </c:v>
                </c:pt>
                <c:pt idx="7599">
                  <c:v> 16 </c:v>
                </c:pt>
                <c:pt idx="7600">
                  <c:v> 17 </c:v>
                </c:pt>
                <c:pt idx="7601">
                  <c:v> 18 </c:v>
                </c:pt>
                <c:pt idx="7602">
                  <c:v> 19 </c:v>
                </c:pt>
                <c:pt idx="7603">
                  <c:v> 20 </c:v>
                </c:pt>
                <c:pt idx="7604">
                  <c:v> 21 </c:v>
                </c:pt>
                <c:pt idx="7605">
                  <c:v> 22 </c:v>
                </c:pt>
                <c:pt idx="7606">
                  <c:v> 23 </c:v>
                </c:pt>
                <c:pt idx="7607">
                  <c:v> 24 </c:v>
                </c:pt>
                <c:pt idx="7608">
                  <c:v>14 Nov 2014</c:v>
                </c:pt>
                <c:pt idx="7609">
                  <c:v> 2 </c:v>
                </c:pt>
                <c:pt idx="7610">
                  <c:v> 3 </c:v>
                </c:pt>
                <c:pt idx="7611">
                  <c:v> 4 </c:v>
                </c:pt>
                <c:pt idx="7612">
                  <c:v> 5 </c:v>
                </c:pt>
                <c:pt idx="7613">
                  <c:v> 6 </c:v>
                </c:pt>
                <c:pt idx="7614">
                  <c:v> 7 </c:v>
                </c:pt>
                <c:pt idx="7615">
                  <c:v> 8 </c:v>
                </c:pt>
                <c:pt idx="7616">
                  <c:v> 9 </c:v>
                </c:pt>
                <c:pt idx="7617">
                  <c:v> 10 </c:v>
                </c:pt>
                <c:pt idx="7618">
                  <c:v> 11 </c:v>
                </c:pt>
                <c:pt idx="7619">
                  <c:v> 12 </c:v>
                </c:pt>
                <c:pt idx="7620">
                  <c:v> 13 </c:v>
                </c:pt>
                <c:pt idx="7621">
                  <c:v> 14 </c:v>
                </c:pt>
                <c:pt idx="7622">
                  <c:v> 15 </c:v>
                </c:pt>
                <c:pt idx="7623">
                  <c:v> 16 </c:v>
                </c:pt>
                <c:pt idx="7624">
                  <c:v> 17 </c:v>
                </c:pt>
                <c:pt idx="7625">
                  <c:v> 18 </c:v>
                </c:pt>
                <c:pt idx="7626">
                  <c:v> 19 </c:v>
                </c:pt>
                <c:pt idx="7627">
                  <c:v> 20 </c:v>
                </c:pt>
                <c:pt idx="7628">
                  <c:v> 21 </c:v>
                </c:pt>
                <c:pt idx="7629">
                  <c:v> 22 </c:v>
                </c:pt>
                <c:pt idx="7630">
                  <c:v> 23 </c:v>
                </c:pt>
                <c:pt idx="7631">
                  <c:v> 24 </c:v>
                </c:pt>
                <c:pt idx="7632">
                  <c:v>15 Nov 2014</c:v>
                </c:pt>
                <c:pt idx="7633">
                  <c:v> 2 </c:v>
                </c:pt>
                <c:pt idx="7634">
                  <c:v> 3 </c:v>
                </c:pt>
                <c:pt idx="7635">
                  <c:v> 4 </c:v>
                </c:pt>
                <c:pt idx="7636">
                  <c:v> 5 </c:v>
                </c:pt>
                <c:pt idx="7637">
                  <c:v> 6 </c:v>
                </c:pt>
                <c:pt idx="7638">
                  <c:v> 7 </c:v>
                </c:pt>
                <c:pt idx="7639">
                  <c:v> 8 </c:v>
                </c:pt>
                <c:pt idx="7640">
                  <c:v> 9 </c:v>
                </c:pt>
                <c:pt idx="7641">
                  <c:v> 10 </c:v>
                </c:pt>
                <c:pt idx="7642">
                  <c:v> 11 </c:v>
                </c:pt>
                <c:pt idx="7643">
                  <c:v> 12 </c:v>
                </c:pt>
                <c:pt idx="7644">
                  <c:v> 13 </c:v>
                </c:pt>
                <c:pt idx="7645">
                  <c:v> 14 </c:v>
                </c:pt>
                <c:pt idx="7646">
                  <c:v> 15 </c:v>
                </c:pt>
                <c:pt idx="7647">
                  <c:v> 16 </c:v>
                </c:pt>
                <c:pt idx="7648">
                  <c:v> 17 </c:v>
                </c:pt>
                <c:pt idx="7649">
                  <c:v> 18 </c:v>
                </c:pt>
                <c:pt idx="7650">
                  <c:v> 19 </c:v>
                </c:pt>
                <c:pt idx="7651">
                  <c:v> 20 </c:v>
                </c:pt>
                <c:pt idx="7652">
                  <c:v> 21 </c:v>
                </c:pt>
                <c:pt idx="7653">
                  <c:v> 22 </c:v>
                </c:pt>
                <c:pt idx="7654">
                  <c:v> 23 </c:v>
                </c:pt>
                <c:pt idx="7655">
                  <c:v> 24 </c:v>
                </c:pt>
                <c:pt idx="7656">
                  <c:v>16 Nov 2014</c:v>
                </c:pt>
                <c:pt idx="7657">
                  <c:v> 2 </c:v>
                </c:pt>
                <c:pt idx="7658">
                  <c:v> 3 </c:v>
                </c:pt>
                <c:pt idx="7659">
                  <c:v> 4 </c:v>
                </c:pt>
                <c:pt idx="7660">
                  <c:v> 5 </c:v>
                </c:pt>
                <c:pt idx="7661">
                  <c:v> 6 </c:v>
                </c:pt>
                <c:pt idx="7662">
                  <c:v> 7 </c:v>
                </c:pt>
                <c:pt idx="7663">
                  <c:v> 8 </c:v>
                </c:pt>
                <c:pt idx="7664">
                  <c:v> 9 </c:v>
                </c:pt>
                <c:pt idx="7665">
                  <c:v> 10 </c:v>
                </c:pt>
                <c:pt idx="7666">
                  <c:v> 11 </c:v>
                </c:pt>
                <c:pt idx="7667">
                  <c:v> 12 </c:v>
                </c:pt>
                <c:pt idx="7668">
                  <c:v> 13 </c:v>
                </c:pt>
                <c:pt idx="7669">
                  <c:v> 14 </c:v>
                </c:pt>
                <c:pt idx="7670">
                  <c:v> 15 </c:v>
                </c:pt>
                <c:pt idx="7671">
                  <c:v> 16 </c:v>
                </c:pt>
                <c:pt idx="7672">
                  <c:v> 17 </c:v>
                </c:pt>
                <c:pt idx="7673">
                  <c:v> 18 </c:v>
                </c:pt>
                <c:pt idx="7674">
                  <c:v> 19 </c:v>
                </c:pt>
                <c:pt idx="7675">
                  <c:v> 20 </c:v>
                </c:pt>
                <c:pt idx="7676">
                  <c:v> 21 </c:v>
                </c:pt>
                <c:pt idx="7677">
                  <c:v> 22 </c:v>
                </c:pt>
                <c:pt idx="7678">
                  <c:v> 23 </c:v>
                </c:pt>
                <c:pt idx="7679">
                  <c:v> 24 </c:v>
                </c:pt>
                <c:pt idx="7680">
                  <c:v>17 Nov 2014</c:v>
                </c:pt>
                <c:pt idx="7681">
                  <c:v> 2 </c:v>
                </c:pt>
                <c:pt idx="7682">
                  <c:v> 3 </c:v>
                </c:pt>
                <c:pt idx="7683">
                  <c:v> 4 </c:v>
                </c:pt>
                <c:pt idx="7684">
                  <c:v> 5 </c:v>
                </c:pt>
                <c:pt idx="7685">
                  <c:v> 6 </c:v>
                </c:pt>
                <c:pt idx="7686">
                  <c:v> 7 </c:v>
                </c:pt>
                <c:pt idx="7687">
                  <c:v> 8 </c:v>
                </c:pt>
                <c:pt idx="7688">
                  <c:v> 9 </c:v>
                </c:pt>
                <c:pt idx="7689">
                  <c:v> 10 </c:v>
                </c:pt>
                <c:pt idx="7690">
                  <c:v> 11 </c:v>
                </c:pt>
                <c:pt idx="7691">
                  <c:v> 12 </c:v>
                </c:pt>
                <c:pt idx="7692">
                  <c:v> 13 </c:v>
                </c:pt>
                <c:pt idx="7693">
                  <c:v> 14 </c:v>
                </c:pt>
                <c:pt idx="7694">
                  <c:v> 15 </c:v>
                </c:pt>
                <c:pt idx="7695">
                  <c:v> 16 </c:v>
                </c:pt>
                <c:pt idx="7696">
                  <c:v> 17 </c:v>
                </c:pt>
                <c:pt idx="7697">
                  <c:v> 18 </c:v>
                </c:pt>
                <c:pt idx="7698">
                  <c:v> 19 </c:v>
                </c:pt>
                <c:pt idx="7699">
                  <c:v> 20 </c:v>
                </c:pt>
                <c:pt idx="7700">
                  <c:v> 21 </c:v>
                </c:pt>
                <c:pt idx="7701">
                  <c:v> 22 </c:v>
                </c:pt>
                <c:pt idx="7702">
                  <c:v> 23 </c:v>
                </c:pt>
                <c:pt idx="7703">
                  <c:v> 24 </c:v>
                </c:pt>
                <c:pt idx="7704">
                  <c:v>18 Nov 2014</c:v>
                </c:pt>
                <c:pt idx="7705">
                  <c:v> 2 </c:v>
                </c:pt>
                <c:pt idx="7706">
                  <c:v> 3 </c:v>
                </c:pt>
                <c:pt idx="7707">
                  <c:v> 4 </c:v>
                </c:pt>
                <c:pt idx="7708">
                  <c:v> 5 </c:v>
                </c:pt>
                <c:pt idx="7709">
                  <c:v> 6 </c:v>
                </c:pt>
                <c:pt idx="7710">
                  <c:v> 7 </c:v>
                </c:pt>
                <c:pt idx="7711">
                  <c:v> 8 </c:v>
                </c:pt>
                <c:pt idx="7712">
                  <c:v> 9 </c:v>
                </c:pt>
                <c:pt idx="7713">
                  <c:v> 10 </c:v>
                </c:pt>
                <c:pt idx="7714">
                  <c:v> 11 </c:v>
                </c:pt>
                <c:pt idx="7715">
                  <c:v> 12 </c:v>
                </c:pt>
                <c:pt idx="7716">
                  <c:v> 13 </c:v>
                </c:pt>
                <c:pt idx="7717">
                  <c:v> 14 </c:v>
                </c:pt>
                <c:pt idx="7718">
                  <c:v> 15 </c:v>
                </c:pt>
                <c:pt idx="7719">
                  <c:v> 16 </c:v>
                </c:pt>
                <c:pt idx="7720">
                  <c:v> 17 </c:v>
                </c:pt>
                <c:pt idx="7721">
                  <c:v> 18 </c:v>
                </c:pt>
                <c:pt idx="7722">
                  <c:v> 19 </c:v>
                </c:pt>
                <c:pt idx="7723">
                  <c:v> 20 </c:v>
                </c:pt>
                <c:pt idx="7724">
                  <c:v> 21 </c:v>
                </c:pt>
                <c:pt idx="7725">
                  <c:v> 22 </c:v>
                </c:pt>
                <c:pt idx="7726">
                  <c:v> 23 </c:v>
                </c:pt>
                <c:pt idx="7727">
                  <c:v> 24 </c:v>
                </c:pt>
                <c:pt idx="7728">
                  <c:v>19 Nov 2014</c:v>
                </c:pt>
                <c:pt idx="7729">
                  <c:v> 2 </c:v>
                </c:pt>
                <c:pt idx="7730">
                  <c:v> 3 </c:v>
                </c:pt>
                <c:pt idx="7731">
                  <c:v> 4 </c:v>
                </c:pt>
                <c:pt idx="7732">
                  <c:v> 5 </c:v>
                </c:pt>
                <c:pt idx="7733">
                  <c:v> 6 </c:v>
                </c:pt>
                <c:pt idx="7734">
                  <c:v> 7 </c:v>
                </c:pt>
                <c:pt idx="7735">
                  <c:v> 8 </c:v>
                </c:pt>
                <c:pt idx="7736">
                  <c:v> 9 </c:v>
                </c:pt>
                <c:pt idx="7737">
                  <c:v> 10 </c:v>
                </c:pt>
                <c:pt idx="7738">
                  <c:v> 11 </c:v>
                </c:pt>
                <c:pt idx="7739">
                  <c:v> 12 </c:v>
                </c:pt>
                <c:pt idx="7740">
                  <c:v> 13 </c:v>
                </c:pt>
                <c:pt idx="7741">
                  <c:v> 14 </c:v>
                </c:pt>
                <c:pt idx="7742">
                  <c:v> 15 </c:v>
                </c:pt>
                <c:pt idx="7743">
                  <c:v> 16 </c:v>
                </c:pt>
                <c:pt idx="7744">
                  <c:v> 17 </c:v>
                </c:pt>
                <c:pt idx="7745">
                  <c:v> 18 </c:v>
                </c:pt>
                <c:pt idx="7746">
                  <c:v> 19 </c:v>
                </c:pt>
                <c:pt idx="7747">
                  <c:v> 20 </c:v>
                </c:pt>
                <c:pt idx="7748">
                  <c:v> 21 </c:v>
                </c:pt>
                <c:pt idx="7749">
                  <c:v> 22 </c:v>
                </c:pt>
                <c:pt idx="7750">
                  <c:v> 23 </c:v>
                </c:pt>
                <c:pt idx="7751">
                  <c:v> 24 </c:v>
                </c:pt>
                <c:pt idx="7752">
                  <c:v>20 Nov 2014</c:v>
                </c:pt>
                <c:pt idx="7753">
                  <c:v> 2 </c:v>
                </c:pt>
                <c:pt idx="7754">
                  <c:v> 3 </c:v>
                </c:pt>
                <c:pt idx="7755">
                  <c:v> 4 </c:v>
                </c:pt>
                <c:pt idx="7756">
                  <c:v> 5 </c:v>
                </c:pt>
                <c:pt idx="7757">
                  <c:v> 6 </c:v>
                </c:pt>
                <c:pt idx="7758">
                  <c:v> 7 </c:v>
                </c:pt>
                <c:pt idx="7759">
                  <c:v> 8 </c:v>
                </c:pt>
                <c:pt idx="7760">
                  <c:v> 9 </c:v>
                </c:pt>
                <c:pt idx="7761">
                  <c:v> 10 </c:v>
                </c:pt>
                <c:pt idx="7762">
                  <c:v> 11 </c:v>
                </c:pt>
                <c:pt idx="7763">
                  <c:v> 12 </c:v>
                </c:pt>
                <c:pt idx="7764">
                  <c:v> 13 </c:v>
                </c:pt>
                <c:pt idx="7765">
                  <c:v> 14 </c:v>
                </c:pt>
                <c:pt idx="7766">
                  <c:v> 15 </c:v>
                </c:pt>
                <c:pt idx="7767">
                  <c:v> 16 </c:v>
                </c:pt>
                <c:pt idx="7768">
                  <c:v> 17 </c:v>
                </c:pt>
                <c:pt idx="7769">
                  <c:v> 18 </c:v>
                </c:pt>
                <c:pt idx="7770">
                  <c:v> 19 </c:v>
                </c:pt>
                <c:pt idx="7771">
                  <c:v> 20 </c:v>
                </c:pt>
                <c:pt idx="7772">
                  <c:v> 21 </c:v>
                </c:pt>
                <c:pt idx="7773">
                  <c:v> 22 </c:v>
                </c:pt>
                <c:pt idx="7774">
                  <c:v> 23 </c:v>
                </c:pt>
                <c:pt idx="7775">
                  <c:v> 24 </c:v>
                </c:pt>
                <c:pt idx="7776">
                  <c:v>21 Nov 2014</c:v>
                </c:pt>
                <c:pt idx="7777">
                  <c:v> 2 </c:v>
                </c:pt>
                <c:pt idx="7778">
                  <c:v> 3 </c:v>
                </c:pt>
                <c:pt idx="7779">
                  <c:v> 4 </c:v>
                </c:pt>
                <c:pt idx="7780">
                  <c:v> 5 </c:v>
                </c:pt>
                <c:pt idx="7781">
                  <c:v> 6 </c:v>
                </c:pt>
                <c:pt idx="7782">
                  <c:v> 7 </c:v>
                </c:pt>
                <c:pt idx="7783">
                  <c:v> 8 </c:v>
                </c:pt>
                <c:pt idx="7784">
                  <c:v> 9 </c:v>
                </c:pt>
                <c:pt idx="7785">
                  <c:v> 10 </c:v>
                </c:pt>
                <c:pt idx="7786">
                  <c:v> 11 </c:v>
                </c:pt>
                <c:pt idx="7787">
                  <c:v> 12 </c:v>
                </c:pt>
                <c:pt idx="7788">
                  <c:v> 13 </c:v>
                </c:pt>
                <c:pt idx="7789">
                  <c:v> 14 </c:v>
                </c:pt>
                <c:pt idx="7790">
                  <c:v> 15 </c:v>
                </c:pt>
                <c:pt idx="7791">
                  <c:v> 16 </c:v>
                </c:pt>
                <c:pt idx="7792">
                  <c:v> 17 </c:v>
                </c:pt>
                <c:pt idx="7793">
                  <c:v> 18 </c:v>
                </c:pt>
                <c:pt idx="7794">
                  <c:v> 19 </c:v>
                </c:pt>
                <c:pt idx="7795">
                  <c:v> 20 </c:v>
                </c:pt>
                <c:pt idx="7796">
                  <c:v> 21 </c:v>
                </c:pt>
                <c:pt idx="7797">
                  <c:v> 22 </c:v>
                </c:pt>
                <c:pt idx="7798">
                  <c:v> 23 </c:v>
                </c:pt>
                <c:pt idx="7799">
                  <c:v> 24 </c:v>
                </c:pt>
                <c:pt idx="7800">
                  <c:v>22 Nov 2014</c:v>
                </c:pt>
                <c:pt idx="7801">
                  <c:v> 2 </c:v>
                </c:pt>
                <c:pt idx="7802">
                  <c:v> 3 </c:v>
                </c:pt>
                <c:pt idx="7803">
                  <c:v> 4 </c:v>
                </c:pt>
                <c:pt idx="7804">
                  <c:v> 5 </c:v>
                </c:pt>
                <c:pt idx="7805">
                  <c:v> 6 </c:v>
                </c:pt>
                <c:pt idx="7806">
                  <c:v> 7 </c:v>
                </c:pt>
                <c:pt idx="7807">
                  <c:v> 8 </c:v>
                </c:pt>
                <c:pt idx="7808">
                  <c:v> 9 </c:v>
                </c:pt>
                <c:pt idx="7809">
                  <c:v> 10 </c:v>
                </c:pt>
                <c:pt idx="7810">
                  <c:v> 11 </c:v>
                </c:pt>
                <c:pt idx="7811">
                  <c:v> 12 </c:v>
                </c:pt>
                <c:pt idx="7812">
                  <c:v> 13 </c:v>
                </c:pt>
                <c:pt idx="7813">
                  <c:v> 14 </c:v>
                </c:pt>
                <c:pt idx="7814">
                  <c:v> 15 </c:v>
                </c:pt>
                <c:pt idx="7815">
                  <c:v> 16 </c:v>
                </c:pt>
                <c:pt idx="7816">
                  <c:v> 17 </c:v>
                </c:pt>
                <c:pt idx="7817">
                  <c:v> 18 </c:v>
                </c:pt>
                <c:pt idx="7818">
                  <c:v> 19 </c:v>
                </c:pt>
                <c:pt idx="7819">
                  <c:v> 20 </c:v>
                </c:pt>
                <c:pt idx="7820">
                  <c:v> 21 </c:v>
                </c:pt>
                <c:pt idx="7821">
                  <c:v> 22 </c:v>
                </c:pt>
                <c:pt idx="7822">
                  <c:v> 23 </c:v>
                </c:pt>
                <c:pt idx="7823">
                  <c:v> 24 </c:v>
                </c:pt>
                <c:pt idx="7824">
                  <c:v>23 Nov 2014</c:v>
                </c:pt>
                <c:pt idx="7825">
                  <c:v> 2 </c:v>
                </c:pt>
                <c:pt idx="7826">
                  <c:v> 3 </c:v>
                </c:pt>
                <c:pt idx="7827">
                  <c:v> 4 </c:v>
                </c:pt>
                <c:pt idx="7828">
                  <c:v> 5 </c:v>
                </c:pt>
                <c:pt idx="7829">
                  <c:v> 6 </c:v>
                </c:pt>
                <c:pt idx="7830">
                  <c:v> 7 </c:v>
                </c:pt>
                <c:pt idx="7831">
                  <c:v> 8 </c:v>
                </c:pt>
                <c:pt idx="7832">
                  <c:v> 9 </c:v>
                </c:pt>
                <c:pt idx="7833">
                  <c:v> 10 </c:v>
                </c:pt>
                <c:pt idx="7834">
                  <c:v> 11 </c:v>
                </c:pt>
                <c:pt idx="7835">
                  <c:v> 12 </c:v>
                </c:pt>
                <c:pt idx="7836">
                  <c:v> 13 </c:v>
                </c:pt>
                <c:pt idx="7837">
                  <c:v> 14 </c:v>
                </c:pt>
                <c:pt idx="7838">
                  <c:v> 15 </c:v>
                </c:pt>
                <c:pt idx="7839">
                  <c:v> 16 </c:v>
                </c:pt>
                <c:pt idx="7840">
                  <c:v> 17 </c:v>
                </c:pt>
                <c:pt idx="7841">
                  <c:v> 18 </c:v>
                </c:pt>
                <c:pt idx="7842">
                  <c:v> 19 </c:v>
                </c:pt>
                <c:pt idx="7843">
                  <c:v> 20 </c:v>
                </c:pt>
                <c:pt idx="7844">
                  <c:v> 21 </c:v>
                </c:pt>
                <c:pt idx="7845">
                  <c:v> 22 </c:v>
                </c:pt>
                <c:pt idx="7846">
                  <c:v> 23 </c:v>
                </c:pt>
                <c:pt idx="7847">
                  <c:v> 24 </c:v>
                </c:pt>
                <c:pt idx="7848">
                  <c:v>24 Nov 2014</c:v>
                </c:pt>
                <c:pt idx="7849">
                  <c:v> 2 </c:v>
                </c:pt>
                <c:pt idx="7850">
                  <c:v> 3 </c:v>
                </c:pt>
                <c:pt idx="7851">
                  <c:v> 4 </c:v>
                </c:pt>
                <c:pt idx="7852">
                  <c:v> 5 </c:v>
                </c:pt>
                <c:pt idx="7853">
                  <c:v> 6 </c:v>
                </c:pt>
                <c:pt idx="7854">
                  <c:v> 7 </c:v>
                </c:pt>
                <c:pt idx="7855">
                  <c:v> 8 </c:v>
                </c:pt>
                <c:pt idx="7856">
                  <c:v> 9 </c:v>
                </c:pt>
                <c:pt idx="7857">
                  <c:v> 10 </c:v>
                </c:pt>
                <c:pt idx="7858">
                  <c:v> 11 </c:v>
                </c:pt>
                <c:pt idx="7859">
                  <c:v> 12 </c:v>
                </c:pt>
                <c:pt idx="7860">
                  <c:v> 13 </c:v>
                </c:pt>
                <c:pt idx="7861">
                  <c:v> 14 </c:v>
                </c:pt>
                <c:pt idx="7862">
                  <c:v> 15 </c:v>
                </c:pt>
                <c:pt idx="7863">
                  <c:v> 16 </c:v>
                </c:pt>
                <c:pt idx="7864">
                  <c:v> 17 </c:v>
                </c:pt>
                <c:pt idx="7865">
                  <c:v> 18 </c:v>
                </c:pt>
                <c:pt idx="7866">
                  <c:v> 19 </c:v>
                </c:pt>
                <c:pt idx="7867">
                  <c:v> 20 </c:v>
                </c:pt>
                <c:pt idx="7868">
                  <c:v> 21 </c:v>
                </c:pt>
                <c:pt idx="7869">
                  <c:v> 22 </c:v>
                </c:pt>
                <c:pt idx="7870">
                  <c:v> 23 </c:v>
                </c:pt>
                <c:pt idx="7871">
                  <c:v> 24 </c:v>
                </c:pt>
                <c:pt idx="7872">
                  <c:v>25 Nov 2014</c:v>
                </c:pt>
                <c:pt idx="7873">
                  <c:v> 2 </c:v>
                </c:pt>
                <c:pt idx="7874">
                  <c:v> 3 </c:v>
                </c:pt>
                <c:pt idx="7875">
                  <c:v> 4 </c:v>
                </c:pt>
                <c:pt idx="7876">
                  <c:v> 5 </c:v>
                </c:pt>
                <c:pt idx="7877">
                  <c:v> 6 </c:v>
                </c:pt>
                <c:pt idx="7878">
                  <c:v> 7 </c:v>
                </c:pt>
                <c:pt idx="7879">
                  <c:v> 8 </c:v>
                </c:pt>
                <c:pt idx="7880">
                  <c:v> 9 </c:v>
                </c:pt>
                <c:pt idx="7881">
                  <c:v> 10 </c:v>
                </c:pt>
                <c:pt idx="7882">
                  <c:v> 11 </c:v>
                </c:pt>
                <c:pt idx="7883">
                  <c:v> 12 </c:v>
                </c:pt>
                <c:pt idx="7884">
                  <c:v> 13 </c:v>
                </c:pt>
                <c:pt idx="7885">
                  <c:v> 14 </c:v>
                </c:pt>
                <c:pt idx="7886">
                  <c:v> 15 </c:v>
                </c:pt>
                <c:pt idx="7887">
                  <c:v> 16 </c:v>
                </c:pt>
                <c:pt idx="7888">
                  <c:v> 17 </c:v>
                </c:pt>
                <c:pt idx="7889">
                  <c:v> 18 </c:v>
                </c:pt>
                <c:pt idx="7890">
                  <c:v> 19 </c:v>
                </c:pt>
                <c:pt idx="7891">
                  <c:v> 20 </c:v>
                </c:pt>
                <c:pt idx="7892">
                  <c:v> 21 </c:v>
                </c:pt>
                <c:pt idx="7893">
                  <c:v> 22 </c:v>
                </c:pt>
                <c:pt idx="7894">
                  <c:v> 23 </c:v>
                </c:pt>
                <c:pt idx="7895">
                  <c:v> 24 </c:v>
                </c:pt>
                <c:pt idx="7896">
                  <c:v>26 Nov 2014</c:v>
                </c:pt>
                <c:pt idx="7897">
                  <c:v> 2 </c:v>
                </c:pt>
                <c:pt idx="7898">
                  <c:v> 3 </c:v>
                </c:pt>
                <c:pt idx="7899">
                  <c:v> 4 </c:v>
                </c:pt>
                <c:pt idx="7900">
                  <c:v> 5 </c:v>
                </c:pt>
                <c:pt idx="7901">
                  <c:v> 6 </c:v>
                </c:pt>
                <c:pt idx="7902">
                  <c:v> 7 </c:v>
                </c:pt>
                <c:pt idx="7903">
                  <c:v> 8 </c:v>
                </c:pt>
                <c:pt idx="7904">
                  <c:v> 9 </c:v>
                </c:pt>
                <c:pt idx="7905">
                  <c:v> 10 </c:v>
                </c:pt>
                <c:pt idx="7906">
                  <c:v> 11 </c:v>
                </c:pt>
                <c:pt idx="7907">
                  <c:v> 12 </c:v>
                </c:pt>
                <c:pt idx="7908">
                  <c:v> 13 </c:v>
                </c:pt>
                <c:pt idx="7909">
                  <c:v> 14 </c:v>
                </c:pt>
                <c:pt idx="7910">
                  <c:v> 15 </c:v>
                </c:pt>
                <c:pt idx="7911">
                  <c:v> 16 </c:v>
                </c:pt>
                <c:pt idx="7912">
                  <c:v> 17 </c:v>
                </c:pt>
                <c:pt idx="7913">
                  <c:v> 18 </c:v>
                </c:pt>
                <c:pt idx="7914">
                  <c:v> 19 </c:v>
                </c:pt>
                <c:pt idx="7915">
                  <c:v> 20 </c:v>
                </c:pt>
                <c:pt idx="7916">
                  <c:v> 21 </c:v>
                </c:pt>
                <c:pt idx="7917">
                  <c:v> 22 </c:v>
                </c:pt>
                <c:pt idx="7918">
                  <c:v> 23 </c:v>
                </c:pt>
                <c:pt idx="7919">
                  <c:v> 24 </c:v>
                </c:pt>
                <c:pt idx="7920">
                  <c:v>27 Nov 2014</c:v>
                </c:pt>
                <c:pt idx="7921">
                  <c:v> 2 </c:v>
                </c:pt>
                <c:pt idx="7922">
                  <c:v> 3 </c:v>
                </c:pt>
                <c:pt idx="7923">
                  <c:v> 4 </c:v>
                </c:pt>
                <c:pt idx="7924">
                  <c:v> 5 </c:v>
                </c:pt>
                <c:pt idx="7925">
                  <c:v> 6 </c:v>
                </c:pt>
                <c:pt idx="7926">
                  <c:v> 7 </c:v>
                </c:pt>
                <c:pt idx="7927">
                  <c:v> 8 </c:v>
                </c:pt>
                <c:pt idx="7928">
                  <c:v> 9 </c:v>
                </c:pt>
                <c:pt idx="7929">
                  <c:v> 10 </c:v>
                </c:pt>
                <c:pt idx="7930">
                  <c:v> 11 </c:v>
                </c:pt>
                <c:pt idx="7931">
                  <c:v> 12 </c:v>
                </c:pt>
                <c:pt idx="7932">
                  <c:v> 13 </c:v>
                </c:pt>
                <c:pt idx="7933">
                  <c:v> 14 </c:v>
                </c:pt>
                <c:pt idx="7934">
                  <c:v> 15 </c:v>
                </c:pt>
                <c:pt idx="7935">
                  <c:v> 16 </c:v>
                </c:pt>
                <c:pt idx="7936">
                  <c:v> 17 </c:v>
                </c:pt>
                <c:pt idx="7937">
                  <c:v> 18 </c:v>
                </c:pt>
                <c:pt idx="7938">
                  <c:v> 19 </c:v>
                </c:pt>
                <c:pt idx="7939">
                  <c:v> 20 </c:v>
                </c:pt>
                <c:pt idx="7940">
                  <c:v> 21 </c:v>
                </c:pt>
                <c:pt idx="7941">
                  <c:v> 22 </c:v>
                </c:pt>
                <c:pt idx="7942">
                  <c:v> 23 </c:v>
                </c:pt>
                <c:pt idx="7943">
                  <c:v> 24 </c:v>
                </c:pt>
                <c:pt idx="7944">
                  <c:v>28 Nov 2014</c:v>
                </c:pt>
                <c:pt idx="7945">
                  <c:v> 2 </c:v>
                </c:pt>
                <c:pt idx="7946">
                  <c:v> 3 </c:v>
                </c:pt>
                <c:pt idx="7947">
                  <c:v> 4 </c:v>
                </c:pt>
                <c:pt idx="7948">
                  <c:v> 5 </c:v>
                </c:pt>
                <c:pt idx="7949">
                  <c:v> 6 </c:v>
                </c:pt>
                <c:pt idx="7950">
                  <c:v> 7 </c:v>
                </c:pt>
                <c:pt idx="7951">
                  <c:v> 8 </c:v>
                </c:pt>
                <c:pt idx="7952">
                  <c:v> 9 </c:v>
                </c:pt>
                <c:pt idx="7953">
                  <c:v> 10 </c:v>
                </c:pt>
                <c:pt idx="7954">
                  <c:v> 11 </c:v>
                </c:pt>
                <c:pt idx="7955">
                  <c:v> 12 </c:v>
                </c:pt>
                <c:pt idx="7956">
                  <c:v> 13 </c:v>
                </c:pt>
                <c:pt idx="7957">
                  <c:v> 14 </c:v>
                </c:pt>
                <c:pt idx="7958">
                  <c:v> 15 </c:v>
                </c:pt>
                <c:pt idx="7959">
                  <c:v> 16 </c:v>
                </c:pt>
                <c:pt idx="7960">
                  <c:v> 17 </c:v>
                </c:pt>
                <c:pt idx="7961">
                  <c:v> 18 </c:v>
                </c:pt>
                <c:pt idx="7962">
                  <c:v> 19 </c:v>
                </c:pt>
                <c:pt idx="7963">
                  <c:v> 20 </c:v>
                </c:pt>
                <c:pt idx="7964">
                  <c:v> 21 </c:v>
                </c:pt>
                <c:pt idx="7965">
                  <c:v> 22 </c:v>
                </c:pt>
                <c:pt idx="7966">
                  <c:v> 23 </c:v>
                </c:pt>
                <c:pt idx="7967">
                  <c:v> 24 </c:v>
                </c:pt>
                <c:pt idx="7968">
                  <c:v>29 Nov 2014</c:v>
                </c:pt>
                <c:pt idx="7969">
                  <c:v> 2 </c:v>
                </c:pt>
                <c:pt idx="7970">
                  <c:v> 3 </c:v>
                </c:pt>
                <c:pt idx="7971">
                  <c:v> 4 </c:v>
                </c:pt>
                <c:pt idx="7972">
                  <c:v> 5 </c:v>
                </c:pt>
                <c:pt idx="7973">
                  <c:v> 6 </c:v>
                </c:pt>
                <c:pt idx="7974">
                  <c:v> 7 </c:v>
                </c:pt>
                <c:pt idx="7975">
                  <c:v> 8 </c:v>
                </c:pt>
                <c:pt idx="7976">
                  <c:v> 9 </c:v>
                </c:pt>
                <c:pt idx="7977">
                  <c:v> 10 </c:v>
                </c:pt>
                <c:pt idx="7978">
                  <c:v> 11 </c:v>
                </c:pt>
                <c:pt idx="7979">
                  <c:v> 12 </c:v>
                </c:pt>
                <c:pt idx="7980">
                  <c:v> 13 </c:v>
                </c:pt>
                <c:pt idx="7981">
                  <c:v> 14 </c:v>
                </c:pt>
                <c:pt idx="7982">
                  <c:v> 15 </c:v>
                </c:pt>
                <c:pt idx="7983">
                  <c:v> 16 </c:v>
                </c:pt>
                <c:pt idx="7984">
                  <c:v> 17 </c:v>
                </c:pt>
                <c:pt idx="7985">
                  <c:v> 18 </c:v>
                </c:pt>
                <c:pt idx="7986">
                  <c:v> 19 </c:v>
                </c:pt>
                <c:pt idx="7987">
                  <c:v> 20 </c:v>
                </c:pt>
                <c:pt idx="7988">
                  <c:v> 21 </c:v>
                </c:pt>
                <c:pt idx="7989">
                  <c:v> 22 </c:v>
                </c:pt>
                <c:pt idx="7990">
                  <c:v> 23 </c:v>
                </c:pt>
                <c:pt idx="7991">
                  <c:v> 24 </c:v>
                </c:pt>
                <c:pt idx="7992">
                  <c:v>30 Nov 2014</c:v>
                </c:pt>
                <c:pt idx="7993">
                  <c:v> 2 </c:v>
                </c:pt>
                <c:pt idx="7994">
                  <c:v> 3 </c:v>
                </c:pt>
                <c:pt idx="7995">
                  <c:v> 4 </c:v>
                </c:pt>
                <c:pt idx="7996">
                  <c:v> 5 </c:v>
                </c:pt>
                <c:pt idx="7997">
                  <c:v> 6 </c:v>
                </c:pt>
                <c:pt idx="7998">
                  <c:v> 7 </c:v>
                </c:pt>
                <c:pt idx="7999">
                  <c:v> 8 </c:v>
                </c:pt>
                <c:pt idx="8000">
                  <c:v> 9 </c:v>
                </c:pt>
                <c:pt idx="8001">
                  <c:v> 10 </c:v>
                </c:pt>
                <c:pt idx="8002">
                  <c:v> 11 </c:v>
                </c:pt>
                <c:pt idx="8003">
                  <c:v> 12 </c:v>
                </c:pt>
                <c:pt idx="8004">
                  <c:v> 13 </c:v>
                </c:pt>
                <c:pt idx="8005">
                  <c:v> 14 </c:v>
                </c:pt>
                <c:pt idx="8006">
                  <c:v> 15 </c:v>
                </c:pt>
                <c:pt idx="8007">
                  <c:v> 16 </c:v>
                </c:pt>
                <c:pt idx="8008">
                  <c:v> 17 </c:v>
                </c:pt>
                <c:pt idx="8009">
                  <c:v> 18 </c:v>
                </c:pt>
                <c:pt idx="8010">
                  <c:v> 19 </c:v>
                </c:pt>
                <c:pt idx="8011">
                  <c:v> 20 </c:v>
                </c:pt>
                <c:pt idx="8012">
                  <c:v> 21 </c:v>
                </c:pt>
                <c:pt idx="8013">
                  <c:v> 22 </c:v>
                </c:pt>
                <c:pt idx="8014">
                  <c:v> 23 </c:v>
                </c:pt>
                <c:pt idx="8015">
                  <c:v> 24 </c:v>
                </c:pt>
                <c:pt idx="8016">
                  <c:v>01 Dec 2014</c:v>
                </c:pt>
                <c:pt idx="8017">
                  <c:v> 2 </c:v>
                </c:pt>
                <c:pt idx="8018">
                  <c:v> 3 </c:v>
                </c:pt>
                <c:pt idx="8019">
                  <c:v> 4 </c:v>
                </c:pt>
                <c:pt idx="8020">
                  <c:v> 5 </c:v>
                </c:pt>
                <c:pt idx="8021">
                  <c:v> 6 </c:v>
                </c:pt>
                <c:pt idx="8022">
                  <c:v> 7 </c:v>
                </c:pt>
                <c:pt idx="8023">
                  <c:v> 8 </c:v>
                </c:pt>
                <c:pt idx="8024">
                  <c:v> 9 </c:v>
                </c:pt>
                <c:pt idx="8025">
                  <c:v> 10 </c:v>
                </c:pt>
                <c:pt idx="8026">
                  <c:v> 11 </c:v>
                </c:pt>
                <c:pt idx="8027">
                  <c:v> 12 </c:v>
                </c:pt>
                <c:pt idx="8028">
                  <c:v> 13 </c:v>
                </c:pt>
                <c:pt idx="8029">
                  <c:v> 14 </c:v>
                </c:pt>
                <c:pt idx="8030">
                  <c:v> 15 </c:v>
                </c:pt>
                <c:pt idx="8031">
                  <c:v> 16 </c:v>
                </c:pt>
                <c:pt idx="8032">
                  <c:v> 17 </c:v>
                </c:pt>
                <c:pt idx="8033">
                  <c:v> 18 </c:v>
                </c:pt>
                <c:pt idx="8034">
                  <c:v> 19 </c:v>
                </c:pt>
                <c:pt idx="8035">
                  <c:v> 20 </c:v>
                </c:pt>
                <c:pt idx="8036">
                  <c:v> 21 </c:v>
                </c:pt>
                <c:pt idx="8037">
                  <c:v> 22 </c:v>
                </c:pt>
                <c:pt idx="8038">
                  <c:v> 23 </c:v>
                </c:pt>
                <c:pt idx="8039">
                  <c:v> 24 </c:v>
                </c:pt>
                <c:pt idx="8040">
                  <c:v>02 Dec 2014</c:v>
                </c:pt>
                <c:pt idx="8041">
                  <c:v> 2 </c:v>
                </c:pt>
                <c:pt idx="8042">
                  <c:v> 3 </c:v>
                </c:pt>
                <c:pt idx="8043">
                  <c:v> 4 </c:v>
                </c:pt>
                <c:pt idx="8044">
                  <c:v> 5 </c:v>
                </c:pt>
                <c:pt idx="8045">
                  <c:v> 6 </c:v>
                </c:pt>
                <c:pt idx="8046">
                  <c:v> 7 </c:v>
                </c:pt>
                <c:pt idx="8047">
                  <c:v> 8 </c:v>
                </c:pt>
                <c:pt idx="8048">
                  <c:v> 9 </c:v>
                </c:pt>
                <c:pt idx="8049">
                  <c:v> 10 </c:v>
                </c:pt>
                <c:pt idx="8050">
                  <c:v> 11 </c:v>
                </c:pt>
                <c:pt idx="8051">
                  <c:v> 12 </c:v>
                </c:pt>
                <c:pt idx="8052">
                  <c:v> 13 </c:v>
                </c:pt>
                <c:pt idx="8053">
                  <c:v> 14 </c:v>
                </c:pt>
                <c:pt idx="8054">
                  <c:v> 15 </c:v>
                </c:pt>
                <c:pt idx="8055">
                  <c:v> 16 </c:v>
                </c:pt>
                <c:pt idx="8056">
                  <c:v> 17 </c:v>
                </c:pt>
                <c:pt idx="8057">
                  <c:v> 18 </c:v>
                </c:pt>
                <c:pt idx="8058">
                  <c:v> 19 </c:v>
                </c:pt>
                <c:pt idx="8059">
                  <c:v> 20 </c:v>
                </c:pt>
                <c:pt idx="8060">
                  <c:v> 21 </c:v>
                </c:pt>
                <c:pt idx="8061">
                  <c:v> 22 </c:v>
                </c:pt>
                <c:pt idx="8062">
                  <c:v> 23 </c:v>
                </c:pt>
                <c:pt idx="8063">
                  <c:v> 24 </c:v>
                </c:pt>
                <c:pt idx="8064">
                  <c:v>03 Dec 2014</c:v>
                </c:pt>
                <c:pt idx="8065">
                  <c:v> 2 </c:v>
                </c:pt>
                <c:pt idx="8066">
                  <c:v> 3 </c:v>
                </c:pt>
                <c:pt idx="8067">
                  <c:v> 4 </c:v>
                </c:pt>
                <c:pt idx="8068">
                  <c:v> 5 </c:v>
                </c:pt>
                <c:pt idx="8069">
                  <c:v> 6 </c:v>
                </c:pt>
                <c:pt idx="8070">
                  <c:v> 7 </c:v>
                </c:pt>
                <c:pt idx="8071">
                  <c:v> 8 </c:v>
                </c:pt>
                <c:pt idx="8072">
                  <c:v> 9 </c:v>
                </c:pt>
                <c:pt idx="8073">
                  <c:v> 10 </c:v>
                </c:pt>
                <c:pt idx="8074">
                  <c:v> 11 </c:v>
                </c:pt>
                <c:pt idx="8075">
                  <c:v> 12 </c:v>
                </c:pt>
                <c:pt idx="8076">
                  <c:v> 13 </c:v>
                </c:pt>
                <c:pt idx="8077">
                  <c:v> 14 </c:v>
                </c:pt>
                <c:pt idx="8078">
                  <c:v> 15 </c:v>
                </c:pt>
                <c:pt idx="8079">
                  <c:v> 16 </c:v>
                </c:pt>
                <c:pt idx="8080">
                  <c:v> 17 </c:v>
                </c:pt>
                <c:pt idx="8081">
                  <c:v> 18 </c:v>
                </c:pt>
                <c:pt idx="8082">
                  <c:v> 19 </c:v>
                </c:pt>
                <c:pt idx="8083">
                  <c:v> 20 </c:v>
                </c:pt>
                <c:pt idx="8084">
                  <c:v> 21 </c:v>
                </c:pt>
                <c:pt idx="8085">
                  <c:v> 22 </c:v>
                </c:pt>
                <c:pt idx="8086">
                  <c:v> 23 </c:v>
                </c:pt>
                <c:pt idx="8087">
                  <c:v> 24 </c:v>
                </c:pt>
                <c:pt idx="8088">
                  <c:v>04 Dec 2014</c:v>
                </c:pt>
                <c:pt idx="8089">
                  <c:v> 2 </c:v>
                </c:pt>
                <c:pt idx="8090">
                  <c:v> 3 </c:v>
                </c:pt>
                <c:pt idx="8091">
                  <c:v> 4 </c:v>
                </c:pt>
                <c:pt idx="8092">
                  <c:v> 5 </c:v>
                </c:pt>
                <c:pt idx="8093">
                  <c:v> 6 </c:v>
                </c:pt>
                <c:pt idx="8094">
                  <c:v> 7 </c:v>
                </c:pt>
                <c:pt idx="8095">
                  <c:v> 8 </c:v>
                </c:pt>
                <c:pt idx="8096">
                  <c:v> 9 </c:v>
                </c:pt>
                <c:pt idx="8097">
                  <c:v> 10 </c:v>
                </c:pt>
                <c:pt idx="8098">
                  <c:v> 11 </c:v>
                </c:pt>
                <c:pt idx="8099">
                  <c:v> 12 </c:v>
                </c:pt>
                <c:pt idx="8100">
                  <c:v> 13 </c:v>
                </c:pt>
                <c:pt idx="8101">
                  <c:v> 14 </c:v>
                </c:pt>
                <c:pt idx="8102">
                  <c:v> 15 </c:v>
                </c:pt>
                <c:pt idx="8103">
                  <c:v> 16 </c:v>
                </c:pt>
                <c:pt idx="8104">
                  <c:v> 17 </c:v>
                </c:pt>
                <c:pt idx="8105">
                  <c:v> 18 </c:v>
                </c:pt>
                <c:pt idx="8106">
                  <c:v> 19 </c:v>
                </c:pt>
                <c:pt idx="8107">
                  <c:v> 20 </c:v>
                </c:pt>
                <c:pt idx="8108">
                  <c:v> 21 </c:v>
                </c:pt>
                <c:pt idx="8109">
                  <c:v> 22 </c:v>
                </c:pt>
                <c:pt idx="8110">
                  <c:v> 23 </c:v>
                </c:pt>
                <c:pt idx="8111">
                  <c:v> 24 </c:v>
                </c:pt>
                <c:pt idx="8112">
                  <c:v>05 Dec 2014</c:v>
                </c:pt>
                <c:pt idx="8113">
                  <c:v> 2 </c:v>
                </c:pt>
                <c:pt idx="8114">
                  <c:v> 3 </c:v>
                </c:pt>
                <c:pt idx="8115">
                  <c:v> 4 </c:v>
                </c:pt>
                <c:pt idx="8116">
                  <c:v> 5 </c:v>
                </c:pt>
                <c:pt idx="8117">
                  <c:v> 6 </c:v>
                </c:pt>
                <c:pt idx="8118">
                  <c:v> 7 </c:v>
                </c:pt>
                <c:pt idx="8119">
                  <c:v> 8 </c:v>
                </c:pt>
                <c:pt idx="8120">
                  <c:v> 9 </c:v>
                </c:pt>
                <c:pt idx="8121">
                  <c:v> 10 </c:v>
                </c:pt>
                <c:pt idx="8122">
                  <c:v> 11 </c:v>
                </c:pt>
                <c:pt idx="8123">
                  <c:v> 12 </c:v>
                </c:pt>
                <c:pt idx="8124">
                  <c:v> 13 </c:v>
                </c:pt>
                <c:pt idx="8125">
                  <c:v> 14 </c:v>
                </c:pt>
                <c:pt idx="8126">
                  <c:v> 15 </c:v>
                </c:pt>
                <c:pt idx="8127">
                  <c:v> 16 </c:v>
                </c:pt>
                <c:pt idx="8128">
                  <c:v> 17 </c:v>
                </c:pt>
                <c:pt idx="8129">
                  <c:v> 18 </c:v>
                </c:pt>
                <c:pt idx="8130">
                  <c:v> 19 </c:v>
                </c:pt>
                <c:pt idx="8131">
                  <c:v> 20 </c:v>
                </c:pt>
                <c:pt idx="8132">
                  <c:v> 21 </c:v>
                </c:pt>
                <c:pt idx="8133">
                  <c:v> 22 </c:v>
                </c:pt>
                <c:pt idx="8134">
                  <c:v> 23 </c:v>
                </c:pt>
                <c:pt idx="8135">
                  <c:v> 24 </c:v>
                </c:pt>
                <c:pt idx="8136">
                  <c:v>06 Dec 2014</c:v>
                </c:pt>
                <c:pt idx="8137">
                  <c:v> 2 </c:v>
                </c:pt>
                <c:pt idx="8138">
                  <c:v> 3 </c:v>
                </c:pt>
                <c:pt idx="8139">
                  <c:v> 4 </c:v>
                </c:pt>
                <c:pt idx="8140">
                  <c:v> 5 </c:v>
                </c:pt>
                <c:pt idx="8141">
                  <c:v> 6 </c:v>
                </c:pt>
                <c:pt idx="8142">
                  <c:v> 7 </c:v>
                </c:pt>
                <c:pt idx="8143">
                  <c:v> 8 </c:v>
                </c:pt>
                <c:pt idx="8144">
                  <c:v> 9 </c:v>
                </c:pt>
                <c:pt idx="8145">
                  <c:v> 10 </c:v>
                </c:pt>
                <c:pt idx="8146">
                  <c:v> 11 </c:v>
                </c:pt>
                <c:pt idx="8147">
                  <c:v> 12 </c:v>
                </c:pt>
                <c:pt idx="8148">
                  <c:v> 13 </c:v>
                </c:pt>
                <c:pt idx="8149">
                  <c:v> 14 </c:v>
                </c:pt>
                <c:pt idx="8150">
                  <c:v> 15 </c:v>
                </c:pt>
                <c:pt idx="8151">
                  <c:v> 16 </c:v>
                </c:pt>
                <c:pt idx="8152">
                  <c:v> 17 </c:v>
                </c:pt>
                <c:pt idx="8153">
                  <c:v> 18 </c:v>
                </c:pt>
                <c:pt idx="8154">
                  <c:v> 19 </c:v>
                </c:pt>
                <c:pt idx="8155">
                  <c:v> 20 </c:v>
                </c:pt>
                <c:pt idx="8156">
                  <c:v> 21 </c:v>
                </c:pt>
                <c:pt idx="8157">
                  <c:v> 22 </c:v>
                </c:pt>
                <c:pt idx="8158">
                  <c:v> 23 </c:v>
                </c:pt>
                <c:pt idx="8159">
                  <c:v> 24 </c:v>
                </c:pt>
                <c:pt idx="8160">
                  <c:v>07 Dec 2014</c:v>
                </c:pt>
                <c:pt idx="8161">
                  <c:v> 2 </c:v>
                </c:pt>
                <c:pt idx="8162">
                  <c:v> 3 </c:v>
                </c:pt>
                <c:pt idx="8163">
                  <c:v> 4 </c:v>
                </c:pt>
                <c:pt idx="8164">
                  <c:v> 5 </c:v>
                </c:pt>
                <c:pt idx="8165">
                  <c:v> 6 </c:v>
                </c:pt>
                <c:pt idx="8166">
                  <c:v> 7 </c:v>
                </c:pt>
                <c:pt idx="8167">
                  <c:v> 8 </c:v>
                </c:pt>
                <c:pt idx="8168">
                  <c:v> 9 </c:v>
                </c:pt>
                <c:pt idx="8169">
                  <c:v> 10 </c:v>
                </c:pt>
                <c:pt idx="8170">
                  <c:v> 11 </c:v>
                </c:pt>
                <c:pt idx="8171">
                  <c:v> 12 </c:v>
                </c:pt>
                <c:pt idx="8172">
                  <c:v> 13 </c:v>
                </c:pt>
                <c:pt idx="8173">
                  <c:v> 14 </c:v>
                </c:pt>
                <c:pt idx="8174">
                  <c:v> 15 </c:v>
                </c:pt>
                <c:pt idx="8175">
                  <c:v> 16 </c:v>
                </c:pt>
                <c:pt idx="8176">
                  <c:v> 17 </c:v>
                </c:pt>
                <c:pt idx="8177">
                  <c:v> 18 </c:v>
                </c:pt>
                <c:pt idx="8178">
                  <c:v> 19 </c:v>
                </c:pt>
                <c:pt idx="8179">
                  <c:v> 20 </c:v>
                </c:pt>
                <c:pt idx="8180">
                  <c:v> 21 </c:v>
                </c:pt>
                <c:pt idx="8181">
                  <c:v> 22 </c:v>
                </c:pt>
                <c:pt idx="8182">
                  <c:v> 23 </c:v>
                </c:pt>
                <c:pt idx="8183">
                  <c:v> 24 </c:v>
                </c:pt>
                <c:pt idx="8184">
                  <c:v>08 Dec 2014</c:v>
                </c:pt>
                <c:pt idx="8185">
                  <c:v> 2 </c:v>
                </c:pt>
                <c:pt idx="8186">
                  <c:v> 3 </c:v>
                </c:pt>
                <c:pt idx="8187">
                  <c:v> 4 </c:v>
                </c:pt>
                <c:pt idx="8188">
                  <c:v> 5 </c:v>
                </c:pt>
                <c:pt idx="8189">
                  <c:v> 6 </c:v>
                </c:pt>
                <c:pt idx="8190">
                  <c:v> 7 </c:v>
                </c:pt>
                <c:pt idx="8191">
                  <c:v> 8 </c:v>
                </c:pt>
                <c:pt idx="8192">
                  <c:v> 9 </c:v>
                </c:pt>
                <c:pt idx="8193">
                  <c:v> 10 </c:v>
                </c:pt>
                <c:pt idx="8194">
                  <c:v> 11 </c:v>
                </c:pt>
                <c:pt idx="8195">
                  <c:v> 12 </c:v>
                </c:pt>
                <c:pt idx="8196">
                  <c:v> 13 </c:v>
                </c:pt>
                <c:pt idx="8197">
                  <c:v> 14 </c:v>
                </c:pt>
                <c:pt idx="8198">
                  <c:v> 15 </c:v>
                </c:pt>
                <c:pt idx="8199">
                  <c:v> 16 </c:v>
                </c:pt>
                <c:pt idx="8200">
                  <c:v> 17 </c:v>
                </c:pt>
                <c:pt idx="8201">
                  <c:v> 18 </c:v>
                </c:pt>
                <c:pt idx="8202">
                  <c:v> 19 </c:v>
                </c:pt>
                <c:pt idx="8203">
                  <c:v> 20 </c:v>
                </c:pt>
                <c:pt idx="8204">
                  <c:v> 21 </c:v>
                </c:pt>
                <c:pt idx="8205">
                  <c:v> 22 </c:v>
                </c:pt>
                <c:pt idx="8206">
                  <c:v> 23 </c:v>
                </c:pt>
                <c:pt idx="8207">
                  <c:v> 24 </c:v>
                </c:pt>
                <c:pt idx="8208">
                  <c:v>09 Dec 2014</c:v>
                </c:pt>
                <c:pt idx="8209">
                  <c:v> 2 </c:v>
                </c:pt>
                <c:pt idx="8210">
                  <c:v> 3 </c:v>
                </c:pt>
                <c:pt idx="8211">
                  <c:v> 4 </c:v>
                </c:pt>
                <c:pt idx="8212">
                  <c:v> 5 </c:v>
                </c:pt>
                <c:pt idx="8213">
                  <c:v> 6 </c:v>
                </c:pt>
                <c:pt idx="8214">
                  <c:v> 7 </c:v>
                </c:pt>
                <c:pt idx="8215">
                  <c:v> 8 </c:v>
                </c:pt>
                <c:pt idx="8216">
                  <c:v> 9 </c:v>
                </c:pt>
                <c:pt idx="8217">
                  <c:v> 10 </c:v>
                </c:pt>
                <c:pt idx="8218">
                  <c:v> 11 </c:v>
                </c:pt>
                <c:pt idx="8219">
                  <c:v> 12 </c:v>
                </c:pt>
                <c:pt idx="8220">
                  <c:v> 13 </c:v>
                </c:pt>
                <c:pt idx="8221">
                  <c:v> 14 </c:v>
                </c:pt>
                <c:pt idx="8222">
                  <c:v> 15 </c:v>
                </c:pt>
                <c:pt idx="8223">
                  <c:v> 16 </c:v>
                </c:pt>
                <c:pt idx="8224">
                  <c:v> 17 </c:v>
                </c:pt>
                <c:pt idx="8225">
                  <c:v> 18 </c:v>
                </c:pt>
                <c:pt idx="8226">
                  <c:v> 19 </c:v>
                </c:pt>
                <c:pt idx="8227">
                  <c:v> 20 </c:v>
                </c:pt>
                <c:pt idx="8228">
                  <c:v> 21 </c:v>
                </c:pt>
                <c:pt idx="8229">
                  <c:v> 22 </c:v>
                </c:pt>
                <c:pt idx="8230">
                  <c:v> 23 </c:v>
                </c:pt>
                <c:pt idx="8231">
                  <c:v> 24 </c:v>
                </c:pt>
                <c:pt idx="8232">
                  <c:v>10 Dec 2014</c:v>
                </c:pt>
                <c:pt idx="8233">
                  <c:v> 2 </c:v>
                </c:pt>
                <c:pt idx="8234">
                  <c:v> 3 </c:v>
                </c:pt>
                <c:pt idx="8235">
                  <c:v> 4 </c:v>
                </c:pt>
                <c:pt idx="8236">
                  <c:v> 5 </c:v>
                </c:pt>
                <c:pt idx="8237">
                  <c:v> 6 </c:v>
                </c:pt>
                <c:pt idx="8238">
                  <c:v> 7 </c:v>
                </c:pt>
                <c:pt idx="8239">
                  <c:v> 8 </c:v>
                </c:pt>
                <c:pt idx="8240">
                  <c:v> 9 </c:v>
                </c:pt>
                <c:pt idx="8241">
                  <c:v> 10 </c:v>
                </c:pt>
                <c:pt idx="8242">
                  <c:v> 11 </c:v>
                </c:pt>
                <c:pt idx="8243">
                  <c:v> 12 </c:v>
                </c:pt>
                <c:pt idx="8244">
                  <c:v> 13 </c:v>
                </c:pt>
                <c:pt idx="8245">
                  <c:v> 14 </c:v>
                </c:pt>
                <c:pt idx="8246">
                  <c:v> 15 </c:v>
                </c:pt>
                <c:pt idx="8247">
                  <c:v> 16 </c:v>
                </c:pt>
                <c:pt idx="8248">
                  <c:v> 17 </c:v>
                </c:pt>
                <c:pt idx="8249">
                  <c:v> 18 </c:v>
                </c:pt>
                <c:pt idx="8250">
                  <c:v> 19 </c:v>
                </c:pt>
                <c:pt idx="8251">
                  <c:v> 20 </c:v>
                </c:pt>
                <c:pt idx="8252">
                  <c:v> 21 </c:v>
                </c:pt>
                <c:pt idx="8253">
                  <c:v> 22 </c:v>
                </c:pt>
                <c:pt idx="8254">
                  <c:v> 23 </c:v>
                </c:pt>
                <c:pt idx="8255">
                  <c:v> 24 </c:v>
                </c:pt>
                <c:pt idx="8256">
                  <c:v>11 Dec 2014</c:v>
                </c:pt>
                <c:pt idx="8257">
                  <c:v> 2 </c:v>
                </c:pt>
                <c:pt idx="8258">
                  <c:v> 3 </c:v>
                </c:pt>
                <c:pt idx="8259">
                  <c:v> 4 </c:v>
                </c:pt>
                <c:pt idx="8260">
                  <c:v> 5 </c:v>
                </c:pt>
                <c:pt idx="8261">
                  <c:v> 6 </c:v>
                </c:pt>
                <c:pt idx="8262">
                  <c:v> 7 </c:v>
                </c:pt>
                <c:pt idx="8263">
                  <c:v> 8 </c:v>
                </c:pt>
                <c:pt idx="8264">
                  <c:v> 9 </c:v>
                </c:pt>
                <c:pt idx="8265">
                  <c:v> 10 </c:v>
                </c:pt>
                <c:pt idx="8266">
                  <c:v> 11 </c:v>
                </c:pt>
                <c:pt idx="8267">
                  <c:v> 12 </c:v>
                </c:pt>
                <c:pt idx="8268">
                  <c:v> 13 </c:v>
                </c:pt>
                <c:pt idx="8269">
                  <c:v> 14 </c:v>
                </c:pt>
                <c:pt idx="8270">
                  <c:v> 15 </c:v>
                </c:pt>
                <c:pt idx="8271">
                  <c:v> 16 </c:v>
                </c:pt>
                <c:pt idx="8272">
                  <c:v> 17 </c:v>
                </c:pt>
                <c:pt idx="8273">
                  <c:v> 18 </c:v>
                </c:pt>
                <c:pt idx="8274">
                  <c:v> 19 </c:v>
                </c:pt>
                <c:pt idx="8275">
                  <c:v> 20 </c:v>
                </c:pt>
                <c:pt idx="8276">
                  <c:v> 21 </c:v>
                </c:pt>
                <c:pt idx="8277">
                  <c:v> 22 </c:v>
                </c:pt>
                <c:pt idx="8278">
                  <c:v> 23 </c:v>
                </c:pt>
                <c:pt idx="8279">
                  <c:v> 24 </c:v>
                </c:pt>
                <c:pt idx="8280">
                  <c:v>12 Dec 2014</c:v>
                </c:pt>
                <c:pt idx="8281">
                  <c:v> 2 </c:v>
                </c:pt>
                <c:pt idx="8282">
                  <c:v> 3 </c:v>
                </c:pt>
                <c:pt idx="8283">
                  <c:v> 4 </c:v>
                </c:pt>
                <c:pt idx="8284">
                  <c:v> 5 </c:v>
                </c:pt>
                <c:pt idx="8285">
                  <c:v> 6 </c:v>
                </c:pt>
                <c:pt idx="8286">
                  <c:v> 7 </c:v>
                </c:pt>
                <c:pt idx="8287">
                  <c:v> 8 </c:v>
                </c:pt>
                <c:pt idx="8288">
                  <c:v> 9 </c:v>
                </c:pt>
                <c:pt idx="8289">
                  <c:v> 10 </c:v>
                </c:pt>
                <c:pt idx="8290">
                  <c:v> 11 </c:v>
                </c:pt>
                <c:pt idx="8291">
                  <c:v> 12 </c:v>
                </c:pt>
                <c:pt idx="8292">
                  <c:v> 13 </c:v>
                </c:pt>
                <c:pt idx="8293">
                  <c:v> 14 </c:v>
                </c:pt>
                <c:pt idx="8294">
                  <c:v> 15 </c:v>
                </c:pt>
                <c:pt idx="8295">
                  <c:v> 16 </c:v>
                </c:pt>
                <c:pt idx="8296">
                  <c:v> 17 </c:v>
                </c:pt>
                <c:pt idx="8297">
                  <c:v> 18 </c:v>
                </c:pt>
                <c:pt idx="8298">
                  <c:v> 19 </c:v>
                </c:pt>
                <c:pt idx="8299">
                  <c:v> 20 </c:v>
                </c:pt>
                <c:pt idx="8300">
                  <c:v> 21 </c:v>
                </c:pt>
                <c:pt idx="8301">
                  <c:v> 22 </c:v>
                </c:pt>
                <c:pt idx="8302">
                  <c:v> 23 </c:v>
                </c:pt>
                <c:pt idx="8303">
                  <c:v> 24 </c:v>
                </c:pt>
                <c:pt idx="8304">
                  <c:v>13 Dec 2014</c:v>
                </c:pt>
                <c:pt idx="8305">
                  <c:v> 2 </c:v>
                </c:pt>
                <c:pt idx="8306">
                  <c:v> 3 </c:v>
                </c:pt>
                <c:pt idx="8307">
                  <c:v> 4 </c:v>
                </c:pt>
                <c:pt idx="8308">
                  <c:v> 5 </c:v>
                </c:pt>
                <c:pt idx="8309">
                  <c:v> 6 </c:v>
                </c:pt>
                <c:pt idx="8310">
                  <c:v> 7 </c:v>
                </c:pt>
                <c:pt idx="8311">
                  <c:v> 8 </c:v>
                </c:pt>
                <c:pt idx="8312">
                  <c:v> 9 </c:v>
                </c:pt>
                <c:pt idx="8313">
                  <c:v> 10 </c:v>
                </c:pt>
                <c:pt idx="8314">
                  <c:v> 11 </c:v>
                </c:pt>
                <c:pt idx="8315">
                  <c:v> 12 </c:v>
                </c:pt>
                <c:pt idx="8316">
                  <c:v> 13 </c:v>
                </c:pt>
                <c:pt idx="8317">
                  <c:v> 14 </c:v>
                </c:pt>
                <c:pt idx="8318">
                  <c:v> 15 </c:v>
                </c:pt>
                <c:pt idx="8319">
                  <c:v> 16 </c:v>
                </c:pt>
                <c:pt idx="8320">
                  <c:v> 17 </c:v>
                </c:pt>
                <c:pt idx="8321">
                  <c:v> 18 </c:v>
                </c:pt>
                <c:pt idx="8322">
                  <c:v> 19 </c:v>
                </c:pt>
                <c:pt idx="8323">
                  <c:v> 20 </c:v>
                </c:pt>
                <c:pt idx="8324">
                  <c:v> 21 </c:v>
                </c:pt>
                <c:pt idx="8325">
                  <c:v> 22 </c:v>
                </c:pt>
                <c:pt idx="8326">
                  <c:v> 23 </c:v>
                </c:pt>
                <c:pt idx="8327">
                  <c:v> 24 </c:v>
                </c:pt>
                <c:pt idx="8328">
                  <c:v>14 Dec 2014</c:v>
                </c:pt>
                <c:pt idx="8329">
                  <c:v> 2 </c:v>
                </c:pt>
                <c:pt idx="8330">
                  <c:v> 3 </c:v>
                </c:pt>
                <c:pt idx="8331">
                  <c:v> 4 </c:v>
                </c:pt>
                <c:pt idx="8332">
                  <c:v> 5 </c:v>
                </c:pt>
                <c:pt idx="8333">
                  <c:v> 6 </c:v>
                </c:pt>
                <c:pt idx="8334">
                  <c:v> 7 </c:v>
                </c:pt>
                <c:pt idx="8335">
                  <c:v> 8 </c:v>
                </c:pt>
                <c:pt idx="8336">
                  <c:v> 9 </c:v>
                </c:pt>
                <c:pt idx="8337">
                  <c:v> 10 </c:v>
                </c:pt>
                <c:pt idx="8338">
                  <c:v> 11 </c:v>
                </c:pt>
                <c:pt idx="8339">
                  <c:v> 12 </c:v>
                </c:pt>
                <c:pt idx="8340">
                  <c:v> 13 </c:v>
                </c:pt>
                <c:pt idx="8341">
                  <c:v> 14 </c:v>
                </c:pt>
                <c:pt idx="8342">
                  <c:v> 15 </c:v>
                </c:pt>
                <c:pt idx="8343">
                  <c:v> 16 </c:v>
                </c:pt>
                <c:pt idx="8344">
                  <c:v> 17 </c:v>
                </c:pt>
                <c:pt idx="8345">
                  <c:v> 18 </c:v>
                </c:pt>
                <c:pt idx="8346">
                  <c:v> 19 </c:v>
                </c:pt>
                <c:pt idx="8347">
                  <c:v> 20 </c:v>
                </c:pt>
                <c:pt idx="8348">
                  <c:v> 21 </c:v>
                </c:pt>
                <c:pt idx="8349">
                  <c:v> 22 </c:v>
                </c:pt>
                <c:pt idx="8350">
                  <c:v> 23 </c:v>
                </c:pt>
                <c:pt idx="8351">
                  <c:v> 24 </c:v>
                </c:pt>
                <c:pt idx="8352">
                  <c:v>15 Dec 2014</c:v>
                </c:pt>
                <c:pt idx="8353">
                  <c:v> 2 </c:v>
                </c:pt>
                <c:pt idx="8354">
                  <c:v> 3 </c:v>
                </c:pt>
                <c:pt idx="8355">
                  <c:v> 4 </c:v>
                </c:pt>
                <c:pt idx="8356">
                  <c:v> 5 </c:v>
                </c:pt>
                <c:pt idx="8357">
                  <c:v> 6 </c:v>
                </c:pt>
                <c:pt idx="8358">
                  <c:v> 7 </c:v>
                </c:pt>
                <c:pt idx="8359">
                  <c:v> 8 </c:v>
                </c:pt>
                <c:pt idx="8360">
                  <c:v> 9 </c:v>
                </c:pt>
                <c:pt idx="8361">
                  <c:v> 10 </c:v>
                </c:pt>
                <c:pt idx="8362">
                  <c:v> 11 </c:v>
                </c:pt>
                <c:pt idx="8363">
                  <c:v> 12 </c:v>
                </c:pt>
                <c:pt idx="8364">
                  <c:v> 13 </c:v>
                </c:pt>
                <c:pt idx="8365">
                  <c:v> 14 </c:v>
                </c:pt>
                <c:pt idx="8366">
                  <c:v> 15 </c:v>
                </c:pt>
                <c:pt idx="8367">
                  <c:v> 16 </c:v>
                </c:pt>
                <c:pt idx="8368">
                  <c:v> 17 </c:v>
                </c:pt>
                <c:pt idx="8369">
                  <c:v> 18 </c:v>
                </c:pt>
                <c:pt idx="8370">
                  <c:v> 19 </c:v>
                </c:pt>
                <c:pt idx="8371">
                  <c:v> 20 </c:v>
                </c:pt>
                <c:pt idx="8372">
                  <c:v> 21 </c:v>
                </c:pt>
                <c:pt idx="8373">
                  <c:v> 22 </c:v>
                </c:pt>
                <c:pt idx="8374">
                  <c:v> 23 </c:v>
                </c:pt>
                <c:pt idx="8375">
                  <c:v> 24 </c:v>
                </c:pt>
                <c:pt idx="8376">
                  <c:v>16 Dec 2014</c:v>
                </c:pt>
                <c:pt idx="8377">
                  <c:v> 2 </c:v>
                </c:pt>
                <c:pt idx="8378">
                  <c:v> 3 </c:v>
                </c:pt>
                <c:pt idx="8379">
                  <c:v> 4 </c:v>
                </c:pt>
                <c:pt idx="8380">
                  <c:v> 5 </c:v>
                </c:pt>
                <c:pt idx="8381">
                  <c:v> 6 </c:v>
                </c:pt>
                <c:pt idx="8382">
                  <c:v> 7 </c:v>
                </c:pt>
                <c:pt idx="8383">
                  <c:v> 8 </c:v>
                </c:pt>
                <c:pt idx="8384">
                  <c:v> 9 </c:v>
                </c:pt>
                <c:pt idx="8385">
                  <c:v> 10 </c:v>
                </c:pt>
                <c:pt idx="8386">
                  <c:v> 11 </c:v>
                </c:pt>
                <c:pt idx="8387">
                  <c:v> 12 </c:v>
                </c:pt>
                <c:pt idx="8388">
                  <c:v> 13 </c:v>
                </c:pt>
                <c:pt idx="8389">
                  <c:v> 14 </c:v>
                </c:pt>
                <c:pt idx="8390">
                  <c:v> 15 </c:v>
                </c:pt>
                <c:pt idx="8391">
                  <c:v> 16 </c:v>
                </c:pt>
                <c:pt idx="8392">
                  <c:v> 17 </c:v>
                </c:pt>
                <c:pt idx="8393">
                  <c:v> 18 </c:v>
                </c:pt>
                <c:pt idx="8394">
                  <c:v> 19 </c:v>
                </c:pt>
                <c:pt idx="8395">
                  <c:v> 20 </c:v>
                </c:pt>
                <c:pt idx="8396">
                  <c:v> 21 </c:v>
                </c:pt>
                <c:pt idx="8397">
                  <c:v> 22 </c:v>
                </c:pt>
                <c:pt idx="8398">
                  <c:v> 23 </c:v>
                </c:pt>
                <c:pt idx="8399">
                  <c:v> 24 </c:v>
                </c:pt>
                <c:pt idx="8400">
                  <c:v>17 Dec 2014</c:v>
                </c:pt>
                <c:pt idx="8401">
                  <c:v> 2 </c:v>
                </c:pt>
                <c:pt idx="8402">
                  <c:v> 3 </c:v>
                </c:pt>
                <c:pt idx="8403">
                  <c:v> 4 </c:v>
                </c:pt>
                <c:pt idx="8404">
                  <c:v> 5 </c:v>
                </c:pt>
                <c:pt idx="8405">
                  <c:v> 6 </c:v>
                </c:pt>
                <c:pt idx="8406">
                  <c:v> 7 </c:v>
                </c:pt>
                <c:pt idx="8407">
                  <c:v> 8 </c:v>
                </c:pt>
                <c:pt idx="8408">
                  <c:v> 9 </c:v>
                </c:pt>
                <c:pt idx="8409">
                  <c:v> 10 </c:v>
                </c:pt>
                <c:pt idx="8410">
                  <c:v> 11 </c:v>
                </c:pt>
                <c:pt idx="8411">
                  <c:v> 12 </c:v>
                </c:pt>
                <c:pt idx="8412">
                  <c:v> 13 </c:v>
                </c:pt>
                <c:pt idx="8413">
                  <c:v> 14 </c:v>
                </c:pt>
                <c:pt idx="8414">
                  <c:v> 15 </c:v>
                </c:pt>
                <c:pt idx="8415">
                  <c:v> 16 </c:v>
                </c:pt>
                <c:pt idx="8416">
                  <c:v> 17 </c:v>
                </c:pt>
                <c:pt idx="8417">
                  <c:v> 18 </c:v>
                </c:pt>
                <c:pt idx="8418">
                  <c:v> 19 </c:v>
                </c:pt>
                <c:pt idx="8419">
                  <c:v> 20 </c:v>
                </c:pt>
                <c:pt idx="8420">
                  <c:v> 21 </c:v>
                </c:pt>
                <c:pt idx="8421">
                  <c:v> 22 </c:v>
                </c:pt>
                <c:pt idx="8422">
                  <c:v> 23 </c:v>
                </c:pt>
                <c:pt idx="8423">
                  <c:v> 24 </c:v>
                </c:pt>
                <c:pt idx="8424">
                  <c:v>18 Dec 2014</c:v>
                </c:pt>
                <c:pt idx="8425">
                  <c:v> 2 </c:v>
                </c:pt>
                <c:pt idx="8426">
                  <c:v> 3 </c:v>
                </c:pt>
                <c:pt idx="8427">
                  <c:v> 4 </c:v>
                </c:pt>
                <c:pt idx="8428">
                  <c:v> 5 </c:v>
                </c:pt>
                <c:pt idx="8429">
                  <c:v> 6 </c:v>
                </c:pt>
                <c:pt idx="8430">
                  <c:v> 7 </c:v>
                </c:pt>
                <c:pt idx="8431">
                  <c:v> 8 </c:v>
                </c:pt>
                <c:pt idx="8432">
                  <c:v> 9 </c:v>
                </c:pt>
                <c:pt idx="8433">
                  <c:v> 10 </c:v>
                </c:pt>
                <c:pt idx="8434">
                  <c:v> 11 </c:v>
                </c:pt>
                <c:pt idx="8435">
                  <c:v> 12 </c:v>
                </c:pt>
                <c:pt idx="8436">
                  <c:v> 13 </c:v>
                </c:pt>
                <c:pt idx="8437">
                  <c:v> 14 </c:v>
                </c:pt>
                <c:pt idx="8438">
                  <c:v> 15 </c:v>
                </c:pt>
                <c:pt idx="8439">
                  <c:v> 16 </c:v>
                </c:pt>
                <c:pt idx="8440">
                  <c:v> 17 </c:v>
                </c:pt>
                <c:pt idx="8441">
                  <c:v> 18 </c:v>
                </c:pt>
                <c:pt idx="8442">
                  <c:v> 19 </c:v>
                </c:pt>
                <c:pt idx="8443">
                  <c:v> 20 </c:v>
                </c:pt>
                <c:pt idx="8444">
                  <c:v> 21 </c:v>
                </c:pt>
                <c:pt idx="8445">
                  <c:v> 22 </c:v>
                </c:pt>
                <c:pt idx="8446">
                  <c:v> 23 </c:v>
                </c:pt>
                <c:pt idx="8447">
                  <c:v> 24 </c:v>
                </c:pt>
                <c:pt idx="8448">
                  <c:v>19 Dec 2014</c:v>
                </c:pt>
                <c:pt idx="8449">
                  <c:v> 2 </c:v>
                </c:pt>
                <c:pt idx="8450">
                  <c:v> 3 </c:v>
                </c:pt>
                <c:pt idx="8451">
                  <c:v> 4 </c:v>
                </c:pt>
                <c:pt idx="8452">
                  <c:v> 5 </c:v>
                </c:pt>
                <c:pt idx="8453">
                  <c:v> 6 </c:v>
                </c:pt>
                <c:pt idx="8454">
                  <c:v> 7 </c:v>
                </c:pt>
                <c:pt idx="8455">
                  <c:v> 8 </c:v>
                </c:pt>
                <c:pt idx="8456">
                  <c:v> 9 </c:v>
                </c:pt>
                <c:pt idx="8457">
                  <c:v> 10 </c:v>
                </c:pt>
                <c:pt idx="8458">
                  <c:v> 11 </c:v>
                </c:pt>
                <c:pt idx="8459">
                  <c:v> 12 </c:v>
                </c:pt>
                <c:pt idx="8460">
                  <c:v> 13 </c:v>
                </c:pt>
                <c:pt idx="8461">
                  <c:v> 14 </c:v>
                </c:pt>
                <c:pt idx="8462">
                  <c:v> 15 </c:v>
                </c:pt>
                <c:pt idx="8463">
                  <c:v> 16 </c:v>
                </c:pt>
                <c:pt idx="8464">
                  <c:v> 17 </c:v>
                </c:pt>
                <c:pt idx="8465">
                  <c:v> 18 </c:v>
                </c:pt>
                <c:pt idx="8466">
                  <c:v> 19 </c:v>
                </c:pt>
                <c:pt idx="8467">
                  <c:v> 20 </c:v>
                </c:pt>
                <c:pt idx="8468">
                  <c:v> 21 </c:v>
                </c:pt>
                <c:pt idx="8469">
                  <c:v> 22 </c:v>
                </c:pt>
                <c:pt idx="8470">
                  <c:v> 23 </c:v>
                </c:pt>
                <c:pt idx="8471">
                  <c:v> 24 </c:v>
                </c:pt>
                <c:pt idx="8472">
                  <c:v>20 Dec 2014</c:v>
                </c:pt>
                <c:pt idx="8473">
                  <c:v> 2 </c:v>
                </c:pt>
                <c:pt idx="8474">
                  <c:v> 3 </c:v>
                </c:pt>
                <c:pt idx="8475">
                  <c:v> 4 </c:v>
                </c:pt>
                <c:pt idx="8476">
                  <c:v> 5 </c:v>
                </c:pt>
                <c:pt idx="8477">
                  <c:v> 6 </c:v>
                </c:pt>
                <c:pt idx="8478">
                  <c:v> 7 </c:v>
                </c:pt>
                <c:pt idx="8479">
                  <c:v> 8 </c:v>
                </c:pt>
                <c:pt idx="8480">
                  <c:v> 9 </c:v>
                </c:pt>
                <c:pt idx="8481">
                  <c:v> 10 </c:v>
                </c:pt>
                <c:pt idx="8482">
                  <c:v> 11 </c:v>
                </c:pt>
                <c:pt idx="8483">
                  <c:v> 12 </c:v>
                </c:pt>
                <c:pt idx="8484">
                  <c:v> 13 </c:v>
                </c:pt>
                <c:pt idx="8485">
                  <c:v> 14 </c:v>
                </c:pt>
                <c:pt idx="8486">
                  <c:v> 15 </c:v>
                </c:pt>
                <c:pt idx="8487">
                  <c:v> 16 </c:v>
                </c:pt>
                <c:pt idx="8488">
                  <c:v> 17 </c:v>
                </c:pt>
                <c:pt idx="8489">
                  <c:v> 18 </c:v>
                </c:pt>
                <c:pt idx="8490">
                  <c:v> 19 </c:v>
                </c:pt>
                <c:pt idx="8491">
                  <c:v> 20 </c:v>
                </c:pt>
                <c:pt idx="8492">
                  <c:v> 21 </c:v>
                </c:pt>
                <c:pt idx="8493">
                  <c:v> 22 </c:v>
                </c:pt>
                <c:pt idx="8494">
                  <c:v> 23 </c:v>
                </c:pt>
                <c:pt idx="8495">
                  <c:v> 24 </c:v>
                </c:pt>
                <c:pt idx="8496">
                  <c:v>21 Dec 2014</c:v>
                </c:pt>
                <c:pt idx="8497">
                  <c:v> 2 </c:v>
                </c:pt>
                <c:pt idx="8498">
                  <c:v> 3 </c:v>
                </c:pt>
                <c:pt idx="8499">
                  <c:v> 4 </c:v>
                </c:pt>
                <c:pt idx="8500">
                  <c:v> 5 </c:v>
                </c:pt>
                <c:pt idx="8501">
                  <c:v> 6 </c:v>
                </c:pt>
                <c:pt idx="8502">
                  <c:v> 7 </c:v>
                </c:pt>
                <c:pt idx="8503">
                  <c:v> 8 </c:v>
                </c:pt>
                <c:pt idx="8504">
                  <c:v> 9 </c:v>
                </c:pt>
                <c:pt idx="8505">
                  <c:v> 10 </c:v>
                </c:pt>
                <c:pt idx="8506">
                  <c:v> 11 </c:v>
                </c:pt>
                <c:pt idx="8507">
                  <c:v> 12 </c:v>
                </c:pt>
                <c:pt idx="8508">
                  <c:v> 13 </c:v>
                </c:pt>
                <c:pt idx="8509">
                  <c:v> 14 </c:v>
                </c:pt>
                <c:pt idx="8510">
                  <c:v> 15 </c:v>
                </c:pt>
                <c:pt idx="8511">
                  <c:v> 16 </c:v>
                </c:pt>
                <c:pt idx="8512">
                  <c:v> 17 </c:v>
                </c:pt>
                <c:pt idx="8513">
                  <c:v> 18 </c:v>
                </c:pt>
                <c:pt idx="8514">
                  <c:v> 19 </c:v>
                </c:pt>
                <c:pt idx="8515">
                  <c:v> 20 </c:v>
                </c:pt>
                <c:pt idx="8516">
                  <c:v> 21 </c:v>
                </c:pt>
                <c:pt idx="8517">
                  <c:v> 22 </c:v>
                </c:pt>
                <c:pt idx="8518">
                  <c:v> 23 </c:v>
                </c:pt>
                <c:pt idx="8519">
                  <c:v> 24 </c:v>
                </c:pt>
                <c:pt idx="8520">
                  <c:v>22 Dec 2014</c:v>
                </c:pt>
                <c:pt idx="8521">
                  <c:v> 2 </c:v>
                </c:pt>
                <c:pt idx="8522">
                  <c:v> 3 </c:v>
                </c:pt>
                <c:pt idx="8523">
                  <c:v> 4 </c:v>
                </c:pt>
                <c:pt idx="8524">
                  <c:v> 5 </c:v>
                </c:pt>
                <c:pt idx="8525">
                  <c:v> 6 </c:v>
                </c:pt>
                <c:pt idx="8526">
                  <c:v> 7 </c:v>
                </c:pt>
                <c:pt idx="8527">
                  <c:v> 8 </c:v>
                </c:pt>
                <c:pt idx="8528">
                  <c:v> 9 </c:v>
                </c:pt>
                <c:pt idx="8529">
                  <c:v> 10 </c:v>
                </c:pt>
                <c:pt idx="8530">
                  <c:v> 11 </c:v>
                </c:pt>
                <c:pt idx="8531">
                  <c:v> 12 </c:v>
                </c:pt>
                <c:pt idx="8532">
                  <c:v> 13 </c:v>
                </c:pt>
                <c:pt idx="8533">
                  <c:v> 14 </c:v>
                </c:pt>
                <c:pt idx="8534">
                  <c:v> 15 </c:v>
                </c:pt>
                <c:pt idx="8535">
                  <c:v> 16 </c:v>
                </c:pt>
                <c:pt idx="8536">
                  <c:v> 17 </c:v>
                </c:pt>
                <c:pt idx="8537">
                  <c:v> 18 </c:v>
                </c:pt>
                <c:pt idx="8538">
                  <c:v> 19 </c:v>
                </c:pt>
                <c:pt idx="8539">
                  <c:v> 20 </c:v>
                </c:pt>
                <c:pt idx="8540">
                  <c:v> 21 </c:v>
                </c:pt>
                <c:pt idx="8541">
                  <c:v> 22 </c:v>
                </c:pt>
                <c:pt idx="8542">
                  <c:v> 23 </c:v>
                </c:pt>
                <c:pt idx="8543">
                  <c:v> 24 </c:v>
                </c:pt>
                <c:pt idx="8544">
                  <c:v>23 Dec 2014</c:v>
                </c:pt>
                <c:pt idx="8545">
                  <c:v> 2 </c:v>
                </c:pt>
                <c:pt idx="8546">
                  <c:v> 3 </c:v>
                </c:pt>
                <c:pt idx="8547">
                  <c:v> 4 </c:v>
                </c:pt>
                <c:pt idx="8548">
                  <c:v> 5 </c:v>
                </c:pt>
                <c:pt idx="8549">
                  <c:v> 6 </c:v>
                </c:pt>
                <c:pt idx="8550">
                  <c:v> 7 </c:v>
                </c:pt>
                <c:pt idx="8551">
                  <c:v> 8 </c:v>
                </c:pt>
                <c:pt idx="8552">
                  <c:v> 9 </c:v>
                </c:pt>
                <c:pt idx="8553">
                  <c:v> 10 </c:v>
                </c:pt>
                <c:pt idx="8554">
                  <c:v> 11 </c:v>
                </c:pt>
                <c:pt idx="8555">
                  <c:v> 12 </c:v>
                </c:pt>
                <c:pt idx="8556">
                  <c:v> 13 </c:v>
                </c:pt>
                <c:pt idx="8557">
                  <c:v> 14 </c:v>
                </c:pt>
                <c:pt idx="8558">
                  <c:v> 15 </c:v>
                </c:pt>
                <c:pt idx="8559">
                  <c:v> 16 </c:v>
                </c:pt>
                <c:pt idx="8560">
                  <c:v> 17 </c:v>
                </c:pt>
                <c:pt idx="8561">
                  <c:v> 18 </c:v>
                </c:pt>
                <c:pt idx="8562">
                  <c:v> 19 </c:v>
                </c:pt>
                <c:pt idx="8563">
                  <c:v> 20 </c:v>
                </c:pt>
                <c:pt idx="8564">
                  <c:v> 21 </c:v>
                </c:pt>
                <c:pt idx="8565">
                  <c:v> 22 </c:v>
                </c:pt>
                <c:pt idx="8566">
                  <c:v> 23 </c:v>
                </c:pt>
                <c:pt idx="8567">
                  <c:v> 24 </c:v>
                </c:pt>
                <c:pt idx="8568">
                  <c:v>24 Dec 2014</c:v>
                </c:pt>
                <c:pt idx="8569">
                  <c:v> 2 </c:v>
                </c:pt>
                <c:pt idx="8570">
                  <c:v> 3 </c:v>
                </c:pt>
                <c:pt idx="8571">
                  <c:v> 4 </c:v>
                </c:pt>
                <c:pt idx="8572">
                  <c:v> 5 </c:v>
                </c:pt>
                <c:pt idx="8573">
                  <c:v> 6 </c:v>
                </c:pt>
                <c:pt idx="8574">
                  <c:v> 7 </c:v>
                </c:pt>
                <c:pt idx="8575">
                  <c:v> 8 </c:v>
                </c:pt>
                <c:pt idx="8576">
                  <c:v> 9 </c:v>
                </c:pt>
                <c:pt idx="8577">
                  <c:v> 10 </c:v>
                </c:pt>
                <c:pt idx="8578">
                  <c:v> 11 </c:v>
                </c:pt>
                <c:pt idx="8579">
                  <c:v> 12 </c:v>
                </c:pt>
                <c:pt idx="8580">
                  <c:v> 13 </c:v>
                </c:pt>
                <c:pt idx="8581">
                  <c:v> 14 </c:v>
                </c:pt>
                <c:pt idx="8582">
                  <c:v> 15 </c:v>
                </c:pt>
                <c:pt idx="8583">
                  <c:v> 16 </c:v>
                </c:pt>
                <c:pt idx="8584">
                  <c:v> 17 </c:v>
                </c:pt>
                <c:pt idx="8585">
                  <c:v> 18 </c:v>
                </c:pt>
                <c:pt idx="8586">
                  <c:v> 19 </c:v>
                </c:pt>
                <c:pt idx="8587">
                  <c:v> 20 </c:v>
                </c:pt>
                <c:pt idx="8588">
                  <c:v> 21 </c:v>
                </c:pt>
                <c:pt idx="8589">
                  <c:v> 22 </c:v>
                </c:pt>
                <c:pt idx="8590">
                  <c:v> 23 </c:v>
                </c:pt>
                <c:pt idx="8591">
                  <c:v> 24 </c:v>
                </c:pt>
                <c:pt idx="8592">
                  <c:v>25 Dec 2014</c:v>
                </c:pt>
                <c:pt idx="8593">
                  <c:v> 2 </c:v>
                </c:pt>
                <c:pt idx="8594">
                  <c:v> 3 </c:v>
                </c:pt>
                <c:pt idx="8595">
                  <c:v> 4 </c:v>
                </c:pt>
                <c:pt idx="8596">
                  <c:v> 5 </c:v>
                </c:pt>
                <c:pt idx="8597">
                  <c:v> 6 </c:v>
                </c:pt>
                <c:pt idx="8598">
                  <c:v> 7 </c:v>
                </c:pt>
                <c:pt idx="8599">
                  <c:v> 8 </c:v>
                </c:pt>
                <c:pt idx="8600">
                  <c:v> 9 </c:v>
                </c:pt>
                <c:pt idx="8601">
                  <c:v> 10 </c:v>
                </c:pt>
                <c:pt idx="8602">
                  <c:v> 11 </c:v>
                </c:pt>
                <c:pt idx="8603">
                  <c:v> 12 </c:v>
                </c:pt>
                <c:pt idx="8604">
                  <c:v> 13 </c:v>
                </c:pt>
                <c:pt idx="8605">
                  <c:v> 14 </c:v>
                </c:pt>
                <c:pt idx="8606">
                  <c:v> 15 </c:v>
                </c:pt>
                <c:pt idx="8607">
                  <c:v> 16 </c:v>
                </c:pt>
                <c:pt idx="8608">
                  <c:v> 17 </c:v>
                </c:pt>
                <c:pt idx="8609">
                  <c:v> 18 </c:v>
                </c:pt>
                <c:pt idx="8610">
                  <c:v> 19 </c:v>
                </c:pt>
                <c:pt idx="8611">
                  <c:v> 20 </c:v>
                </c:pt>
                <c:pt idx="8612">
                  <c:v> 21 </c:v>
                </c:pt>
                <c:pt idx="8613">
                  <c:v> 22 </c:v>
                </c:pt>
                <c:pt idx="8614">
                  <c:v> 23 </c:v>
                </c:pt>
                <c:pt idx="8615">
                  <c:v> 24 </c:v>
                </c:pt>
                <c:pt idx="8616">
                  <c:v>26 Dec 2014</c:v>
                </c:pt>
                <c:pt idx="8617">
                  <c:v> 2 </c:v>
                </c:pt>
                <c:pt idx="8618">
                  <c:v> 3 </c:v>
                </c:pt>
                <c:pt idx="8619">
                  <c:v> 4 </c:v>
                </c:pt>
                <c:pt idx="8620">
                  <c:v> 5 </c:v>
                </c:pt>
                <c:pt idx="8621">
                  <c:v> 6 </c:v>
                </c:pt>
                <c:pt idx="8622">
                  <c:v> 7 </c:v>
                </c:pt>
                <c:pt idx="8623">
                  <c:v> 8 </c:v>
                </c:pt>
                <c:pt idx="8624">
                  <c:v> 9 </c:v>
                </c:pt>
                <c:pt idx="8625">
                  <c:v> 10 </c:v>
                </c:pt>
                <c:pt idx="8626">
                  <c:v> 11 </c:v>
                </c:pt>
                <c:pt idx="8627">
                  <c:v> 12 </c:v>
                </c:pt>
                <c:pt idx="8628">
                  <c:v> 13 </c:v>
                </c:pt>
                <c:pt idx="8629">
                  <c:v> 14 </c:v>
                </c:pt>
                <c:pt idx="8630">
                  <c:v> 15 </c:v>
                </c:pt>
                <c:pt idx="8631">
                  <c:v> 16 </c:v>
                </c:pt>
                <c:pt idx="8632">
                  <c:v> 17 </c:v>
                </c:pt>
                <c:pt idx="8633">
                  <c:v> 18 </c:v>
                </c:pt>
                <c:pt idx="8634">
                  <c:v> 19 </c:v>
                </c:pt>
                <c:pt idx="8635">
                  <c:v> 20 </c:v>
                </c:pt>
                <c:pt idx="8636">
                  <c:v> 21 </c:v>
                </c:pt>
                <c:pt idx="8637">
                  <c:v> 22 </c:v>
                </c:pt>
                <c:pt idx="8638">
                  <c:v> 23 </c:v>
                </c:pt>
                <c:pt idx="8639">
                  <c:v> 24 </c:v>
                </c:pt>
                <c:pt idx="8640">
                  <c:v>27 Dec 2014</c:v>
                </c:pt>
                <c:pt idx="8641">
                  <c:v> 2 </c:v>
                </c:pt>
                <c:pt idx="8642">
                  <c:v> 3 </c:v>
                </c:pt>
                <c:pt idx="8643">
                  <c:v> 4 </c:v>
                </c:pt>
                <c:pt idx="8644">
                  <c:v> 5 </c:v>
                </c:pt>
                <c:pt idx="8645">
                  <c:v> 6 </c:v>
                </c:pt>
                <c:pt idx="8646">
                  <c:v> 7 </c:v>
                </c:pt>
                <c:pt idx="8647">
                  <c:v> 8 </c:v>
                </c:pt>
                <c:pt idx="8648">
                  <c:v> 9 </c:v>
                </c:pt>
                <c:pt idx="8649">
                  <c:v> 10 </c:v>
                </c:pt>
                <c:pt idx="8650">
                  <c:v> 11 </c:v>
                </c:pt>
                <c:pt idx="8651">
                  <c:v> 12 </c:v>
                </c:pt>
                <c:pt idx="8652">
                  <c:v> 13 </c:v>
                </c:pt>
                <c:pt idx="8653">
                  <c:v> 14 </c:v>
                </c:pt>
                <c:pt idx="8654">
                  <c:v> 15 </c:v>
                </c:pt>
                <c:pt idx="8655">
                  <c:v> 16 </c:v>
                </c:pt>
                <c:pt idx="8656">
                  <c:v> 17 </c:v>
                </c:pt>
                <c:pt idx="8657">
                  <c:v> 18 </c:v>
                </c:pt>
                <c:pt idx="8658">
                  <c:v> 19 </c:v>
                </c:pt>
                <c:pt idx="8659">
                  <c:v> 20 </c:v>
                </c:pt>
                <c:pt idx="8660">
                  <c:v> 21 </c:v>
                </c:pt>
                <c:pt idx="8661">
                  <c:v> 22 </c:v>
                </c:pt>
                <c:pt idx="8662">
                  <c:v> 23 </c:v>
                </c:pt>
                <c:pt idx="8663">
                  <c:v> 24 </c:v>
                </c:pt>
                <c:pt idx="8664">
                  <c:v>28 Dec 2014</c:v>
                </c:pt>
                <c:pt idx="8665">
                  <c:v> 2 </c:v>
                </c:pt>
                <c:pt idx="8666">
                  <c:v> 3 </c:v>
                </c:pt>
                <c:pt idx="8667">
                  <c:v> 4 </c:v>
                </c:pt>
                <c:pt idx="8668">
                  <c:v> 5 </c:v>
                </c:pt>
                <c:pt idx="8669">
                  <c:v> 6 </c:v>
                </c:pt>
                <c:pt idx="8670">
                  <c:v> 7 </c:v>
                </c:pt>
                <c:pt idx="8671">
                  <c:v> 8 </c:v>
                </c:pt>
                <c:pt idx="8672">
                  <c:v> 9 </c:v>
                </c:pt>
                <c:pt idx="8673">
                  <c:v> 10 </c:v>
                </c:pt>
                <c:pt idx="8674">
                  <c:v> 11 </c:v>
                </c:pt>
                <c:pt idx="8675">
                  <c:v> 12 </c:v>
                </c:pt>
                <c:pt idx="8676">
                  <c:v> 13 </c:v>
                </c:pt>
                <c:pt idx="8677">
                  <c:v> 14 </c:v>
                </c:pt>
                <c:pt idx="8678">
                  <c:v> 15 </c:v>
                </c:pt>
                <c:pt idx="8679">
                  <c:v> 16 </c:v>
                </c:pt>
                <c:pt idx="8680">
                  <c:v> 17 </c:v>
                </c:pt>
                <c:pt idx="8681">
                  <c:v> 18 </c:v>
                </c:pt>
                <c:pt idx="8682">
                  <c:v> 19 </c:v>
                </c:pt>
                <c:pt idx="8683">
                  <c:v> 20 </c:v>
                </c:pt>
                <c:pt idx="8684">
                  <c:v> 21 </c:v>
                </c:pt>
                <c:pt idx="8685">
                  <c:v> 22 </c:v>
                </c:pt>
                <c:pt idx="8686">
                  <c:v> 23 </c:v>
                </c:pt>
                <c:pt idx="8687">
                  <c:v> 24 </c:v>
                </c:pt>
                <c:pt idx="8688">
                  <c:v>29 Dec 2014</c:v>
                </c:pt>
                <c:pt idx="8689">
                  <c:v> 2 </c:v>
                </c:pt>
                <c:pt idx="8690">
                  <c:v> 3 </c:v>
                </c:pt>
                <c:pt idx="8691">
                  <c:v> 4 </c:v>
                </c:pt>
                <c:pt idx="8692">
                  <c:v> 5 </c:v>
                </c:pt>
                <c:pt idx="8693">
                  <c:v> 6 </c:v>
                </c:pt>
                <c:pt idx="8694">
                  <c:v> 7 </c:v>
                </c:pt>
                <c:pt idx="8695">
                  <c:v> 8 </c:v>
                </c:pt>
                <c:pt idx="8696">
                  <c:v> 9 </c:v>
                </c:pt>
                <c:pt idx="8697">
                  <c:v> 10 </c:v>
                </c:pt>
                <c:pt idx="8698">
                  <c:v> 11 </c:v>
                </c:pt>
                <c:pt idx="8699">
                  <c:v> 12 </c:v>
                </c:pt>
                <c:pt idx="8700">
                  <c:v> 13 </c:v>
                </c:pt>
                <c:pt idx="8701">
                  <c:v> 14 </c:v>
                </c:pt>
                <c:pt idx="8702">
                  <c:v> 15 </c:v>
                </c:pt>
                <c:pt idx="8703">
                  <c:v> 16 </c:v>
                </c:pt>
                <c:pt idx="8704">
                  <c:v> 17 </c:v>
                </c:pt>
                <c:pt idx="8705">
                  <c:v> 18 </c:v>
                </c:pt>
                <c:pt idx="8706">
                  <c:v> 19 </c:v>
                </c:pt>
                <c:pt idx="8707">
                  <c:v> 20 </c:v>
                </c:pt>
                <c:pt idx="8708">
                  <c:v> 21 </c:v>
                </c:pt>
                <c:pt idx="8709">
                  <c:v> 22 </c:v>
                </c:pt>
                <c:pt idx="8710">
                  <c:v> 23 </c:v>
                </c:pt>
                <c:pt idx="8711">
                  <c:v> 24 </c:v>
                </c:pt>
                <c:pt idx="8712">
                  <c:v>30 Dec 2014</c:v>
                </c:pt>
                <c:pt idx="8713">
                  <c:v> 2 </c:v>
                </c:pt>
                <c:pt idx="8714">
                  <c:v> 3 </c:v>
                </c:pt>
                <c:pt idx="8715">
                  <c:v> 4 </c:v>
                </c:pt>
                <c:pt idx="8716">
                  <c:v> 5 </c:v>
                </c:pt>
                <c:pt idx="8717">
                  <c:v> 6 </c:v>
                </c:pt>
                <c:pt idx="8718">
                  <c:v> 7 </c:v>
                </c:pt>
                <c:pt idx="8719">
                  <c:v> 8 </c:v>
                </c:pt>
                <c:pt idx="8720">
                  <c:v> 9 </c:v>
                </c:pt>
                <c:pt idx="8721">
                  <c:v> 10 </c:v>
                </c:pt>
                <c:pt idx="8722">
                  <c:v> 11 </c:v>
                </c:pt>
                <c:pt idx="8723">
                  <c:v> 12 </c:v>
                </c:pt>
                <c:pt idx="8724">
                  <c:v> 13 </c:v>
                </c:pt>
                <c:pt idx="8725">
                  <c:v> 14 </c:v>
                </c:pt>
                <c:pt idx="8726">
                  <c:v> 15 </c:v>
                </c:pt>
                <c:pt idx="8727">
                  <c:v> 16 </c:v>
                </c:pt>
                <c:pt idx="8728">
                  <c:v> 17 </c:v>
                </c:pt>
                <c:pt idx="8729">
                  <c:v> 18 </c:v>
                </c:pt>
                <c:pt idx="8730">
                  <c:v> 19 </c:v>
                </c:pt>
                <c:pt idx="8731">
                  <c:v> 20 </c:v>
                </c:pt>
                <c:pt idx="8732">
                  <c:v> 21 </c:v>
                </c:pt>
                <c:pt idx="8733">
                  <c:v> 22 </c:v>
                </c:pt>
                <c:pt idx="8734">
                  <c:v> 23 </c:v>
                </c:pt>
                <c:pt idx="8735">
                  <c:v> 24 </c:v>
                </c:pt>
                <c:pt idx="8736">
                  <c:v>31 Dec 2014</c:v>
                </c:pt>
                <c:pt idx="8737">
                  <c:v> 2 </c:v>
                </c:pt>
                <c:pt idx="8738">
                  <c:v> 3 </c:v>
                </c:pt>
                <c:pt idx="8739">
                  <c:v> 4 </c:v>
                </c:pt>
                <c:pt idx="8740">
                  <c:v> 5 </c:v>
                </c:pt>
                <c:pt idx="8741">
                  <c:v> 6 </c:v>
                </c:pt>
                <c:pt idx="8742">
                  <c:v> 7 </c:v>
                </c:pt>
                <c:pt idx="8743">
                  <c:v> 8 </c:v>
                </c:pt>
                <c:pt idx="8744">
                  <c:v> 9 </c:v>
                </c:pt>
                <c:pt idx="8745">
                  <c:v> 10 </c:v>
                </c:pt>
                <c:pt idx="8746">
                  <c:v> 11 </c:v>
                </c:pt>
                <c:pt idx="8747">
                  <c:v> 12 </c:v>
                </c:pt>
                <c:pt idx="8748">
                  <c:v> 13 </c:v>
                </c:pt>
                <c:pt idx="8749">
                  <c:v> 14 </c:v>
                </c:pt>
                <c:pt idx="8750">
                  <c:v> 15 </c:v>
                </c:pt>
                <c:pt idx="8751">
                  <c:v> 16 </c:v>
                </c:pt>
                <c:pt idx="8752">
                  <c:v> 17 </c:v>
                </c:pt>
                <c:pt idx="8753">
                  <c:v> 18 </c:v>
                </c:pt>
                <c:pt idx="8754">
                  <c:v> 19 </c:v>
                </c:pt>
                <c:pt idx="8755">
                  <c:v> 20 </c:v>
                </c:pt>
                <c:pt idx="8756">
                  <c:v> 21 </c:v>
                </c:pt>
                <c:pt idx="8757">
                  <c:v> 22 </c:v>
                </c:pt>
                <c:pt idx="8758">
                  <c:v> 23 </c:v>
                </c:pt>
                <c:pt idx="8759">
                  <c:v> 24 </c:v>
                </c:pt>
              </c:strCache>
            </c:strRef>
          </c:cat>
          <c:val>
            <c:numRef>
              <c:f>Data!$B$2:$B$8761</c:f>
              <c:numCache>
                <c:formatCode>General</c:formatCode>
                <c:ptCount val="8760"/>
                <c:pt idx="0">
                  <c:v>5.1589299999999945</c:v>
                </c:pt>
                <c:pt idx="1">
                  <c:v>4.3642329999999845</c:v>
                </c:pt>
                <c:pt idx="2">
                  <c:v>4.4338210000000124</c:v>
                </c:pt>
                <c:pt idx="3" formatCode="0.00E+00">
                  <c:v>4.3089490000000001</c:v>
                </c:pt>
                <c:pt idx="5">
                  <c:v>4.3444179999999655</c:v>
                </c:pt>
                <c:pt idx="6">
                  <c:v>4.6376670000000004</c:v>
                </c:pt>
                <c:pt idx="7">
                  <c:v>4.4147249999999945</c:v>
                </c:pt>
                <c:pt idx="8" formatCode="0.00E+00">
                  <c:v>4.2788570000000004</c:v>
                </c:pt>
                <c:pt idx="9" formatCode="0.00E+00">
                  <c:v>4.2865510000000002</c:v>
                </c:pt>
                <c:pt idx="10">
                  <c:v>4.3031030000000001</c:v>
                </c:pt>
                <c:pt idx="11">
                  <c:v>4.3375569999999755</c:v>
                </c:pt>
                <c:pt idx="12">
                  <c:v>4.3434929999999996</c:v>
                </c:pt>
                <c:pt idx="13">
                  <c:v>4.28817</c:v>
                </c:pt>
                <c:pt idx="14">
                  <c:v>4.2919749999999945</c:v>
                </c:pt>
                <c:pt idx="15">
                  <c:v>4.3373869999999846</c:v>
                </c:pt>
                <c:pt idx="16">
                  <c:v>4.3239839999999745</c:v>
                </c:pt>
                <c:pt idx="17" formatCode="0.00E+00">
                  <c:v>4.3515859999999655</c:v>
                </c:pt>
                <c:pt idx="18">
                  <c:v>4.2934830000000002</c:v>
                </c:pt>
                <c:pt idx="19">
                  <c:v>4.3608399999999845</c:v>
                </c:pt>
                <c:pt idx="20">
                  <c:v>4.3140579999999655</c:v>
                </c:pt>
                <c:pt idx="21">
                  <c:v>4.2543949999999855</c:v>
                </c:pt>
                <c:pt idx="22">
                  <c:v>4.3943949999999745</c:v>
                </c:pt>
                <c:pt idx="23">
                  <c:v>4.3466959999999997</c:v>
                </c:pt>
                <c:pt idx="24">
                  <c:v>4.5089569999999846</c:v>
                </c:pt>
                <c:pt idx="25">
                  <c:v>4.3811450000000001</c:v>
                </c:pt>
                <c:pt idx="26">
                  <c:v>4.3817009999999996</c:v>
                </c:pt>
                <c:pt idx="28">
                  <c:v>4.4355190000000002</c:v>
                </c:pt>
                <c:pt idx="29">
                  <c:v>4.5435400000000001</c:v>
                </c:pt>
                <c:pt idx="30">
                  <c:v>4.534567</c:v>
                </c:pt>
                <c:pt idx="31">
                  <c:v>4.5538559999999855</c:v>
                </c:pt>
                <c:pt idx="32">
                  <c:v>4.5713230000000475</c:v>
                </c:pt>
                <c:pt idx="33">
                  <c:v>4.6390200000000004</c:v>
                </c:pt>
                <c:pt idx="34">
                  <c:v>4.8298389999999856</c:v>
                </c:pt>
                <c:pt idx="35">
                  <c:v>5.0407599999999997</c:v>
                </c:pt>
                <c:pt idx="36">
                  <c:v>5.0663619999999998</c:v>
                </c:pt>
                <c:pt idx="37">
                  <c:v>5.1067070000000001</c:v>
                </c:pt>
                <c:pt idx="38">
                  <c:v>5.1769270000000001</c:v>
                </c:pt>
                <c:pt idx="39">
                  <c:v>5.3182989999999997</c:v>
                </c:pt>
                <c:pt idx="40">
                  <c:v>5.1657049999999645</c:v>
                </c:pt>
                <c:pt idx="41">
                  <c:v>5.2030269999999996</c:v>
                </c:pt>
                <c:pt idx="42">
                  <c:v>5.2006740000000002</c:v>
                </c:pt>
                <c:pt idx="43">
                  <c:v>5.5677129999999755</c:v>
                </c:pt>
                <c:pt idx="44">
                  <c:v>6.4805070000000002</c:v>
                </c:pt>
                <c:pt idx="45">
                  <c:v>6.5169309999999845</c:v>
                </c:pt>
                <c:pt idx="46">
                  <c:v>6.36137</c:v>
                </c:pt>
                <c:pt idx="47">
                  <c:v>5.8853119999999945</c:v>
                </c:pt>
                <c:pt idx="48">
                  <c:v>5.0220369999999646</c:v>
                </c:pt>
                <c:pt idx="49">
                  <c:v>5.057601</c:v>
                </c:pt>
                <c:pt idx="51">
                  <c:v>4.8712140000000002</c:v>
                </c:pt>
                <c:pt idx="52">
                  <c:v>4.6742990000000004</c:v>
                </c:pt>
                <c:pt idx="53">
                  <c:v>5.777552</c:v>
                </c:pt>
                <c:pt idx="54">
                  <c:v>6.5193690000000384</c:v>
                </c:pt>
                <c:pt idx="55">
                  <c:v>6.4525569999999846</c:v>
                </c:pt>
                <c:pt idx="56">
                  <c:v>6.2157679999999997</c:v>
                </c:pt>
                <c:pt idx="57">
                  <c:v>6.2402280000000134</c:v>
                </c:pt>
                <c:pt idx="58">
                  <c:v>7.3650849999999473</c:v>
                </c:pt>
                <c:pt idx="59">
                  <c:v>8.6763370000000002</c:v>
                </c:pt>
                <c:pt idx="60">
                  <c:v>9.5745200000000015</c:v>
                </c:pt>
                <c:pt idx="61">
                  <c:v>9.6299749999999982</c:v>
                </c:pt>
                <c:pt idx="62">
                  <c:v>10.04044</c:v>
                </c:pt>
                <c:pt idx="63">
                  <c:v>10.348899999999999</c:v>
                </c:pt>
                <c:pt idx="64">
                  <c:v>10.844329999999999</c:v>
                </c:pt>
                <c:pt idx="65">
                  <c:v>9.9651890000000769</c:v>
                </c:pt>
                <c:pt idx="66">
                  <c:v>9.1635830000000027</c:v>
                </c:pt>
                <c:pt idx="67">
                  <c:v>10.02694</c:v>
                </c:pt>
                <c:pt idx="68">
                  <c:v>9.4556870000000988</c:v>
                </c:pt>
                <c:pt idx="69">
                  <c:v>8.0655890000000916</c:v>
                </c:pt>
                <c:pt idx="70">
                  <c:v>7.811572</c:v>
                </c:pt>
                <c:pt idx="71">
                  <c:v>8.5033970000000014</c:v>
                </c:pt>
                <c:pt idx="72">
                  <c:v>8.4893090000000004</c:v>
                </c:pt>
                <c:pt idx="74">
                  <c:v>6.3736379999999997</c:v>
                </c:pt>
                <c:pt idx="75">
                  <c:v>6.1286690000000004</c:v>
                </c:pt>
                <c:pt idx="76">
                  <c:v>6.0936290000000124</c:v>
                </c:pt>
                <c:pt idx="77">
                  <c:v>6.1649699999999745</c:v>
                </c:pt>
                <c:pt idx="78">
                  <c:v>4.8669349999999545</c:v>
                </c:pt>
                <c:pt idx="79">
                  <c:v>5.3691339999999945</c:v>
                </c:pt>
                <c:pt idx="80">
                  <c:v>5.3456830000000002</c:v>
                </c:pt>
                <c:pt idx="81">
                  <c:v>5.6751349999999645</c:v>
                </c:pt>
                <c:pt idx="82">
                  <c:v>6.5634059999999845</c:v>
                </c:pt>
                <c:pt idx="83">
                  <c:v>6.3366749999999996</c:v>
                </c:pt>
                <c:pt idx="84">
                  <c:v>6.4242799999999995</c:v>
                </c:pt>
                <c:pt idx="85">
                  <c:v>6.4227790000000002</c:v>
                </c:pt>
                <c:pt idx="86">
                  <c:v>6.0151719999999855</c:v>
                </c:pt>
                <c:pt idx="87">
                  <c:v>5.6226279999999855</c:v>
                </c:pt>
                <c:pt idx="88">
                  <c:v>5.5553559999999855</c:v>
                </c:pt>
                <c:pt idx="89">
                  <c:v>5.2053029999999998</c:v>
                </c:pt>
                <c:pt idx="90">
                  <c:v>5.1918739999999985</c:v>
                </c:pt>
                <c:pt idx="91">
                  <c:v>5.1711689999999999</c:v>
                </c:pt>
                <c:pt idx="92">
                  <c:v>4.9249919999999845</c:v>
                </c:pt>
                <c:pt idx="93">
                  <c:v>4.7410839999999999</c:v>
                </c:pt>
                <c:pt idx="94">
                  <c:v>4.5818479999999999</c:v>
                </c:pt>
                <c:pt idx="95">
                  <c:v>4.6067689999999999</c:v>
                </c:pt>
                <c:pt idx="97">
                  <c:v>4.5996360000000003</c:v>
                </c:pt>
                <c:pt idx="98">
                  <c:v>4.3065349999999745</c:v>
                </c:pt>
                <c:pt idx="99">
                  <c:v>4.1011199999999945</c:v>
                </c:pt>
                <c:pt idx="100">
                  <c:v>4.0673339999999945</c:v>
                </c:pt>
                <c:pt idx="101">
                  <c:v>3.973732</c:v>
                </c:pt>
                <c:pt idx="102">
                  <c:v>3.9396349999999987</c:v>
                </c:pt>
                <c:pt idx="103">
                  <c:v>3.962132</c:v>
                </c:pt>
                <c:pt idx="104">
                  <c:v>4.2367490000000494</c:v>
                </c:pt>
                <c:pt idx="105">
                  <c:v>4.4224849999999645</c:v>
                </c:pt>
                <c:pt idx="106">
                  <c:v>4.6614819999999755</c:v>
                </c:pt>
                <c:pt idx="107">
                  <c:v>5.2337369999999996</c:v>
                </c:pt>
                <c:pt idx="108">
                  <c:v>5.8902239999999999</c:v>
                </c:pt>
                <c:pt idx="109">
                  <c:v>5.8640849999999372</c:v>
                </c:pt>
                <c:pt idx="110">
                  <c:v>6.1494859999999845</c:v>
                </c:pt>
                <c:pt idx="111">
                  <c:v>5.6534739999999966</c:v>
                </c:pt>
                <c:pt idx="112">
                  <c:v>5.5947179999999745</c:v>
                </c:pt>
                <c:pt idx="113">
                  <c:v>5.5666500000000001</c:v>
                </c:pt>
                <c:pt idx="114">
                  <c:v>5.5054149999999655</c:v>
                </c:pt>
                <c:pt idx="115">
                  <c:v>5.2861989999999999</c:v>
                </c:pt>
                <c:pt idx="116">
                  <c:v>5.0222319999999945</c:v>
                </c:pt>
                <c:pt idx="117">
                  <c:v>4.7769230000000134</c:v>
                </c:pt>
                <c:pt idx="118">
                  <c:v>4.86972</c:v>
                </c:pt>
                <c:pt idx="120">
                  <c:v>4.3102600000000004</c:v>
                </c:pt>
                <c:pt idx="121">
                  <c:v>4.2196860000000003</c:v>
                </c:pt>
                <c:pt idx="122">
                  <c:v>5.1186349999999745</c:v>
                </c:pt>
                <c:pt idx="123">
                  <c:v>5.2426159999999955</c:v>
                </c:pt>
                <c:pt idx="124">
                  <c:v>5.0492300000000014</c:v>
                </c:pt>
                <c:pt idx="125">
                  <c:v>5.260281</c:v>
                </c:pt>
                <c:pt idx="126">
                  <c:v>5.5287629999999996</c:v>
                </c:pt>
                <c:pt idx="127">
                  <c:v>5.2531720000000002</c:v>
                </c:pt>
                <c:pt idx="128">
                  <c:v>5.3544349999999454</c:v>
                </c:pt>
                <c:pt idx="129">
                  <c:v>5.9544949999999846</c:v>
                </c:pt>
                <c:pt idx="130">
                  <c:v>6.4181889999999955</c:v>
                </c:pt>
                <c:pt idx="131">
                  <c:v>6.9429619999999996</c:v>
                </c:pt>
                <c:pt idx="132">
                  <c:v>7.173813</c:v>
                </c:pt>
                <c:pt idx="133">
                  <c:v>7.339863000000042</c:v>
                </c:pt>
                <c:pt idx="134">
                  <c:v>7.1270439999999855</c:v>
                </c:pt>
                <c:pt idx="135">
                  <c:v>7.7010790000000124</c:v>
                </c:pt>
                <c:pt idx="136">
                  <c:v>8.7136979999999991</c:v>
                </c:pt>
                <c:pt idx="137">
                  <c:v>7.8624239999999945</c:v>
                </c:pt>
                <c:pt idx="138">
                  <c:v>5.1886130000000001</c:v>
                </c:pt>
                <c:pt idx="139">
                  <c:v>4.9670039999999975</c:v>
                </c:pt>
                <c:pt idx="140">
                  <c:v>4.5073660000000002</c:v>
                </c:pt>
                <c:pt idx="141">
                  <c:v>4.4557909999999996</c:v>
                </c:pt>
                <c:pt idx="142">
                  <c:v>4.3619879999999656</c:v>
                </c:pt>
                <c:pt idx="143">
                  <c:v>4.2713440000000134</c:v>
                </c:pt>
                <c:pt idx="144">
                  <c:v>4.2549699999999975</c:v>
                </c:pt>
                <c:pt idx="145">
                  <c:v>4.2930200000000003</c:v>
                </c:pt>
                <c:pt idx="146">
                  <c:v>4.1169049999999645</c:v>
                </c:pt>
                <c:pt idx="147">
                  <c:v>4.0980689999999997</c:v>
                </c:pt>
                <c:pt idx="148">
                  <c:v>3.9972310000000002</c:v>
                </c:pt>
                <c:pt idx="149">
                  <c:v>4.067393</c:v>
                </c:pt>
                <c:pt idx="150">
                  <c:v>4.0469080000000002</c:v>
                </c:pt>
                <c:pt idx="151">
                  <c:v>5.0630290000000002</c:v>
                </c:pt>
                <c:pt idx="152">
                  <c:v>4.9853920000000134</c:v>
                </c:pt>
                <c:pt idx="153">
                  <c:v>5.1862789999999999</c:v>
                </c:pt>
                <c:pt idx="154">
                  <c:v>5.100727</c:v>
                </c:pt>
                <c:pt idx="156">
                  <c:v>6.8883179999999955</c:v>
                </c:pt>
                <c:pt idx="157">
                  <c:v>6.3852989999999998</c:v>
                </c:pt>
                <c:pt idx="158">
                  <c:v>7.1751309999999755</c:v>
                </c:pt>
                <c:pt idx="159">
                  <c:v>6.636952</c:v>
                </c:pt>
                <c:pt idx="160">
                  <c:v>6.3448609999999945</c:v>
                </c:pt>
                <c:pt idx="161">
                  <c:v>5.0960470000000004</c:v>
                </c:pt>
                <c:pt idx="162">
                  <c:v>4.9590630000000457</c:v>
                </c:pt>
                <c:pt idx="163">
                  <c:v>5.1229149999999253</c:v>
                </c:pt>
                <c:pt idx="164">
                  <c:v>4.7270409999999945</c:v>
                </c:pt>
                <c:pt idx="165">
                  <c:v>4.5817790000000134</c:v>
                </c:pt>
                <c:pt idx="166">
                  <c:v>4.5651529999999845</c:v>
                </c:pt>
                <c:pt idx="167">
                  <c:v>4.6320179999999755</c:v>
                </c:pt>
                <c:pt idx="168">
                  <c:v>5.073156</c:v>
                </c:pt>
                <c:pt idx="169">
                  <c:v>5.2452090000000124</c:v>
                </c:pt>
                <c:pt idx="170">
                  <c:v>5.2188020000000002</c:v>
                </c:pt>
                <c:pt idx="171">
                  <c:v>4.5992249999999997</c:v>
                </c:pt>
                <c:pt idx="172">
                  <c:v>4.0957030000000003</c:v>
                </c:pt>
                <c:pt idx="173">
                  <c:v>3.8270970000000002</c:v>
                </c:pt>
                <c:pt idx="174">
                  <c:v>4.1752000000000002</c:v>
                </c:pt>
                <c:pt idx="175">
                  <c:v>4.2572239999999999</c:v>
                </c:pt>
                <c:pt idx="176">
                  <c:v>5.2114799999999999</c:v>
                </c:pt>
                <c:pt idx="177">
                  <c:v>5.655348</c:v>
                </c:pt>
                <c:pt idx="179">
                  <c:v>5.9228639999999997</c:v>
                </c:pt>
                <c:pt idx="180">
                  <c:v>5.9297589999999998</c:v>
                </c:pt>
                <c:pt idx="181">
                  <c:v>5.6764239999999999</c:v>
                </c:pt>
                <c:pt idx="182">
                  <c:v>5.7387750000000004</c:v>
                </c:pt>
                <c:pt idx="183">
                  <c:v>5.4823219999999999</c:v>
                </c:pt>
                <c:pt idx="184">
                  <c:v>5.1193270000000002</c:v>
                </c:pt>
                <c:pt idx="185">
                  <c:v>5.1340969999999855</c:v>
                </c:pt>
                <c:pt idx="186">
                  <c:v>5.0592730000000365</c:v>
                </c:pt>
                <c:pt idx="187">
                  <c:v>4.827369</c:v>
                </c:pt>
                <c:pt idx="188">
                  <c:v>5.4468930000000393</c:v>
                </c:pt>
                <c:pt idx="189">
                  <c:v>6.2013440000000024</c:v>
                </c:pt>
                <c:pt idx="190">
                  <c:v>6.1823339999999956</c:v>
                </c:pt>
                <c:pt idx="191">
                  <c:v>5.4764879999999998</c:v>
                </c:pt>
                <c:pt idx="192">
                  <c:v>4.5926429999999998</c:v>
                </c:pt>
                <c:pt idx="193">
                  <c:v>4.4781760000000004</c:v>
                </c:pt>
                <c:pt idx="194">
                  <c:v>4.3418890000000001</c:v>
                </c:pt>
                <c:pt idx="195">
                  <c:v>4.1555459999999655</c:v>
                </c:pt>
                <c:pt idx="196">
                  <c:v>4.1824169999999645</c:v>
                </c:pt>
                <c:pt idx="197">
                  <c:v>4.1486109999999945</c:v>
                </c:pt>
                <c:pt idx="198">
                  <c:v>4.3523809999999745</c:v>
                </c:pt>
                <c:pt idx="199">
                  <c:v>4.4148589999999945</c:v>
                </c:pt>
                <c:pt idx="200">
                  <c:v>5.3086880000000001</c:v>
                </c:pt>
                <c:pt idx="202">
                  <c:v>6.4862000000000384</c:v>
                </c:pt>
                <c:pt idx="203">
                  <c:v>6.6494730000000004</c:v>
                </c:pt>
                <c:pt idx="204">
                  <c:v>5.7689109999999655</c:v>
                </c:pt>
                <c:pt idx="205">
                  <c:v>5.2446210000000004</c:v>
                </c:pt>
                <c:pt idx="206">
                  <c:v>4.9310900000000384</c:v>
                </c:pt>
                <c:pt idx="207">
                  <c:v>5.0210799999999995</c:v>
                </c:pt>
                <c:pt idx="208">
                  <c:v>6.2661720000000001</c:v>
                </c:pt>
                <c:pt idx="209">
                  <c:v>7.5920319999999855</c:v>
                </c:pt>
                <c:pt idx="210">
                  <c:v>8.1620320000000248</c:v>
                </c:pt>
                <c:pt idx="211">
                  <c:v>4.5586650000000004</c:v>
                </c:pt>
                <c:pt idx="212">
                  <c:v>3.0178370000000001</c:v>
                </c:pt>
                <c:pt idx="213">
                  <c:v>2.7719990000000001</c:v>
                </c:pt>
                <c:pt idx="214">
                  <c:v>2.620044</c:v>
                </c:pt>
                <c:pt idx="215">
                  <c:v>3.1948219999999998</c:v>
                </c:pt>
                <c:pt idx="216">
                  <c:v>3.9849079999999999</c:v>
                </c:pt>
                <c:pt idx="217">
                  <c:v>3.6498499999999967</c:v>
                </c:pt>
                <c:pt idx="218">
                  <c:v>3.5717519999999987</c:v>
                </c:pt>
                <c:pt idx="219">
                  <c:v>3.691338</c:v>
                </c:pt>
                <c:pt idx="220">
                  <c:v>3.642077</c:v>
                </c:pt>
                <c:pt idx="221">
                  <c:v>3.7075130000000205</c:v>
                </c:pt>
                <c:pt idx="222">
                  <c:v>3.937592</c:v>
                </c:pt>
                <c:pt idx="223">
                  <c:v>4.081912</c:v>
                </c:pt>
                <c:pt idx="225">
                  <c:v>5.0543620000000002</c:v>
                </c:pt>
                <c:pt idx="226">
                  <c:v>5.3368289999999998</c:v>
                </c:pt>
                <c:pt idx="227">
                  <c:v>5.4672099999999997</c:v>
                </c:pt>
                <c:pt idx="228">
                  <c:v>5.6405019999999855</c:v>
                </c:pt>
                <c:pt idx="229">
                  <c:v>6.1320159999999655</c:v>
                </c:pt>
                <c:pt idx="230">
                  <c:v>6.7154859999999745</c:v>
                </c:pt>
                <c:pt idx="231">
                  <c:v>8.223711999999999</c:v>
                </c:pt>
                <c:pt idx="232">
                  <c:v>8.0292530000000024</c:v>
                </c:pt>
                <c:pt idx="233">
                  <c:v>8.2976900000000011</c:v>
                </c:pt>
                <c:pt idx="234">
                  <c:v>7.1687189999999745</c:v>
                </c:pt>
                <c:pt idx="235">
                  <c:v>6.7447270000000001</c:v>
                </c:pt>
                <c:pt idx="236">
                  <c:v>6.4067000000000034</c:v>
                </c:pt>
                <c:pt idx="237">
                  <c:v>5.9599320000000002</c:v>
                </c:pt>
                <c:pt idx="238">
                  <c:v>5.5918630000000134</c:v>
                </c:pt>
                <c:pt idx="239">
                  <c:v>5.4840559999999945</c:v>
                </c:pt>
                <c:pt idx="240">
                  <c:v>5.4430149999999955</c:v>
                </c:pt>
                <c:pt idx="241">
                  <c:v>5.1707979999999996</c:v>
                </c:pt>
                <c:pt idx="242">
                  <c:v>4.6774449999999845</c:v>
                </c:pt>
                <c:pt idx="243">
                  <c:v>4.7425819999999845</c:v>
                </c:pt>
                <c:pt idx="244">
                  <c:v>4.7095050000000001</c:v>
                </c:pt>
                <c:pt idx="245">
                  <c:v>4.3649939999999745</c:v>
                </c:pt>
                <c:pt idx="246">
                  <c:v>4.8334289999999998</c:v>
                </c:pt>
                <c:pt idx="248">
                  <c:v>5.7533159999999945</c:v>
                </c:pt>
                <c:pt idx="249">
                  <c:v>6.9494500000000023</c:v>
                </c:pt>
                <c:pt idx="250">
                  <c:v>5.8668959999999855</c:v>
                </c:pt>
                <c:pt idx="251">
                  <c:v>5.0949809999999518</c:v>
                </c:pt>
                <c:pt idx="252">
                  <c:v>4.9570689999999997</c:v>
                </c:pt>
                <c:pt idx="253">
                  <c:v>5.0144379999999655</c:v>
                </c:pt>
                <c:pt idx="254">
                  <c:v>4.6262290000000004</c:v>
                </c:pt>
                <c:pt idx="255">
                  <c:v>4.9042690000000393</c:v>
                </c:pt>
                <c:pt idx="256">
                  <c:v>5.083126</c:v>
                </c:pt>
                <c:pt idx="257">
                  <c:v>4.7874839999999965</c:v>
                </c:pt>
                <c:pt idx="258">
                  <c:v>4.7499859999999945</c:v>
                </c:pt>
                <c:pt idx="259">
                  <c:v>5.3177309999999745</c:v>
                </c:pt>
                <c:pt idx="260">
                  <c:v>5.4001859999999855</c:v>
                </c:pt>
                <c:pt idx="261">
                  <c:v>6.2620369999999745</c:v>
                </c:pt>
                <c:pt idx="262">
                  <c:v>5.9124489999999996</c:v>
                </c:pt>
                <c:pt idx="263">
                  <c:v>6.8010739999999998</c:v>
                </c:pt>
                <c:pt idx="264">
                  <c:v>5.2465120000000001</c:v>
                </c:pt>
                <c:pt idx="265">
                  <c:v>6.4839000000000002</c:v>
                </c:pt>
                <c:pt idx="266">
                  <c:v>6.0302519999999999</c:v>
                </c:pt>
                <c:pt idx="267">
                  <c:v>5.7130770000000002</c:v>
                </c:pt>
                <c:pt idx="268">
                  <c:v>5.7163919999999999</c:v>
                </c:pt>
                <c:pt idx="269">
                  <c:v>4.9806119999999998</c:v>
                </c:pt>
                <c:pt idx="271">
                  <c:v>5.6256690000000003</c:v>
                </c:pt>
                <c:pt idx="272">
                  <c:v>5.5915359999999845</c:v>
                </c:pt>
                <c:pt idx="273">
                  <c:v>7.0782850000000002</c:v>
                </c:pt>
                <c:pt idx="274">
                  <c:v>6.6980899999999846</c:v>
                </c:pt>
                <c:pt idx="275">
                  <c:v>7.3012819999999996</c:v>
                </c:pt>
                <c:pt idx="276">
                  <c:v>8.9753380000000007</c:v>
                </c:pt>
                <c:pt idx="277">
                  <c:v>7.2582570000000004</c:v>
                </c:pt>
                <c:pt idx="278">
                  <c:v>5.5997719999999997</c:v>
                </c:pt>
                <c:pt idx="279">
                  <c:v>4.9257030000000004</c:v>
                </c:pt>
                <c:pt idx="280">
                  <c:v>4.5479509999999745</c:v>
                </c:pt>
                <c:pt idx="281">
                  <c:v>4.6610049999999745</c:v>
                </c:pt>
                <c:pt idx="282">
                  <c:v>4.4430069999999997</c:v>
                </c:pt>
                <c:pt idx="283">
                  <c:v>4.0165549999999755</c:v>
                </c:pt>
                <c:pt idx="284">
                  <c:v>3.9568309999999967</c:v>
                </c:pt>
                <c:pt idx="285">
                  <c:v>3.9551370000000001</c:v>
                </c:pt>
                <c:pt idx="286">
                  <c:v>4.201886</c:v>
                </c:pt>
                <c:pt idx="287">
                  <c:v>4.4301240000000002</c:v>
                </c:pt>
                <c:pt idx="288">
                  <c:v>4.5406279999999999</c:v>
                </c:pt>
                <c:pt idx="289">
                  <c:v>4.2959149999999591</c:v>
                </c:pt>
                <c:pt idx="290">
                  <c:v>4.3036630000000402</c:v>
                </c:pt>
                <c:pt idx="291">
                  <c:v>4.512378</c:v>
                </c:pt>
                <c:pt idx="292">
                  <c:v>4.5691600000000001</c:v>
                </c:pt>
                <c:pt idx="294">
                  <c:v>4.7036559999999996</c:v>
                </c:pt>
                <c:pt idx="295">
                  <c:v>4.7629999999999955</c:v>
                </c:pt>
                <c:pt idx="296">
                  <c:v>5.2921649999999945</c:v>
                </c:pt>
                <c:pt idx="297">
                  <c:v>5.7525769999999845</c:v>
                </c:pt>
                <c:pt idx="298">
                  <c:v>7.0339</c:v>
                </c:pt>
                <c:pt idx="299">
                  <c:v>7.8664690000000004</c:v>
                </c:pt>
                <c:pt idx="300">
                  <c:v>7.7487959999999996</c:v>
                </c:pt>
                <c:pt idx="301">
                  <c:v>5.1679669999999645</c:v>
                </c:pt>
                <c:pt idx="302">
                  <c:v>4.9358430000000393</c:v>
                </c:pt>
                <c:pt idx="303">
                  <c:v>5.0377660000000004</c:v>
                </c:pt>
                <c:pt idx="304">
                  <c:v>5.2081879999999945</c:v>
                </c:pt>
                <c:pt idx="305">
                  <c:v>4.8671629999999855</c:v>
                </c:pt>
                <c:pt idx="306">
                  <c:v>4.4148709999999856</c:v>
                </c:pt>
                <c:pt idx="307">
                  <c:v>4.6900589999999855</c:v>
                </c:pt>
                <c:pt idx="308">
                  <c:v>4.8915509999999855</c:v>
                </c:pt>
                <c:pt idx="309">
                  <c:v>4.284071</c:v>
                </c:pt>
                <c:pt idx="310">
                  <c:v>3.997719</c:v>
                </c:pt>
                <c:pt idx="311">
                  <c:v>4.0810380000000004</c:v>
                </c:pt>
                <c:pt idx="312">
                  <c:v>3.9797709999999977</c:v>
                </c:pt>
                <c:pt idx="313">
                  <c:v>4.0101849999999581</c:v>
                </c:pt>
                <c:pt idx="314">
                  <c:v>3.974971</c:v>
                </c:pt>
                <c:pt idx="315">
                  <c:v>4.0076849999999755</c:v>
                </c:pt>
                <c:pt idx="317">
                  <c:v>3.6498779999999997</c:v>
                </c:pt>
                <c:pt idx="318">
                  <c:v>3.2164839999999977</c:v>
                </c:pt>
                <c:pt idx="319">
                  <c:v>3.8144669999999778</c:v>
                </c:pt>
                <c:pt idx="320">
                  <c:v>5.2617849999999855</c:v>
                </c:pt>
                <c:pt idx="321">
                  <c:v>4.8986830000000001</c:v>
                </c:pt>
                <c:pt idx="322">
                  <c:v>5.1193910000000002</c:v>
                </c:pt>
                <c:pt idx="323">
                  <c:v>5.16998099999996</c:v>
                </c:pt>
                <c:pt idx="324">
                  <c:v>5.1743069999999856</c:v>
                </c:pt>
                <c:pt idx="325">
                  <c:v>5.2697929999999999</c:v>
                </c:pt>
                <c:pt idx="326">
                  <c:v>4.8187990000000003</c:v>
                </c:pt>
                <c:pt idx="327">
                  <c:v>4.7940719999999946</c:v>
                </c:pt>
                <c:pt idx="328">
                  <c:v>5.5457559999999955</c:v>
                </c:pt>
                <c:pt idx="329">
                  <c:v>5.6150319999999745</c:v>
                </c:pt>
                <c:pt idx="330">
                  <c:v>5.5544329999999755</c:v>
                </c:pt>
                <c:pt idx="331">
                  <c:v>5.6117749999999855</c:v>
                </c:pt>
                <c:pt idx="332">
                  <c:v>5.0235469999999856</c:v>
                </c:pt>
                <c:pt idx="333">
                  <c:v>4.5679869999999454</c:v>
                </c:pt>
                <c:pt idx="334">
                  <c:v>4.5709369999999945</c:v>
                </c:pt>
                <c:pt idx="335">
                  <c:v>4.3729259999999845</c:v>
                </c:pt>
                <c:pt idx="336">
                  <c:v>4.6643549999999454</c:v>
                </c:pt>
                <c:pt idx="337">
                  <c:v>5.4212319999999998</c:v>
                </c:pt>
                <c:pt idx="338">
                  <c:v>4.0520299999999985</c:v>
                </c:pt>
                <c:pt idx="340">
                  <c:v>4.0625379999999645</c:v>
                </c:pt>
                <c:pt idx="341">
                  <c:v>4.0104869999999755</c:v>
                </c:pt>
                <c:pt idx="342">
                  <c:v>4.0507020000000002</c:v>
                </c:pt>
                <c:pt idx="343">
                  <c:v>4.2276839999999956</c:v>
                </c:pt>
                <c:pt idx="344">
                  <c:v>4.8197599999999996</c:v>
                </c:pt>
                <c:pt idx="345">
                  <c:v>4.9433800000000003</c:v>
                </c:pt>
                <c:pt idx="346">
                  <c:v>5.4453640000000014</c:v>
                </c:pt>
                <c:pt idx="347">
                  <c:v>5.32836</c:v>
                </c:pt>
                <c:pt idx="348">
                  <c:v>5.0563039999999999</c:v>
                </c:pt>
                <c:pt idx="349">
                  <c:v>5.3072220000000003</c:v>
                </c:pt>
                <c:pt idx="350">
                  <c:v>5.3085549999999655</c:v>
                </c:pt>
                <c:pt idx="351">
                  <c:v>5.125984999999929</c:v>
                </c:pt>
                <c:pt idx="352">
                  <c:v>5.4899050000000003</c:v>
                </c:pt>
                <c:pt idx="353">
                  <c:v>4.9941569999999755</c:v>
                </c:pt>
                <c:pt idx="354">
                  <c:v>4.6408889999999845</c:v>
                </c:pt>
                <c:pt idx="355">
                  <c:v>4.9536809999999996</c:v>
                </c:pt>
                <c:pt idx="356">
                  <c:v>5.1784169999999845</c:v>
                </c:pt>
                <c:pt idx="357">
                  <c:v>4.9332910000000494</c:v>
                </c:pt>
                <c:pt idx="358">
                  <c:v>5.3766470000000384</c:v>
                </c:pt>
                <c:pt idx="359">
                  <c:v>4.8677329999999746</c:v>
                </c:pt>
                <c:pt idx="360">
                  <c:v>4.9990519999999998</c:v>
                </c:pt>
                <c:pt idx="361">
                  <c:v>5.1336849999999945</c:v>
                </c:pt>
                <c:pt idx="363">
                  <c:v>4.8745339999999855</c:v>
                </c:pt>
                <c:pt idx="364">
                  <c:v>4.7971109999999655</c:v>
                </c:pt>
                <c:pt idx="365">
                  <c:v>5.5242199999999855</c:v>
                </c:pt>
                <c:pt idx="366">
                  <c:v>5.5212659999999998</c:v>
                </c:pt>
                <c:pt idx="367">
                  <c:v>6.3757609999999998</c:v>
                </c:pt>
                <c:pt idx="368">
                  <c:v>7.4515459999999996</c:v>
                </c:pt>
                <c:pt idx="369">
                  <c:v>6.5544139999999755</c:v>
                </c:pt>
                <c:pt idx="370">
                  <c:v>6.8978049999999609</c:v>
                </c:pt>
                <c:pt idx="371">
                  <c:v>8.1519950000000012</c:v>
                </c:pt>
                <c:pt idx="372">
                  <c:v>9.3686160000000047</c:v>
                </c:pt>
                <c:pt idx="373">
                  <c:v>10.04973</c:v>
                </c:pt>
                <c:pt idx="374">
                  <c:v>9.1698920000000008</c:v>
                </c:pt>
                <c:pt idx="375">
                  <c:v>8.6074980000000014</c:v>
                </c:pt>
                <c:pt idx="376">
                  <c:v>8.6673289999999987</c:v>
                </c:pt>
                <c:pt idx="377">
                  <c:v>10.271819999999998</c:v>
                </c:pt>
                <c:pt idx="378">
                  <c:v>9.332376</c:v>
                </c:pt>
                <c:pt idx="379">
                  <c:v>7.2823330000000004</c:v>
                </c:pt>
                <c:pt idx="380">
                  <c:v>6.3749609999999945</c:v>
                </c:pt>
                <c:pt idx="381">
                  <c:v>5.5593870000000001</c:v>
                </c:pt>
                <c:pt idx="382">
                  <c:v>5.1798080000000004</c:v>
                </c:pt>
                <c:pt idx="383">
                  <c:v>4.5641019999999655</c:v>
                </c:pt>
                <c:pt idx="384">
                  <c:v>4.4332080000000493</c:v>
                </c:pt>
                <c:pt idx="386">
                  <c:v>4.1618949999999755</c:v>
                </c:pt>
                <c:pt idx="387">
                  <c:v>3.7360469999999779</c:v>
                </c:pt>
                <c:pt idx="388">
                  <c:v>3.8228039999999779</c:v>
                </c:pt>
                <c:pt idx="389">
                  <c:v>3.7894589999999977</c:v>
                </c:pt>
                <c:pt idx="390">
                  <c:v>4.1976119999999755</c:v>
                </c:pt>
                <c:pt idx="391">
                  <c:v>6.5928019999999945</c:v>
                </c:pt>
                <c:pt idx="392">
                  <c:v>8.3911350000000002</c:v>
                </c:pt>
                <c:pt idx="393">
                  <c:v>6.6530539999999965</c:v>
                </c:pt>
                <c:pt idx="394">
                  <c:v>5.9397500000000134</c:v>
                </c:pt>
                <c:pt idx="395">
                  <c:v>7.0216180000000001</c:v>
                </c:pt>
                <c:pt idx="396">
                  <c:v>6.9091339999999999</c:v>
                </c:pt>
                <c:pt idx="397">
                  <c:v>6.0630790000000001</c:v>
                </c:pt>
                <c:pt idx="398">
                  <c:v>6.1556439999999997</c:v>
                </c:pt>
                <c:pt idx="399">
                  <c:v>5.8492319999999998</c:v>
                </c:pt>
                <c:pt idx="400">
                  <c:v>5.6813580000000004</c:v>
                </c:pt>
                <c:pt idx="401">
                  <c:v>5.5802280000000124</c:v>
                </c:pt>
                <c:pt idx="402">
                  <c:v>5.5394000000000014</c:v>
                </c:pt>
                <c:pt idx="403">
                  <c:v>5.5506209999999996</c:v>
                </c:pt>
                <c:pt idx="404">
                  <c:v>4.8656600000000001</c:v>
                </c:pt>
                <c:pt idx="405">
                  <c:v>4.7052209999999999</c:v>
                </c:pt>
                <c:pt idx="406">
                  <c:v>4.4755370000000001</c:v>
                </c:pt>
                <c:pt idx="407">
                  <c:v>4.281917</c:v>
                </c:pt>
                <c:pt idx="409">
                  <c:v>3.9475790000000002</c:v>
                </c:pt>
                <c:pt idx="410">
                  <c:v>3.8680319999999999</c:v>
                </c:pt>
                <c:pt idx="411">
                  <c:v>3.9104949999999987</c:v>
                </c:pt>
                <c:pt idx="412">
                  <c:v>3.6410309999999999</c:v>
                </c:pt>
                <c:pt idx="413">
                  <c:v>3.5114419999999824</c:v>
                </c:pt>
                <c:pt idx="414">
                  <c:v>3.603602</c:v>
                </c:pt>
                <c:pt idx="415">
                  <c:v>3.8799409999999779</c:v>
                </c:pt>
                <c:pt idx="416">
                  <c:v>4.2610359999999945</c:v>
                </c:pt>
                <c:pt idx="417">
                  <c:v>4.9410230000000439</c:v>
                </c:pt>
                <c:pt idx="418">
                  <c:v>5.1605099999999755</c:v>
                </c:pt>
                <c:pt idx="419">
                  <c:v>5.7605199999999845</c:v>
                </c:pt>
                <c:pt idx="420">
                  <c:v>5.7945519999999755</c:v>
                </c:pt>
                <c:pt idx="421">
                  <c:v>5.6161889999999755</c:v>
                </c:pt>
                <c:pt idx="422">
                  <c:v>5.5765799999999999</c:v>
                </c:pt>
                <c:pt idx="423">
                  <c:v>5.6994499999999997</c:v>
                </c:pt>
                <c:pt idx="424">
                  <c:v>6.200412</c:v>
                </c:pt>
                <c:pt idx="425">
                  <c:v>6.2178839999999855</c:v>
                </c:pt>
                <c:pt idx="426">
                  <c:v>6.6449519999999609</c:v>
                </c:pt>
                <c:pt idx="427">
                  <c:v>7.5106169999999945</c:v>
                </c:pt>
                <c:pt idx="428">
                  <c:v>7.0388299999999999</c:v>
                </c:pt>
                <c:pt idx="429">
                  <c:v>6.4503130000000004</c:v>
                </c:pt>
                <c:pt idx="430">
                  <c:v>5.4769129999999997</c:v>
                </c:pt>
                <c:pt idx="432">
                  <c:v>3.9617770000000001</c:v>
                </c:pt>
                <c:pt idx="433">
                  <c:v>4.0385849999999746</c:v>
                </c:pt>
                <c:pt idx="434">
                  <c:v>4.0138090000000002</c:v>
                </c:pt>
                <c:pt idx="435">
                  <c:v>3.7713909999999999</c:v>
                </c:pt>
                <c:pt idx="436">
                  <c:v>3.6479940000000246</c:v>
                </c:pt>
                <c:pt idx="437">
                  <c:v>3.8272949999999999</c:v>
                </c:pt>
                <c:pt idx="438">
                  <c:v>4.023873</c:v>
                </c:pt>
                <c:pt idx="439">
                  <c:v>3.9576910000000001</c:v>
                </c:pt>
                <c:pt idx="440">
                  <c:v>4.317974999999949</c:v>
                </c:pt>
                <c:pt idx="441">
                  <c:v>5.0121369999999645</c:v>
                </c:pt>
                <c:pt idx="442">
                  <c:v>5.6770610000000001</c:v>
                </c:pt>
                <c:pt idx="443">
                  <c:v>5.8762309999999998</c:v>
                </c:pt>
                <c:pt idx="444">
                  <c:v>7.4671439999999976</c:v>
                </c:pt>
                <c:pt idx="445">
                  <c:v>8.7782739999999979</c:v>
                </c:pt>
                <c:pt idx="446">
                  <c:v>8.0903870000000015</c:v>
                </c:pt>
                <c:pt idx="447">
                  <c:v>7.4644979999999945</c:v>
                </c:pt>
                <c:pt idx="448">
                  <c:v>6.4789329999999996</c:v>
                </c:pt>
                <c:pt idx="449">
                  <c:v>5.9510500000000004</c:v>
                </c:pt>
                <c:pt idx="450">
                  <c:v>5.4461329999999997</c:v>
                </c:pt>
                <c:pt idx="451">
                  <c:v>5.2035879999999946</c:v>
                </c:pt>
                <c:pt idx="452">
                  <c:v>5.4892320000000421</c:v>
                </c:pt>
                <c:pt idx="453">
                  <c:v>4.8149299999999755</c:v>
                </c:pt>
                <c:pt idx="455">
                  <c:v>4.5387760000000004</c:v>
                </c:pt>
                <c:pt idx="456">
                  <c:v>4.1365660000000002</c:v>
                </c:pt>
                <c:pt idx="457">
                  <c:v>4.0956419999999998</c:v>
                </c:pt>
                <c:pt idx="458">
                  <c:v>4.0790720000000134</c:v>
                </c:pt>
                <c:pt idx="459">
                  <c:v>3.8459340000000002</c:v>
                </c:pt>
                <c:pt idx="460">
                  <c:v>3.8696589999999755</c:v>
                </c:pt>
                <c:pt idx="461">
                  <c:v>3.843966</c:v>
                </c:pt>
                <c:pt idx="462">
                  <c:v>3.943292</c:v>
                </c:pt>
                <c:pt idx="463">
                  <c:v>3.8688959999999977</c:v>
                </c:pt>
                <c:pt idx="464">
                  <c:v>3.9725359999999967</c:v>
                </c:pt>
                <c:pt idx="465">
                  <c:v>4.0338380000000003</c:v>
                </c:pt>
                <c:pt idx="466">
                  <c:v>4.5648979999999755</c:v>
                </c:pt>
                <c:pt idx="467">
                  <c:v>4.5994710000000003</c:v>
                </c:pt>
                <c:pt idx="468">
                  <c:v>4.477629000000042</c:v>
                </c:pt>
                <c:pt idx="469">
                  <c:v>4.616161</c:v>
                </c:pt>
                <c:pt idx="470">
                  <c:v>4.2035739999999997</c:v>
                </c:pt>
                <c:pt idx="471">
                  <c:v>4.1912419999999999</c:v>
                </c:pt>
                <c:pt idx="472">
                  <c:v>4.2595799999999997</c:v>
                </c:pt>
                <c:pt idx="473">
                  <c:v>3.7637940000000287</c:v>
                </c:pt>
                <c:pt idx="474">
                  <c:v>3.5093269999999999</c:v>
                </c:pt>
                <c:pt idx="475">
                  <c:v>3.5195189999999967</c:v>
                </c:pt>
                <c:pt idx="476">
                  <c:v>3.5289109999999999</c:v>
                </c:pt>
                <c:pt idx="477">
                  <c:v>3.4454379999999998</c:v>
                </c:pt>
                <c:pt idx="478">
                  <c:v>3.500785</c:v>
                </c:pt>
                <c:pt idx="479">
                  <c:v>4.011374</c:v>
                </c:pt>
                <c:pt idx="480">
                  <c:v>4.2713549999999998</c:v>
                </c:pt>
                <c:pt idx="481">
                  <c:v>4.3711510000000002</c:v>
                </c:pt>
                <c:pt idx="482">
                  <c:v>4.1544689999999855</c:v>
                </c:pt>
                <c:pt idx="483">
                  <c:v>4.1268009999999755</c:v>
                </c:pt>
                <c:pt idx="484">
                  <c:v>4.1324009999999856</c:v>
                </c:pt>
                <c:pt idx="485">
                  <c:v>3.9795629999999829</c:v>
                </c:pt>
                <c:pt idx="486">
                  <c:v>4.138528</c:v>
                </c:pt>
                <c:pt idx="487">
                  <c:v>4.1683859999999591</c:v>
                </c:pt>
                <c:pt idx="488">
                  <c:v>4.3494429999999999</c:v>
                </c:pt>
                <c:pt idx="489">
                  <c:v>4.4671889999999745</c:v>
                </c:pt>
                <c:pt idx="491">
                  <c:v>4.7638149999999655</c:v>
                </c:pt>
                <c:pt idx="492">
                  <c:v>4.5674879999999645</c:v>
                </c:pt>
                <c:pt idx="493">
                  <c:v>4.4390330000000393</c:v>
                </c:pt>
                <c:pt idx="494">
                  <c:v>4.4385849999999945</c:v>
                </c:pt>
                <c:pt idx="495">
                  <c:v>3.7970479999999998</c:v>
                </c:pt>
                <c:pt idx="496">
                  <c:v>4.1022930000000004</c:v>
                </c:pt>
                <c:pt idx="497">
                  <c:v>4.5107179999999945</c:v>
                </c:pt>
                <c:pt idx="498">
                  <c:v>4.7863519999999999</c:v>
                </c:pt>
                <c:pt idx="499">
                  <c:v>4.7932670000000384</c:v>
                </c:pt>
                <c:pt idx="500">
                  <c:v>4.8315229999999998</c:v>
                </c:pt>
                <c:pt idx="501">
                  <c:v>4.7715329999999998</c:v>
                </c:pt>
                <c:pt idx="502">
                  <c:v>4.7518079999999996</c:v>
                </c:pt>
                <c:pt idx="503">
                  <c:v>4.2661189999999856</c:v>
                </c:pt>
                <c:pt idx="504">
                  <c:v>4.0493540000000001</c:v>
                </c:pt>
                <c:pt idx="505">
                  <c:v>3.8296749999999977</c:v>
                </c:pt>
                <c:pt idx="506">
                  <c:v>3.7786230000000001</c:v>
                </c:pt>
                <c:pt idx="507">
                  <c:v>3.8060519999999967</c:v>
                </c:pt>
                <c:pt idx="508">
                  <c:v>3.5652049999999997</c:v>
                </c:pt>
                <c:pt idx="509">
                  <c:v>3.8065529999999779</c:v>
                </c:pt>
                <c:pt idx="510">
                  <c:v>3.9304029999999779</c:v>
                </c:pt>
                <c:pt idx="511">
                  <c:v>4.1593539999999996</c:v>
                </c:pt>
                <c:pt idx="512">
                  <c:v>5.179354</c:v>
                </c:pt>
                <c:pt idx="513">
                  <c:v>5.3077259999999855</c:v>
                </c:pt>
                <c:pt idx="514">
                  <c:v>5.6475009999999655</c:v>
                </c:pt>
                <c:pt idx="515">
                  <c:v>6.2004250000000001</c:v>
                </c:pt>
                <c:pt idx="516">
                  <c:v>6.5827439999999999</c:v>
                </c:pt>
                <c:pt idx="517">
                  <c:v>7.0882820000000004</c:v>
                </c:pt>
                <c:pt idx="518">
                  <c:v>5.9484190000000003</c:v>
                </c:pt>
                <c:pt idx="520">
                  <c:v>4.3284039999999955</c:v>
                </c:pt>
                <c:pt idx="521">
                  <c:v>4.7576669999999996</c:v>
                </c:pt>
                <c:pt idx="522">
                  <c:v>4.3290039999999985</c:v>
                </c:pt>
                <c:pt idx="523">
                  <c:v>4.3935149999999545</c:v>
                </c:pt>
                <c:pt idx="524">
                  <c:v>4.1511290000000001</c:v>
                </c:pt>
                <c:pt idx="525">
                  <c:v>4.1634339999999845</c:v>
                </c:pt>
                <c:pt idx="526">
                  <c:v>4.228764</c:v>
                </c:pt>
                <c:pt idx="527">
                  <c:v>4.0311750000000002</c:v>
                </c:pt>
                <c:pt idx="528">
                  <c:v>3.840414</c:v>
                </c:pt>
                <c:pt idx="529">
                  <c:v>3.8559329999999967</c:v>
                </c:pt>
                <c:pt idx="530">
                  <c:v>3.9155489999999737</c:v>
                </c:pt>
                <c:pt idx="531">
                  <c:v>4.0680119999999755</c:v>
                </c:pt>
                <c:pt idx="532">
                  <c:v>4.5649139999999582</c:v>
                </c:pt>
                <c:pt idx="533">
                  <c:v>4.631958</c:v>
                </c:pt>
                <c:pt idx="534">
                  <c:v>5.0535490000000003</c:v>
                </c:pt>
                <c:pt idx="535">
                  <c:v>5.3702860000000001</c:v>
                </c:pt>
                <c:pt idx="536">
                  <c:v>5.6312540000000002</c:v>
                </c:pt>
                <c:pt idx="537">
                  <c:v>6.4926659999999998</c:v>
                </c:pt>
                <c:pt idx="538">
                  <c:v>7.0718959999999997</c:v>
                </c:pt>
                <c:pt idx="539">
                  <c:v>6.6644399999999591</c:v>
                </c:pt>
                <c:pt idx="540">
                  <c:v>6.5482030000000124</c:v>
                </c:pt>
                <c:pt idx="541">
                  <c:v>5.9442870000000001</c:v>
                </c:pt>
                <c:pt idx="543">
                  <c:v>6.0058090000000002</c:v>
                </c:pt>
                <c:pt idx="544">
                  <c:v>5.7698980000000004</c:v>
                </c:pt>
                <c:pt idx="545">
                  <c:v>4.8526339999999966</c:v>
                </c:pt>
                <c:pt idx="546">
                  <c:v>4.5814009999999996</c:v>
                </c:pt>
                <c:pt idx="547">
                  <c:v>6.1286949999999845</c:v>
                </c:pt>
                <c:pt idx="548">
                  <c:v>5.6970569999999645</c:v>
                </c:pt>
                <c:pt idx="549">
                  <c:v>5.5589899999999846</c:v>
                </c:pt>
                <c:pt idx="550">
                  <c:v>5.9891230000000384</c:v>
                </c:pt>
                <c:pt idx="551">
                  <c:v>6.8334650000000003</c:v>
                </c:pt>
                <c:pt idx="552">
                  <c:v>4.7721999999999998</c:v>
                </c:pt>
                <c:pt idx="553">
                  <c:v>4.82492499999994</c:v>
                </c:pt>
                <c:pt idx="554">
                  <c:v>3.8695040000000001</c:v>
                </c:pt>
                <c:pt idx="555">
                  <c:v>3.880147</c:v>
                </c:pt>
                <c:pt idx="556">
                  <c:v>3.5240230000000001</c:v>
                </c:pt>
                <c:pt idx="557">
                  <c:v>3.429627</c:v>
                </c:pt>
                <c:pt idx="558">
                  <c:v>3.3601570000000001</c:v>
                </c:pt>
                <c:pt idx="559">
                  <c:v>3.7096269999999998</c:v>
                </c:pt>
                <c:pt idx="560">
                  <c:v>3.4811770000000002</c:v>
                </c:pt>
                <c:pt idx="561">
                  <c:v>3.7574010000000002</c:v>
                </c:pt>
                <c:pt idx="562">
                  <c:v>3.8363959999999819</c:v>
                </c:pt>
                <c:pt idx="563">
                  <c:v>3.8756059999999692</c:v>
                </c:pt>
                <c:pt idx="564">
                  <c:v>3.9631900000000191</c:v>
                </c:pt>
                <c:pt idx="566">
                  <c:v>3.9778469999999801</c:v>
                </c:pt>
                <c:pt idx="567">
                  <c:v>3.4075220000000002</c:v>
                </c:pt>
                <c:pt idx="568">
                  <c:v>3.2460360000000001</c:v>
                </c:pt>
                <c:pt idx="569">
                  <c:v>3.2102659999999967</c:v>
                </c:pt>
                <c:pt idx="570">
                  <c:v>3.3111159999999829</c:v>
                </c:pt>
                <c:pt idx="571">
                  <c:v>3.3704889999999779</c:v>
                </c:pt>
                <c:pt idx="572">
                  <c:v>3.5217749999999999</c:v>
                </c:pt>
                <c:pt idx="573">
                  <c:v>3.713902</c:v>
                </c:pt>
                <c:pt idx="574">
                  <c:v>3.640428</c:v>
                </c:pt>
                <c:pt idx="575">
                  <c:v>3.7744019999999998</c:v>
                </c:pt>
                <c:pt idx="576">
                  <c:v>3.7860879999999999</c:v>
                </c:pt>
                <c:pt idx="577">
                  <c:v>3.8414769999999967</c:v>
                </c:pt>
                <c:pt idx="578">
                  <c:v>3.9511099999999977</c:v>
                </c:pt>
                <c:pt idx="579">
                  <c:v>3.8757869999999977</c:v>
                </c:pt>
                <c:pt idx="580">
                  <c:v>3.9206300000000001</c:v>
                </c:pt>
                <c:pt idx="581">
                  <c:v>3.9364329999999779</c:v>
                </c:pt>
                <c:pt idx="582">
                  <c:v>4.2689959999999845</c:v>
                </c:pt>
                <c:pt idx="583">
                  <c:v>4.0968600000000004</c:v>
                </c:pt>
                <c:pt idx="584">
                  <c:v>4.1955969999999745</c:v>
                </c:pt>
                <c:pt idx="585">
                  <c:v>4.4987700000000004</c:v>
                </c:pt>
                <c:pt idx="586">
                  <c:v>4.5757120000000002</c:v>
                </c:pt>
                <c:pt idx="587">
                  <c:v>4.3999809999999755</c:v>
                </c:pt>
                <c:pt idx="589">
                  <c:v>4.5474519999999945</c:v>
                </c:pt>
                <c:pt idx="590">
                  <c:v>4.6100199999999845</c:v>
                </c:pt>
                <c:pt idx="591">
                  <c:v>4.525048</c:v>
                </c:pt>
                <c:pt idx="592">
                  <c:v>4.5558049999999755</c:v>
                </c:pt>
                <c:pt idx="593">
                  <c:v>4.7982490000000393</c:v>
                </c:pt>
                <c:pt idx="594">
                  <c:v>4.836138</c:v>
                </c:pt>
                <c:pt idx="595">
                  <c:v>5.3632650000000002</c:v>
                </c:pt>
                <c:pt idx="596">
                  <c:v>5.1827799999999975</c:v>
                </c:pt>
                <c:pt idx="597">
                  <c:v>5.0311139999999996</c:v>
                </c:pt>
                <c:pt idx="598">
                  <c:v>4.9353889999999998</c:v>
                </c:pt>
                <c:pt idx="599">
                  <c:v>4.80809</c:v>
                </c:pt>
                <c:pt idx="600">
                  <c:v>5.454866</c:v>
                </c:pt>
                <c:pt idx="601">
                  <c:v>5.5193380000000003</c:v>
                </c:pt>
                <c:pt idx="602">
                  <c:v>5.6103069999999855</c:v>
                </c:pt>
                <c:pt idx="603">
                  <c:v>5.4804250000000003</c:v>
                </c:pt>
                <c:pt idx="604">
                  <c:v>5.6442559999999755</c:v>
                </c:pt>
                <c:pt idx="605">
                  <c:v>5.1934469999999955</c:v>
                </c:pt>
                <c:pt idx="606">
                  <c:v>5.2530279999999996</c:v>
                </c:pt>
                <c:pt idx="607">
                  <c:v>5.473226000000043</c:v>
                </c:pt>
                <c:pt idx="608">
                  <c:v>5.4442659999999998</c:v>
                </c:pt>
                <c:pt idx="609">
                  <c:v>5.4388920000000134</c:v>
                </c:pt>
                <c:pt idx="610">
                  <c:v>5.7314959999999999</c:v>
                </c:pt>
                <c:pt idx="612">
                  <c:v>5.6843649999999855</c:v>
                </c:pt>
                <c:pt idx="613">
                  <c:v>5.9510540000000001</c:v>
                </c:pt>
                <c:pt idx="614">
                  <c:v>5.7385270000000004</c:v>
                </c:pt>
                <c:pt idx="615">
                  <c:v>5.5510590000000004</c:v>
                </c:pt>
                <c:pt idx="616">
                  <c:v>5.3886180000000001</c:v>
                </c:pt>
                <c:pt idx="617">
                  <c:v>5.3679139999999546</c:v>
                </c:pt>
                <c:pt idx="618">
                  <c:v>5.5539290000000001</c:v>
                </c:pt>
                <c:pt idx="619">
                  <c:v>5.5161559999999845</c:v>
                </c:pt>
                <c:pt idx="620">
                  <c:v>5.7056800000000001</c:v>
                </c:pt>
                <c:pt idx="621">
                  <c:v>5.9111779999999996</c:v>
                </c:pt>
                <c:pt idx="622">
                  <c:v>5.8390529999999998</c:v>
                </c:pt>
                <c:pt idx="623">
                  <c:v>5.1772499999999999</c:v>
                </c:pt>
                <c:pt idx="624">
                  <c:v>4.9751310000000002</c:v>
                </c:pt>
                <c:pt idx="625">
                  <c:v>4.9467879999999997</c:v>
                </c:pt>
                <c:pt idx="626">
                  <c:v>5.2647899999999845</c:v>
                </c:pt>
                <c:pt idx="627">
                  <c:v>5.2508480000000004</c:v>
                </c:pt>
                <c:pt idx="628">
                  <c:v>4.8655119999999545</c:v>
                </c:pt>
                <c:pt idx="629">
                  <c:v>4.7274819999999655</c:v>
                </c:pt>
                <c:pt idx="630">
                  <c:v>4.8494010000000003</c:v>
                </c:pt>
                <c:pt idx="631">
                  <c:v>4.2431690000000124</c:v>
                </c:pt>
                <c:pt idx="632">
                  <c:v>4.7176470000000004</c:v>
                </c:pt>
                <c:pt idx="633">
                  <c:v>5.0821749999999755</c:v>
                </c:pt>
                <c:pt idx="635">
                  <c:v>4.9896640000000421</c:v>
                </c:pt>
                <c:pt idx="636">
                  <c:v>5.5580889999999945</c:v>
                </c:pt>
                <c:pt idx="637">
                  <c:v>5.9428660000000004</c:v>
                </c:pt>
                <c:pt idx="638">
                  <c:v>6.1372419999999996</c:v>
                </c:pt>
                <c:pt idx="639">
                  <c:v>5.8401949999999845</c:v>
                </c:pt>
                <c:pt idx="640">
                  <c:v>5.6693220000000002</c:v>
                </c:pt>
                <c:pt idx="641">
                  <c:v>5.1569669999999945</c:v>
                </c:pt>
                <c:pt idx="642">
                  <c:v>5.0402290000000134</c:v>
                </c:pt>
                <c:pt idx="643">
                  <c:v>5.4323660000000134</c:v>
                </c:pt>
                <c:pt idx="644">
                  <c:v>5.7174099999999966</c:v>
                </c:pt>
                <c:pt idx="645">
                  <c:v>5.2538839999999976</c:v>
                </c:pt>
                <c:pt idx="646">
                  <c:v>4.8357960000000002</c:v>
                </c:pt>
                <c:pt idx="647">
                  <c:v>5.0269949999999755</c:v>
                </c:pt>
                <c:pt idx="648">
                  <c:v>4.4102860000000002</c:v>
                </c:pt>
                <c:pt idx="649">
                  <c:v>5.0323950000000002</c:v>
                </c:pt>
                <c:pt idx="650">
                  <c:v>6.9105349999999746</c:v>
                </c:pt>
                <c:pt idx="651">
                  <c:v>5.7400669999999998</c:v>
                </c:pt>
                <c:pt idx="652">
                  <c:v>5.8626759999999845</c:v>
                </c:pt>
                <c:pt idx="653">
                  <c:v>5.3823489999999996</c:v>
                </c:pt>
                <c:pt idx="654">
                  <c:v>5.2079339999999945</c:v>
                </c:pt>
                <c:pt idx="655">
                  <c:v>5.0781270000000003</c:v>
                </c:pt>
                <c:pt idx="656">
                  <c:v>5.3741680000000001</c:v>
                </c:pt>
                <c:pt idx="658">
                  <c:v>6.7097090000000383</c:v>
                </c:pt>
                <c:pt idx="659">
                  <c:v>7.2192160000000003</c:v>
                </c:pt>
                <c:pt idx="660">
                  <c:v>7.219214</c:v>
                </c:pt>
                <c:pt idx="661">
                  <c:v>7.2192119999999997</c:v>
                </c:pt>
                <c:pt idx="662">
                  <c:v>7.2192119999999997</c:v>
                </c:pt>
                <c:pt idx="663">
                  <c:v>6.6432830000000003</c:v>
                </c:pt>
                <c:pt idx="664">
                  <c:v>5.934844</c:v>
                </c:pt>
                <c:pt idx="665">
                  <c:v>5.3013060000000003</c:v>
                </c:pt>
                <c:pt idx="666">
                  <c:v>5.1413320000000002</c:v>
                </c:pt>
                <c:pt idx="667">
                  <c:v>4.6928149999999409</c:v>
                </c:pt>
                <c:pt idx="668">
                  <c:v>5.0424879999999845</c:v>
                </c:pt>
                <c:pt idx="669">
                  <c:v>5.1608409999999845</c:v>
                </c:pt>
                <c:pt idx="670">
                  <c:v>4.9978809999999845</c:v>
                </c:pt>
                <c:pt idx="671">
                  <c:v>5.5338669999999999</c:v>
                </c:pt>
                <c:pt idx="672">
                  <c:v>7.0123169999999755</c:v>
                </c:pt>
                <c:pt idx="673">
                  <c:v>7.4911630000000402</c:v>
                </c:pt>
                <c:pt idx="674">
                  <c:v>8.156168000000001</c:v>
                </c:pt>
                <c:pt idx="675">
                  <c:v>8.8188050000000011</c:v>
                </c:pt>
                <c:pt idx="676">
                  <c:v>7.9881200000000003</c:v>
                </c:pt>
                <c:pt idx="677">
                  <c:v>7.8046949999999855</c:v>
                </c:pt>
                <c:pt idx="678">
                  <c:v>8.2700300000000002</c:v>
                </c:pt>
                <c:pt idx="679">
                  <c:v>8.5817160000000001</c:v>
                </c:pt>
                <c:pt idx="680">
                  <c:v>9.117125999999999</c:v>
                </c:pt>
                <c:pt idx="681">
                  <c:v>9.98109</c:v>
                </c:pt>
                <c:pt idx="682">
                  <c:v>9.893675</c:v>
                </c:pt>
                <c:pt idx="683">
                  <c:v>9.0237260000000017</c:v>
                </c:pt>
                <c:pt idx="684">
                  <c:v>10.55457</c:v>
                </c:pt>
                <c:pt idx="685">
                  <c:v>10.701989999999999</c:v>
                </c:pt>
                <c:pt idx="706">
                  <c:v>9.1574810000000006</c:v>
                </c:pt>
                <c:pt idx="707">
                  <c:v>8.5065320000000266</c:v>
                </c:pt>
                <c:pt idx="708">
                  <c:v>7.9831599999999998</c:v>
                </c:pt>
                <c:pt idx="709">
                  <c:v>7.2482069999999998</c:v>
                </c:pt>
                <c:pt idx="711">
                  <c:v>7.1140409999999745</c:v>
                </c:pt>
                <c:pt idx="712">
                  <c:v>7.0755470000000003</c:v>
                </c:pt>
                <c:pt idx="826">
                  <c:v>3.756599</c:v>
                </c:pt>
                <c:pt idx="827">
                  <c:v>3.8682439999999967</c:v>
                </c:pt>
                <c:pt idx="828">
                  <c:v>3.9675440000000002</c:v>
                </c:pt>
                <c:pt idx="829">
                  <c:v>3.9967729999999793</c:v>
                </c:pt>
                <c:pt idx="831">
                  <c:v>3.8068429999999669</c:v>
                </c:pt>
                <c:pt idx="832">
                  <c:v>4.0604610000000001</c:v>
                </c:pt>
                <c:pt idx="833">
                  <c:v>3.7183320000000002</c:v>
                </c:pt>
                <c:pt idx="834">
                  <c:v>3.7311260000000002</c:v>
                </c:pt>
                <c:pt idx="835">
                  <c:v>3.4426969999999977</c:v>
                </c:pt>
                <c:pt idx="836">
                  <c:v>3.4931419999999997</c:v>
                </c:pt>
                <c:pt idx="837">
                  <c:v>3.5237210000000214</c:v>
                </c:pt>
                <c:pt idx="838">
                  <c:v>3.6494649999999997</c:v>
                </c:pt>
                <c:pt idx="839">
                  <c:v>3.6198889999999802</c:v>
                </c:pt>
                <c:pt idx="840">
                  <c:v>3.4443280000000001</c:v>
                </c:pt>
                <c:pt idx="841">
                  <c:v>3.3536479999999824</c:v>
                </c:pt>
                <c:pt idx="842">
                  <c:v>3.2677390000000224</c:v>
                </c:pt>
                <c:pt idx="843">
                  <c:v>3.4422739999999967</c:v>
                </c:pt>
                <c:pt idx="844">
                  <c:v>3.6140370000000002</c:v>
                </c:pt>
                <c:pt idx="845">
                  <c:v>3.7039710000000219</c:v>
                </c:pt>
                <c:pt idx="846">
                  <c:v>3.7463470000000001</c:v>
                </c:pt>
                <c:pt idx="847">
                  <c:v>3.9518809999999829</c:v>
                </c:pt>
                <c:pt idx="848">
                  <c:v>4.1637299999999975</c:v>
                </c:pt>
                <c:pt idx="849">
                  <c:v>4.0563659999999997</c:v>
                </c:pt>
                <c:pt idx="850">
                  <c:v>5.2428489999999996</c:v>
                </c:pt>
                <c:pt idx="851">
                  <c:v>5.3023559999999845</c:v>
                </c:pt>
                <c:pt idx="852">
                  <c:v>5.1337390000000003</c:v>
                </c:pt>
                <c:pt idx="854">
                  <c:v>17.12452</c:v>
                </c:pt>
                <c:pt idx="855">
                  <c:v>21.742689999999783</c:v>
                </c:pt>
                <c:pt idx="856">
                  <c:v>22.375739999999812</c:v>
                </c:pt>
                <c:pt idx="857">
                  <c:v>19.74475</c:v>
                </c:pt>
                <c:pt idx="858">
                  <c:v>19.558789999999853</c:v>
                </c:pt>
                <c:pt idx="859">
                  <c:v>15.56762</c:v>
                </c:pt>
                <c:pt idx="860">
                  <c:v>17.742709999999761</c:v>
                </c:pt>
                <c:pt idx="861">
                  <c:v>16.50825</c:v>
                </c:pt>
                <c:pt idx="862">
                  <c:v>18.083489999999841</c:v>
                </c:pt>
                <c:pt idx="863">
                  <c:v>16.006820000000001</c:v>
                </c:pt>
                <c:pt idx="864">
                  <c:v>12.178380000000001</c:v>
                </c:pt>
                <c:pt idx="865">
                  <c:v>9.7485929999999996</c:v>
                </c:pt>
                <c:pt idx="866">
                  <c:v>8.840109</c:v>
                </c:pt>
                <c:pt idx="867">
                  <c:v>14.789430000000024</c:v>
                </c:pt>
                <c:pt idx="868">
                  <c:v>8.9769990000000028</c:v>
                </c:pt>
                <c:pt idx="869">
                  <c:v>5.8441909999999755</c:v>
                </c:pt>
                <c:pt idx="870">
                  <c:v>5.5106760000000001</c:v>
                </c:pt>
                <c:pt idx="871">
                  <c:v>6.396998</c:v>
                </c:pt>
                <c:pt idx="872">
                  <c:v>7.9661479999999996</c:v>
                </c:pt>
                <c:pt idx="873">
                  <c:v>11.897490000000024</c:v>
                </c:pt>
                <c:pt idx="874">
                  <c:v>10.825200000000002</c:v>
                </c:pt>
                <c:pt idx="875">
                  <c:v>9.8671790000000001</c:v>
                </c:pt>
                <c:pt idx="877">
                  <c:v>5.8535199999999845</c:v>
                </c:pt>
                <c:pt idx="878">
                  <c:v>5.3612719999999996</c:v>
                </c:pt>
                <c:pt idx="879">
                  <c:v>5.2594900000000004</c:v>
                </c:pt>
                <c:pt idx="880">
                  <c:v>5.4724740000000001</c:v>
                </c:pt>
                <c:pt idx="881">
                  <c:v>5.0544509999999745</c:v>
                </c:pt>
                <c:pt idx="882">
                  <c:v>4.3607839999999856</c:v>
                </c:pt>
                <c:pt idx="883">
                  <c:v>4.2911979999999996</c:v>
                </c:pt>
                <c:pt idx="884">
                  <c:v>4.3300599999999996</c:v>
                </c:pt>
                <c:pt idx="885">
                  <c:v>4.0693710000000003</c:v>
                </c:pt>
                <c:pt idx="886">
                  <c:v>3.9926819999999967</c:v>
                </c:pt>
                <c:pt idx="887">
                  <c:v>4.16052599999996</c:v>
                </c:pt>
                <c:pt idx="888">
                  <c:v>4.5829430000000002</c:v>
                </c:pt>
                <c:pt idx="889">
                  <c:v>4.6521829999999609</c:v>
                </c:pt>
                <c:pt idx="890">
                  <c:v>4.3923430000000003</c:v>
                </c:pt>
                <c:pt idx="891">
                  <c:v>4.4572779999999996</c:v>
                </c:pt>
                <c:pt idx="892">
                  <c:v>4.8569169999999655</c:v>
                </c:pt>
                <c:pt idx="903">
                  <c:v>9.8018890000000027</c:v>
                </c:pt>
                <c:pt idx="904">
                  <c:v>9.1415959999999998</c:v>
                </c:pt>
                <c:pt idx="905">
                  <c:v>7.5418060000000002</c:v>
                </c:pt>
                <c:pt idx="906">
                  <c:v>6.6018809999999855</c:v>
                </c:pt>
                <c:pt idx="908">
                  <c:v>5.0484030000000004</c:v>
                </c:pt>
                <c:pt idx="909">
                  <c:v>4.7245709999999645</c:v>
                </c:pt>
                <c:pt idx="910">
                  <c:v>4.7327690000000393</c:v>
                </c:pt>
                <c:pt idx="911">
                  <c:v>5.1489459999999845</c:v>
                </c:pt>
                <c:pt idx="995">
                  <c:v>7.5322880000000003</c:v>
                </c:pt>
                <c:pt idx="996">
                  <c:v>7.7555779999999945</c:v>
                </c:pt>
                <c:pt idx="997">
                  <c:v>7.1494059999999955</c:v>
                </c:pt>
                <c:pt idx="998">
                  <c:v>6.6706979999999998</c:v>
                </c:pt>
                <c:pt idx="1000">
                  <c:v>5.9548319999999855</c:v>
                </c:pt>
                <c:pt idx="1001">
                  <c:v>5.2132259999999997</c:v>
                </c:pt>
                <c:pt idx="1002">
                  <c:v>5.1760869999999946</c:v>
                </c:pt>
                <c:pt idx="1003">
                  <c:v>6.6420719999999855</c:v>
                </c:pt>
                <c:pt idx="1004">
                  <c:v>5.8653449999999845</c:v>
                </c:pt>
                <c:pt idx="1005">
                  <c:v>5.1140629999999945</c:v>
                </c:pt>
                <c:pt idx="1006">
                  <c:v>4.8704879999999955</c:v>
                </c:pt>
                <c:pt idx="1007">
                  <c:v>4.7707910000000124</c:v>
                </c:pt>
                <c:pt idx="1008">
                  <c:v>4.4227999999999996</c:v>
                </c:pt>
                <c:pt idx="1009">
                  <c:v>4.1880949999999855</c:v>
                </c:pt>
                <c:pt idx="1010">
                  <c:v>4.1865430000000003</c:v>
                </c:pt>
                <c:pt idx="1011">
                  <c:v>4.2979129999999746</c:v>
                </c:pt>
                <c:pt idx="1012">
                  <c:v>3.9356149999999968</c:v>
                </c:pt>
                <c:pt idx="1013">
                  <c:v>4.0555739999999965</c:v>
                </c:pt>
                <c:pt idx="1014">
                  <c:v>3.9827949999999999</c:v>
                </c:pt>
                <c:pt idx="1015">
                  <c:v>4.5145799999999845</c:v>
                </c:pt>
                <c:pt idx="1016">
                  <c:v>5.3611430000000002</c:v>
                </c:pt>
                <c:pt idx="1017">
                  <c:v>5.2925829999999845</c:v>
                </c:pt>
                <c:pt idx="1018">
                  <c:v>6.1428739999999955</c:v>
                </c:pt>
                <c:pt idx="1019">
                  <c:v>7.1324930000000002</c:v>
                </c:pt>
                <c:pt idx="1020">
                  <c:v>7.3327869999999855</c:v>
                </c:pt>
                <c:pt idx="1021">
                  <c:v>5.9849239999999995</c:v>
                </c:pt>
                <c:pt idx="1023">
                  <c:v>4.8090279999999996</c:v>
                </c:pt>
                <c:pt idx="1024">
                  <c:v>4.3294969999999955</c:v>
                </c:pt>
                <c:pt idx="1025">
                  <c:v>4.3278679999999845</c:v>
                </c:pt>
                <c:pt idx="1026">
                  <c:v>4.5115920000000003</c:v>
                </c:pt>
                <c:pt idx="1027">
                  <c:v>5.3102309999999955</c:v>
                </c:pt>
                <c:pt idx="1028">
                  <c:v>5.4945809999999655</c:v>
                </c:pt>
                <c:pt idx="1029">
                  <c:v>4.8003479999999996</c:v>
                </c:pt>
                <c:pt idx="1030">
                  <c:v>5.5844549999999655</c:v>
                </c:pt>
                <c:pt idx="1031">
                  <c:v>5.5516889999999997</c:v>
                </c:pt>
                <c:pt idx="1032">
                  <c:v>6.4690430000000134</c:v>
                </c:pt>
                <c:pt idx="1033">
                  <c:v>5.0920259999999855</c:v>
                </c:pt>
                <c:pt idx="1034">
                  <c:v>4.2949919999999855</c:v>
                </c:pt>
                <c:pt idx="1035">
                  <c:v>3.9943770000000001</c:v>
                </c:pt>
                <c:pt idx="1036">
                  <c:v>3.8038789999999967</c:v>
                </c:pt>
                <c:pt idx="1037">
                  <c:v>3.5625559999999967</c:v>
                </c:pt>
                <c:pt idx="1038">
                  <c:v>3.8938889999999819</c:v>
                </c:pt>
                <c:pt idx="1039">
                  <c:v>4.4194529999999999</c:v>
                </c:pt>
                <c:pt idx="1209">
                  <c:v>5.7246189999999855</c:v>
                </c:pt>
                <c:pt idx="1210">
                  <c:v>6.7065400000000004</c:v>
                </c:pt>
                <c:pt idx="1211">
                  <c:v>6.4854339999999997</c:v>
                </c:pt>
                <c:pt idx="1212">
                  <c:v>6.4581809999999855</c:v>
                </c:pt>
                <c:pt idx="1214">
                  <c:v>5.9422700000000024</c:v>
                </c:pt>
                <c:pt idx="1215">
                  <c:v>5.7298970000000002</c:v>
                </c:pt>
                <c:pt idx="1216">
                  <c:v>5.5200639999999996</c:v>
                </c:pt>
                <c:pt idx="1217">
                  <c:v>5.046824</c:v>
                </c:pt>
                <c:pt idx="1218">
                  <c:v>5.2753379999999996</c:v>
                </c:pt>
                <c:pt idx="1219">
                  <c:v>4.9580450000000003</c:v>
                </c:pt>
                <c:pt idx="1220">
                  <c:v>4.9593109999999996</c:v>
                </c:pt>
                <c:pt idx="1221">
                  <c:v>4.7692579999999998</c:v>
                </c:pt>
                <c:pt idx="1222">
                  <c:v>4.5601709999999755</c:v>
                </c:pt>
                <c:pt idx="1223">
                  <c:v>4.6975789999999655</c:v>
                </c:pt>
                <c:pt idx="1224">
                  <c:v>4.5675669999999755</c:v>
                </c:pt>
                <c:pt idx="1225">
                  <c:v>4.6538529999999945</c:v>
                </c:pt>
                <c:pt idx="1226">
                  <c:v>5.2458739999999997</c:v>
                </c:pt>
                <c:pt idx="1227">
                  <c:v>5.7435149999999755</c:v>
                </c:pt>
                <c:pt idx="1228">
                  <c:v>5.4793530000000503</c:v>
                </c:pt>
                <c:pt idx="1229">
                  <c:v>5.2103849999999845</c:v>
                </c:pt>
                <c:pt idx="1230">
                  <c:v>6.4062600000000494</c:v>
                </c:pt>
                <c:pt idx="1231">
                  <c:v>6.2500869999999855</c:v>
                </c:pt>
                <c:pt idx="1232">
                  <c:v>7.1764080000000003</c:v>
                </c:pt>
                <c:pt idx="1233">
                  <c:v>7.1587259999999855</c:v>
                </c:pt>
                <c:pt idx="1234">
                  <c:v>7.4346969999999999</c:v>
                </c:pt>
                <c:pt idx="1235">
                  <c:v>7.7275539999999845</c:v>
                </c:pt>
                <c:pt idx="1237">
                  <c:v>6.5346060000000001</c:v>
                </c:pt>
                <c:pt idx="1238">
                  <c:v>6.3868400000000003</c:v>
                </c:pt>
                <c:pt idx="1239">
                  <c:v>5.7355499999999999</c:v>
                </c:pt>
                <c:pt idx="1240">
                  <c:v>5.438633000000042</c:v>
                </c:pt>
                <c:pt idx="1241">
                  <c:v>5.3979969999999655</c:v>
                </c:pt>
                <c:pt idx="1242">
                  <c:v>5.1601709999999645</c:v>
                </c:pt>
                <c:pt idx="1243">
                  <c:v>5.1759819999999745</c:v>
                </c:pt>
                <c:pt idx="1244">
                  <c:v>5.044473</c:v>
                </c:pt>
                <c:pt idx="1245">
                  <c:v>4.8524169999999645</c:v>
                </c:pt>
                <c:pt idx="1246">
                  <c:v>5.0248319999999609</c:v>
                </c:pt>
                <c:pt idx="1247">
                  <c:v>4.4496190000000393</c:v>
                </c:pt>
                <c:pt idx="1248">
                  <c:v>3.8696749999999978</c:v>
                </c:pt>
                <c:pt idx="1249">
                  <c:v>3.8786169999999967</c:v>
                </c:pt>
                <c:pt idx="1250">
                  <c:v>3.6507510000000001</c:v>
                </c:pt>
                <c:pt idx="1251">
                  <c:v>3.5375239999999999</c:v>
                </c:pt>
                <c:pt idx="1252">
                  <c:v>3.5621839999999998</c:v>
                </c:pt>
                <c:pt idx="1253">
                  <c:v>3.4634360000000002</c:v>
                </c:pt>
                <c:pt idx="1254">
                  <c:v>3.4904749999999987</c:v>
                </c:pt>
                <c:pt idx="1255">
                  <c:v>3.509827</c:v>
                </c:pt>
                <c:pt idx="1256">
                  <c:v>3.7626010000000001</c:v>
                </c:pt>
                <c:pt idx="1257">
                  <c:v>3.9286889999999977</c:v>
                </c:pt>
                <c:pt idx="1258">
                  <c:v>4.0914429999999999</c:v>
                </c:pt>
                <c:pt idx="1260">
                  <c:v>4.2035900000000002</c:v>
                </c:pt>
                <c:pt idx="1261">
                  <c:v>4.2317520000000384</c:v>
                </c:pt>
                <c:pt idx="1262">
                  <c:v>3.9662289999999967</c:v>
                </c:pt>
                <c:pt idx="1263">
                  <c:v>3.9821949999999999</c:v>
                </c:pt>
                <c:pt idx="1264">
                  <c:v>3.8884599999999967</c:v>
                </c:pt>
                <c:pt idx="1265">
                  <c:v>3.9870340000000177</c:v>
                </c:pt>
                <c:pt idx="1266">
                  <c:v>3.7935910000000224</c:v>
                </c:pt>
                <c:pt idx="1267">
                  <c:v>4.1993359999999855</c:v>
                </c:pt>
                <c:pt idx="1268">
                  <c:v>5.2602830000000003</c:v>
                </c:pt>
                <c:pt idx="1269">
                  <c:v>4.6621999999999755</c:v>
                </c:pt>
                <c:pt idx="1270">
                  <c:v>4.0017379999999996</c:v>
                </c:pt>
                <c:pt idx="1271">
                  <c:v>3.8511589999999765</c:v>
                </c:pt>
                <c:pt idx="1272">
                  <c:v>3.8277510000000001</c:v>
                </c:pt>
                <c:pt idx="1273">
                  <c:v>3.6853579999999999</c:v>
                </c:pt>
                <c:pt idx="1274">
                  <c:v>3.4859040000000001</c:v>
                </c:pt>
                <c:pt idx="1275">
                  <c:v>3.7109610000000002</c:v>
                </c:pt>
                <c:pt idx="1276">
                  <c:v>3.5161219999999997</c:v>
                </c:pt>
                <c:pt idx="1277">
                  <c:v>3.4887389999999998</c:v>
                </c:pt>
                <c:pt idx="1278">
                  <c:v>3.6356189999999819</c:v>
                </c:pt>
                <c:pt idx="1279">
                  <c:v>3.6494610000000001</c:v>
                </c:pt>
                <c:pt idx="1280">
                  <c:v>3.7242999999999999</c:v>
                </c:pt>
                <c:pt idx="1281">
                  <c:v>3.932121</c:v>
                </c:pt>
                <c:pt idx="1283">
                  <c:v>4.3127719999999945</c:v>
                </c:pt>
                <c:pt idx="1284">
                  <c:v>4.1554529999999845</c:v>
                </c:pt>
                <c:pt idx="1285">
                  <c:v>3.6850399999999999</c:v>
                </c:pt>
                <c:pt idx="1286">
                  <c:v>3.4971489999999967</c:v>
                </c:pt>
                <c:pt idx="1287">
                  <c:v>3.6014439999999968</c:v>
                </c:pt>
                <c:pt idx="1288">
                  <c:v>3.6398629999999779</c:v>
                </c:pt>
                <c:pt idx="1289">
                  <c:v>3.4633609999999999</c:v>
                </c:pt>
                <c:pt idx="1290">
                  <c:v>3.6612300000000002</c:v>
                </c:pt>
                <c:pt idx="1291">
                  <c:v>3.6472020000000001</c:v>
                </c:pt>
                <c:pt idx="1292">
                  <c:v>3.5527349999999998</c:v>
                </c:pt>
                <c:pt idx="1293">
                  <c:v>3.5438930000000002</c:v>
                </c:pt>
                <c:pt idx="1294">
                  <c:v>3.3390599999999733</c:v>
                </c:pt>
                <c:pt idx="1295">
                  <c:v>3.6055799999999998</c:v>
                </c:pt>
                <c:pt idx="1296">
                  <c:v>3.7651820000000011</c:v>
                </c:pt>
                <c:pt idx="1297">
                  <c:v>3.6424749999999997</c:v>
                </c:pt>
                <c:pt idx="1298">
                  <c:v>3.676383</c:v>
                </c:pt>
                <c:pt idx="1299">
                  <c:v>3.8276439999999967</c:v>
                </c:pt>
                <c:pt idx="1300">
                  <c:v>3.7834050000000001</c:v>
                </c:pt>
                <c:pt idx="1301">
                  <c:v>3.9202759999999977</c:v>
                </c:pt>
                <c:pt idx="1302">
                  <c:v>3.9188859999999779</c:v>
                </c:pt>
                <c:pt idx="1303">
                  <c:v>4.1822920000000003</c:v>
                </c:pt>
                <c:pt idx="1304">
                  <c:v>4.3705730000000003</c:v>
                </c:pt>
                <c:pt idx="1306">
                  <c:v>5.3251139999999655</c:v>
                </c:pt>
                <c:pt idx="1307">
                  <c:v>5.2557679999999998</c:v>
                </c:pt>
                <c:pt idx="1308">
                  <c:v>5.3220419999999855</c:v>
                </c:pt>
                <c:pt idx="1309">
                  <c:v>5.1509729999999845</c:v>
                </c:pt>
                <c:pt idx="1310">
                  <c:v>5.4492520000000448</c:v>
                </c:pt>
                <c:pt idx="1311">
                  <c:v>5.0489509999999855</c:v>
                </c:pt>
                <c:pt idx="1312">
                  <c:v>5.0372579999999996</c:v>
                </c:pt>
                <c:pt idx="1313">
                  <c:v>4.7854099999999997</c:v>
                </c:pt>
                <c:pt idx="1314">
                  <c:v>4.8872749999999945</c:v>
                </c:pt>
                <c:pt idx="1315">
                  <c:v>5.0070799999999975</c:v>
                </c:pt>
                <c:pt idx="1316">
                  <c:v>4.8220389999999655</c:v>
                </c:pt>
                <c:pt idx="1317">
                  <c:v>4.9659309999999746</c:v>
                </c:pt>
                <c:pt idx="1318">
                  <c:v>4.9181939999999997</c:v>
                </c:pt>
                <c:pt idx="1319">
                  <c:v>4.5676670000000001</c:v>
                </c:pt>
                <c:pt idx="1320">
                  <c:v>4.0237839999999965</c:v>
                </c:pt>
                <c:pt idx="1321">
                  <c:v>3.974621</c:v>
                </c:pt>
                <c:pt idx="1322">
                  <c:v>4.0074189999999845</c:v>
                </c:pt>
                <c:pt idx="1323">
                  <c:v>4.1095239999999995</c:v>
                </c:pt>
                <c:pt idx="1324">
                  <c:v>4.1270799999999745</c:v>
                </c:pt>
                <c:pt idx="1325">
                  <c:v>3.9887139999999999</c:v>
                </c:pt>
                <c:pt idx="1326">
                  <c:v>3.9954279999999978</c:v>
                </c:pt>
                <c:pt idx="1327">
                  <c:v>4.3533730000000004</c:v>
                </c:pt>
                <c:pt idx="1328">
                  <c:v>4.4220769999999945</c:v>
                </c:pt>
                <c:pt idx="1329">
                  <c:v>4.6838739999999985</c:v>
                </c:pt>
                <c:pt idx="1330">
                  <c:v>4.8195259999999855</c:v>
                </c:pt>
                <c:pt idx="1331">
                  <c:v>5.6869129999999855</c:v>
                </c:pt>
                <c:pt idx="1332">
                  <c:v>4.8709210000000001</c:v>
                </c:pt>
                <c:pt idx="1333">
                  <c:v>4.7000970000000004</c:v>
                </c:pt>
                <c:pt idx="1334">
                  <c:v>3.9549469999999967</c:v>
                </c:pt>
                <c:pt idx="1335">
                  <c:v>3.8436979999999998</c:v>
                </c:pt>
                <c:pt idx="1336">
                  <c:v>4.1136549999999845</c:v>
                </c:pt>
                <c:pt idx="1338">
                  <c:v>3.6831390000000224</c:v>
                </c:pt>
                <c:pt idx="1339">
                  <c:v>3.4624229999999967</c:v>
                </c:pt>
                <c:pt idx="1340">
                  <c:v>3.2513079999999999</c:v>
                </c:pt>
                <c:pt idx="1341">
                  <c:v>3.3648549999999977</c:v>
                </c:pt>
                <c:pt idx="1342">
                  <c:v>3.2298269999999998</c:v>
                </c:pt>
                <c:pt idx="1343">
                  <c:v>3.5935160000000002</c:v>
                </c:pt>
                <c:pt idx="1344">
                  <c:v>3.9638499999999977</c:v>
                </c:pt>
                <c:pt idx="1345">
                  <c:v>4.1420899999999845</c:v>
                </c:pt>
                <c:pt idx="1346">
                  <c:v>3.9319669999999967</c:v>
                </c:pt>
                <c:pt idx="1347">
                  <c:v>3.8515139999999977</c:v>
                </c:pt>
                <c:pt idx="1348">
                  <c:v>3.8032089999999967</c:v>
                </c:pt>
                <c:pt idx="1349">
                  <c:v>3.9248549999999987</c:v>
                </c:pt>
                <c:pt idx="1350">
                  <c:v>4.05459499999996</c:v>
                </c:pt>
                <c:pt idx="1351">
                  <c:v>4.4587159999999955</c:v>
                </c:pt>
                <c:pt idx="1352">
                  <c:v>4.8091869999999846</c:v>
                </c:pt>
                <c:pt idx="1353">
                  <c:v>5.2239249999999755</c:v>
                </c:pt>
                <c:pt idx="1354">
                  <c:v>5.5048829999999755</c:v>
                </c:pt>
                <c:pt idx="1355">
                  <c:v>5.3226230000000001</c:v>
                </c:pt>
                <c:pt idx="1356">
                  <c:v>4.9113640000000034</c:v>
                </c:pt>
                <c:pt idx="1357">
                  <c:v>4.6876620000000004</c:v>
                </c:pt>
                <c:pt idx="1359">
                  <c:v>4.6582129999999955</c:v>
                </c:pt>
                <c:pt idx="1360">
                  <c:v>5.2636649999999996</c:v>
                </c:pt>
                <c:pt idx="1361">
                  <c:v>5.0407669999999998</c:v>
                </c:pt>
                <c:pt idx="1362">
                  <c:v>4.4952709999999998</c:v>
                </c:pt>
                <c:pt idx="1364">
                  <c:v>4.5036149999999955</c:v>
                </c:pt>
                <c:pt idx="1365">
                  <c:v>4.313231</c:v>
                </c:pt>
                <c:pt idx="1366">
                  <c:v>4.1621709999999545</c:v>
                </c:pt>
                <c:pt idx="1367">
                  <c:v>3.8341529999999819</c:v>
                </c:pt>
                <c:pt idx="1368">
                  <c:v>3.6363340000000002</c:v>
                </c:pt>
                <c:pt idx="1369">
                  <c:v>3.5807600000000002</c:v>
                </c:pt>
                <c:pt idx="1370">
                  <c:v>3.5945369999999999</c:v>
                </c:pt>
                <c:pt idx="1371">
                  <c:v>3.3895999999999997</c:v>
                </c:pt>
                <c:pt idx="1372">
                  <c:v>3.5763409999999967</c:v>
                </c:pt>
                <c:pt idx="1373">
                  <c:v>3.5650119999999998</c:v>
                </c:pt>
                <c:pt idx="1374">
                  <c:v>3.7263510000000002</c:v>
                </c:pt>
                <c:pt idx="1375">
                  <c:v>4.0289839999999755</c:v>
                </c:pt>
                <c:pt idx="1376">
                  <c:v>4.3243789999999755</c:v>
                </c:pt>
                <c:pt idx="1377">
                  <c:v>4.4377219999999999</c:v>
                </c:pt>
                <c:pt idx="1381">
                  <c:v>4.5123899999999955</c:v>
                </c:pt>
                <c:pt idx="1382">
                  <c:v>4.516953</c:v>
                </c:pt>
                <c:pt idx="1383">
                  <c:v>4.6952869999999765</c:v>
                </c:pt>
                <c:pt idx="1384">
                  <c:v>5.1839490000000001</c:v>
                </c:pt>
                <c:pt idx="1386">
                  <c:v>4.2899560000000001</c:v>
                </c:pt>
                <c:pt idx="1387">
                  <c:v>4.4116109999999997</c:v>
                </c:pt>
                <c:pt idx="1388">
                  <c:v>4.4388529999999999</c:v>
                </c:pt>
                <c:pt idx="1389">
                  <c:v>4.2395980000000124</c:v>
                </c:pt>
                <c:pt idx="1390">
                  <c:v>3.9788609999999967</c:v>
                </c:pt>
                <c:pt idx="1391">
                  <c:v>3.4607030000000001</c:v>
                </c:pt>
                <c:pt idx="1392">
                  <c:v>2.8106569999999755</c:v>
                </c:pt>
                <c:pt idx="1393">
                  <c:v>2.8677670000000002</c:v>
                </c:pt>
                <c:pt idx="1394">
                  <c:v>2.6957140000000002</c:v>
                </c:pt>
                <c:pt idx="1395">
                  <c:v>2.7741150000000001</c:v>
                </c:pt>
                <c:pt idx="1396">
                  <c:v>2.8943819999999998</c:v>
                </c:pt>
                <c:pt idx="1397">
                  <c:v>3.1705939999999999</c:v>
                </c:pt>
                <c:pt idx="1398">
                  <c:v>3.0667239999999998</c:v>
                </c:pt>
                <c:pt idx="1399">
                  <c:v>3.5647280000000001</c:v>
                </c:pt>
                <c:pt idx="1400">
                  <c:v>3.3952729999999764</c:v>
                </c:pt>
                <c:pt idx="1401">
                  <c:v>3.7102539999999977</c:v>
                </c:pt>
                <c:pt idx="1402">
                  <c:v>3.5410279999999998</c:v>
                </c:pt>
                <c:pt idx="1403">
                  <c:v>3.7871640000000251</c:v>
                </c:pt>
                <c:pt idx="1404">
                  <c:v>3.3227879999999987</c:v>
                </c:pt>
                <c:pt idx="1405">
                  <c:v>3.3864379999999987</c:v>
                </c:pt>
                <c:pt idx="1406">
                  <c:v>3.6395940000000002</c:v>
                </c:pt>
                <c:pt idx="1407">
                  <c:v>3.2898579999999997</c:v>
                </c:pt>
                <c:pt idx="1409">
                  <c:v>3.4415439999999977</c:v>
                </c:pt>
                <c:pt idx="1410">
                  <c:v>3.2738969999999998</c:v>
                </c:pt>
                <c:pt idx="1411">
                  <c:v>3.3939189999999977</c:v>
                </c:pt>
                <c:pt idx="1412">
                  <c:v>3.251277</c:v>
                </c:pt>
                <c:pt idx="1413">
                  <c:v>3.1760279999999987</c:v>
                </c:pt>
                <c:pt idx="1414">
                  <c:v>3.0691709999999999</c:v>
                </c:pt>
                <c:pt idx="1415">
                  <c:v>3.8108229999999779</c:v>
                </c:pt>
                <c:pt idx="1416">
                  <c:v>4.3784549999999856</c:v>
                </c:pt>
                <c:pt idx="1417">
                  <c:v>4.4808700000000004</c:v>
                </c:pt>
                <c:pt idx="1418">
                  <c:v>4.1277929999999845</c:v>
                </c:pt>
                <c:pt idx="1419">
                  <c:v>4.2457180000000001</c:v>
                </c:pt>
                <c:pt idx="1420">
                  <c:v>4.1999169999999655</c:v>
                </c:pt>
                <c:pt idx="1421">
                  <c:v>4.2037430000000393</c:v>
                </c:pt>
                <c:pt idx="1422">
                  <c:v>4.3388070000000001</c:v>
                </c:pt>
                <c:pt idx="1423">
                  <c:v>4.3719939999999999</c:v>
                </c:pt>
                <c:pt idx="1424">
                  <c:v>4.5715290000000124</c:v>
                </c:pt>
                <c:pt idx="1425">
                  <c:v>5.0519990000000004</c:v>
                </c:pt>
                <c:pt idx="1426">
                  <c:v>4.8905449999999755</c:v>
                </c:pt>
                <c:pt idx="1427">
                  <c:v>4.4790980000000475</c:v>
                </c:pt>
                <c:pt idx="1428">
                  <c:v>4.9300590000000124</c:v>
                </c:pt>
                <c:pt idx="1429">
                  <c:v>5.0909859999999645</c:v>
                </c:pt>
                <c:pt idx="1430">
                  <c:v>5.4393280000000521</c:v>
                </c:pt>
                <c:pt idx="1432">
                  <c:v>5.4551930000000004</c:v>
                </c:pt>
                <c:pt idx="1433">
                  <c:v>4.7868550000000001</c:v>
                </c:pt>
                <c:pt idx="1434">
                  <c:v>5.5383079999999998</c:v>
                </c:pt>
                <c:pt idx="1435">
                  <c:v>5.2954889999999946</c:v>
                </c:pt>
                <c:pt idx="1436">
                  <c:v>4.7036400000000134</c:v>
                </c:pt>
                <c:pt idx="1437">
                  <c:v>4.8715489999999999</c:v>
                </c:pt>
                <c:pt idx="1438">
                  <c:v>4.5284719999999945</c:v>
                </c:pt>
                <c:pt idx="1439">
                  <c:v>4.7024059999999945</c:v>
                </c:pt>
                <c:pt idx="1440">
                  <c:v>5.8625029999999745</c:v>
                </c:pt>
                <c:pt idx="1441">
                  <c:v>6.1514849999999655</c:v>
                </c:pt>
                <c:pt idx="1442">
                  <c:v>5.9147220000000003</c:v>
                </c:pt>
                <c:pt idx="1443">
                  <c:v>5.9306359999999998</c:v>
                </c:pt>
                <c:pt idx="1444">
                  <c:v>5.7549579999999745</c:v>
                </c:pt>
                <c:pt idx="1445">
                  <c:v>5.9847530000000004</c:v>
                </c:pt>
                <c:pt idx="1446">
                  <c:v>5.9727069999999998</c:v>
                </c:pt>
                <c:pt idx="1447">
                  <c:v>5.8438270000000001</c:v>
                </c:pt>
                <c:pt idx="1448">
                  <c:v>5.8203739999999975</c:v>
                </c:pt>
                <c:pt idx="1449">
                  <c:v>5.9564649999999997</c:v>
                </c:pt>
                <c:pt idx="1450">
                  <c:v>6.0213149999999755</c:v>
                </c:pt>
                <c:pt idx="1451">
                  <c:v>6.1341819999999645</c:v>
                </c:pt>
                <c:pt idx="1452">
                  <c:v>6.0252499999999998</c:v>
                </c:pt>
                <c:pt idx="1453">
                  <c:v>5.7400219999999997</c:v>
                </c:pt>
                <c:pt idx="1455">
                  <c:v>5.7425699999999997</c:v>
                </c:pt>
                <c:pt idx="1456">
                  <c:v>5.4839010000000004</c:v>
                </c:pt>
                <c:pt idx="1457">
                  <c:v>5.5177670000000001</c:v>
                </c:pt>
                <c:pt idx="1458">
                  <c:v>5.6177019999999755</c:v>
                </c:pt>
                <c:pt idx="1459">
                  <c:v>5.6294909999999945</c:v>
                </c:pt>
                <c:pt idx="1460">
                  <c:v>5.6981749999999645</c:v>
                </c:pt>
                <c:pt idx="1461">
                  <c:v>5.4507459999999996</c:v>
                </c:pt>
                <c:pt idx="1462">
                  <c:v>5.5413110000000003</c:v>
                </c:pt>
                <c:pt idx="1463">
                  <c:v>4.8425559999999646</c:v>
                </c:pt>
                <c:pt idx="1464">
                  <c:v>3.9452769999999977</c:v>
                </c:pt>
                <c:pt idx="1465">
                  <c:v>3.89018</c:v>
                </c:pt>
                <c:pt idx="1466">
                  <c:v>3.9530119999999997</c:v>
                </c:pt>
                <c:pt idx="1467">
                  <c:v>3.987663</c:v>
                </c:pt>
                <c:pt idx="1468">
                  <c:v>4.1873290000000001</c:v>
                </c:pt>
                <c:pt idx="1469">
                  <c:v>4.0866509999999998</c:v>
                </c:pt>
                <c:pt idx="1470">
                  <c:v>3.9936919999999998</c:v>
                </c:pt>
                <c:pt idx="1471">
                  <c:v>4.1450159999999645</c:v>
                </c:pt>
                <c:pt idx="1472">
                  <c:v>4.2523809999999855</c:v>
                </c:pt>
                <c:pt idx="1473">
                  <c:v>4.571769000000053</c:v>
                </c:pt>
                <c:pt idx="1474">
                  <c:v>4.8445729999999845</c:v>
                </c:pt>
                <c:pt idx="1475">
                  <c:v>4.2752109999999997</c:v>
                </c:pt>
                <c:pt idx="1476">
                  <c:v>4.0380089999999997</c:v>
                </c:pt>
                <c:pt idx="1478">
                  <c:v>4.2289959999999756</c:v>
                </c:pt>
                <c:pt idx="1479">
                  <c:v>4.5378210000000001</c:v>
                </c:pt>
                <c:pt idx="1480">
                  <c:v>4.3257919999999945</c:v>
                </c:pt>
                <c:pt idx="1481">
                  <c:v>4.2832379999999999</c:v>
                </c:pt>
                <c:pt idx="1482">
                  <c:v>4.4398600000000421</c:v>
                </c:pt>
                <c:pt idx="1483">
                  <c:v>4.1356419999999998</c:v>
                </c:pt>
                <c:pt idx="1484">
                  <c:v>4.090821</c:v>
                </c:pt>
                <c:pt idx="1485">
                  <c:v>4.2125459999999855</c:v>
                </c:pt>
                <c:pt idx="1486">
                  <c:v>4.0436360000000002</c:v>
                </c:pt>
                <c:pt idx="1487">
                  <c:v>3.6696179999999998</c:v>
                </c:pt>
                <c:pt idx="1488">
                  <c:v>3.3016679999999967</c:v>
                </c:pt>
                <c:pt idx="1489">
                  <c:v>3.2630040000000204</c:v>
                </c:pt>
                <c:pt idx="1490">
                  <c:v>3.3500959999999829</c:v>
                </c:pt>
                <c:pt idx="1491">
                  <c:v>3.2452009999999998</c:v>
                </c:pt>
                <c:pt idx="1492">
                  <c:v>3.4847630000000001</c:v>
                </c:pt>
                <c:pt idx="1493">
                  <c:v>3.2686449999999998</c:v>
                </c:pt>
                <c:pt idx="1494">
                  <c:v>3.2817479999999999</c:v>
                </c:pt>
                <c:pt idx="1495">
                  <c:v>3.4562439999999692</c:v>
                </c:pt>
                <c:pt idx="1496">
                  <c:v>3.64167</c:v>
                </c:pt>
                <c:pt idx="1497">
                  <c:v>3.9358289999999769</c:v>
                </c:pt>
                <c:pt idx="1498">
                  <c:v>3.9558609999999779</c:v>
                </c:pt>
                <c:pt idx="1499">
                  <c:v>4.0130739999999996</c:v>
                </c:pt>
                <c:pt idx="1501">
                  <c:v>3.752704</c:v>
                </c:pt>
                <c:pt idx="1502">
                  <c:v>4.0203559999999845</c:v>
                </c:pt>
                <c:pt idx="1503">
                  <c:v>3.9679380000000002</c:v>
                </c:pt>
                <c:pt idx="1504">
                  <c:v>3.9311979999999997</c:v>
                </c:pt>
                <c:pt idx="1505">
                  <c:v>3.6096810000000001</c:v>
                </c:pt>
                <c:pt idx="1506">
                  <c:v>3.6505570000000001</c:v>
                </c:pt>
                <c:pt idx="1507">
                  <c:v>3.528105</c:v>
                </c:pt>
                <c:pt idx="1508">
                  <c:v>3.5309719999999998</c:v>
                </c:pt>
                <c:pt idx="1509">
                  <c:v>3.4714909999999977</c:v>
                </c:pt>
                <c:pt idx="1510">
                  <c:v>3.4530129999999977</c:v>
                </c:pt>
                <c:pt idx="1511">
                  <c:v>3.497217</c:v>
                </c:pt>
                <c:pt idx="1512">
                  <c:v>3.6216270000000002</c:v>
                </c:pt>
                <c:pt idx="1513">
                  <c:v>3.6621049999999999</c:v>
                </c:pt>
                <c:pt idx="1514">
                  <c:v>3.3185929999999977</c:v>
                </c:pt>
                <c:pt idx="1515">
                  <c:v>3.2977889999999999</c:v>
                </c:pt>
                <c:pt idx="1516">
                  <c:v>3.5650849999999998</c:v>
                </c:pt>
                <c:pt idx="1517">
                  <c:v>3.4513749999999987</c:v>
                </c:pt>
                <c:pt idx="1518">
                  <c:v>3.5744989999999977</c:v>
                </c:pt>
                <c:pt idx="1519">
                  <c:v>3.6280730000000001</c:v>
                </c:pt>
                <c:pt idx="1520">
                  <c:v>3.3555569999999784</c:v>
                </c:pt>
                <c:pt idx="1521">
                  <c:v>3.124425</c:v>
                </c:pt>
                <c:pt idx="1522">
                  <c:v>3.5299549999999997</c:v>
                </c:pt>
                <c:pt idx="1524">
                  <c:v>3.8725159999999779</c:v>
                </c:pt>
                <c:pt idx="1525">
                  <c:v>3.0649130000000002</c:v>
                </c:pt>
                <c:pt idx="1526">
                  <c:v>2.8009759999999977</c:v>
                </c:pt>
                <c:pt idx="1527">
                  <c:v>3.0488629999999977</c:v>
                </c:pt>
                <c:pt idx="1528">
                  <c:v>3.4728749999999811</c:v>
                </c:pt>
                <c:pt idx="1529">
                  <c:v>3.0501260000000001</c:v>
                </c:pt>
                <c:pt idx="1530">
                  <c:v>2.998821</c:v>
                </c:pt>
                <c:pt idx="1531">
                  <c:v>3.3560999999999779</c:v>
                </c:pt>
                <c:pt idx="1532">
                  <c:v>3.0201330000000164</c:v>
                </c:pt>
                <c:pt idx="1533">
                  <c:v>2.7729729999999977</c:v>
                </c:pt>
                <c:pt idx="1534">
                  <c:v>3.039523</c:v>
                </c:pt>
                <c:pt idx="1535">
                  <c:v>3.7288130000000002</c:v>
                </c:pt>
                <c:pt idx="1536">
                  <c:v>3.8348709999999819</c:v>
                </c:pt>
                <c:pt idx="1537">
                  <c:v>3.8711819999999997</c:v>
                </c:pt>
                <c:pt idx="1538">
                  <c:v>3.574919</c:v>
                </c:pt>
                <c:pt idx="1539">
                  <c:v>3.478297</c:v>
                </c:pt>
                <c:pt idx="1540">
                  <c:v>3.9548249999999987</c:v>
                </c:pt>
                <c:pt idx="1541">
                  <c:v>4.0446770000000001</c:v>
                </c:pt>
                <c:pt idx="1542">
                  <c:v>4.3320990000000004</c:v>
                </c:pt>
                <c:pt idx="1543">
                  <c:v>4.4731709999999998</c:v>
                </c:pt>
                <c:pt idx="1546">
                  <c:v>4.0969249999999855</c:v>
                </c:pt>
                <c:pt idx="1547">
                  <c:v>4.0063029999999999</c:v>
                </c:pt>
                <c:pt idx="1548">
                  <c:v>3.9723329999999977</c:v>
                </c:pt>
                <c:pt idx="1549">
                  <c:v>3.9970569999999968</c:v>
                </c:pt>
                <c:pt idx="1550">
                  <c:v>4.3431769999999945</c:v>
                </c:pt>
                <c:pt idx="1551">
                  <c:v>3.7578019999999999</c:v>
                </c:pt>
                <c:pt idx="1552">
                  <c:v>3.9950129999999819</c:v>
                </c:pt>
                <c:pt idx="1553">
                  <c:v>3.6143260000000001</c:v>
                </c:pt>
                <c:pt idx="1554">
                  <c:v>4.0145739999999845</c:v>
                </c:pt>
                <c:pt idx="1555">
                  <c:v>3.6629119999999999</c:v>
                </c:pt>
                <c:pt idx="1556">
                  <c:v>3.5774349999999999</c:v>
                </c:pt>
                <c:pt idx="1557">
                  <c:v>3.4985789999999977</c:v>
                </c:pt>
                <c:pt idx="1558">
                  <c:v>3.645756</c:v>
                </c:pt>
                <c:pt idx="1559">
                  <c:v>4.0503609999999997</c:v>
                </c:pt>
                <c:pt idx="1560">
                  <c:v>4.5674069999999745</c:v>
                </c:pt>
                <c:pt idx="1561">
                  <c:v>4.2872599999999998</c:v>
                </c:pt>
                <c:pt idx="1562">
                  <c:v>4.5196040000000002</c:v>
                </c:pt>
                <c:pt idx="1563">
                  <c:v>4.5596909999999999</c:v>
                </c:pt>
                <c:pt idx="1564">
                  <c:v>4.3320280000000002</c:v>
                </c:pt>
                <c:pt idx="1565">
                  <c:v>4.3988109999999745</c:v>
                </c:pt>
                <c:pt idx="1566">
                  <c:v>4.4215419999999996</c:v>
                </c:pt>
                <c:pt idx="1567">
                  <c:v>4.5764880000000003</c:v>
                </c:pt>
                <c:pt idx="1568">
                  <c:v>4.8472619999999997</c:v>
                </c:pt>
                <c:pt idx="1569">
                  <c:v>4.9067850000000002</c:v>
                </c:pt>
                <c:pt idx="1571">
                  <c:v>5.0719649999999996</c:v>
                </c:pt>
                <c:pt idx="1572">
                  <c:v>5.0788089999999997</c:v>
                </c:pt>
                <c:pt idx="1573">
                  <c:v>4.9396140000000024</c:v>
                </c:pt>
                <c:pt idx="1574">
                  <c:v>5.0566240000000002</c:v>
                </c:pt>
                <c:pt idx="1575">
                  <c:v>5.058338</c:v>
                </c:pt>
                <c:pt idx="1576">
                  <c:v>5.0820299999999996</c:v>
                </c:pt>
                <c:pt idx="1577">
                  <c:v>4.731543000000042</c:v>
                </c:pt>
                <c:pt idx="1578">
                  <c:v>4.7085410000000003</c:v>
                </c:pt>
                <c:pt idx="1579">
                  <c:v>4.5304209999999996</c:v>
                </c:pt>
                <c:pt idx="1580">
                  <c:v>4.6832390000000004</c:v>
                </c:pt>
                <c:pt idx="1581">
                  <c:v>4.5154129999999855</c:v>
                </c:pt>
                <c:pt idx="1582">
                  <c:v>4.3089829999999845</c:v>
                </c:pt>
                <c:pt idx="1583">
                  <c:v>4.2984229999999997</c:v>
                </c:pt>
                <c:pt idx="1584">
                  <c:v>4.3044999999999956</c:v>
                </c:pt>
                <c:pt idx="1585">
                  <c:v>4.4702470000000494</c:v>
                </c:pt>
                <c:pt idx="1586">
                  <c:v>3.9442240000000002</c:v>
                </c:pt>
                <c:pt idx="1587">
                  <c:v>3.5804579999999997</c:v>
                </c:pt>
                <c:pt idx="1588">
                  <c:v>3.9163829999999829</c:v>
                </c:pt>
                <c:pt idx="1589">
                  <c:v>4.0602229999999997</c:v>
                </c:pt>
                <c:pt idx="1590">
                  <c:v>4.041247000000042</c:v>
                </c:pt>
                <c:pt idx="1591">
                  <c:v>4.4448119999999856</c:v>
                </c:pt>
                <c:pt idx="1592">
                  <c:v>4.4099180000000002</c:v>
                </c:pt>
                <c:pt idx="1594">
                  <c:v>4.4498240000000004</c:v>
                </c:pt>
                <c:pt idx="1595">
                  <c:v>4.3379509999999755</c:v>
                </c:pt>
                <c:pt idx="1596">
                  <c:v>4.3323619999999998</c:v>
                </c:pt>
                <c:pt idx="1597">
                  <c:v>3.8034569999999968</c:v>
                </c:pt>
                <c:pt idx="1598">
                  <c:v>4.0107280000000003</c:v>
                </c:pt>
                <c:pt idx="1599">
                  <c:v>4.0131499999999996</c:v>
                </c:pt>
                <c:pt idx="1600">
                  <c:v>4.1574629999999955</c:v>
                </c:pt>
                <c:pt idx="1601">
                  <c:v>4.1845819999999545</c:v>
                </c:pt>
                <c:pt idx="1602">
                  <c:v>4.0651289999999856</c:v>
                </c:pt>
                <c:pt idx="1603">
                  <c:v>4.0583729999999996</c:v>
                </c:pt>
                <c:pt idx="1604">
                  <c:v>3.8463419999999977</c:v>
                </c:pt>
                <c:pt idx="1605">
                  <c:v>4.5395880000000002</c:v>
                </c:pt>
                <c:pt idx="1606">
                  <c:v>4.7553660000000004</c:v>
                </c:pt>
                <c:pt idx="1607">
                  <c:v>4.7501059999999855</c:v>
                </c:pt>
                <c:pt idx="1608">
                  <c:v>4.7787899999999999</c:v>
                </c:pt>
                <c:pt idx="1609">
                  <c:v>4.9142910000000004</c:v>
                </c:pt>
                <c:pt idx="1610">
                  <c:v>4.5311610000000124</c:v>
                </c:pt>
                <c:pt idx="1611">
                  <c:v>4.8404339999999975</c:v>
                </c:pt>
                <c:pt idx="1612">
                  <c:v>5.1504989999999955</c:v>
                </c:pt>
                <c:pt idx="1613">
                  <c:v>5.3597349999999855</c:v>
                </c:pt>
                <c:pt idx="1614">
                  <c:v>5.0960910000000004</c:v>
                </c:pt>
                <c:pt idx="1615">
                  <c:v>4.4922180000000003</c:v>
                </c:pt>
                <c:pt idx="1617">
                  <c:v>5.2848920000000001</c:v>
                </c:pt>
                <c:pt idx="1618">
                  <c:v>5.2494079999999999</c:v>
                </c:pt>
                <c:pt idx="1619">
                  <c:v>5.9226049999999955</c:v>
                </c:pt>
                <c:pt idx="1620">
                  <c:v>5.7392270000000494</c:v>
                </c:pt>
                <c:pt idx="1621">
                  <c:v>6.1966400000000004</c:v>
                </c:pt>
                <c:pt idx="1622">
                  <c:v>6.1968430000000003</c:v>
                </c:pt>
                <c:pt idx="1623">
                  <c:v>5.8898929999999998</c:v>
                </c:pt>
                <c:pt idx="1624">
                  <c:v>5.5156200000000002</c:v>
                </c:pt>
                <c:pt idx="1625">
                  <c:v>5.0905859999999645</c:v>
                </c:pt>
                <c:pt idx="1626">
                  <c:v>4.8719070000000002</c:v>
                </c:pt>
                <c:pt idx="1627">
                  <c:v>5.1513030000000004</c:v>
                </c:pt>
                <c:pt idx="1628">
                  <c:v>4.669149</c:v>
                </c:pt>
                <c:pt idx="1629">
                  <c:v>4.5631579999999845</c:v>
                </c:pt>
                <c:pt idx="1630">
                  <c:v>4.6773030000000002</c:v>
                </c:pt>
                <c:pt idx="1631">
                  <c:v>5.2348879999999856</c:v>
                </c:pt>
                <c:pt idx="1632">
                  <c:v>5.4146219999999996</c:v>
                </c:pt>
                <c:pt idx="1633">
                  <c:v>6.2503390000000003</c:v>
                </c:pt>
                <c:pt idx="1634">
                  <c:v>6.0853089999999996</c:v>
                </c:pt>
                <c:pt idx="1635">
                  <c:v>5.9643930000000003</c:v>
                </c:pt>
                <c:pt idx="1636">
                  <c:v>6.3109119999999646</c:v>
                </c:pt>
                <c:pt idx="1637">
                  <c:v>6.1879219999999755</c:v>
                </c:pt>
                <c:pt idx="1638">
                  <c:v>6.0197839999999996</c:v>
                </c:pt>
                <c:pt idx="1640">
                  <c:v>6.0228649999999755</c:v>
                </c:pt>
                <c:pt idx="1641">
                  <c:v>6.4017930000000494</c:v>
                </c:pt>
                <c:pt idx="1642">
                  <c:v>6.2668660000000003</c:v>
                </c:pt>
                <c:pt idx="1643">
                  <c:v>6.2580989999999996</c:v>
                </c:pt>
                <c:pt idx="1644">
                  <c:v>5.6681869999999472</c:v>
                </c:pt>
                <c:pt idx="1645">
                  <c:v>5.4058169999999945</c:v>
                </c:pt>
                <c:pt idx="1646">
                  <c:v>5.3873090000000001</c:v>
                </c:pt>
                <c:pt idx="1647">
                  <c:v>5.0497040000000002</c:v>
                </c:pt>
                <c:pt idx="1648">
                  <c:v>5.0565839999999955</c:v>
                </c:pt>
                <c:pt idx="1649">
                  <c:v>4.961292000000042</c:v>
                </c:pt>
                <c:pt idx="1650">
                  <c:v>5.12563499999996</c:v>
                </c:pt>
                <c:pt idx="1651">
                  <c:v>5.0946009999999955</c:v>
                </c:pt>
                <c:pt idx="1652">
                  <c:v>4.9283260000000002</c:v>
                </c:pt>
                <c:pt idx="1653">
                  <c:v>4.6578199999999645</c:v>
                </c:pt>
                <c:pt idx="1654">
                  <c:v>4.5579399999999755</c:v>
                </c:pt>
                <c:pt idx="1655">
                  <c:v>4.0446109999999855</c:v>
                </c:pt>
                <c:pt idx="1656">
                  <c:v>3.9207939999999999</c:v>
                </c:pt>
                <c:pt idx="1657">
                  <c:v>4.0968999999999998</c:v>
                </c:pt>
                <c:pt idx="1658">
                  <c:v>4.3383630000000384</c:v>
                </c:pt>
                <c:pt idx="1659">
                  <c:v>4.6553949999999755</c:v>
                </c:pt>
                <c:pt idx="1660">
                  <c:v>4.5371930000000003</c:v>
                </c:pt>
                <c:pt idx="1661">
                  <c:v>4.4465440000000003</c:v>
                </c:pt>
                <c:pt idx="1662">
                  <c:v>4.6483039999999995</c:v>
                </c:pt>
                <c:pt idx="1663">
                  <c:v>4.840128</c:v>
                </c:pt>
                <c:pt idx="1664">
                  <c:v>5.0185749999999745</c:v>
                </c:pt>
                <c:pt idx="1665">
                  <c:v>4.8411479999999996</c:v>
                </c:pt>
                <c:pt idx="1667">
                  <c:v>4.5213539999999997</c:v>
                </c:pt>
                <c:pt idx="1668">
                  <c:v>4.4262690000000458</c:v>
                </c:pt>
                <c:pt idx="1669">
                  <c:v>4.4306850000000004</c:v>
                </c:pt>
                <c:pt idx="1670">
                  <c:v>5.0449919999999855</c:v>
                </c:pt>
                <c:pt idx="1671">
                  <c:v>6.6254479999999845</c:v>
                </c:pt>
                <c:pt idx="1672">
                  <c:v>8.4905260000000027</c:v>
                </c:pt>
                <c:pt idx="1673">
                  <c:v>8.7053400000000014</c:v>
                </c:pt>
                <c:pt idx="1674">
                  <c:v>6.9900919999999998</c:v>
                </c:pt>
                <c:pt idx="1675">
                  <c:v>5.8848839999999845</c:v>
                </c:pt>
                <c:pt idx="1676">
                  <c:v>5.2592580000000124</c:v>
                </c:pt>
                <c:pt idx="1677">
                  <c:v>4.6650579999999655</c:v>
                </c:pt>
                <c:pt idx="1678">
                  <c:v>4.0324200000000001</c:v>
                </c:pt>
                <c:pt idx="1679">
                  <c:v>5.6474690000000001</c:v>
                </c:pt>
                <c:pt idx="1680">
                  <c:v>6.4874530000000004</c:v>
                </c:pt>
                <c:pt idx="1681">
                  <c:v>6.0267489999999997</c:v>
                </c:pt>
                <c:pt idx="1682">
                  <c:v>6.963794</c:v>
                </c:pt>
                <c:pt idx="1683">
                  <c:v>8.5752130000000015</c:v>
                </c:pt>
                <c:pt idx="1684">
                  <c:v>9.0643050000000009</c:v>
                </c:pt>
                <c:pt idx="1685">
                  <c:v>8.3640820000000247</c:v>
                </c:pt>
                <c:pt idx="1686">
                  <c:v>7.2765979999999999</c:v>
                </c:pt>
                <c:pt idx="1687">
                  <c:v>6.2851720000000002</c:v>
                </c:pt>
                <c:pt idx="1688">
                  <c:v>6.9614149999999855</c:v>
                </c:pt>
                <c:pt idx="1690">
                  <c:v>5.6460470000000003</c:v>
                </c:pt>
                <c:pt idx="1691">
                  <c:v>4.6813010000000004</c:v>
                </c:pt>
                <c:pt idx="1692">
                  <c:v>4.1079559999999509</c:v>
                </c:pt>
                <c:pt idx="1693">
                  <c:v>4.2588509999999955</c:v>
                </c:pt>
                <c:pt idx="1694">
                  <c:v>4.1605029999999745</c:v>
                </c:pt>
                <c:pt idx="1695">
                  <c:v>3.8180489999999692</c:v>
                </c:pt>
                <c:pt idx="1696">
                  <c:v>4.1855519999999755</c:v>
                </c:pt>
                <c:pt idx="1697">
                  <c:v>4.4698209999999996</c:v>
                </c:pt>
                <c:pt idx="1698">
                  <c:v>4.5566849999999945</c:v>
                </c:pt>
                <c:pt idx="1699">
                  <c:v>4.4455770000000001</c:v>
                </c:pt>
                <c:pt idx="1700">
                  <c:v>4.4282769999999996</c:v>
                </c:pt>
                <c:pt idx="1701">
                  <c:v>4.7369659999999998</c:v>
                </c:pt>
                <c:pt idx="1702">
                  <c:v>4.6865099999999975</c:v>
                </c:pt>
                <c:pt idx="1703">
                  <c:v>4.6576319999999845</c:v>
                </c:pt>
                <c:pt idx="1704">
                  <c:v>4.5066819999999996</c:v>
                </c:pt>
                <c:pt idx="1705">
                  <c:v>4.4512140000000002</c:v>
                </c:pt>
                <c:pt idx="1706">
                  <c:v>3.967778</c:v>
                </c:pt>
                <c:pt idx="1707">
                  <c:v>4.1892659999999999</c:v>
                </c:pt>
                <c:pt idx="1708">
                  <c:v>4.4871799999999995</c:v>
                </c:pt>
                <c:pt idx="1709">
                  <c:v>4.4587750000000002</c:v>
                </c:pt>
                <c:pt idx="1710">
                  <c:v>4.6069819999999755</c:v>
                </c:pt>
                <c:pt idx="1711">
                  <c:v>4.6754259999999945</c:v>
                </c:pt>
                <c:pt idx="1713">
                  <c:v>5.0992920000000383</c:v>
                </c:pt>
                <c:pt idx="1714">
                  <c:v>4.9240589999999855</c:v>
                </c:pt>
                <c:pt idx="1715">
                  <c:v>4.8700260000000002</c:v>
                </c:pt>
                <c:pt idx="1716">
                  <c:v>4.8594670000000004</c:v>
                </c:pt>
                <c:pt idx="1717">
                  <c:v>4.5829789999999955</c:v>
                </c:pt>
                <c:pt idx="1718">
                  <c:v>4.6793529999999999</c:v>
                </c:pt>
                <c:pt idx="1719">
                  <c:v>4.9482049999999997</c:v>
                </c:pt>
                <c:pt idx="1720">
                  <c:v>6.1925009999999645</c:v>
                </c:pt>
                <c:pt idx="1721">
                  <c:v>6.2108420000000004</c:v>
                </c:pt>
                <c:pt idx="1722">
                  <c:v>6.7764889999999998</c:v>
                </c:pt>
                <c:pt idx="1723">
                  <c:v>5.9151559999999845</c:v>
                </c:pt>
                <c:pt idx="1724">
                  <c:v>5.4891550000000002</c:v>
                </c:pt>
                <c:pt idx="1725">
                  <c:v>5.1459789999999845</c:v>
                </c:pt>
                <c:pt idx="1726">
                  <c:v>4.9225969999999855</c:v>
                </c:pt>
                <c:pt idx="1727">
                  <c:v>4.7496790000000448</c:v>
                </c:pt>
                <c:pt idx="1728">
                  <c:v>5.8237819999999845</c:v>
                </c:pt>
                <c:pt idx="1729">
                  <c:v>4.9881690000000134</c:v>
                </c:pt>
                <c:pt idx="1730">
                  <c:v>4.5782980000000393</c:v>
                </c:pt>
                <c:pt idx="1731">
                  <c:v>4.4920790000000004</c:v>
                </c:pt>
                <c:pt idx="1732">
                  <c:v>4.4080250000000003</c:v>
                </c:pt>
                <c:pt idx="1733">
                  <c:v>4.4718970000000402</c:v>
                </c:pt>
                <c:pt idx="1734">
                  <c:v>4.4036030000000439</c:v>
                </c:pt>
                <c:pt idx="1736">
                  <c:v>5.2456759999999996</c:v>
                </c:pt>
                <c:pt idx="1737">
                  <c:v>6.2921249999999755</c:v>
                </c:pt>
                <c:pt idx="1738">
                  <c:v>5.5663039999999997</c:v>
                </c:pt>
                <c:pt idx="1739">
                  <c:v>5.6354059999999855</c:v>
                </c:pt>
                <c:pt idx="1740">
                  <c:v>5.8052510000000002</c:v>
                </c:pt>
                <c:pt idx="1741">
                  <c:v>6.6571029999999745</c:v>
                </c:pt>
                <c:pt idx="1742">
                  <c:v>6.8124999999999956</c:v>
                </c:pt>
                <c:pt idx="1743">
                  <c:v>7.5157069999999955</c:v>
                </c:pt>
                <c:pt idx="1744">
                  <c:v>9.0550230000000003</c:v>
                </c:pt>
                <c:pt idx="1745">
                  <c:v>12.98005</c:v>
                </c:pt>
                <c:pt idx="1746">
                  <c:v>10.173690000000002</c:v>
                </c:pt>
                <c:pt idx="1747">
                  <c:v>7.7218739999999997</c:v>
                </c:pt>
                <c:pt idx="1748">
                  <c:v>7.0872219999999997</c:v>
                </c:pt>
                <c:pt idx="1749">
                  <c:v>6.4167040000000002</c:v>
                </c:pt>
                <c:pt idx="1750">
                  <c:v>5.9171269999999945</c:v>
                </c:pt>
                <c:pt idx="1751">
                  <c:v>5.6500069999999845</c:v>
                </c:pt>
                <c:pt idx="1752">
                  <c:v>5.2847489999999997</c:v>
                </c:pt>
                <c:pt idx="1753">
                  <c:v>6.2108970000000001</c:v>
                </c:pt>
                <c:pt idx="1754">
                  <c:v>4.6262270000000001</c:v>
                </c:pt>
                <c:pt idx="1755">
                  <c:v>4.1395339999999985</c:v>
                </c:pt>
                <c:pt idx="1756">
                  <c:v>4.0203569999999855</c:v>
                </c:pt>
                <c:pt idx="1757">
                  <c:v>4.0486950000000004</c:v>
                </c:pt>
                <c:pt idx="1759">
                  <c:v>4.1475189999999609</c:v>
                </c:pt>
                <c:pt idx="1760">
                  <c:v>4.3352750000000002</c:v>
                </c:pt>
                <c:pt idx="1761">
                  <c:v>5.3298459999999945</c:v>
                </c:pt>
                <c:pt idx="1762">
                  <c:v>8.8118689999999997</c:v>
                </c:pt>
                <c:pt idx="1763">
                  <c:v>16.403929999999889</c:v>
                </c:pt>
                <c:pt idx="1764">
                  <c:v>11.7637</c:v>
                </c:pt>
                <c:pt idx="1765">
                  <c:v>12.79678</c:v>
                </c:pt>
                <c:pt idx="1766">
                  <c:v>8.8540960000000268</c:v>
                </c:pt>
                <c:pt idx="1767">
                  <c:v>9.9596090000000768</c:v>
                </c:pt>
                <c:pt idx="1768">
                  <c:v>17.299589999999853</c:v>
                </c:pt>
                <c:pt idx="1769">
                  <c:v>10.334200000000001</c:v>
                </c:pt>
                <c:pt idx="1770">
                  <c:v>11.031289999999998</c:v>
                </c:pt>
                <c:pt idx="1771">
                  <c:v>9.4162330000000001</c:v>
                </c:pt>
                <c:pt idx="1772">
                  <c:v>9.8432040000000001</c:v>
                </c:pt>
                <c:pt idx="1773">
                  <c:v>8.9079639999999998</c:v>
                </c:pt>
                <c:pt idx="1774">
                  <c:v>8.2748390000000001</c:v>
                </c:pt>
                <c:pt idx="1775">
                  <c:v>7.4825309999999945</c:v>
                </c:pt>
                <c:pt idx="1776">
                  <c:v>5.3119990000000001</c:v>
                </c:pt>
                <c:pt idx="1777">
                  <c:v>4.5333690000000448</c:v>
                </c:pt>
                <c:pt idx="1778">
                  <c:v>3.6694249999999999</c:v>
                </c:pt>
                <c:pt idx="1779">
                  <c:v>3.7029399999999999</c:v>
                </c:pt>
                <c:pt idx="1780">
                  <c:v>3.5081289999999998</c:v>
                </c:pt>
                <c:pt idx="1782">
                  <c:v>3.7602210000000205</c:v>
                </c:pt>
                <c:pt idx="1783">
                  <c:v>3.6520389999999967</c:v>
                </c:pt>
                <c:pt idx="1784">
                  <c:v>3.9593919999999998</c:v>
                </c:pt>
                <c:pt idx="1785">
                  <c:v>3.940706</c:v>
                </c:pt>
                <c:pt idx="1786">
                  <c:v>3.8734609999999967</c:v>
                </c:pt>
                <c:pt idx="1787">
                  <c:v>3.7177500000000001</c:v>
                </c:pt>
                <c:pt idx="1788">
                  <c:v>4.0426770000000003</c:v>
                </c:pt>
                <c:pt idx="1789">
                  <c:v>4.2538450000000001</c:v>
                </c:pt>
                <c:pt idx="1790">
                  <c:v>4.0037649999999996</c:v>
                </c:pt>
                <c:pt idx="1791">
                  <c:v>4.7473400000000003</c:v>
                </c:pt>
                <c:pt idx="1792">
                  <c:v>4.6580279999999945</c:v>
                </c:pt>
                <c:pt idx="1793">
                  <c:v>4.5593450000000004</c:v>
                </c:pt>
                <c:pt idx="1794">
                  <c:v>4.0883479999999999</c:v>
                </c:pt>
                <c:pt idx="1795">
                  <c:v>3.8813040000000001</c:v>
                </c:pt>
                <c:pt idx="1796">
                  <c:v>3.9363509999999819</c:v>
                </c:pt>
                <c:pt idx="1797">
                  <c:v>3.9063330000000001</c:v>
                </c:pt>
                <c:pt idx="1798">
                  <c:v>4.1375389999999745</c:v>
                </c:pt>
                <c:pt idx="1799">
                  <c:v>4.3831439999999997</c:v>
                </c:pt>
                <c:pt idx="1800">
                  <c:v>4.4864700000000024</c:v>
                </c:pt>
                <c:pt idx="1801">
                  <c:v>4.9129869999999745</c:v>
                </c:pt>
                <c:pt idx="1802">
                  <c:v>4.5375119999999765</c:v>
                </c:pt>
                <c:pt idx="1803">
                  <c:v>3.758874</c:v>
                </c:pt>
                <c:pt idx="1805">
                  <c:v>4.1139969999999755</c:v>
                </c:pt>
                <c:pt idx="1806">
                  <c:v>4.4120879999999945</c:v>
                </c:pt>
                <c:pt idx="1807">
                  <c:v>4.6920729999999855</c:v>
                </c:pt>
                <c:pt idx="1808">
                  <c:v>4.280589</c:v>
                </c:pt>
                <c:pt idx="1809">
                  <c:v>4.7322369999999996</c:v>
                </c:pt>
                <c:pt idx="1810">
                  <c:v>5.0051739999999985</c:v>
                </c:pt>
                <c:pt idx="1811">
                  <c:v>4.9106600000000133</c:v>
                </c:pt>
                <c:pt idx="1812">
                  <c:v>4.8714550000000001</c:v>
                </c:pt>
                <c:pt idx="1813">
                  <c:v>5.2354820000000002</c:v>
                </c:pt>
                <c:pt idx="1814">
                  <c:v>5.8452630000000134</c:v>
                </c:pt>
                <c:pt idx="1815">
                  <c:v>5.6165359999999609</c:v>
                </c:pt>
                <c:pt idx="1816">
                  <c:v>5.8392119999999998</c:v>
                </c:pt>
                <c:pt idx="1817">
                  <c:v>5.1874969999999845</c:v>
                </c:pt>
                <c:pt idx="1818">
                  <c:v>4.8139169999999645</c:v>
                </c:pt>
                <c:pt idx="1819">
                  <c:v>4.4645159999999491</c:v>
                </c:pt>
                <c:pt idx="1820">
                  <c:v>4.2141729999999855</c:v>
                </c:pt>
                <c:pt idx="1821">
                  <c:v>4.2108939999999997</c:v>
                </c:pt>
                <c:pt idx="1822">
                  <c:v>4.14298199999996</c:v>
                </c:pt>
                <c:pt idx="1823">
                  <c:v>3.7593329999999998</c:v>
                </c:pt>
                <c:pt idx="1824">
                  <c:v>3.8365889999999778</c:v>
                </c:pt>
                <c:pt idx="1825">
                  <c:v>3.9736399999999987</c:v>
                </c:pt>
                <c:pt idx="1826">
                  <c:v>4.0381859999999845</c:v>
                </c:pt>
                <c:pt idx="1828">
                  <c:v>3.9844029999999977</c:v>
                </c:pt>
                <c:pt idx="1829">
                  <c:v>3.8448479999999967</c:v>
                </c:pt>
                <c:pt idx="1830">
                  <c:v>3.85832</c:v>
                </c:pt>
                <c:pt idx="1831">
                  <c:v>4.1045629999999855</c:v>
                </c:pt>
                <c:pt idx="1832">
                  <c:v>4.3032230000000133</c:v>
                </c:pt>
                <c:pt idx="1833">
                  <c:v>4.1241979999999545</c:v>
                </c:pt>
                <c:pt idx="1834">
                  <c:v>4.0672169999999745</c:v>
                </c:pt>
                <c:pt idx="1835">
                  <c:v>4.0040969999999945</c:v>
                </c:pt>
                <c:pt idx="1836">
                  <c:v>4.0799950000000003</c:v>
                </c:pt>
                <c:pt idx="1837">
                  <c:v>3.9632689999999977</c:v>
                </c:pt>
                <c:pt idx="1838">
                  <c:v>3.921913</c:v>
                </c:pt>
                <c:pt idx="1839">
                  <c:v>3.8119909999999977</c:v>
                </c:pt>
                <c:pt idx="1840">
                  <c:v>3.9379230000000001</c:v>
                </c:pt>
                <c:pt idx="1841">
                  <c:v>4.8589649999999756</c:v>
                </c:pt>
                <c:pt idx="1842">
                  <c:v>4.5340610000000003</c:v>
                </c:pt>
                <c:pt idx="1843">
                  <c:v>4.8797220000000134</c:v>
                </c:pt>
                <c:pt idx="1844">
                  <c:v>4.0727440000000001</c:v>
                </c:pt>
                <c:pt idx="1845">
                  <c:v>4.0030510000000001</c:v>
                </c:pt>
                <c:pt idx="1846">
                  <c:v>3.9311249999999998</c:v>
                </c:pt>
                <c:pt idx="1847">
                  <c:v>4.0633730000000003</c:v>
                </c:pt>
                <c:pt idx="1848">
                  <c:v>4.3784729999999996</c:v>
                </c:pt>
                <c:pt idx="1849">
                  <c:v>4.0721189999999945</c:v>
                </c:pt>
                <c:pt idx="1851">
                  <c:v>4.0118200000000002</c:v>
                </c:pt>
                <c:pt idx="1852">
                  <c:v>3.8413930000000001</c:v>
                </c:pt>
                <c:pt idx="1853">
                  <c:v>3.7675670000000219</c:v>
                </c:pt>
                <c:pt idx="1854">
                  <c:v>3.9346049999999977</c:v>
                </c:pt>
                <c:pt idx="1855">
                  <c:v>4.4580620000000124</c:v>
                </c:pt>
                <c:pt idx="1856">
                  <c:v>5.0956690000000124</c:v>
                </c:pt>
                <c:pt idx="1857">
                  <c:v>5.8516729999999999</c:v>
                </c:pt>
                <c:pt idx="1858">
                  <c:v>6.1619519999999746</c:v>
                </c:pt>
                <c:pt idx="1859">
                  <c:v>7.1949819999999454</c:v>
                </c:pt>
                <c:pt idx="1860">
                  <c:v>7.9191159999999945</c:v>
                </c:pt>
                <c:pt idx="1861">
                  <c:v>15.019640000000004</c:v>
                </c:pt>
                <c:pt idx="1862">
                  <c:v>22.811350000000154</c:v>
                </c:pt>
                <c:pt idx="1863">
                  <c:v>12.094390000000001</c:v>
                </c:pt>
                <c:pt idx="1864">
                  <c:v>5.5065480000000004</c:v>
                </c:pt>
                <c:pt idx="1865">
                  <c:v>4.8558139999999845</c:v>
                </c:pt>
                <c:pt idx="1866">
                  <c:v>4.3171159999999409</c:v>
                </c:pt>
                <c:pt idx="1867">
                  <c:v>4.2492620000000558</c:v>
                </c:pt>
                <c:pt idx="1868">
                  <c:v>4.3553009999999945</c:v>
                </c:pt>
                <c:pt idx="1869">
                  <c:v>4.0257290000000001</c:v>
                </c:pt>
                <c:pt idx="1870">
                  <c:v>3.8829509999999967</c:v>
                </c:pt>
                <c:pt idx="1871">
                  <c:v>3.9342739999999967</c:v>
                </c:pt>
                <c:pt idx="1872">
                  <c:v>3.9035869999999999</c:v>
                </c:pt>
                <c:pt idx="1874">
                  <c:v>3.9722649999999811</c:v>
                </c:pt>
                <c:pt idx="1875">
                  <c:v>3.7879230000000224</c:v>
                </c:pt>
                <c:pt idx="1876">
                  <c:v>3.5865320000000001</c:v>
                </c:pt>
                <c:pt idx="1877">
                  <c:v>3.7517399999999999</c:v>
                </c:pt>
                <c:pt idx="1878">
                  <c:v>3.8092239999999977</c:v>
                </c:pt>
                <c:pt idx="1879">
                  <c:v>4.2216829999999996</c:v>
                </c:pt>
                <c:pt idx="1880">
                  <c:v>4.372376</c:v>
                </c:pt>
                <c:pt idx="1881">
                  <c:v>4.5535369999999755</c:v>
                </c:pt>
                <c:pt idx="1882">
                  <c:v>4.2246220000000001</c:v>
                </c:pt>
                <c:pt idx="1883">
                  <c:v>4.2355729999999996</c:v>
                </c:pt>
                <c:pt idx="1884">
                  <c:v>4.2437690000000421</c:v>
                </c:pt>
                <c:pt idx="1885">
                  <c:v>4.3307859999999945</c:v>
                </c:pt>
                <c:pt idx="1886">
                  <c:v>4.2890769999999998</c:v>
                </c:pt>
                <c:pt idx="1887">
                  <c:v>3.8389649999999977</c:v>
                </c:pt>
                <c:pt idx="1888">
                  <c:v>3.8314139999999779</c:v>
                </c:pt>
                <c:pt idx="1889">
                  <c:v>4.3235669999999855</c:v>
                </c:pt>
                <c:pt idx="1890">
                  <c:v>4.2077309999999946</c:v>
                </c:pt>
                <c:pt idx="1891">
                  <c:v>4.4037780000000124</c:v>
                </c:pt>
                <c:pt idx="1892">
                  <c:v>4.2542609999999996</c:v>
                </c:pt>
                <c:pt idx="1893">
                  <c:v>4.0847949999999855</c:v>
                </c:pt>
                <c:pt idx="1894">
                  <c:v>4.2548699999999995</c:v>
                </c:pt>
                <c:pt idx="1895">
                  <c:v>3.8243559999999968</c:v>
                </c:pt>
                <c:pt idx="1897">
                  <c:v>3.7229190000000001</c:v>
                </c:pt>
                <c:pt idx="1898">
                  <c:v>3.7118159999999967</c:v>
                </c:pt>
                <c:pt idx="1899">
                  <c:v>3.5528119999999968</c:v>
                </c:pt>
                <c:pt idx="1900">
                  <c:v>3.3549799999999967</c:v>
                </c:pt>
                <c:pt idx="1901">
                  <c:v>3.4572439999999967</c:v>
                </c:pt>
                <c:pt idx="1902">
                  <c:v>3.4498769999999968</c:v>
                </c:pt>
                <c:pt idx="1903">
                  <c:v>3.7457840000000204</c:v>
                </c:pt>
                <c:pt idx="1904">
                  <c:v>3.8527209999999967</c:v>
                </c:pt>
                <c:pt idx="1905">
                  <c:v>4.6327579999999955</c:v>
                </c:pt>
                <c:pt idx="1906">
                  <c:v>4.6687419999999955</c:v>
                </c:pt>
                <c:pt idx="1907">
                  <c:v>4.0774759999999945</c:v>
                </c:pt>
                <c:pt idx="1908">
                  <c:v>3.804287</c:v>
                </c:pt>
                <c:pt idx="1909">
                  <c:v>3.7227939999999999</c:v>
                </c:pt>
                <c:pt idx="1910">
                  <c:v>4.5121349999999545</c:v>
                </c:pt>
                <c:pt idx="1911">
                  <c:v>4.0542680000000004</c:v>
                </c:pt>
                <c:pt idx="1912">
                  <c:v>4.0895169999999945</c:v>
                </c:pt>
                <c:pt idx="1913">
                  <c:v>3.9741519999999997</c:v>
                </c:pt>
                <c:pt idx="1914">
                  <c:v>4.4393849999999997</c:v>
                </c:pt>
                <c:pt idx="1915">
                  <c:v>5.522535999999949</c:v>
                </c:pt>
                <c:pt idx="1916">
                  <c:v>4.4108029999999996</c:v>
                </c:pt>
                <c:pt idx="1917">
                  <c:v>3.8433959999999998</c:v>
                </c:pt>
                <c:pt idx="1918">
                  <c:v>3.9055230000000001</c:v>
                </c:pt>
                <c:pt idx="1920">
                  <c:v>4.4709180000000002</c:v>
                </c:pt>
                <c:pt idx="1921">
                  <c:v>4.516635</c:v>
                </c:pt>
                <c:pt idx="1922">
                  <c:v>4.4990720000000124</c:v>
                </c:pt>
                <c:pt idx="1923">
                  <c:v>4.2138429999999998</c:v>
                </c:pt>
                <c:pt idx="1924">
                  <c:v>4.1792309999999997</c:v>
                </c:pt>
                <c:pt idx="1925">
                  <c:v>4.3599179999999755</c:v>
                </c:pt>
                <c:pt idx="1926">
                  <c:v>4.2461089999999997</c:v>
                </c:pt>
                <c:pt idx="1927">
                  <c:v>4.4896690000000676</c:v>
                </c:pt>
                <c:pt idx="1928">
                  <c:v>5.2592949999999998</c:v>
                </c:pt>
                <c:pt idx="1929">
                  <c:v>5.3855899999999846</c:v>
                </c:pt>
                <c:pt idx="1930">
                  <c:v>6.0011570000000001</c:v>
                </c:pt>
                <c:pt idx="1931">
                  <c:v>9.3344820000000048</c:v>
                </c:pt>
                <c:pt idx="1932">
                  <c:v>12.901950000000001</c:v>
                </c:pt>
                <c:pt idx="1933">
                  <c:v>8.3237490000000047</c:v>
                </c:pt>
                <c:pt idx="1934">
                  <c:v>5.8934920000000002</c:v>
                </c:pt>
                <c:pt idx="1935">
                  <c:v>5.3488759999999855</c:v>
                </c:pt>
                <c:pt idx="1936">
                  <c:v>5.3205349999999454</c:v>
                </c:pt>
                <c:pt idx="1937">
                  <c:v>5.0715789999999998</c:v>
                </c:pt>
                <c:pt idx="1938">
                  <c:v>4.811121</c:v>
                </c:pt>
                <c:pt idx="1939">
                  <c:v>4.4562320000000124</c:v>
                </c:pt>
                <c:pt idx="1940">
                  <c:v>4.5752550000000003</c:v>
                </c:pt>
                <c:pt idx="1941">
                  <c:v>4.5787979999999999</c:v>
                </c:pt>
                <c:pt idx="1943">
                  <c:v>3.9713479999999977</c:v>
                </c:pt>
                <c:pt idx="1944">
                  <c:v>3.6677380000000164</c:v>
                </c:pt>
                <c:pt idx="1945">
                  <c:v>3.6544840000000001</c:v>
                </c:pt>
                <c:pt idx="1946">
                  <c:v>3.6011190000000002</c:v>
                </c:pt>
                <c:pt idx="1947">
                  <c:v>3.6044930000000002</c:v>
                </c:pt>
                <c:pt idx="1948">
                  <c:v>3.7329589999999819</c:v>
                </c:pt>
                <c:pt idx="1949">
                  <c:v>3.6960799999999967</c:v>
                </c:pt>
                <c:pt idx="1950">
                  <c:v>3.8077589999999977</c:v>
                </c:pt>
                <c:pt idx="1951">
                  <c:v>3.4380659999999779</c:v>
                </c:pt>
                <c:pt idx="1952">
                  <c:v>3.7142179999999998</c:v>
                </c:pt>
                <c:pt idx="1953">
                  <c:v>3.7445370000000286</c:v>
                </c:pt>
                <c:pt idx="1954">
                  <c:v>3.9846659999999967</c:v>
                </c:pt>
                <c:pt idx="1955">
                  <c:v>3.9141519999999987</c:v>
                </c:pt>
                <c:pt idx="1956">
                  <c:v>4.2392940000000134</c:v>
                </c:pt>
                <c:pt idx="1957">
                  <c:v>4.9347979999999998</c:v>
                </c:pt>
                <c:pt idx="1958">
                  <c:v>4.8433010000000003</c:v>
                </c:pt>
                <c:pt idx="1959">
                  <c:v>5.1410260000000001</c:v>
                </c:pt>
                <c:pt idx="1960">
                  <c:v>5.4603919999999997</c:v>
                </c:pt>
                <c:pt idx="1961">
                  <c:v>5.5259449999999655</c:v>
                </c:pt>
                <c:pt idx="1962">
                  <c:v>5.6919559999999745</c:v>
                </c:pt>
                <c:pt idx="1963">
                  <c:v>5.8226589999999945</c:v>
                </c:pt>
                <c:pt idx="1964">
                  <c:v>4.3218749999999755</c:v>
                </c:pt>
                <c:pt idx="1966">
                  <c:v>4.2953419999999998</c:v>
                </c:pt>
                <c:pt idx="1967">
                  <c:v>3.7805100000000205</c:v>
                </c:pt>
                <c:pt idx="1968">
                  <c:v>3.1005600000000002</c:v>
                </c:pt>
                <c:pt idx="1969">
                  <c:v>3.0724709999999829</c:v>
                </c:pt>
                <c:pt idx="1970">
                  <c:v>3.1059220000000001</c:v>
                </c:pt>
                <c:pt idx="1971">
                  <c:v>3.0660619999999987</c:v>
                </c:pt>
                <c:pt idx="1972">
                  <c:v>2.7669139999999999</c:v>
                </c:pt>
                <c:pt idx="1973">
                  <c:v>2.8352019999999967</c:v>
                </c:pt>
                <c:pt idx="1974">
                  <c:v>2.9813200000000002</c:v>
                </c:pt>
                <c:pt idx="1975">
                  <c:v>3.1437280000000012</c:v>
                </c:pt>
                <c:pt idx="1976">
                  <c:v>3.5531389999999998</c:v>
                </c:pt>
                <c:pt idx="1977">
                  <c:v>4.1934379999999845</c:v>
                </c:pt>
                <c:pt idx="1978">
                  <c:v>4.2763680000000521</c:v>
                </c:pt>
                <c:pt idx="1979">
                  <c:v>4.4127989999999997</c:v>
                </c:pt>
                <c:pt idx="1980">
                  <c:v>4.4349970000000001</c:v>
                </c:pt>
                <c:pt idx="1981">
                  <c:v>4.8165469999999955</c:v>
                </c:pt>
                <c:pt idx="1982">
                  <c:v>5.3583449999999955</c:v>
                </c:pt>
                <c:pt idx="1983">
                  <c:v>5.8042549999999755</c:v>
                </c:pt>
                <c:pt idx="1984">
                  <c:v>5.5049929999999945</c:v>
                </c:pt>
                <c:pt idx="1985">
                  <c:v>5.1966070000000002</c:v>
                </c:pt>
                <c:pt idx="1986">
                  <c:v>4.0819609999999997</c:v>
                </c:pt>
                <c:pt idx="1987">
                  <c:v>3.7839459999999998</c:v>
                </c:pt>
                <c:pt idx="1989">
                  <c:v>3.3920199999999778</c:v>
                </c:pt>
                <c:pt idx="1990">
                  <c:v>3.162763</c:v>
                </c:pt>
                <c:pt idx="1991">
                  <c:v>3.6249009999999999</c:v>
                </c:pt>
                <c:pt idx="1992">
                  <c:v>4.3728790000000002</c:v>
                </c:pt>
                <c:pt idx="1993">
                  <c:v>4.1949479999999655</c:v>
                </c:pt>
                <c:pt idx="1994">
                  <c:v>4.1468660000000002</c:v>
                </c:pt>
                <c:pt idx="1995">
                  <c:v>3.9671040000000177</c:v>
                </c:pt>
                <c:pt idx="1996">
                  <c:v>3.9953370000000001</c:v>
                </c:pt>
                <c:pt idx="1997">
                  <c:v>4.2449109999999655</c:v>
                </c:pt>
                <c:pt idx="1998">
                  <c:v>5.3694480000000002</c:v>
                </c:pt>
                <c:pt idx="1999">
                  <c:v>5.0666339999999996</c:v>
                </c:pt>
                <c:pt idx="2000">
                  <c:v>4.9697920000000124</c:v>
                </c:pt>
                <c:pt idx="2001">
                  <c:v>5.2649959999999645</c:v>
                </c:pt>
                <c:pt idx="2002">
                  <c:v>5.4421099999999996</c:v>
                </c:pt>
                <c:pt idx="2003">
                  <c:v>6.2745790000000001</c:v>
                </c:pt>
                <c:pt idx="2004">
                  <c:v>7.0030339999999995</c:v>
                </c:pt>
                <c:pt idx="2005">
                  <c:v>5.6696149999999745</c:v>
                </c:pt>
                <c:pt idx="2006">
                  <c:v>5.0626090000000001</c:v>
                </c:pt>
                <c:pt idx="2007">
                  <c:v>4.9016690000000649</c:v>
                </c:pt>
                <c:pt idx="2008">
                  <c:v>4.9442519999999996</c:v>
                </c:pt>
                <c:pt idx="2009">
                  <c:v>4.7899839999999996</c:v>
                </c:pt>
                <c:pt idx="2010">
                  <c:v>4.7691939999999997</c:v>
                </c:pt>
                <c:pt idx="2012">
                  <c:v>4.8027579999999945</c:v>
                </c:pt>
                <c:pt idx="2013">
                  <c:v>4.6360289999999997</c:v>
                </c:pt>
                <c:pt idx="2014">
                  <c:v>4.6574259999999645</c:v>
                </c:pt>
                <c:pt idx="2015">
                  <c:v>3.8711329999999977</c:v>
                </c:pt>
                <c:pt idx="2016">
                  <c:v>3.6247110000000204</c:v>
                </c:pt>
                <c:pt idx="2017">
                  <c:v>3.5836239999999999</c:v>
                </c:pt>
                <c:pt idx="2018">
                  <c:v>3.5289860000000002</c:v>
                </c:pt>
                <c:pt idx="2019">
                  <c:v>3.6017649999999999</c:v>
                </c:pt>
                <c:pt idx="2020">
                  <c:v>3.5185140000000001</c:v>
                </c:pt>
                <c:pt idx="2021">
                  <c:v>3.2612869999999998</c:v>
                </c:pt>
                <c:pt idx="2022">
                  <c:v>3.5751419999999987</c:v>
                </c:pt>
                <c:pt idx="2023">
                  <c:v>3.8467089999999819</c:v>
                </c:pt>
                <c:pt idx="2024">
                  <c:v>4.2825329999999955</c:v>
                </c:pt>
                <c:pt idx="2025">
                  <c:v>4.6192989999999998</c:v>
                </c:pt>
                <c:pt idx="2026">
                  <c:v>3.9553509999999967</c:v>
                </c:pt>
                <c:pt idx="2027">
                  <c:v>4.1721099999999955</c:v>
                </c:pt>
                <c:pt idx="2028">
                  <c:v>3.8177499999999829</c:v>
                </c:pt>
                <c:pt idx="2029">
                  <c:v>4.0516649999999998</c:v>
                </c:pt>
                <c:pt idx="2030">
                  <c:v>3.8840749999999997</c:v>
                </c:pt>
                <c:pt idx="2031">
                  <c:v>4.1535649999999755</c:v>
                </c:pt>
                <c:pt idx="2032">
                  <c:v>4.1697730000000002</c:v>
                </c:pt>
                <c:pt idx="2033">
                  <c:v>4.3217809999999846</c:v>
                </c:pt>
                <c:pt idx="2035">
                  <c:v>3.7028459999999779</c:v>
                </c:pt>
                <c:pt idx="2036">
                  <c:v>3.4864839999999977</c:v>
                </c:pt>
                <c:pt idx="2037">
                  <c:v>3.6767119999999998</c:v>
                </c:pt>
                <c:pt idx="2038">
                  <c:v>3.5313270000000001</c:v>
                </c:pt>
                <c:pt idx="2039">
                  <c:v>3.8764729999999692</c:v>
                </c:pt>
                <c:pt idx="2040">
                  <c:v>4.4337380000000124</c:v>
                </c:pt>
                <c:pt idx="2041">
                  <c:v>4.3513729999999997</c:v>
                </c:pt>
                <c:pt idx="2042">
                  <c:v>4.4707920000000421</c:v>
                </c:pt>
                <c:pt idx="2043">
                  <c:v>4.5546339999999965</c:v>
                </c:pt>
                <c:pt idx="2044">
                  <c:v>4.6918039999999985</c:v>
                </c:pt>
                <c:pt idx="2045">
                  <c:v>4.7397530000000421</c:v>
                </c:pt>
                <c:pt idx="2046">
                  <c:v>5.1026009999999955</c:v>
                </c:pt>
                <c:pt idx="2047">
                  <c:v>5.5854280000000003</c:v>
                </c:pt>
                <c:pt idx="2048">
                  <c:v>5.3806510000000003</c:v>
                </c:pt>
                <c:pt idx="2049">
                  <c:v>5.6078599999999845</c:v>
                </c:pt>
                <c:pt idx="2050">
                  <c:v>5.4007160000000001</c:v>
                </c:pt>
                <c:pt idx="2051">
                  <c:v>5.4368509999999999</c:v>
                </c:pt>
                <c:pt idx="2052">
                  <c:v>5.1340909999999855</c:v>
                </c:pt>
                <c:pt idx="2053">
                  <c:v>5.1848179999999591</c:v>
                </c:pt>
                <c:pt idx="2054">
                  <c:v>4.8122319999999945</c:v>
                </c:pt>
                <c:pt idx="2055">
                  <c:v>5.3466990000000134</c:v>
                </c:pt>
                <c:pt idx="2056">
                  <c:v>5.4534479999999999</c:v>
                </c:pt>
                <c:pt idx="2058">
                  <c:v>5.3455209999999855</c:v>
                </c:pt>
                <c:pt idx="2059">
                  <c:v>5.3532250000000001</c:v>
                </c:pt>
                <c:pt idx="2060">
                  <c:v>5.1622979999999945</c:v>
                </c:pt>
                <c:pt idx="2061">
                  <c:v>4.6989269999999745</c:v>
                </c:pt>
                <c:pt idx="2062">
                  <c:v>4.6607609999999955</c:v>
                </c:pt>
                <c:pt idx="2063">
                  <c:v>4.2606780000000004</c:v>
                </c:pt>
                <c:pt idx="2064">
                  <c:v>3.7892910000000177</c:v>
                </c:pt>
                <c:pt idx="2065">
                  <c:v>3.8060599999999765</c:v>
                </c:pt>
                <c:pt idx="2066">
                  <c:v>3.8203360000000002</c:v>
                </c:pt>
                <c:pt idx="2067">
                  <c:v>3.7619039999999999</c:v>
                </c:pt>
                <c:pt idx="2068">
                  <c:v>3.8119879999999977</c:v>
                </c:pt>
                <c:pt idx="2069">
                  <c:v>3.9467340000000002</c:v>
                </c:pt>
                <c:pt idx="2070">
                  <c:v>3.9130059999999967</c:v>
                </c:pt>
                <c:pt idx="2071">
                  <c:v>3.8928689999999642</c:v>
                </c:pt>
                <c:pt idx="2072">
                  <c:v>4.1713820000000004</c:v>
                </c:pt>
                <c:pt idx="2073">
                  <c:v>4.6037749999999855</c:v>
                </c:pt>
                <c:pt idx="2074">
                  <c:v>5.5417310000000004</c:v>
                </c:pt>
                <c:pt idx="2075">
                  <c:v>5.7097319999999998</c:v>
                </c:pt>
                <c:pt idx="2076">
                  <c:v>5.0732240000000024</c:v>
                </c:pt>
                <c:pt idx="2077">
                  <c:v>5.1881549999999645</c:v>
                </c:pt>
                <c:pt idx="2078">
                  <c:v>4.8793240000000004</c:v>
                </c:pt>
                <c:pt idx="2079">
                  <c:v>4.4368300000000014</c:v>
                </c:pt>
                <c:pt idx="2081">
                  <c:v>4.1606059999999845</c:v>
                </c:pt>
                <c:pt idx="2082">
                  <c:v>3.9625469999999967</c:v>
                </c:pt>
                <c:pt idx="2083">
                  <c:v>4.1341769999999745</c:v>
                </c:pt>
                <c:pt idx="2084">
                  <c:v>4.3346720000000003</c:v>
                </c:pt>
                <c:pt idx="2085">
                  <c:v>4.3600309999999745</c:v>
                </c:pt>
                <c:pt idx="2086">
                  <c:v>4.3320859999999755</c:v>
                </c:pt>
                <c:pt idx="2087">
                  <c:v>4.950488</c:v>
                </c:pt>
                <c:pt idx="2088">
                  <c:v>5.209015</c:v>
                </c:pt>
                <c:pt idx="2089">
                  <c:v>5.1094859999999755</c:v>
                </c:pt>
                <c:pt idx="2090">
                  <c:v>4.8122749999999845</c:v>
                </c:pt>
                <c:pt idx="2091">
                  <c:v>4.8490659999999997</c:v>
                </c:pt>
                <c:pt idx="2092">
                  <c:v>4.9804740000000001</c:v>
                </c:pt>
                <c:pt idx="2093">
                  <c:v>4.6800819999999845</c:v>
                </c:pt>
                <c:pt idx="2094">
                  <c:v>4.5885149999999655</c:v>
                </c:pt>
                <c:pt idx="2095">
                  <c:v>5.0019479999999996</c:v>
                </c:pt>
                <c:pt idx="2096">
                  <c:v>5.1998739999999986</c:v>
                </c:pt>
                <c:pt idx="2097">
                  <c:v>5.5051899999999945</c:v>
                </c:pt>
                <c:pt idx="2098">
                  <c:v>6.0300789999999997</c:v>
                </c:pt>
                <c:pt idx="2099">
                  <c:v>6.9184089999999996</c:v>
                </c:pt>
                <c:pt idx="2100">
                  <c:v>5.3402560000000001</c:v>
                </c:pt>
                <c:pt idx="2101">
                  <c:v>5.0244259999999645</c:v>
                </c:pt>
                <c:pt idx="2102">
                  <c:v>4.9077260000000003</c:v>
                </c:pt>
                <c:pt idx="2104">
                  <c:v>4.5734610000000124</c:v>
                </c:pt>
                <c:pt idx="2105">
                  <c:v>4.910031</c:v>
                </c:pt>
                <c:pt idx="2106">
                  <c:v>5.287973</c:v>
                </c:pt>
                <c:pt idx="2107">
                  <c:v>5.5153759999999945</c:v>
                </c:pt>
                <c:pt idx="2108">
                  <c:v>5.4499120000000003</c:v>
                </c:pt>
                <c:pt idx="2109">
                  <c:v>5.0138849999999655</c:v>
                </c:pt>
                <c:pt idx="2110">
                  <c:v>5.0135079999999945</c:v>
                </c:pt>
                <c:pt idx="2111">
                  <c:v>5.1165809999999645</c:v>
                </c:pt>
                <c:pt idx="2113">
                  <c:v>4.5565119999999855</c:v>
                </c:pt>
                <c:pt idx="2114">
                  <c:v>5.1075149999999372</c:v>
                </c:pt>
                <c:pt idx="2115">
                  <c:v>4.9795179999999997</c:v>
                </c:pt>
                <c:pt idx="2116">
                  <c:v>5.1069949999999755</c:v>
                </c:pt>
                <c:pt idx="2117">
                  <c:v>4.9691559999999955</c:v>
                </c:pt>
                <c:pt idx="2118">
                  <c:v>4.9963660000000134</c:v>
                </c:pt>
                <c:pt idx="2119">
                  <c:v>4.9738660000000134</c:v>
                </c:pt>
                <c:pt idx="2120">
                  <c:v>5.0620699999999985</c:v>
                </c:pt>
                <c:pt idx="2121">
                  <c:v>5.2012760000000124</c:v>
                </c:pt>
                <c:pt idx="2122">
                  <c:v>5.3695009999999845</c:v>
                </c:pt>
                <c:pt idx="2123">
                  <c:v>5.2498250000000004</c:v>
                </c:pt>
                <c:pt idx="2124">
                  <c:v>5.2923869999999855</c:v>
                </c:pt>
                <c:pt idx="2125">
                  <c:v>5.8249999999999655</c:v>
                </c:pt>
                <c:pt idx="2126">
                  <c:v>5.6707400000000003</c:v>
                </c:pt>
                <c:pt idx="2128">
                  <c:v>5.7645679999999855</c:v>
                </c:pt>
                <c:pt idx="2129">
                  <c:v>5.4968130000000004</c:v>
                </c:pt>
                <c:pt idx="2130">
                  <c:v>5.4321440000000001</c:v>
                </c:pt>
                <c:pt idx="2131">
                  <c:v>5.1205909999999655</c:v>
                </c:pt>
                <c:pt idx="2132">
                  <c:v>5.2229809999999581</c:v>
                </c:pt>
                <c:pt idx="2133">
                  <c:v>5.0061900000000001</c:v>
                </c:pt>
                <c:pt idx="2134">
                  <c:v>4.793927</c:v>
                </c:pt>
                <c:pt idx="2135">
                  <c:v>5.1381620000000003</c:v>
                </c:pt>
                <c:pt idx="2136">
                  <c:v>4.4702510000000384</c:v>
                </c:pt>
                <c:pt idx="2137">
                  <c:v>4.1608839999999745</c:v>
                </c:pt>
                <c:pt idx="2138">
                  <c:v>3.9728279999999967</c:v>
                </c:pt>
                <c:pt idx="2139">
                  <c:v>4.0662669999999999</c:v>
                </c:pt>
                <c:pt idx="2140">
                  <c:v>3.8907829999999977</c:v>
                </c:pt>
                <c:pt idx="2141">
                  <c:v>3.840125</c:v>
                </c:pt>
                <c:pt idx="2142">
                  <c:v>4.4485950000000001</c:v>
                </c:pt>
                <c:pt idx="2143">
                  <c:v>5.085083</c:v>
                </c:pt>
                <c:pt idx="2144">
                  <c:v>4.7030310000000002</c:v>
                </c:pt>
                <c:pt idx="2145">
                  <c:v>4.701886</c:v>
                </c:pt>
                <c:pt idx="2146">
                  <c:v>5.1937539999999975</c:v>
                </c:pt>
                <c:pt idx="2147">
                  <c:v>4.9041589999999955</c:v>
                </c:pt>
                <c:pt idx="2148">
                  <c:v>4.0399380000000003</c:v>
                </c:pt>
                <c:pt idx="2149">
                  <c:v>3.8862789999999778</c:v>
                </c:pt>
                <c:pt idx="2151">
                  <c:v>3.8947089999999829</c:v>
                </c:pt>
                <c:pt idx="2152">
                  <c:v>4.8373730000000004</c:v>
                </c:pt>
                <c:pt idx="2153">
                  <c:v>4.9022959999999998</c:v>
                </c:pt>
                <c:pt idx="2154">
                  <c:v>5.592727</c:v>
                </c:pt>
                <c:pt idx="2155">
                  <c:v>6.8068239999999998</c:v>
                </c:pt>
                <c:pt idx="2156">
                  <c:v>6.0707760000000004</c:v>
                </c:pt>
                <c:pt idx="2157">
                  <c:v>5.531693000000053</c:v>
                </c:pt>
                <c:pt idx="2158">
                  <c:v>5.6971479999999755</c:v>
                </c:pt>
                <c:pt idx="2159">
                  <c:v>5.8007359999999855</c:v>
                </c:pt>
                <c:pt idx="2160">
                  <c:v>5.4776460000000124</c:v>
                </c:pt>
                <c:pt idx="2161">
                  <c:v>4.8538439999999996</c:v>
                </c:pt>
                <c:pt idx="2162">
                  <c:v>5.0903939999999999</c:v>
                </c:pt>
                <c:pt idx="2163">
                  <c:v>4.7954249999999945</c:v>
                </c:pt>
                <c:pt idx="2164">
                  <c:v>4.4819969999999998</c:v>
                </c:pt>
                <c:pt idx="2165">
                  <c:v>4.1957979999999955</c:v>
                </c:pt>
                <c:pt idx="2166">
                  <c:v>3.7051560000000001</c:v>
                </c:pt>
                <c:pt idx="2167">
                  <c:v>4.1814479999999996</c:v>
                </c:pt>
                <c:pt idx="2168">
                  <c:v>4.4112369999999999</c:v>
                </c:pt>
                <c:pt idx="2169">
                  <c:v>4.9613280000000124</c:v>
                </c:pt>
                <c:pt idx="2170">
                  <c:v>5.5553759999999945</c:v>
                </c:pt>
                <c:pt idx="2171">
                  <c:v>5.5234509999999855</c:v>
                </c:pt>
                <c:pt idx="2172">
                  <c:v>5.6179509999999491</c:v>
                </c:pt>
                <c:pt idx="2174">
                  <c:v>5.3875649999999755</c:v>
                </c:pt>
                <c:pt idx="2175">
                  <c:v>4.957166</c:v>
                </c:pt>
                <c:pt idx="2176">
                  <c:v>5.4535179999999945</c:v>
                </c:pt>
                <c:pt idx="2177">
                  <c:v>5.6591759999999756</c:v>
                </c:pt>
                <c:pt idx="2178">
                  <c:v>5.0246319999999765</c:v>
                </c:pt>
                <c:pt idx="2179">
                  <c:v>4.8878339999999945</c:v>
                </c:pt>
                <c:pt idx="2180">
                  <c:v>4.5117760000000002</c:v>
                </c:pt>
                <c:pt idx="2181">
                  <c:v>4.2674119999999665</c:v>
                </c:pt>
                <c:pt idx="2182">
                  <c:v>4.3837440000000001</c:v>
                </c:pt>
                <c:pt idx="2183">
                  <c:v>4.2701390000000004</c:v>
                </c:pt>
                <c:pt idx="2184">
                  <c:v>4.3258449999999655</c:v>
                </c:pt>
                <c:pt idx="2185">
                  <c:v>4.267741</c:v>
                </c:pt>
                <c:pt idx="2186">
                  <c:v>4.0380250000000002</c:v>
                </c:pt>
                <c:pt idx="2187">
                  <c:v>4.0033050000000001</c:v>
                </c:pt>
                <c:pt idx="2188">
                  <c:v>4.0631379999999755</c:v>
                </c:pt>
                <c:pt idx="2189">
                  <c:v>4.0572189999999955</c:v>
                </c:pt>
                <c:pt idx="2190">
                  <c:v>4.2948879999999745</c:v>
                </c:pt>
                <c:pt idx="2191">
                  <c:v>4.4135270000000002</c:v>
                </c:pt>
                <c:pt idx="2192">
                  <c:v>4.7332770000000384</c:v>
                </c:pt>
                <c:pt idx="2193">
                  <c:v>4.8969249999999755</c:v>
                </c:pt>
                <c:pt idx="2194">
                  <c:v>4.8227839999999755</c:v>
                </c:pt>
                <c:pt idx="2195">
                  <c:v>4.5996990000000393</c:v>
                </c:pt>
                <c:pt idx="2197">
                  <c:v>4.8083499999999999</c:v>
                </c:pt>
                <c:pt idx="2198">
                  <c:v>4.2086690000000457</c:v>
                </c:pt>
                <c:pt idx="2199">
                  <c:v>4.1812290000000134</c:v>
                </c:pt>
                <c:pt idx="2200">
                  <c:v>4.3491749999999945</c:v>
                </c:pt>
                <c:pt idx="2201">
                  <c:v>4.5761950000000002</c:v>
                </c:pt>
                <c:pt idx="2202">
                  <c:v>4.5882560000000003</c:v>
                </c:pt>
                <c:pt idx="2203">
                  <c:v>4.149025</c:v>
                </c:pt>
                <c:pt idx="2204">
                  <c:v>4.2973489999999996</c:v>
                </c:pt>
                <c:pt idx="2205">
                  <c:v>4.2983510000000003</c:v>
                </c:pt>
                <c:pt idx="2206">
                  <c:v>4.3272239999999975</c:v>
                </c:pt>
                <c:pt idx="2207">
                  <c:v>4.367769</c:v>
                </c:pt>
                <c:pt idx="2208">
                  <c:v>3.9777679999999997</c:v>
                </c:pt>
                <c:pt idx="2209">
                  <c:v>3.6699120000000001</c:v>
                </c:pt>
                <c:pt idx="2210">
                  <c:v>3.7210830000000001</c:v>
                </c:pt>
                <c:pt idx="2211">
                  <c:v>3.4309179999999997</c:v>
                </c:pt>
                <c:pt idx="2212">
                  <c:v>3.6848230000000002</c:v>
                </c:pt>
                <c:pt idx="2213">
                  <c:v>3.776122</c:v>
                </c:pt>
                <c:pt idx="2214">
                  <c:v>3.7829290000000002</c:v>
                </c:pt>
                <c:pt idx="2215">
                  <c:v>3.9496249999999997</c:v>
                </c:pt>
                <c:pt idx="2216">
                  <c:v>4.0554649999999945</c:v>
                </c:pt>
                <c:pt idx="2217">
                  <c:v>4.0908470000000001</c:v>
                </c:pt>
                <c:pt idx="2218">
                  <c:v>4.1938409999999955</c:v>
                </c:pt>
                <c:pt idx="2220">
                  <c:v>4.5079749999999645</c:v>
                </c:pt>
                <c:pt idx="2221">
                  <c:v>3.9794229999999819</c:v>
                </c:pt>
                <c:pt idx="2222">
                  <c:v>4.2475299999999985</c:v>
                </c:pt>
                <c:pt idx="2223">
                  <c:v>4.1967109999999845</c:v>
                </c:pt>
                <c:pt idx="2224">
                  <c:v>4.3184039999999975</c:v>
                </c:pt>
                <c:pt idx="2225">
                  <c:v>4.3292909999999996</c:v>
                </c:pt>
                <c:pt idx="2226">
                  <c:v>3.8745449999999977</c:v>
                </c:pt>
                <c:pt idx="2227">
                  <c:v>4.0338390000000004</c:v>
                </c:pt>
                <c:pt idx="2228">
                  <c:v>3.8256899999999967</c:v>
                </c:pt>
                <c:pt idx="2229">
                  <c:v>3.8091249999999999</c:v>
                </c:pt>
                <c:pt idx="2230">
                  <c:v>3.8444889999999967</c:v>
                </c:pt>
                <c:pt idx="2231">
                  <c:v>3.8208029999999829</c:v>
                </c:pt>
                <c:pt idx="2232">
                  <c:v>3.8695679999999997</c:v>
                </c:pt>
                <c:pt idx="2233">
                  <c:v>3.5762789999999764</c:v>
                </c:pt>
                <c:pt idx="2234">
                  <c:v>3.36442</c:v>
                </c:pt>
                <c:pt idx="2235">
                  <c:v>3.4588389999999967</c:v>
                </c:pt>
                <c:pt idx="2236">
                  <c:v>3.3774669999999967</c:v>
                </c:pt>
                <c:pt idx="2237">
                  <c:v>3.4746839999999977</c:v>
                </c:pt>
                <c:pt idx="2238">
                  <c:v>3.6111209999999998</c:v>
                </c:pt>
                <c:pt idx="2239">
                  <c:v>4.1935229999999946</c:v>
                </c:pt>
                <c:pt idx="2240">
                  <c:v>5.2596309999999997</c:v>
                </c:pt>
                <c:pt idx="2241">
                  <c:v>4.6972259999999855</c:v>
                </c:pt>
                <c:pt idx="2243">
                  <c:v>14.447510000000001</c:v>
                </c:pt>
                <c:pt idx="2244">
                  <c:v>11.23279</c:v>
                </c:pt>
                <c:pt idx="2245">
                  <c:v>13.498430000000004</c:v>
                </c:pt>
                <c:pt idx="2246">
                  <c:v>10.302080000000075</c:v>
                </c:pt>
                <c:pt idx="2247">
                  <c:v>7.7225079999999755</c:v>
                </c:pt>
                <c:pt idx="2248">
                  <c:v>8.38795</c:v>
                </c:pt>
                <c:pt idx="2249">
                  <c:v>8.1934380000000004</c:v>
                </c:pt>
                <c:pt idx="2250">
                  <c:v>7.357272</c:v>
                </c:pt>
                <c:pt idx="2251">
                  <c:v>6.6958819999999655</c:v>
                </c:pt>
                <c:pt idx="2252">
                  <c:v>5.413551</c:v>
                </c:pt>
                <c:pt idx="2253">
                  <c:v>4.7641829999999645</c:v>
                </c:pt>
                <c:pt idx="2254">
                  <c:v>4.6212030000000004</c:v>
                </c:pt>
                <c:pt idx="2255">
                  <c:v>4.2729189999999955</c:v>
                </c:pt>
                <c:pt idx="2256">
                  <c:v>4.3674739999999845</c:v>
                </c:pt>
                <c:pt idx="2257">
                  <c:v>4.3207959999999845</c:v>
                </c:pt>
                <c:pt idx="2258">
                  <c:v>4.2567969999999997</c:v>
                </c:pt>
                <c:pt idx="2259">
                  <c:v>4.1054969999999855</c:v>
                </c:pt>
                <c:pt idx="2260">
                  <c:v>4.2397500000000123</c:v>
                </c:pt>
                <c:pt idx="2261">
                  <c:v>4.3410270000000004</c:v>
                </c:pt>
                <c:pt idx="2262">
                  <c:v>4.3080859999999745</c:v>
                </c:pt>
                <c:pt idx="2263">
                  <c:v>4.3671669999999745</c:v>
                </c:pt>
                <c:pt idx="2264">
                  <c:v>4.3467460000000004</c:v>
                </c:pt>
                <c:pt idx="2317">
                  <c:v>4.902126</c:v>
                </c:pt>
                <c:pt idx="2318">
                  <c:v>4.4695470000000004</c:v>
                </c:pt>
                <c:pt idx="2319">
                  <c:v>4.3387260000000003</c:v>
                </c:pt>
                <c:pt idx="2320">
                  <c:v>4.1930359999999745</c:v>
                </c:pt>
                <c:pt idx="2321">
                  <c:v>3.9931559999999977</c:v>
                </c:pt>
                <c:pt idx="2322">
                  <c:v>4.1905859999999491</c:v>
                </c:pt>
                <c:pt idx="2323">
                  <c:v>4.2228839999999845</c:v>
                </c:pt>
                <c:pt idx="2324">
                  <c:v>4.3986980000000004</c:v>
                </c:pt>
                <c:pt idx="2325">
                  <c:v>4.1892700000000014</c:v>
                </c:pt>
                <c:pt idx="2326">
                  <c:v>4.0669620000000002</c:v>
                </c:pt>
                <c:pt idx="2327">
                  <c:v>3.8663649999999987</c:v>
                </c:pt>
                <c:pt idx="2328">
                  <c:v>3.8975589999999967</c:v>
                </c:pt>
                <c:pt idx="2329">
                  <c:v>3.9107529999999819</c:v>
                </c:pt>
                <c:pt idx="2330">
                  <c:v>3.7339199999999999</c:v>
                </c:pt>
                <c:pt idx="2331">
                  <c:v>3.7730479999999997</c:v>
                </c:pt>
                <c:pt idx="2332">
                  <c:v>3.7931250000000012</c:v>
                </c:pt>
                <c:pt idx="2333">
                  <c:v>3.8427699999999967</c:v>
                </c:pt>
                <c:pt idx="2334">
                  <c:v>4.139583</c:v>
                </c:pt>
                <c:pt idx="2335">
                  <c:v>4.320678</c:v>
                </c:pt>
                <c:pt idx="2336">
                  <c:v>4.5669930000000001</c:v>
                </c:pt>
                <c:pt idx="2337">
                  <c:v>4.7192340000000002</c:v>
                </c:pt>
                <c:pt idx="2338">
                  <c:v>4.5100610000000003</c:v>
                </c:pt>
                <c:pt idx="2340">
                  <c:v>7.3273449999999745</c:v>
                </c:pt>
                <c:pt idx="2341">
                  <c:v>7.9025780000000001</c:v>
                </c:pt>
                <c:pt idx="2342">
                  <c:v>5.2583599999999997</c:v>
                </c:pt>
                <c:pt idx="2343">
                  <c:v>5.3406399999999996</c:v>
                </c:pt>
                <c:pt idx="2344">
                  <c:v>6.1493270000000004</c:v>
                </c:pt>
                <c:pt idx="2345">
                  <c:v>5.7567700000000004</c:v>
                </c:pt>
                <c:pt idx="2346">
                  <c:v>5.0770670000000004</c:v>
                </c:pt>
                <c:pt idx="2347">
                  <c:v>4.7010860000000001</c:v>
                </c:pt>
                <c:pt idx="2348">
                  <c:v>4.4183459999999997</c:v>
                </c:pt>
                <c:pt idx="2349">
                  <c:v>4.3980430000000004</c:v>
                </c:pt>
                <c:pt idx="2350">
                  <c:v>4.3035690000000004</c:v>
                </c:pt>
                <c:pt idx="2351">
                  <c:v>4.3293990000000004</c:v>
                </c:pt>
                <c:pt idx="2352">
                  <c:v>3.9037109999999999</c:v>
                </c:pt>
                <c:pt idx="2353">
                  <c:v>3.5083839999999999</c:v>
                </c:pt>
                <c:pt idx="2354">
                  <c:v>3.3725819999999977</c:v>
                </c:pt>
                <c:pt idx="2355">
                  <c:v>3.3586059999999764</c:v>
                </c:pt>
                <c:pt idx="2356">
                  <c:v>3.4268259999999819</c:v>
                </c:pt>
                <c:pt idx="2357">
                  <c:v>3.2087220000000012</c:v>
                </c:pt>
                <c:pt idx="2358">
                  <c:v>3.1465579999999997</c:v>
                </c:pt>
                <c:pt idx="2359">
                  <c:v>3.4761449999999967</c:v>
                </c:pt>
                <c:pt idx="2360">
                  <c:v>3.711884</c:v>
                </c:pt>
                <c:pt idx="2361">
                  <c:v>4.0544409999999855</c:v>
                </c:pt>
                <c:pt idx="2363">
                  <c:v>4.8931979999999955</c:v>
                </c:pt>
                <c:pt idx="2364">
                  <c:v>5.7520009999999955</c:v>
                </c:pt>
                <c:pt idx="2365">
                  <c:v>9.7163679999999992</c:v>
                </c:pt>
                <c:pt idx="2366">
                  <c:v>8.6755890000000733</c:v>
                </c:pt>
                <c:pt idx="2367">
                  <c:v>9.0790000000000006</c:v>
                </c:pt>
                <c:pt idx="2368">
                  <c:v>7.2104200000000001</c:v>
                </c:pt>
                <c:pt idx="2369">
                  <c:v>6.4131499999999999</c:v>
                </c:pt>
                <c:pt idx="2370">
                  <c:v>5.2373680000000133</c:v>
                </c:pt>
                <c:pt idx="2371">
                  <c:v>5.5569490000000004</c:v>
                </c:pt>
                <c:pt idx="2372">
                  <c:v>4.6481959999999845</c:v>
                </c:pt>
                <c:pt idx="2373">
                  <c:v>4.3035680000000003</c:v>
                </c:pt>
                <c:pt idx="2374">
                  <c:v>3.6118989999999829</c:v>
                </c:pt>
                <c:pt idx="2375">
                  <c:v>3.4151789999999829</c:v>
                </c:pt>
                <c:pt idx="2376">
                  <c:v>3.7915779999999999</c:v>
                </c:pt>
                <c:pt idx="2377">
                  <c:v>4.6437859999999755</c:v>
                </c:pt>
                <c:pt idx="2378">
                  <c:v>4.6393899999999997</c:v>
                </c:pt>
                <c:pt idx="2379">
                  <c:v>4.5601989999999955</c:v>
                </c:pt>
                <c:pt idx="2380">
                  <c:v>4.7817179999999997</c:v>
                </c:pt>
                <c:pt idx="2381">
                  <c:v>4.7672559999999855</c:v>
                </c:pt>
                <c:pt idx="2382">
                  <c:v>4.8208539999999855</c:v>
                </c:pt>
                <c:pt idx="2383">
                  <c:v>4.7893270000000134</c:v>
                </c:pt>
                <c:pt idx="2384">
                  <c:v>5.2573939999999997</c:v>
                </c:pt>
                <c:pt idx="2386">
                  <c:v>5.3612690000000134</c:v>
                </c:pt>
                <c:pt idx="2387">
                  <c:v>5.3490190000000002</c:v>
                </c:pt>
                <c:pt idx="2388">
                  <c:v>5.1189479999999845</c:v>
                </c:pt>
                <c:pt idx="2389">
                  <c:v>4.8603459999999945</c:v>
                </c:pt>
                <c:pt idx="2390">
                  <c:v>4.8806849999999855</c:v>
                </c:pt>
                <c:pt idx="2391">
                  <c:v>4.9860780000000124</c:v>
                </c:pt>
                <c:pt idx="2392">
                  <c:v>5.1182339999999975</c:v>
                </c:pt>
                <c:pt idx="2393">
                  <c:v>5.0967130000000003</c:v>
                </c:pt>
                <c:pt idx="2394">
                  <c:v>5.1569349999999545</c:v>
                </c:pt>
                <c:pt idx="2395">
                  <c:v>4.9905099999999996</c:v>
                </c:pt>
                <c:pt idx="2396">
                  <c:v>4.9246999999999996</c:v>
                </c:pt>
                <c:pt idx="2397">
                  <c:v>4.9486049999999997</c:v>
                </c:pt>
                <c:pt idx="2398">
                  <c:v>4.8366049999999996</c:v>
                </c:pt>
                <c:pt idx="2399">
                  <c:v>4.8914790000000004</c:v>
                </c:pt>
                <c:pt idx="2400">
                  <c:v>4.359604</c:v>
                </c:pt>
                <c:pt idx="2401">
                  <c:v>4.0086139999999997</c:v>
                </c:pt>
                <c:pt idx="2402">
                  <c:v>4.0192949999999996</c:v>
                </c:pt>
                <c:pt idx="2403">
                  <c:v>4.335051</c:v>
                </c:pt>
                <c:pt idx="2404">
                  <c:v>4.2228079999999855</c:v>
                </c:pt>
                <c:pt idx="2405">
                  <c:v>4.2619039999999995</c:v>
                </c:pt>
                <c:pt idx="2406">
                  <c:v>4.2653980000000002</c:v>
                </c:pt>
                <c:pt idx="2407">
                  <c:v>4.796284</c:v>
                </c:pt>
                <c:pt idx="2409">
                  <c:v>4.9550859999999846</c:v>
                </c:pt>
                <c:pt idx="2410">
                  <c:v>5.1948699999999945</c:v>
                </c:pt>
                <c:pt idx="2411">
                  <c:v>5.3758920000000003</c:v>
                </c:pt>
                <c:pt idx="2412">
                  <c:v>4.8729359999999655</c:v>
                </c:pt>
                <c:pt idx="2413">
                  <c:v>4.5039410000000002</c:v>
                </c:pt>
                <c:pt idx="2414">
                  <c:v>4.7230169999999845</c:v>
                </c:pt>
                <c:pt idx="2415">
                  <c:v>4.6702490000000134</c:v>
                </c:pt>
                <c:pt idx="2416">
                  <c:v>4.5468839999999995</c:v>
                </c:pt>
                <c:pt idx="2417">
                  <c:v>4.5292260000000004</c:v>
                </c:pt>
                <c:pt idx="2418">
                  <c:v>4.3382500000000004</c:v>
                </c:pt>
                <c:pt idx="2419">
                  <c:v>4.1754939999999996</c:v>
                </c:pt>
                <c:pt idx="2420">
                  <c:v>4.4299839999999975</c:v>
                </c:pt>
                <c:pt idx="2421">
                  <c:v>4.2269699999999997</c:v>
                </c:pt>
                <c:pt idx="2422">
                  <c:v>4.2653879999999855</c:v>
                </c:pt>
                <c:pt idx="2423">
                  <c:v>4.2558769999999955</c:v>
                </c:pt>
                <c:pt idx="2424">
                  <c:v>3.8678309999999998</c:v>
                </c:pt>
                <c:pt idx="2425">
                  <c:v>3.7217829999999998</c:v>
                </c:pt>
                <c:pt idx="2426">
                  <c:v>3.562379</c:v>
                </c:pt>
                <c:pt idx="2427">
                  <c:v>3.6667049999999999</c:v>
                </c:pt>
                <c:pt idx="2428">
                  <c:v>3.3742979999999987</c:v>
                </c:pt>
                <c:pt idx="2429">
                  <c:v>3.4023499999999967</c:v>
                </c:pt>
                <c:pt idx="2430">
                  <c:v>3.7237200000000219</c:v>
                </c:pt>
                <c:pt idx="2432">
                  <c:v>3.885205999999982</c:v>
                </c:pt>
                <c:pt idx="2433">
                  <c:v>3.9285709999999998</c:v>
                </c:pt>
                <c:pt idx="2434">
                  <c:v>4.1852</c:v>
                </c:pt>
                <c:pt idx="2435">
                  <c:v>4.4310200000000384</c:v>
                </c:pt>
                <c:pt idx="2436">
                  <c:v>4.0775069999999856</c:v>
                </c:pt>
                <c:pt idx="2437">
                  <c:v>4.1182670000000003</c:v>
                </c:pt>
                <c:pt idx="2438">
                  <c:v>4.0289579999999745</c:v>
                </c:pt>
                <c:pt idx="2439">
                  <c:v>3.7828010000000001</c:v>
                </c:pt>
                <c:pt idx="2440">
                  <c:v>3.749803</c:v>
                </c:pt>
                <c:pt idx="2441">
                  <c:v>3.8175179999999997</c:v>
                </c:pt>
                <c:pt idx="2442">
                  <c:v>3.8488489999999755</c:v>
                </c:pt>
                <c:pt idx="2443">
                  <c:v>3.8473290000000002</c:v>
                </c:pt>
                <c:pt idx="2444">
                  <c:v>3.8230149999999998</c:v>
                </c:pt>
                <c:pt idx="2445">
                  <c:v>3.7179890000000002</c:v>
                </c:pt>
                <c:pt idx="2446">
                  <c:v>4.0843639999999999</c:v>
                </c:pt>
                <c:pt idx="2447">
                  <c:v>3.8532019999999987</c:v>
                </c:pt>
                <c:pt idx="2448">
                  <c:v>4.0018589999999996</c:v>
                </c:pt>
                <c:pt idx="2449">
                  <c:v>3.734747</c:v>
                </c:pt>
                <c:pt idx="2450">
                  <c:v>3.6268249999999997</c:v>
                </c:pt>
                <c:pt idx="2451">
                  <c:v>3.6504989999999977</c:v>
                </c:pt>
                <c:pt idx="2452">
                  <c:v>3.5262419999999977</c:v>
                </c:pt>
                <c:pt idx="2453">
                  <c:v>3.6167149999999997</c:v>
                </c:pt>
                <c:pt idx="2455">
                  <c:v>3.7173799999999999</c:v>
                </c:pt>
                <c:pt idx="2456">
                  <c:v>3.9274610000000001</c:v>
                </c:pt>
                <c:pt idx="2457">
                  <c:v>4.0726399999999998</c:v>
                </c:pt>
                <c:pt idx="2458">
                  <c:v>4.1674449999999545</c:v>
                </c:pt>
                <c:pt idx="2459">
                  <c:v>4.0853609999999998</c:v>
                </c:pt>
                <c:pt idx="2460">
                  <c:v>3.5580259999999977</c:v>
                </c:pt>
                <c:pt idx="2461">
                  <c:v>3.538424</c:v>
                </c:pt>
                <c:pt idx="2462">
                  <c:v>3.546881</c:v>
                </c:pt>
                <c:pt idx="2463">
                  <c:v>3.612581</c:v>
                </c:pt>
                <c:pt idx="2464">
                  <c:v>3.6262599999999967</c:v>
                </c:pt>
                <c:pt idx="2465">
                  <c:v>3.4923689999999779</c:v>
                </c:pt>
                <c:pt idx="2466">
                  <c:v>3.762143</c:v>
                </c:pt>
                <c:pt idx="2467">
                  <c:v>3.5501399999999999</c:v>
                </c:pt>
                <c:pt idx="2468">
                  <c:v>3.9178579999999967</c:v>
                </c:pt>
                <c:pt idx="2469">
                  <c:v>3.804719</c:v>
                </c:pt>
                <c:pt idx="2470">
                  <c:v>3.9017140000000001</c:v>
                </c:pt>
                <c:pt idx="2471">
                  <c:v>4.0336690000000521</c:v>
                </c:pt>
                <c:pt idx="2472">
                  <c:v>3.714912</c:v>
                </c:pt>
                <c:pt idx="2473">
                  <c:v>3.4099740000000001</c:v>
                </c:pt>
                <c:pt idx="2474">
                  <c:v>3.3463769999999977</c:v>
                </c:pt>
                <c:pt idx="2475">
                  <c:v>3.324147</c:v>
                </c:pt>
                <c:pt idx="2476">
                  <c:v>3.3219679999999987</c:v>
                </c:pt>
                <c:pt idx="2478">
                  <c:v>3.4704349999999997</c:v>
                </c:pt>
                <c:pt idx="2479">
                  <c:v>3.7693460000000001</c:v>
                </c:pt>
                <c:pt idx="2480">
                  <c:v>4.4812360000000124</c:v>
                </c:pt>
                <c:pt idx="2481">
                  <c:v>4.2915839999999985</c:v>
                </c:pt>
                <c:pt idx="2482">
                  <c:v>4.189972</c:v>
                </c:pt>
                <c:pt idx="2483">
                  <c:v>4.4875629999999997</c:v>
                </c:pt>
                <c:pt idx="2484">
                  <c:v>4.4979199999999855</c:v>
                </c:pt>
                <c:pt idx="2485">
                  <c:v>4.3657029999999946</c:v>
                </c:pt>
                <c:pt idx="2486">
                  <c:v>3.7780019999999999</c:v>
                </c:pt>
                <c:pt idx="2487">
                  <c:v>4.0311370000000002</c:v>
                </c:pt>
                <c:pt idx="2488">
                  <c:v>4.044473</c:v>
                </c:pt>
                <c:pt idx="2489">
                  <c:v>3.8415409999999977</c:v>
                </c:pt>
                <c:pt idx="2490">
                  <c:v>3.7752340000000002</c:v>
                </c:pt>
                <c:pt idx="2491">
                  <c:v>3.6160429999999701</c:v>
                </c:pt>
                <c:pt idx="2492">
                  <c:v>3.8281640000000001</c:v>
                </c:pt>
                <c:pt idx="2493">
                  <c:v>3.7327179999999998</c:v>
                </c:pt>
                <c:pt idx="2494">
                  <c:v>3.5796039999999967</c:v>
                </c:pt>
                <c:pt idx="2495">
                  <c:v>3.4232529999999977</c:v>
                </c:pt>
                <c:pt idx="2496">
                  <c:v>3.8571770000000001</c:v>
                </c:pt>
                <c:pt idx="2497">
                  <c:v>3.7303649999999999</c:v>
                </c:pt>
                <c:pt idx="2498">
                  <c:v>3.6889090000000002</c:v>
                </c:pt>
                <c:pt idx="2499">
                  <c:v>3.5161799999999968</c:v>
                </c:pt>
                <c:pt idx="2501">
                  <c:v>3.5376619999999988</c:v>
                </c:pt>
                <c:pt idx="2502">
                  <c:v>5.5609009999999746</c:v>
                </c:pt>
                <c:pt idx="2503">
                  <c:v>5.9283729999999997</c:v>
                </c:pt>
                <c:pt idx="2504">
                  <c:v>5.7954139999999965</c:v>
                </c:pt>
                <c:pt idx="2505">
                  <c:v>5.1272499999999965</c:v>
                </c:pt>
                <c:pt idx="2506">
                  <c:v>4.6568369999999755</c:v>
                </c:pt>
                <c:pt idx="2507">
                  <c:v>5.2316240000000134</c:v>
                </c:pt>
                <c:pt idx="2508">
                  <c:v>5.2672949999999945</c:v>
                </c:pt>
                <c:pt idx="2509">
                  <c:v>4.8470199999999855</c:v>
                </c:pt>
                <c:pt idx="2510">
                  <c:v>4.9269849999999655</c:v>
                </c:pt>
                <c:pt idx="2511">
                  <c:v>4.3903400000000001</c:v>
                </c:pt>
                <c:pt idx="2512">
                  <c:v>4.5414649999999996</c:v>
                </c:pt>
                <c:pt idx="2513">
                  <c:v>4.0815390000000003</c:v>
                </c:pt>
                <c:pt idx="2514">
                  <c:v>3.7740449999999988</c:v>
                </c:pt>
                <c:pt idx="2515">
                  <c:v>3.5907260000000001</c:v>
                </c:pt>
                <c:pt idx="2516">
                  <c:v>3.395581</c:v>
                </c:pt>
                <c:pt idx="2517">
                  <c:v>3.226261</c:v>
                </c:pt>
                <c:pt idx="2518">
                  <c:v>3.2887040000000205</c:v>
                </c:pt>
                <c:pt idx="2519">
                  <c:v>3.350177</c:v>
                </c:pt>
                <c:pt idx="2520">
                  <c:v>3.1882579999999998</c:v>
                </c:pt>
                <c:pt idx="2521">
                  <c:v>3.0802969999999998</c:v>
                </c:pt>
                <c:pt idx="2522">
                  <c:v>3.676704</c:v>
                </c:pt>
                <c:pt idx="2531">
                  <c:v>4.6086080000000003</c:v>
                </c:pt>
                <c:pt idx="2532">
                  <c:v>4.046214</c:v>
                </c:pt>
                <c:pt idx="2533">
                  <c:v>3.9301149999999998</c:v>
                </c:pt>
                <c:pt idx="2534">
                  <c:v>3.8707219999999998</c:v>
                </c:pt>
                <c:pt idx="2535">
                  <c:v>3.9209019999999999</c:v>
                </c:pt>
                <c:pt idx="2536">
                  <c:v>3.8242649999999987</c:v>
                </c:pt>
                <c:pt idx="2537">
                  <c:v>3.7666719999999998</c:v>
                </c:pt>
                <c:pt idx="2538">
                  <c:v>3.7380249999999999</c:v>
                </c:pt>
                <c:pt idx="2539">
                  <c:v>3.6235599999999999</c:v>
                </c:pt>
                <c:pt idx="2540">
                  <c:v>3.6425830000000001</c:v>
                </c:pt>
                <c:pt idx="2541">
                  <c:v>3.5552419999999967</c:v>
                </c:pt>
                <c:pt idx="2542">
                  <c:v>3.5202979999999999</c:v>
                </c:pt>
                <c:pt idx="2543">
                  <c:v>3.5108389999999967</c:v>
                </c:pt>
                <c:pt idx="2544">
                  <c:v>3.8395469999999778</c:v>
                </c:pt>
                <c:pt idx="2545">
                  <c:v>3.8207629999999977</c:v>
                </c:pt>
                <c:pt idx="2546">
                  <c:v>4.0969379999999855</c:v>
                </c:pt>
                <c:pt idx="2547">
                  <c:v>3.8688389999999977</c:v>
                </c:pt>
                <c:pt idx="2548">
                  <c:v>3.8850409999999829</c:v>
                </c:pt>
                <c:pt idx="2549">
                  <c:v>4.0125979999999855</c:v>
                </c:pt>
                <c:pt idx="2550">
                  <c:v>3.9430170000000002</c:v>
                </c:pt>
                <c:pt idx="2551">
                  <c:v>4.0381239999999998</c:v>
                </c:pt>
                <c:pt idx="2553">
                  <c:v>3.6931060000000002</c:v>
                </c:pt>
                <c:pt idx="2554">
                  <c:v>3.7843870000000224</c:v>
                </c:pt>
                <c:pt idx="2555">
                  <c:v>4.0159099999999945</c:v>
                </c:pt>
                <c:pt idx="2556">
                  <c:v>4.0876109999999946</c:v>
                </c:pt>
                <c:pt idx="2557">
                  <c:v>3.8852019999999987</c:v>
                </c:pt>
                <c:pt idx="2558">
                  <c:v>3.9758559999999692</c:v>
                </c:pt>
                <c:pt idx="2559">
                  <c:v>3.843372</c:v>
                </c:pt>
                <c:pt idx="2560">
                  <c:v>4.0416249999999998</c:v>
                </c:pt>
                <c:pt idx="2561">
                  <c:v>4.052244</c:v>
                </c:pt>
                <c:pt idx="2562">
                  <c:v>3.8965739999999967</c:v>
                </c:pt>
                <c:pt idx="2563">
                  <c:v>3.7226759999999977</c:v>
                </c:pt>
                <c:pt idx="2564">
                  <c:v>3.8582319999999997</c:v>
                </c:pt>
                <c:pt idx="2565">
                  <c:v>3.7311969999999999</c:v>
                </c:pt>
                <c:pt idx="2566">
                  <c:v>3.768545</c:v>
                </c:pt>
                <c:pt idx="2567">
                  <c:v>3.775369</c:v>
                </c:pt>
                <c:pt idx="2568">
                  <c:v>3.6332909999999998</c:v>
                </c:pt>
                <c:pt idx="2569">
                  <c:v>3.3780619999999977</c:v>
                </c:pt>
                <c:pt idx="2570">
                  <c:v>3.5306039999999967</c:v>
                </c:pt>
                <c:pt idx="2571">
                  <c:v>3.321024</c:v>
                </c:pt>
                <c:pt idx="2572">
                  <c:v>3.4251269999999998</c:v>
                </c:pt>
                <c:pt idx="2573">
                  <c:v>3.5079929999999999</c:v>
                </c:pt>
                <c:pt idx="2574">
                  <c:v>3.4029089999999829</c:v>
                </c:pt>
                <c:pt idx="2576">
                  <c:v>3.6608399999999999</c:v>
                </c:pt>
                <c:pt idx="2577">
                  <c:v>3.7653900000000204</c:v>
                </c:pt>
                <c:pt idx="2578">
                  <c:v>3.9086349999999999</c:v>
                </c:pt>
                <c:pt idx="2579">
                  <c:v>3.924356</c:v>
                </c:pt>
                <c:pt idx="2580">
                  <c:v>3.9574099999999977</c:v>
                </c:pt>
                <c:pt idx="2581">
                  <c:v>3.9874419999999997</c:v>
                </c:pt>
                <c:pt idx="2582">
                  <c:v>3.9779300000000002</c:v>
                </c:pt>
                <c:pt idx="2583">
                  <c:v>3.8960549999999774</c:v>
                </c:pt>
                <c:pt idx="2584">
                  <c:v>4.0924999999999985</c:v>
                </c:pt>
                <c:pt idx="2585">
                  <c:v>4.0277919999999945</c:v>
                </c:pt>
                <c:pt idx="2586">
                  <c:v>4.0430299999999999</c:v>
                </c:pt>
                <c:pt idx="2587">
                  <c:v>3.9300989999999967</c:v>
                </c:pt>
                <c:pt idx="2588">
                  <c:v>3.9403419999999998</c:v>
                </c:pt>
                <c:pt idx="2589">
                  <c:v>3.6615329999999999</c:v>
                </c:pt>
                <c:pt idx="2590">
                  <c:v>3.6952609999999977</c:v>
                </c:pt>
                <c:pt idx="2591">
                  <c:v>3.6119330000000001</c:v>
                </c:pt>
                <c:pt idx="2592">
                  <c:v>3.545623</c:v>
                </c:pt>
                <c:pt idx="2593">
                  <c:v>3.179325</c:v>
                </c:pt>
                <c:pt idx="2594">
                  <c:v>3.3462889999999779</c:v>
                </c:pt>
                <c:pt idx="2595">
                  <c:v>3.357996</c:v>
                </c:pt>
                <c:pt idx="2596">
                  <c:v>3.3628599999999755</c:v>
                </c:pt>
                <c:pt idx="2597">
                  <c:v>3.2602199999999999</c:v>
                </c:pt>
                <c:pt idx="2599">
                  <c:v>3.4395079999999987</c:v>
                </c:pt>
                <c:pt idx="2600">
                  <c:v>3.4921029999999829</c:v>
                </c:pt>
                <c:pt idx="2601">
                  <c:v>3.509754</c:v>
                </c:pt>
                <c:pt idx="2602">
                  <c:v>3.4993819999999998</c:v>
                </c:pt>
                <c:pt idx="2603">
                  <c:v>3.8207649999999997</c:v>
                </c:pt>
                <c:pt idx="2604">
                  <c:v>3.5890330000000001</c:v>
                </c:pt>
                <c:pt idx="2605">
                  <c:v>3.4545810000000001</c:v>
                </c:pt>
                <c:pt idx="2606">
                  <c:v>3.5363370000000001</c:v>
                </c:pt>
                <c:pt idx="2607">
                  <c:v>3.1561889999999977</c:v>
                </c:pt>
                <c:pt idx="2608">
                  <c:v>3.6830810000000205</c:v>
                </c:pt>
                <c:pt idx="2609">
                  <c:v>3.6038239999999999</c:v>
                </c:pt>
                <c:pt idx="2610">
                  <c:v>3.3854889999999829</c:v>
                </c:pt>
                <c:pt idx="2611">
                  <c:v>3.2341690000000001</c:v>
                </c:pt>
                <c:pt idx="2612">
                  <c:v>3.4488439999999967</c:v>
                </c:pt>
                <c:pt idx="2613">
                  <c:v>3.5635889999999999</c:v>
                </c:pt>
                <c:pt idx="2614">
                  <c:v>3.48542</c:v>
                </c:pt>
                <c:pt idx="2615">
                  <c:v>3.5073380000000012</c:v>
                </c:pt>
                <c:pt idx="2616">
                  <c:v>3.6691900000000164</c:v>
                </c:pt>
                <c:pt idx="2617">
                  <c:v>3.4609800000000002</c:v>
                </c:pt>
                <c:pt idx="2618">
                  <c:v>3.2667290000000002</c:v>
                </c:pt>
                <c:pt idx="2619">
                  <c:v>3.1369019999999987</c:v>
                </c:pt>
                <c:pt idx="2620">
                  <c:v>3.1769619999999987</c:v>
                </c:pt>
                <c:pt idx="2622">
                  <c:v>3.0399779999999987</c:v>
                </c:pt>
                <c:pt idx="2623">
                  <c:v>2.9217449999999987</c:v>
                </c:pt>
                <c:pt idx="2624">
                  <c:v>3.0698599999999967</c:v>
                </c:pt>
                <c:pt idx="2625">
                  <c:v>3.1596189999999829</c:v>
                </c:pt>
                <c:pt idx="2626">
                  <c:v>3.1194709999999977</c:v>
                </c:pt>
                <c:pt idx="2627">
                  <c:v>3.0298859999999967</c:v>
                </c:pt>
                <c:pt idx="2628">
                  <c:v>2.8362509999999692</c:v>
                </c:pt>
                <c:pt idx="2629">
                  <c:v>2.5510699999999829</c:v>
                </c:pt>
                <c:pt idx="2630">
                  <c:v>2.5930040000000001</c:v>
                </c:pt>
                <c:pt idx="2631">
                  <c:v>2.8338789999999778</c:v>
                </c:pt>
                <c:pt idx="2632">
                  <c:v>2.4251879999999999</c:v>
                </c:pt>
                <c:pt idx="2633">
                  <c:v>2.2711779999999999</c:v>
                </c:pt>
                <c:pt idx="2634">
                  <c:v>2.6639430000000002</c:v>
                </c:pt>
                <c:pt idx="2635">
                  <c:v>2.7600090000000002</c:v>
                </c:pt>
                <c:pt idx="2636">
                  <c:v>2.9655239999999998</c:v>
                </c:pt>
                <c:pt idx="2637">
                  <c:v>3.3223179999999997</c:v>
                </c:pt>
                <c:pt idx="2638">
                  <c:v>3.266222</c:v>
                </c:pt>
                <c:pt idx="2639">
                  <c:v>3.3250929999999967</c:v>
                </c:pt>
                <c:pt idx="2640">
                  <c:v>3.6574960000000001</c:v>
                </c:pt>
                <c:pt idx="2641">
                  <c:v>3.9907859999999977</c:v>
                </c:pt>
                <c:pt idx="2642">
                  <c:v>3.8776159999999829</c:v>
                </c:pt>
                <c:pt idx="2643">
                  <c:v>3.7419140000000173</c:v>
                </c:pt>
                <c:pt idx="2645">
                  <c:v>3.5045999999999999</c:v>
                </c:pt>
                <c:pt idx="2646">
                  <c:v>3.604549</c:v>
                </c:pt>
                <c:pt idx="2647">
                  <c:v>3.7510289999999977</c:v>
                </c:pt>
                <c:pt idx="2648">
                  <c:v>3.8122259999999693</c:v>
                </c:pt>
                <c:pt idx="2649">
                  <c:v>3.9504379999999997</c:v>
                </c:pt>
                <c:pt idx="2650">
                  <c:v>3.8811300000000002</c:v>
                </c:pt>
                <c:pt idx="2651">
                  <c:v>4.0889139999999955</c:v>
                </c:pt>
                <c:pt idx="2652">
                  <c:v>4.4391030000000411</c:v>
                </c:pt>
                <c:pt idx="2653">
                  <c:v>4.8076689999999997</c:v>
                </c:pt>
                <c:pt idx="2654">
                  <c:v>5.4984029999999997</c:v>
                </c:pt>
                <c:pt idx="2655">
                  <c:v>4.4774609999999999</c:v>
                </c:pt>
                <c:pt idx="2656">
                  <c:v>3.9428319999999997</c:v>
                </c:pt>
                <c:pt idx="2657">
                  <c:v>3.4164809999999779</c:v>
                </c:pt>
                <c:pt idx="2658">
                  <c:v>3.2191879999999999</c:v>
                </c:pt>
                <c:pt idx="2659">
                  <c:v>3.5349399999999997</c:v>
                </c:pt>
                <c:pt idx="2660">
                  <c:v>4.0753430000000384</c:v>
                </c:pt>
                <c:pt idx="2661">
                  <c:v>4.1487030000000003</c:v>
                </c:pt>
                <c:pt idx="2662">
                  <c:v>4.1153849999999546</c:v>
                </c:pt>
                <c:pt idx="2663">
                  <c:v>4.0750479999999998</c:v>
                </c:pt>
                <c:pt idx="2664">
                  <c:v>4.1547139999999745</c:v>
                </c:pt>
                <c:pt idx="2665">
                  <c:v>4.6028729999999856</c:v>
                </c:pt>
                <c:pt idx="2666">
                  <c:v>4.2579269999999845</c:v>
                </c:pt>
                <c:pt idx="2668">
                  <c:v>4.3453249999999946</c:v>
                </c:pt>
                <c:pt idx="2669">
                  <c:v>4.3145379999999518</c:v>
                </c:pt>
                <c:pt idx="2670">
                  <c:v>4.2496380000000133</c:v>
                </c:pt>
                <c:pt idx="2671">
                  <c:v>4.4795309999999997</c:v>
                </c:pt>
                <c:pt idx="2672">
                  <c:v>4.5749549999999655</c:v>
                </c:pt>
                <c:pt idx="2673">
                  <c:v>4.6510790000000002</c:v>
                </c:pt>
                <c:pt idx="2674">
                  <c:v>4.7562559999999996</c:v>
                </c:pt>
                <c:pt idx="2675">
                  <c:v>4.5135779999999945</c:v>
                </c:pt>
                <c:pt idx="2676">
                  <c:v>4.4990700000000023</c:v>
                </c:pt>
                <c:pt idx="2677">
                  <c:v>4.7226660000000003</c:v>
                </c:pt>
                <c:pt idx="2678">
                  <c:v>4.644228</c:v>
                </c:pt>
                <c:pt idx="2679">
                  <c:v>5.0206970000000002</c:v>
                </c:pt>
                <c:pt idx="2680">
                  <c:v>5.1615389999999755</c:v>
                </c:pt>
                <c:pt idx="2681">
                  <c:v>5.0243809999999645</c:v>
                </c:pt>
                <c:pt idx="2682">
                  <c:v>5.3149429999999755</c:v>
                </c:pt>
                <c:pt idx="2683">
                  <c:v>5.0306879999999996</c:v>
                </c:pt>
                <c:pt idx="2684">
                  <c:v>4.6688109999999545</c:v>
                </c:pt>
                <c:pt idx="2685">
                  <c:v>4.0955529999999865</c:v>
                </c:pt>
                <c:pt idx="2686">
                  <c:v>4.1715369999999945</c:v>
                </c:pt>
                <c:pt idx="2687">
                  <c:v>4.1806910000000004</c:v>
                </c:pt>
                <c:pt idx="2688">
                  <c:v>4.1716940000000013</c:v>
                </c:pt>
                <c:pt idx="2689">
                  <c:v>4.0418620000000134</c:v>
                </c:pt>
                <c:pt idx="2691">
                  <c:v>4.1666879999999855</c:v>
                </c:pt>
                <c:pt idx="2692">
                  <c:v>4.060492</c:v>
                </c:pt>
                <c:pt idx="2693">
                  <c:v>3.9483109999999999</c:v>
                </c:pt>
                <c:pt idx="2694">
                  <c:v>4.0294610000000004</c:v>
                </c:pt>
                <c:pt idx="2695">
                  <c:v>4.5879729999999945</c:v>
                </c:pt>
                <c:pt idx="2696">
                  <c:v>4.4973780000000003</c:v>
                </c:pt>
                <c:pt idx="2697">
                  <c:v>4.6590590000000001</c:v>
                </c:pt>
                <c:pt idx="2698">
                  <c:v>4.5931109999999755</c:v>
                </c:pt>
                <c:pt idx="2699">
                  <c:v>5.3321490000000002</c:v>
                </c:pt>
                <c:pt idx="2700">
                  <c:v>5.7761839999999998</c:v>
                </c:pt>
                <c:pt idx="2701">
                  <c:v>5.5961639999999999</c:v>
                </c:pt>
                <c:pt idx="2702">
                  <c:v>5.5019260000000001</c:v>
                </c:pt>
                <c:pt idx="2703">
                  <c:v>5.1275589999999518</c:v>
                </c:pt>
                <c:pt idx="2704">
                  <c:v>4.7390800000000004</c:v>
                </c:pt>
                <c:pt idx="2705">
                  <c:v>4.5529079999999755</c:v>
                </c:pt>
                <c:pt idx="2706">
                  <c:v>4.0905179999999755</c:v>
                </c:pt>
                <c:pt idx="2707">
                  <c:v>4.5889749999999845</c:v>
                </c:pt>
                <c:pt idx="2708">
                  <c:v>4.8461249999999945</c:v>
                </c:pt>
                <c:pt idx="2709">
                  <c:v>4.4672349999999845</c:v>
                </c:pt>
                <c:pt idx="2710">
                  <c:v>4.1500599999999945</c:v>
                </c:pt>
                <c:pt idx="2711">
                  <c:v>3.9954669999999779</c:v>
                </c:pt>
                <c:pt idx="2712">
                  <c:v>4.2186849999999945</c:v>
                </c:pt>
                <c:pt idx="2770">
                  <c:v>6.4891880000000004</c:v>
                </c:pt>
                <c:pt idx="2771">
                  <c:v>5.9629389999999765</c:v>
                </c:pt>
                <c:pt idx="2772">
                  <c:v>6.3927819999999755</c:v>
                </c:pt>
                <c:pt idx="2774">
                  <c:v>7.4698380000000002</c:v>
                </c:pt>
                <c:pt idx="2775">
                  <c:v>6.8453569999999955</c:v>
                </c:pt>
                <c:pt idx="2776">
                  <c:v>7.5594089999999996</c:v>
                </c:pt>
                <c:pt idx="2777">
                  <c:v>6.9453379999999996</c:v>
                </c:pt>
                <c:pt idx="2778">
                  <c:v>5.8582010000000002</c:v>
                </c:pt>
                <c:pt idx="2779">
                  <c:v>6.3360209999999997</c:v>
                </c:pt>
                <c:pt idx="2780">
                  <c:v>6.494961</c:v>
                </c:pt>
                <c:pt idx="2781">
                  <c:v>5.3330830000000002</c:v>
                </c:pt>
                <c:pt idx="2782">
                  <c:v>4.9712490000000722</c:v>
                </c:pt>
                <c:pt idx="2783">
                  <c:v>5.293094</c:v>
                </c:pt>
                <c:pt idx="2784">
                  <c:v>4.6584630000000002</c:v>
                </c:pt>
                <c:pt idx="2785">
                  <c:v>4.3726950000000002</c:v>
                </c:pt>
                <c:pt idx="2786">
                  <c:v>4.3878119999999745</c:v>
                </c:pt>
                <c:pt idx="2787">
                  <c:v>4.2502389999999997</c:v>
                </c:pt>
                <c:pt idx="2788">
                  <c:v>4.2356259999999999</c:v>
                </c:pt>
                <c:pt idx="2789">
                  <c:v>4.1861249999999846</c:v>
                </c:pt>
                <c:pt idx="2790">
                  <c:v>4.1829249999999645</c:v>
                </c:pt>
                <c:pt idx="2791">
                  <c:v>4.3293470000000003</c:v>
                </c:pt>
                <c:pt idx="2792">
                  <c:v>4.4380290000000393</c:v>
                </c:pt>
                <c:pt idx="2793">
                  <c:v>4.6367419999999999</c:v>
                </c:pt>
                <c:pt idx="2794">
                  <c:v>4.6262679999999996</c:v>
                </c:pt>
                <c:pt idx="2795">
                  <c:v>4.8993289999999998</c:v>
                </c:pt>
                <c:pt idx="2797">
                  <c:v>5.1825869999999545</c:v>
                </c:pt>
                <c:pt idx="2798">
                  <c:v>4.963819</c:v>
                </c:pt>
                <c:pt idx="2799">
                  <c:v>4.9422100000000002</c:v>
                </c:pt>
                <c:pt idx="2800">
                  <c:v>4.3096600000000134</c:v>
                </c:pt>
                <c:pt idx="2801">
                  <c:v>4.0953499999999998</c:v>
                </c:pt>
                <c:pt idx="2802">
                  <c:v>3.9916209999999968</c:v>
                </c:pt>
                <c:pt idx="2803">
                  <c:v>4.2040119999999845</c:v>
                </c:pt>
                <c:pt idx="2804">
                  <c:v>4.2265699999999997</c:v>
                </c:pt>
                <c:pt idx="2805">
                  <c:v>4.4855749999999945</c:v>
                </c:pt>
                <c:pt idx="2806">
                  <c:v>4.927765</c:v>
                </c:pt>
                <c:pt idx="2807">
                  <c:v>4.1958579999999746</c:v>
                </c:pt>
                <c:pt idx="2808">
                  <c:v>4.0484710000000002</c:v>
                </c:pt>
                <c:pt idx="2809">
                  <c:v>4.1545499999999755</c:v>
                </c:pt>
                <c:pt idx="2810">
                  <c:v>4.0953689999999998</c:v>
                </c:pt>
                <c:pt idx="2811">
                  <c:v>4.0272639999999997</c:v>
                </c:pt>
                <c:pt idx="2812">
                  <c:v>4.0463600000000124</c:v>
                </c:pt>
                <c:pt idx="2813">
                  <c:v>4.0578409999999945</c:v>
                </c:pt>
                <c:pt idx="2814">
                  <c:v>4.0594099999999997</c:v>
                </c:pt>
                <c:pt idx="2815">
                  <c:v>4.2081499999999998</c:v>
                </c:pt>
                <c:pt idx="2816">
                  <c:v>4.4346470000000124</c:v>
                </c:pt>
                <c:pt idx="2817">
                  <c:v>4.594697</c:v>
                </c:pt>
                <c:pt idx="2818">
                  <c:v>4.7894600000000134</c:v>
                </c:pt>
                <c:pt idx="2820">
                  <c:v>5.732405</c:v>
                </c:pt>
                <c:pt idx="2822">
                  <c:v>6.6029629999999955</c:v>
                </c:pt>
                <c:pt idx="2824">
                  <c:v>6.6254629999999946</c:v>
                </c:pt>
                <c:pt idx="2825">
                  <c:v>6.2223709999999945</c:v>
                </c:pt>
                <c:pt idx="2826">
                  <c:v>6.2056060000000004</c:v>
                </c:pt>
                <c:pt idx="2827">
                  <c:v>6.3985589999999855</c:v>
                </c:pt>
                <c:pt idx="2828">
                  <c:v>6.5869349999999756</c:v>
                </c:pt>
                <c:pt idx="2829">
                  <c:v>6.7033790000000124</c:v>
                </c:pt>
                <c:pt idx="2830">
                  <c:v>6.6629269999999545</c:v>
                </c:pt>
                <c:pt idx="2831">
                  <c:v>6.7661959999999945</c:v>
                </c:pt>
                <c:pt idx="2832">
                  <c:v>5.1622339999999856</c:v>
                </c:pt>
                <c:pt idx="2833">
                  <c:v>4.0283859999999745</c:v>
                </c:pt>
                <c:pt idx="2834">
                  <c:v>3.7718719999999997</c:v>
                </c:pt>
                <c:pt idx="2835">
                  <c:v>3.7089320000000012</c:v>
                </c:pt>
                <c:pt idx="2836">
                  <c:v>3.5903070000000001</c:v>
                </c:pt>
                <c:pt idx="2837">
                  <c:v>3.7648210000000177</c:v>
                </c:pt>
                <c:pt idx="2838">
                  <c:v>3.7578040000000001</c:v>
                </c:pt>
                <c:pt idx="2839">
                  <c:v>3.8830079999999998</c:v>
                </c:pt>
                <c:pt idx="2840">
                  <c:v>3.9093230000000001</c:v>
                </c:pt>
                <c:pt idx="2841">
                  <c:v>4.276290000000043</c:v>
                </c:pt>
                <c:pt idx="2842">
                  <c:v>4.6318640000000002</c:v>
                </c:pt>
                <c:pt idx="2843">
                  <c:v>4.720726</c:v>
                </c:pt>
                <c:pt idx="2844">
                  <c:v>4.4447109999999945</c:v>
                </c:pt>
                <c:pt idx="2845">
                  <c:v>4.4797250000000384</c:v>
                </c:pt>
                <c:pt idx="2847">
                  <c:v>5.1177329999999746</c:v>
                </c:pt>
                <c:pt idx="2848">
                  <c:v>4.9676130000000001</c:v>
                </c:pt>
                <c:pt idx="2849">
                  <c:v>4.4918719999999999</c:v>
                </c:pt>
                <c:pt idx="2850">
                  <c:v>4.5730120000000003</c:v>
                </c:pt>
                <c:pt idx="2851">
                  <c:v>4.3316340000000002</c:v>
                </c:pt>
                <c:pt idx="2853">
                  <c:v>4.4558999999999997</c:v>
                </c:pt>
                <c:pt idx="2854">
                  <c:v>4.2748090000000003</c:v>
                </c:pt>
                <c:pt idx="2855">
                  <c:v>3.8559139999999967</c:v>
                </c:pt>
                <c:pt idx="2856">
                  <c:v>3.7369300000000001</c:v>
                </c:pt>
                <c:pt idx="2857">
                  <c:v>3.889586</c:v>
                </c:pt>
                <c:pt idx="2858">
                  <c:v>3.9907879999999998</c:v>
                </c:pt>
                <c:pt idx="2859">
                  <c:v>4.1586210000000001</c:v>
                </c:pt>
                <c:pt idx="2860">
                  <c:v>4.2976739999999998</c:v>
                </c:pt>
                <c:pt idx="2861">
                  <c:v>3.6439439999999998</c:v>
                </c:pt>
                <c:pt idx="2862">
                  <c:v>3.7380239999999998</c:v>
                </c:pt>
                <c:pt idx="2863">
                  <c:v>3.9871539999999999</c:v>
                </c:pt>
                <c:pt idx="2864">
                  <c:v>4.3256629999999996</c:v>
                </c:pt>
                <c:pt idx="2865">
                  <c:v>4.0979819999999645</c:v>
                </c:pt>
                <c:pt idx="2866">
                  <c:v>4.4278549999999655</c:v>
                </c:pt>
                <c:pt idx="2867">
                  <c:v>4.8521539999999845</c:v>
                </c:pt>
                <c:pt idx="2868">
                  <c:v>4.8299709999999845</c:v>
                </c:pt>
                <c:pt idx="2869">
                  <c:v>4.5799669999999999</c:v>
                </c:pt>
                <c:pt idx="2870">
                  <c:v>4.4673939999999996</c:v>
                </c:pt>
                <c:pt idx="2871">
                  <c:v>4.454898</c:v>
                </c:pt>
                <c:pt idx="2872">
                  <c:v>4.3710930000000134</c:v>
                </c:pt>
                <c:pt idx="2873">
                  <c:v>4.3423910000000001</c:v>
                </c:pt>
                <c:pt idx="2874">
                  <c:v>4.5068970000000004</c:v>
                </c:pt>
                <c:pt idx="2875">
                  <c:v>4.1596799999999998</c:v>
                </c:pt>
                <c:pt idx="2876">
                  <c:v>4.1272069999999745</c:v>
                </c:pt>
                <c:pt idx="2877">
                  <c:v>4.3590249999999955</c:v>
                </c:pt>
                <c:pt idx="2878">
                  <c:v>4.5905959999999855</c:v>
                </c:pt>
                <c:pt idx="2879">
                  <c:v>4.3335290000000004</c:v>
                </c:pt>
                <c:pt idx="2880">
                  <c:v>3.8760079999999775</c:v>
                </c:pt>
                <c:pt idx="2881">
                  <c:v>3.901567</c:v>
                </c:pt>
                <c:pt idx="2882">
                  <c:v>3.8004499999999779</c:v>
                </c:pt>
                <c:pt idx="2883">
                  <c:v>3.7521749999999998</c:v>
                </c:pt>
                <c:pt idx="2884">
                  <c:v>3.6849010000000177</c:v>
                </c:pt>
                <c:pt idx="2885">
                  <c:v>3.5380609999999977</c:v>
                </c:pt>
                <c:pt idx="2886">
                  <c:v>3.731487</c:v>
                </c:pt>
                <c:pt idx="2887">
                  <c:v>3.547679</c:v>
                </c:pt>
                <c:pt idx="2888">
                  <c:v>3.8805610000000001</c:v>
                </c:pt>
                <c:pt idx="2890">
                  <c:v>4.2287049999999855</c:v>
                </c:pt>
                <c:pt idx="2891">
                  <c:v>4.4436220000000448</c:v>
                </c:pt>
                <c:pt idx="2892">
                  <c:v>4.3008869999999755</c:v>
                </c:pt>
                <c:pt idx="2893">
                  <c:v>4.0820689999999997</c:v>
                </c:pt>
                <c:pt idx="2894">
                  <c:v>4.4917400000000134</c:v>
                </c:pt>
                <c:pt idx="2895">
                  <c:v>4.9871129999999955</c:v>
                </c:pt>
                <c:pt idx="2896">
                  <c:v>4.9429509999999945</c:v>
                </c:pt>
                <c:pt idx="2897">
                  <c:v>4.7454619999999998</c:v>
                </c:pt>
                <c:pt idx="2898">
                  <c:v>4.8436329999999996</c:v>
                </c:pt>
                <c:pt idx="2899">
                  <c:v>4.8628109999999536</c:v>
                </c:pt>
                <c:pt idx="2900">
                  <c:v>4.5514580000000002</c:v>
                </c:pt>
                <c:pt idx="2901">
                  <c:v>4.2947699999999998</c:v>
                </c:pt>
                <c:pt idx="2902">
                  <c:v>4.023428</c:v>
                </c:pt>
                <c:pt idx="2903">
                  <c:v>3.7609380000000012</c:v>
                </c:pt>
                <c:pt idx="2904">
                  <c:v>3.691897</c:v>
                </c:pt>
                <c:pt idx="2905">
                  <c:v>3.8154809999999784</c:v>
                </c:pt>
                <c:pt idx="2906">
                  <c:v>4.1438889999999855</c:v>
                </c:pt>
                <c:pt idx="2907">
                  <c:v>3.7743190000000002</c:v>
                </c:pt>
                <c:pt idx="2908">
                  <c:v>3.7750789999999967</c:v>
                </c:pt>
                <c:pt idx="2909">
                  <c:v>3.6972749999999999</c:v>
                </c:pt>
                <c:pt idx="2910">
                  <c:v>3.8162099999999692</c:v>
                </c:pt>
                <c:pt idx="2911">
                  <c:v>3.6335639999999998</c:v>
                </c:pt>
                <c:pt idx="2913">
                  <c:v>4.0033560000000001</c:v>
                </c:pt>
                <c:pt idx="2914">
                  <c:v>4.3421059999999745</c:v>
                </c:pt>
                <c:pt idx="2915">
                  <c:v>4.3308059999999955</c:v>
                </c:pt>
                <c:pt idx="2916">
                  <c:v>4.4010309999999997</c:v>
                </c:pt>
                <c:pt idx="2917">
                  <c:v>4.4006280000000393</c:v>
                </c:pt>
                <c:pt idx="2918">
                  <c:v>4.9208539999999985</c:v>
                </c:pt>
                <c:pt idx="2919">
                  <c:v>5.0348480000000002</c:v>
                </c:pt>
                <c:pt idx="2920">
                  <c:v>4.941721000000042</c:v>
                </c:pt>
                <c:pt idx="2921">
                  <c:v>4.9042349999999955</c:v>
                </c:pt>
                <c:pt idx="2922">
                  <c:v>4.4649589999999755</c:v>
                </c:pt>
                <c:pt idx="2923">
                  <c:v>4.1585339999999755</c:v>
                </c:pt>
                <c:pt idx="2924">
                  <c:v>4.2493460000000134</c:v>
                </c:pt>
                <c:pt idx="2925">
                  <c:v>4.2781159999999945</c:v>
                </c:pt>
                <c:pt idx="2926">
                  <c:v>4.2301260000000003</c:v>
                </c:pt>
                <c:pt idx="2927">
                  <c:v>4.1997020000000003</c:v>
                </c:pt>
                <c:pt idx="2928">
                  <c:v>4.0438679999999998</c:v>
                </c:pt>
                <c:pt idx="2929">
                  <c:v>3.6965879999999998</c:v>
                </c:pt>
                <c:pt idx="2930">
                  <c:v>3.4421499999999967</c:v>
                </c:pt>
                <c:pt idx="2931">
                  <c:v>3.0915529999999967</c:v>
                </c:pt>
                <c:pt idx="2932">
                  <c:v>3.0100709999999977</c:v>
                </c:pt>
                <c:pt idx="2933">
                  <c:v>2.8971629999999977</c:v>
                </c:pt>
                <c:pt idx="2934">
                  <c:v>2.4814419999999977</c:v>
                </c:pt>
                <c:pt idx="2936">
                  <c:v>2.3761829999999819</c:v>
                </c:pt>
                <c:pt idx="2937">
                  <c:v>2.4922739999999779</c:v>
                </c:pt>
                <c:pt idx="2938">
                  <c:v>2.5622739999999977</c:v>
                </c:pt>
                <c:pt idx="2939">
                  <c:v>2.4096799999999967</c:v>
                </c:pt>
                <c:pt idx="2940">
                  <c:v>1.9581330000000001</c:v>
                </c:pt>
                <c:pt idx="2941">
                  <c:v>1.69743</c:v>
                </c:pt>
                <c:pt idx="2942">
                  <c:v>1.8698789999999998</c:v>
                </c:pt>
                <c:pt idx="2943">
                  <c:v>1.683476</c:v>
                </c:pt>
                <c:pt idx="2944">
                  <c:v>1.6178229999999998</c:v>
                </c:pt>
                <c:pt idx="2945">
                  <c:v>2.1535679999999999</c:v>
                </c:pt>
                <c:pt idx="2946">
                  <c:v>2.2798029999999967</c:v>
                </c:pt>
                <c:pt idx="2947">
                  <c:v>2.3923509999999779</c:v>
                </c:pt>
                <c:pt idx="2948">
                  <c:v>2.3587210000000001</c:v>
                </c:pt>
                <c:pt idx="2949">
                  <c:v>2.3875340000000205</c:v>
                </c:pt>
                <c:pt idx="2950">
                  <c:v>2.4822310000000001</c:v>
                </c:pt>
                <c:pt idx="2951">
                  <c:v>2.5023270000000002</c:v>
                </c:pt>
                <c:pt idx="2952">
                  <c:v>3.4873609999999999</c:v>
                </c:pt>
                <c:pt idx="2953">
                  <c:v>4.0780399999999997</c:v>
                </c:pt>
                <c:pt idx="2954">
                  <c:v>3.9245260000000002</c:v>
                </c:pt>
                <c:pt idx="2955">
                  <c:v>4.0394459999999999</c:v>
                </c:pt>
                <c:pt idx="2956">
                  <c:v>3.9190599999999765</c:v>
                </c:pt>
                <c:pt idx="2957">
                  <c:v>4.0988249999999855</c:v>
                </c:pt>
                <c:pt idx="2959">
                  <c:v>3.9957009999999977</c:v>
                </c:pt>
                <c:pt idx="2960">
                  <c:v>4.1589639999999966</c:v>
                </c:pt>
                <c:pt idx="2961">
                  <c:v>4.1708069999999955</c:v>
                </c:pt>
                <c:pt idx="2962">
                  <c:v>4.2019330000000004</c:v>
                </c:pt>
                <c:pt idx="2963">
                  <c:v>4.2783059999999997</c:v>
                </c:pt>
                <c:pt idx="2964">
                  <c:v>4.4112330000000384</c:v>
                </c:pt>
                <c:pt idx="2965">
                  <c:v>4.4766880000000393</c:v>
                </c:pt>
                <c:pt idx="2966">
                  <c:v>4.199859</c:v>
                </c:pt>
                <c:pt idx="2967">
                  <c:v>4.1597929999999996</c:v>
                </c:pt>
                <c:pt idx="2968">
                  <c:v>4.2318330000000124</c:v>
                </c:pt>
                <c:pt idx="2969">
                  <c:v>4.2036280000000383</c:v>
                </c:pt>
                <c:pt idx="2970">
                  <c:v>4.1356419999999998</c:v>
                </c:pt>
                <c:pt idx="2971">
                  <c:v>3.9486240000000001</c:v>
                </c:pt>
                <c:pt idx="2972">
                  <c:v>4.090382</c:v>
                </c:pt>
                <c:pt idx="2973">
                  <c:v>4.0918369999999955</c:v>
                </c:pt>
                <c:pt idx="2974">
                  <c:v>4.0353529999999997</c:v>
                </c:pt>
                <c:pt idx="2975">
                  <c:v>4.0711190000000004</c:v>
                </c:pt>
                <c:pt idx="2976">
                  <c:v>4.1306289999999999</c:v>
                </c:pt>
                <c:pt idx="2977">
                  <c:v>4.0396540000000014</c:v>
                </c:pt>
                <c:pt idx="2978">
                  <c:v>4.1643149999999372</c:v>
                </c:pt>
                <c:pt idx="2979">
                  <c:v>4.1348859999999545</c:v>
                </c:pt>
                <c:pt idx="2980">
                  <c:v>4.0601949999999745</c:v>
                </c:pt>
                <c:pt idx="3012">
                  <c:v>4.3073559999999755</c:v>
                </c:pt>
                <c:pt idx="3013">
                  <c:v>4.7932350000000001</c:v>
                </c:pt>
                <c:pt idx="3014">
                  <c:v>4.7379309999999855</c:v>
                </c:pt>
                <c:pt idx="3015">
                  <c:v>4.4308660000000124</c:v>
                </c:pt>
                <c:pt idx="3016">
                  <c:v>4.2971620000000001</c:v>
                </c:pt>
                <c:pt idx="3017">
                  <c:v>4.2215809999999845</c:v>
                </c:pt>
                <c:pt idx="3018">
                  <c:v>4.0579709999999745</c:v>
                </c:pt>
                <c:pt idx="3019">
                  <c:v>4.034751</c:v>
                </c:pt>
                <c:pt idx="3020">
                  <c:v>3.7701539999999998</c:v>
                </c:pt>
                <c:pt idx="3021">
                  <c:v>3.8126749999999774</c:v>
                </c:pt>
                <c:pt idx="3022">
                  <c:v>3.6500449999999987</c:v>
                </c:pt>
                <c:pt idx="3023">
                  <c:v>3.6580810000000001</c:v>
                </c:pt>
                <c:pt idx="3024">
                  <c:v>3.5395059999999967</c:v>
                </c:pt>
                <c:pt idx="3025">
                  <c:v>3.4398729999999755</c:v>
                </c:pt>
                <c:pt idx="3026">
                  <c:v>3.5996759999999779</c:v>
                </c:pt>
                <c:pt idx="3027">
                  <c:v>3.7457799999999999</c:v>
                </c:pt>
                <c:pt idx="3028">
                  <c:v>3.6257790000000001</c:v>
                </c:pt>
                <c:pt idx="3029">
                  <c:v>3.6878609999999998</c:v>
                </c:pt>
                <c:pt idx="3030">
                  <c:v>3.6973440000000002</c:v>
                </c:pt>
                <c:pt idx="3031">
                  <c:v>4.1725539999999945</c:v>
                </c:pt>
                <c:pt idx="3032">
                  <c:v>4.2181920000000002</c:v>
                </c:pt>
                <c:pt idx="3033">
                  <c:v>4.1459429999999955</c:v>
                </c:pt>
                <c:pt idx="3034">
                  <c:v>3.8603679999999998</c:v>
                </c:pt>
                <c:pt idx="3035">
                  <c:v>3.9279199999999999</c:v>
                </c:pt>
                <c:pt idx="3036">
                  <c:v>3.7717290000000001</c:v>
                </c:pt>
                <c:pt idx="3037">
                  <c:v>3.7569129999999977</c:v>
                </c:pt>
                <c:pt idx="3038">
                  <c:v>3.6630690000000001</c:v>
                </c:pt>
                <c:pt idx="3039">
                  <c:v>3.1827610000000002</c:v>
                </c:pt>
                <c:pt idx="3040">
                  <c:v>3.4580310000000001</c:v>
                </c:pt>
                <c:pt idx="3041">
                  <c:v>3.7687599999999999</c:v>
                </c:pt>
                <c:pt idx="3042">
                  <c:v>3.8191959999999967</c:v>
                </c:pt>
                <c:pt idx="3043">
                  <c:v>3.8388769999999779</c:v>
                </c:pt>
                <c:pt idx="3044">
                  <c:v>3.5807509999999998</c:v>
                </c:pt>
                <c:pt idx="3045">
                  <c:v>3.2527689999999967</c:v>
                </c:pt>
                <c:pt idx="3046">
                  <c:v>3.2976369999999999</c:v>
                </c:pt>
                <c:pt idx="3047">
                  <c:v>3.3715489999999719</c:v>
                </c:pt>
                <c:pt idx="3048">
                  <c:v>3.6442920000000001</c:v>
                </c:pt>
                <c:pt idx="3049">
                  <c:v>3.6823969999999999</c:v>
                </c:pt>
                <c:pt idx="3050">
                  <c:v>3.742753</c:v>
                </c:pt>
                <c:pt idx="3051">
                  <c:v>3.6903790000000001</c:v>
                </c:pt>
                <c:pt idx="3052">
                  <c:v>3.7671650000000012</c:v>
                </c:pt>
                <c:pt idx="3053">
                  <c:v>3.8353769999999967</c:v>
                </c:pt>
                <c:pt idx="3054">
                  <c:v>3.666318</c:v>
                </c:pt>
                <c:pt idx="3055">
                  <c:v>3.880233</c:v>
                </c:pt>
                <c:pt idx="3056">
                  <c:v>4.1529109999999454</c:v>
                </c:pt>
                <c:pt idx="3057">
                  <c:v>3.7929140000000001</c:v>
                </c:pt>
                <c:pt idx="3058">
                  <c:v>3.534046999999982</c:v>
                </c:pt>
                <c:pt idx="3059">
                  <c:v>3.9430339999999999</c:v>
                </c:pt>
                <c:pt idx="3060">
                  <c:v>4.247757</c:v>
                </c:pt>
                <c:pt idx="3061">
                  <c:v>3.7890299999999999</c:v>
                </c:pt>
                <c:pt idx="3062">
                  <c:v>3.5539800000000001</c:v>
                </c:pt>
                <c:pt idx="3063">
                  <c:v>3.5458419999999977</c:v>
                </c:pt>
                <c:pt idx="3064">
                  <c:v>3.7119070000000001</c:v>
                </c:pt>
                <c:pt idx="3065">
                  <c:v>3.951924</c:v>
                </c:pt>
                <c:pt idx="3066">
                  <c:v>3.9823909999999998</c:v>
                </c:pt>
                <c:pt idx="3067">
                  <c:v>4.0140599999999855</c:v>
                </c:pt>
                <c:pt idx="3068">
                  <c:v>3.7697189999999998</c:v>
                </c:pt>
                <c:pt idx="3069">
                  <c:v>3.9623019999999998</c:v>
                </c:pt>
                <c:pt idx="3070">
                  <c:v>3.8797959999999967</c:v>
                </c:pt>
                <c:pt idx="3071">
                  <c:v>3.4084970000000001</c:v>
                </c:pt>
                <c:pt idx="3072">
                  <c:v>3.2179069999999999</c:v>
                </c:pt>
                <c:pt idx="3073">
                  <c:v>3.3297910000000002</c:v>
                </c:pt>
                <c:pt idx="3074">
                  <c:v>3.3332049999999978</c:v>
                </c:pt>
                <c:pt idx="3075">
                  <c:v>3.5388829999999967</c:v>
                </c:pt>
                <c:pt idx="3076">
                  <c:v>3.5667179999999998</c:v>
                </c:pt>
                <c:pt idx="3077">
                  <c:v>3.795258999999982</c:v>
                </c:pt>
                <c:pt idx="3078">
                  <c:v>3.9199879999999987</c:v>
                </c:pt>
                <c:pt idx="3079">
                  <c:v>3.9622679999999977</c:v>
                </c:pt>
                <c:pt idx="3080">
                  <c:v>3.7412619999999999</c:v>
                </c:pt>
                <c:pt idx="3081">
                  <c:v>3.7758799999999977</c:v>
                </c:pt>
                <c:pt idx="3082">
                  <c:v>3.873135</c:v>
                </c:pt>
                <c:pt idx="3083">
                  <c:v>3.861729</c:v>
                </c:pt>
                <c:pt idx="3084">
                  <c:v>3.8337819999999998</c:v>
                </c:pt>
                <c:pt idx="3085">
                  <c:v>3.7405170000000205</c:v>
                </c:pt>
                <c:pt idx="3086">
                  <c:v>3.8214179999999978</c:v>
                </c:pt>
                <c:pt idx="3087">
                  <c:v>3.8448129999999967</c:v>
                </c:pt>
                <c:pt idx="3088">
                  <c:v>3.9448409999999967</c:v>
                </c:pt>
                <c:pt idx="3089">
                  <c:v>3.7709229999999998</c:v>
                </c:pt>
                <c:pt idx="3090">
                  <c:v>3.8389039999999977</c:v>
                </c:pt>
                <c:pt idx="3091">
                  <c:v>3.6928779999999977</c:v>
                </c:pt>
                <c:pt idx="3092">
                  <c:v>3.5661429999999967</c:v>
                </c:pt>
                <c:pt idx="3093">
                  <c:v>3.7589549999999998</c:v>
                </c:pt>
                <c:pt idx="3094">
                  <c:v>3.9081610000000002</c:v>
                </c:pt>
                <c:pt idx="3095">
                  <c:v>3.7057020000000001</c:v>
                </c:pt>
                <c:pt idx="3096">
                  <c:v>3.9221749999999997</c:v>
                </c:pt>
                <c:pt idx="3097">
                  <c:v>3.8427669999999967</c:v>
                </c:pt>
                <c:pt idx="3098">
                  <c:v>3.8276179999999997</c:v>
                </c:pt>
                <c:pt idx="3099">
                  <c:v>3.708358</c:v>
                </c:pt>
                <c:pt idx="3100">
                  <c:v>3.8623049999999997</c:v>
                </c:pt>
                <c:pt idx="3101">
                  <c:v>3.9123099999999829</c:v>
                </c:pt>
                <c:pt idx="3102">
                  <c:v>3.8914039999999779</c:v>
                </c:pt>
                <c:pt idx="3103">
                  <c:v>4.0105109999999655</c:v>
                </c:pt>
                <c:pt idx="3104">
                  <c:v>4.0561819999999855</c:v>
                </c:pt>
                <c:pt idx="3105">
                  <c:v>4.2521199999999855</c:v>
                </c:pt>
                <c:pt idx="3106">
                  <c:v>4.1489859999999545</c:v>
                </c:pt>
                <c:pt idx="3107">
                  <c:v>4.160434999999949</c:v>
                </c:pt>
                <c:pt idx="3108">
                  <c:v>3.9916969999999967</c:v>
                </c:pt>
                <c:pt idx="3109">
                  <c:v>3.9694539999999967</c:v>
                </c:pt>
                <c:pt idx="3110">
                  <c:v>4.0350260000000002</c:v>
                </c:pt>
                <c:pt idx="3111">
                  <c:v>3.8318099999999737</c:v>
                </c:pt>
                <c:pt idx="3112">
                  <c:v>4.0162529999999999</c:v>
                </c:pt>
                <c:pt idx="3113">
                  <c:v>3.8687999999999998</c:v>
                </c:pt>
                <c:pt idx="3114">
                  <c:v>3.7616489999999967</c:v>
                </c:pt>
                <c:pt idx="3115">
                  <c:v>3.7211099999999999</c:v>
                </c:pt>
                <c:pt idx="3116">
                  <c:v>3.9003449999999997</c:v>
                </c:pt>
                <c:pt idx="3117">
                  <c:v>4.2913459999999999</c:v>
                </c:pt>
                <c:pt idx="3118">
                  <c:v>5.0848699999999996</c:v>
                </c:pt>
                <c:pt idx="3119">
                  <c:v>5.6573389999999755</c:v>
                </c:pt>
                <c:pt idx="3120">
                  <c:v>4.0546849999999655</c:v>
                </c:pt>
                <c:pt idx="3121">
                  <c:v>3.8465889999999967</c:v>
                </c:pt>
                <c:pt idx="3122">
                  <c:v>3.8155759999999779</c:v>
                </c:pt>
                <c:pt idx="3123">
                  <c:v>3.7131409999999998</c:v>
                </c:pt>
                <c:pt idx="3124">
                  <c:v>3.6312079999999987</c:v>
                </c:pt>
                <c:pt idx="3125">
                  <c:v>3.616393</c:v>
                </c:pt>
                <c:pt idx="3126">
                  <c:v>3.7600470000000001</c:v>
                </c:pt>
                <c:pt idx="3127">
                  <c:v>3.7517429999999967</c:v>
                </c:pt>
                <c:pt idx="3128">
                  <c:v>3.8787489999999765</c:v>
                </c:pt>
                <c:pt idx="3129">
                  <c:v>3.7339289999999998</c:v>
                </c:pt>
                <c:pt idx="3130">
                  <c:v>3.9891559999999977</c:v>
                </c:pt>
                <c:pt idx="3131">
                  <c:v>4.0594229999999998</c:v>
                </c:pt>
                <c:pt idx="3132">
                  <c:v>3.4402519999999988</c:v>
                </c:pt>
                <c:pt idx="3133">
                  <c:v>3.5687289999999998</c:v>
                </c:pt>
                <c:pt idx="3134">
                  <c:v>3.2416170000000002</c:v>
                </c:pt>
                <c:pt idx="3135">
                  <c:v>2.901186</c:v>
                </c:pt>
                <c:pt idx="3136">
                  <c:v>3.126798</c:v>
                </c:pt>
                <c:pt idx="3137">
                  <c:v>3.6052960000000001</c:v>
                </c:pt>
                <c:pt idx="3138">
                  <c:v>3.8629159999999967</c:v>
                </c:pt>
                <c:pt idx="3139">
                  <c:v>3.8283209999999999</c:v>
                </c:pt>
                <c:pt idx="3140">
                  <c:v>3.798635</c:v>
                </c:pt>
                <c:pt idx="3141">
                  <c:v>3.6560799999999967</c:v>
                </c:pt>
                <c:pt idx="3142">
                  <c:v>3.6231010000000219</c:v>
                </c:pt>
                <c:pt idx="3143">
                  <c:v>3.7217690000000001</c:v>
                </c:pt>
                <c:pt idx="3144">
                  <c:v>3.5774330000000001</c:v>
                </c:pt>
                <c:pt idx="3145">
                  <c:v>3.367769</c:v>
                </c:pt>
                <c:pt idx="3146">
                  <c:v>3.2438120000000001</c:v>
                </c:pt>
                <c:pt idx="3147">
                  <c:v>3.2175449999999999</c:v>
                </c:pt>
                <c:pt idx="3148">
                  <c:v>3.42258</c:v>
                </c:pt>
                <c:pt idx="3149">
                  <c:v>3.4816509999999967</c:v>
                </c:pt>
                <c:pt idx="3150">
                  <c:v>3.6199559999999829</c:v>
                </c:pt>
                <c:pt idx="3151">
                  <c:v>3.6737299999999999</c:v>
                </c:pt>
                <c:pt idx="3152">
                  <c:v>3.9824049999999978</c:v>
                </c:pt>
                <c:pt idx="3153">
                  <c:v>3.6402950000000001</c:v>
                </c:pt>
                <c:pt idx="3154">
                  <c:v>3.6261009999999998</c:v>
                </c:pt>
                <c:pt idx="3155">
                  <c:v>4.0331950000000001</c:v>
                </c:pt>
                <c:pt idx="3156">
                  <c:v>3.4027240000000001</c:v>
                </c:pt>
                <c:pt idx="3157">
                  <c:v>3.9966319999999977</c:v>
                </c:pt>
                <c:pt idx="3158">
                  <c:v>3.8376259999999967</c:v>
                </c:pt>
                <c:pt idx="3159">
                  <c:v>3.880538</c:v>
                </c:pt>
                <c:pt idx="3160">
                  <c:v>3.828535</c:v>
                </c:pt>
                <c:pt idx="3161">
                  <c:v>3.5104079999999978</c:v>
                </c:pt>
                <c:pt idx="3162">
                  <c:v>3.490551</c:v>
                </c:pt>
                <c:pt idx="3163">
                  <c:v>3.5140569999999967</c:v>
                </c:pt>
                <c:pt idx="3164">
                  <c:v>3.3471669999999998</c:v>
                </c:pt>
                <c:pt idx="3165">
                  <c:v>3.3299210000000001</c:v>
                </c:pt>
                <c:pt idx="3166">
                  <c:v>3.1980659999999967</c:v>
                </c:pt>
                <c:pt idx="3167">
                  <c:v>3.3550449999999774</c:v>
                </c:pt>
                <c:pt idx="3168">
                  <c:v>3.4192919999999987</c:v>
                </c:pt>
                <c:pt idx="3169">
                  <c:v>3.3740969999999977</c:v>
                </c:pt>
                <c:pt idx="3170">
                  <c:v>3.4876499999999977</c:v>
                </c:pt>
                <c:pt idx="3171">
                  <c:v>3.4375140000000002</c:v>
                </c:pt>
                <c:pt idx="3172">
                  <c:v>3.7167479999999977</c:v>
                </c:pt>
                <c:pt idx="3173">
                  <c:v>3.6581410000000001</c:v>
                </c:pt>
                <c:pt idx="3174">
                  <c:v>3.8213330000000001</c:v>
                </c:pt>
                <c:pt idx="3175">
                  <c:v>3.9603240000000164</c:v>
                </c:pt>
                <c:pt idx="3176">
                  <c:v>4.0115959999999955</c:v>
                </c:pt>
                <c:pt idx="3177">
                  <c:v>3.6655229999999999</c:v>
                </c:pt>
                <c:pt idx="3178">
                  <c:v>3.8360329999999774</c:v>
                </c:pt>
                <c:pt idx="3179">
                  <c:v>3.8921459999999692</c:v>
                </c:pt>
                <c:pt idx="3180">
                  <c:v>3.0103339999999998</c:v>
                </c:pt>
                <c:pt idx="3181">
                  <c:v>3.120349</c:v>
                </c:pt>
                <c:pt idx="3182">
                  <c:v>3.0765959999999977</c:v>
                </c:pt>
                <c:pt idx="3183">
                  <c:v>3.1787479999999997</c:v>
                </c:pt>
                <c:pt idx="3184">
                  <c:v>3.5737679999999998</c:v>
                </c:pt>
                <c:pt idx="3185">
                  <c:v>3.6838519999999999</c:v>
                </c:pt>
                <c:pt idx="3186">
                  <c:v>3.6751499999999977</c:v>
                </c:pt>
                <c:pt idx="3187">
                  <c:v>3.5346709999999977</c:v>
                </c:pt>
                <c:pt idx="3188">
                  <c:v>3.550961</c:v>
                </c:pt>
                <c:pt idx="3189">
                  <c:v>3.6306859999999967</c:v>
                </c:pt>
                <c:pt idx="3190">
                  <c:v>3.4717370000000001</c:v>
                </c:pt>
                <c:pt idx="3191">
                  <c:v>3.4790199999999967</c:v>
                </c:pt>
                <c:pt idx="3192">
                  <c:v>3.6924449999999824</c:v>
                </c:pt>
                <c:pt idx="3193">
                  <c:v>3.554719</c:v>
                </c:pt>
                <c:pt idx="3194">
                  <c:v>3.6368459999999692</c:v>
                </c:pt>
                <c:pt idx="3195">
                  <c:v>3.6326889999999779</c:v>
                </c:pt>
                <c:pt idx="3196">
                  <c:v>3.6634479999999998</c:v>
                </c:pt>
                <c:pt idx="3197">
                  <c:v>3.7914379999999999</c:v>
                </c:pt>
                <c:pt idx="3198">
                  <c:v>3.8558219999999968</c:v>
                </c:pt>
                <c:pt idx="3199">
                  <c:v>3.8632200000000001</c:v>
                </c:pt>
                <c:pt idx="3200">
                  <c:v>3.9541449999999987</c:v>
                </c:pt>
                <c:pt idx="3201">
                  <c:v>3.834314</c:v>
                </c:pt>
                <c:pt idx="3202">
                  <c:v>4.1492990000000134</c:v>
                </c:pt>
                <c:pt idx="3203">
                  <c:v>4.4004830000000004</c:v>
                </c:pt>
                <c:pt idx="3204">
                  <c:v>4.2144939999999975</c:v>
                </c:pt>
                <c:pt idx="3205">
                  <c:v>4.3837830000000002</c:v>
                </c:pt>
                <c:pt idx="3206">
                  <c:v>4.0449929999999945</c:v>
                </c:pt>
                <c:pt idx="3207">
                  <c:v>4.0209979999999845</c:v>
                </c:pt>
                <c:pt idx="3208">
                  <c:v>3.9699779999999998</c:v>
                </c:pt>
                <c:pt idx="3209">
                  <c:v>4.0699179999999755</c:v>
                </c:pt>
                <c:pt idx="3210">
                  <c:v>3.9249239999999999</c:v>
                </c:pt>
                <c:pt idx="3211">
                  <c:v>3.9933010000000002</c:v>
                </c:pt>
                <c:pt idx="3212">
                  <c:v>3.7918229999999977</c:v>
                </c:pt>
                <c:pt idx="3213">
                  <c:v>3.7203529999999998</c:v>
                </c:pt>
                <c:pt idx="3214">
                  <c:v>3.7276859999999998</c:v>
                </c:pt>
                <c:pt idx="3215">
                  <c:v>3.8789310000000001</c:v>
                </c:pt>
                <c:pt idx="3216">
                  <c:v>3.791963</c:v>
                </c:pt>
                <c:pt idx="3217">
                  <c:v>3.6147579999999997</c:v>
                </c:pt>
                <c:pt idx="3218">
                  <c:v>3.5638230000000002</c:v>
                </c:pt>
                <c:pt idx="3219">
                  <c:v>3.6749610000000001</c:v>
                </c:pt>
                <c:pt idx="3220">
                  <c:v>3.6687910000000219</c:v>
                </c:pt>
                <c:pt idx="3221">
                  <c:v>3.4777689999999977</c:v>
                </c:pt>
                <c:pt idx="3222">
                  <c:v>3.6183700000000001</c:v>
                </c:pt>
                <c:pt idx="3223">
                  <c:v>3.7862519999999997</c:v>
                </c:pt>
                <c:pt idx="3224">
                  <c:v>3.9418699999999967</c:v>
                </c:pt>
                <c:pt idx="3225">
                  <c:v>3.9690879999999997</c:v>
                </c:pt>
                <c:pt idx="3226">
                  <c:v>4.0177769999999855</c:v>
                </c:pt>
                <c:pt idx="3227">
                  <c:v>3.5547279999999999</c:v>
                </c:pt>
                <c:pt idx="3228">
                  <c:v>3.8300699999999779</c:v>
                </c:pt>
                <c:pt idx="3229">
                  <c:v>3.6758589999999765</c:v>
                </c:pt>
                <c:pt idx="3230">
                  <c:v>3.4831599999999998</c:v>
                </c:pt>
                <c:pt idx="3231">
                  <c:v>3.8301999999999987</c:v>
                </c:pt>
                <c:pt idx="3232">
                  <c:v>3.7204940000000177</c:v>
                </c:pt>
                <c:pt idx="3233">
                  <c:v>3.7903410000000002</c:v>
                </c:pt>
                <c:pt idx="3234">
                  <c:v>3.5771980000000001</c:v>
                </c:pt>
                <c:pt idx="3235">
                  <c:v>3.5237189999999998</c:v>
                </c:pt>
                <c:pt idx="3236">
                  <c:v>3.4881060000000002</c:v>
                </c:pt>
                <c:pt idx="3237">
                  <c:v>3.8184289999999779</c:v>
                </c:pt>
                <c:pt idx="3238">
                  <c:v>3.7399610000000001</c:v>
                </c:pt>
                <c:pt idx="3239">
                  <c:v>3.5467930000000001</c:v>
                </c:pt>
                <c:pt idx="3240">
                  <c:v>3.4163589999999733</c:v>
                </c:pt>
                <c:pt idx="3241">
                  <c:v>3.3687549999999997</c:v>
                </c:pt>
                <c:pt idx="3242">
                  <c:v>3.3814109999999977</c:v>
                </c:pt>
                <c:pt idx="3243">
                  <c:v>3.3796229999999778</c:v>
                </c:pt>
                <c:pt idx="3244">
                  <c:v>3.3624669999999779</c:v>
                </c:pt>
                <c:pt idx="3245">
                  <c:v>3.3591069999999967</c:v>
                </c:pt>
                <c:pt idx="3246">
                  <c:v>3.3583849999999997</c:v>
                </c:pt>
                <c:pt idx="3247">
                  <c:v>3.5594269999999977</c:v>
                </c:pt>
                <c:pt idx="3248">
                  <c:v>3.7281599999999999</c:v>
                </c:pt>
                <c:pt idx="3249">
                  <c:v>4.0154039999999975</c:v>
                </c:pt>
                <c:pt idx="3250">
                  <c:v>3.7359019999999998</c:v>
                </c:pt>
                <c:pt idx="3251">
                  <c:v>3.9152059999999755</c:v>
                </c:pt>
                <c:pt idx="3252">
                  <c:v>3.7939050000000001</c:v>
                </c:pt>
                <c:pt idx="3253">
                  <c:v>3.7837240000000287</c:v>
                </c:pt>
                <c:pt idx="3254">
                  <c:v>3.7224979999999999</c:v>
                </c:pt>
                <c:pt idx="3255">
                  <c:v>3.7416770000000001</c:v>
                </c:pt>
                <c:pt idx="3256">
                  <c:v>3.5699679999999998</c:v>
                </c:pt>
                <c:pt idx="3257">
                  <c:v>3.4040649999999997</c:v>
                </c:pt>
                <c:pt idx="3258">
                  <c:v>3.4868389999999967</c:v>
                </c:pt>
                <c:pt idx="3259">
                  <c:v>3.3857619999999997</c:v>
                </c:pt>
                <c:pt idx="3260">
                  <c:v>3.3653149999999998</c:v>
                </c:pt>
                <c:pt idx="3261">
                  <c:v>3.49403</c:v>
                </c:pt>
                <c:pt idx="3262">
                  <c:v>3.45343</c:v>
                </c:pt>
                <c:pt idx="3263">
                  <c:v>3.4658289999999967</c:v>
                </c:pt>
                <c:pt idx="3264">
                  <c:v>3.530319</c:v>
                </c:pt>
                <c:pt idx="3265">
                  <c:v>2.9832529999999977</c:v>
                </c:pt>
                <c:pt idx="3266">
                  <c:v>3.1830840000000205</c:v>
                </c:pt>
                <c:pt idx="3267">
                  <c:v>3.1430799999999999</c:v>
                </c:pt>
                <c:pt idx="3268">
                  <c:v>3.1659380000000001</c:v>
                </c:pt>
                <c:pt idx="3269">
                  <c:v>3.1996959999999977</c:v>
                </c:pt>
                <c:pt idx="3270">
                  <c:v>3.1496240000000002</c:v>
                </c:pt>
                <c:pt idx="3271">
                  <c:v>3.5772539999999977</c:v>
                </c:pt>
                <c:pt idx="3272">
                  <c:v>3.5509819999999999</c:v>
                </c:pt>
                <c:pt idx="3273">
                  <c:v>3.4760849999999968</c:v>
                </c:pt>
                <c:pt idx="3274">
                  <c:v>3.4237440000000001</c:v>
                </c:pt>
                <c:pt idx="3275">
                  <c:v>3.3339629999999967</c:v>
                </c:pt>
                <c:pt idx="3276">
                  <c:v>3.5096370000000001</c:v>
                </c:pt>
                <c:pt idx="3277">
                  <c:v>3.3497029999999977</c:v>
                </c:pt>
                <c:pt idx="3278">
                  <c:v>3.3631769999999999</c:v>
                </c:pt>
                <c:pt idx="3279">
                  <c:v>3.2175630000000002</c:v>
                </c:pt>
                <c:pt idx="3280">
                  <c:v>3.3830629999999977</c:v>
                </c:pt>
                <c:pt idx="3281">
                  <c:v>3.1577060000000001</c:v>
                </c:pt>
                <c:pt idx="3282">
                  <c:v>3.1960979999999997</c:v>
                </c:pt>
                <c:pt idx="3283">
                  <c:v>3.2928449999999967</c:v>
                </c:pt>
                <c:pt idx="3284">
                  <c:v>3.1754289999999967</c:v>
                </c:pt>
                <c:pt idx="3285">
                  <c:v>3.1435810000000246</c:v>
                </c:pt>
                <c:pt idx="3286">
                  <c:v>3.6151010000000001</c:v>
                </c:pt>
                <c:pt idx="3287">
                  <c:v>3.4389340000000002</c:v>
                </c:pt>
                <c:pt idx="3288">
                  <c:v>3.575024</c:v>
                </c:pt>
                <c:pt idx="3289">
                  <c:v>3.4155569999999829</c:v>
                </c:pt>
                <c:pt idx="3290">
                  <c:v>3.4012129999999967</c:v>
                </c:pt>
                <c:pt idx="3291">
                  <c:v>3.4055010000000001</c:v>
                </c:pt>
                <c:pt idx="3292">
                  <c:v>3.3571930000000001</c:v>
                </c:pt>
                <c:pt idx="3293">
                  <c:v>3.3651619999999998</c:v>
                </c:pt>
                <c:pt idx="3294">
                  <c:v>3.3347669999999967</c:v>
                </c:pt>
                <c:pt idx="3295">
                  <c:v>3.3665959999999977</c:v>
                </c:pt>
                <c:pt idx="3296">
                  <c:v>3.3624499999999737</c:v>
                </c:pt>
                <c:pt idx="3297">
                  <c:v>3.2443550000000001</c:v>
                </c:pt>
                <c:pt idx="3298">
                  <c:v>3.4104019999999977</c:v>
                </c:pt>
                <c:pt idx="3299">
                  <c:v>3.5110199999999967</c:v>
                </c:pt>
                <c:pt idx="3300">
                  <c:v>2.751706</c:v>
                </c:pt>
                <c:pt idx="3301">
                  <c:v>2.7020719999999998</c:v>
                </c:pt>
                <c:pt idx="3302">
                  <c:v>2.5645720000000001</c:v>
                </c:pt>
                <c:pt idx="3303">
                  <c:v>2.7707809999999999</c:v>
                </c:pt>
                <c:pt idx="3304">
                  <c:v>3.1240839999999999</c:v>
                </c:pt>
                <c:pt idx="3305">
                  <c:v>3.7548940000000002</c:v>
                </c:pt>
                <c:pt idx="3306">
                  <c:v>3.8293849999999998</c:v>
                </c:pt>
                <c:pt idx="3307">
                  <c:v>3.6373910000000205</c:v>
                </c:pt>
                <c:pt idx="3308">
                  <c:v>3.6314539999999829</c:v>
                </c:pt>
                <c:pt idx="3309">
                  <c:v>3.3400569999999967</c:v>
                </c:pt>
                <c:pt idx="3310">
                  <c:v>3.3492479999999967</c:v>
                </c:pt>
                <c:pt idx="3311">
                  <c:v>3.1124729999999778</c:v>
                </c:pt>
                <c:pt idx="3312">
                  <c:v>3.5563549999999977</c:v>
                </c:pt>
                <c:pt idx="3313">
                  <c:v>3.8436059999999967</c:v>
                </c:pt>
                <c:pt idx="3314">
                  <c:v>3.7159469999999977</c:v>
                </c:pt>
                <c:pt idx="3315">
                  <c:v>3.8852559999999778</c:v>
                </c:pt>
                <c:pt idx="3316">
                  <c:v>3.785962</c:v>
                </c:pt>
                <c:pt idx="3317">
                  <c:v>3.7711980000000001</c:v>
                </c:pt>
                <c:pt idx="3318">
                  <c:v>3.9938609999999977</c:v>
                </c:pt>
                <c:pt idx="3319">
                  <c:v>3.9870999999999999</c:v>
                </c:pt>
                <c:pt idx="3320">
                  <c:v>3.9528619999999774</c:v>
                </c:pt>
                <c:pt idx="3321">
                  <c:v>4.0315960000000004</c:v>
                </c:pt>
                <c:pt idx="3322">
                  <c:v>4.2807849999999945</c:v>
                </c:pt>
                <c:pt idx="3323">
                  <c:v>4.089925</c:v>
                </c:pt>
                <c:pt idx="3324">
                  <c:v>3.459978999999981</c:v>
                </c:pt>
                <c:pt idx="3325">
                  <c:v>3.5509249999999999</c:v>
                </c:pt>
                <c:pt idx="3326">
                  <c:v>3.5845710000000164</c:v>
                </c:pt>
                <c:pt idx="3327">
                  <c:v>3.4960589999999692</c:v>
                </c:pt>
                <c:pt idx="3328">
                  <c:v>3.5146629999999779</c:v>
                </c:pt>
                <c:pt idx="3329">
                  <c:v>3.3988439999999764</c:v>
                </c:pt>
                <c:pt idx="3330">
                  <c:v>3.8593769999999967</c:v>
                </c:pt>
                <c:pt idx="3331">
                  <c:v>3.9037389999999998</c:v>
                </c:pt>
                <c:pt idx="3332">
                  <c:v>3.9133360000000001</c:v>
                </c:pt>
                <c:pt idx="3333">
                  <c:v>4.0091520000000003</c:v>
                </c:pt>
                <c:pt idx="3334">
                  <c:v>4.0438470000000004</c:v>
                </c:pt>
                <c:pt idx="3335">
                  <c:v>3.7757640000000001</c:v>
                </c:pt>
                <c:pt idx="3336">
                  <c:v>3.7821669999999998</c:v>
                </c:pt>
                <c:pt idx="3337">
                  <c:v>3.8019649999999987</c:v>
                </c:pt>
                <c:pt idx="3338">
                  <c:v>3.5742959999999977</c:v>
                </c:pt>
                <c:pt idx="3339">
                  <c:v>3.6445980000000002</c:v>
                </c:pt>
                <c:pt idx="3340">
                  <c:v>3.7735930000000177</c:v>
                </c:pt>
                <c:pt idx="3341">
                  <c:v>3.6919390000000001</c:v>
                </c:pt>
                <c:pt idx="3342">
                  <c:v>3.8291840000000001</c:v>
                </c:pt>
                <c:pt idx="3343">
                  <c:v>3.7339600000000002</c:v>
                </c:pt>
                <c:pt idx="3344">
                  <c:v>3.9331290000000001</c:v>
                </c:pt>
                <c:pt idx="3345">
                  <c:v>3.9215930000000001</c:v>
                </c:pt>
                <c:pt idx="3346">
                  <c:v>4.3647189999999645</c:v>
                </c:pt>
                <c:pt idx="3347">
                  <c:v>4.0656600000000003</c:v>
                </c:pt>
                <c:pt idx="3348">
                  <c:v>4.1395369999999945</c:v>
                </c:pt>
                <c:pt idx="3349">
                  <c:v>4.3665059999999745</c:v>
                </c:pt>
                <c:pt idx="3350">
                  <c:v>4.8067279999999997</c:v>
                </c:pt>
                <c:pt idx="3351">
                  <c:v>4.3918920000000004</c:v>
                </c:pt>
                <c:pt idx="3352">
                  <c:v>3.8889800000000001</c:v>
                </c:pt>
                <c:pt idx="3353">
                  <c:v>3.4471910000000219</c:v>
                </c:pt>
                <c:pt idx="3354">
                  <c:v>3.493039</c:v>
                </c:pt>
                <c:pt idx="3355">
                  <c:v>3.3990799999999779</c:v>
                </c:pt>
                <c:pt idx="3356">
                  <c:v>3.1332949999999999</c:v>
                </c:pt>
                <c:pt idx="3357">
                  <c:v>4.0208769999999845</c:v>
                </c:pt>
                <c:pt idx="3358">
                  <c:v>3.9596749999999967</c:v>
                </c:pt>
                <c:pt idx="3359">
                  <c:v>3.9306509999999779</c:v>
                </c:pt>
                <c:pt idx="3360">
                  <c:v>3.691039</c:v>
                </c:pt>
                <c:pt idx="3361">
                  <c:v>3.4060869999999968</c:v>
                </c:pt>
                <c:pt idx="3362">
                  <c:v>3.4098619999999977</c:v>
                </c:pt>
                <c:pt idx="3363">
                  <c:v>3.328201</c:v>
                </c:pt>
                <c:pt idx="3364">
                  <c:v>3.4098729999999819</c:v>
                </c:pt>
                <c:pt idx="3365">
                  <c:v>3.3250229999999967</c:v>
                </c:pt>
                <c:pt idx="3366">
                  <c:v>3.4738929999999977</c:v>
                </c:pt>
                <c:pt idx="3367">
                  <c:v>3.5112259999999829</c:v>
                </c:pt>
                <c:pt idx="3368">
                  <c:v>3.6225459999999967</c:v>
                </c:pt>
                <c:pt idx="3369">
                  <c:v>3.8038699999999968</c:v>
                </c:pt>
                <c:pt idx="3370">
                  <c:v>4.0795659999999998</c:v>
                </c:pt>
                <c:pt idx="3371">
                  <c:v>3.4790379999999987</c:v>
                </c:pt>
                <c:pt idx="3372">
                  <c:v>3.6982110000000001</c:v>
                </c:pt>
                <c:pt idx="3373">
                  <c:v>3.6941069999999998</c:v>
                </c:pt>
                <c:pt idx="3374">
                  <c:v>3.4484309999999998</c:v>
                </c:pt>
                <c:pt idx="3375">
                  <c:v>3.1962639999999967</c:v>
                </c:pt>
                <c:pt idx="3376">
                  <c:v>3.3495200000000001</c:v>
                </c:pt>
                <c:pt idx="3377">
                  <c:v>3.5241479999999998</c:v>
                </c:pt>
                <c:pt idx="3378">
                  <c:v>3.0988039999999977</c:v>
                </c:pt>
                <c:pt idx="3379">
                  <c:v>3.0248689999999967</c:v>
                </c:pt>
                <c:pt idx="3380">
                  <c:v>3.1749100000000001</c:v>
                </c:pt>
                <c:pt idx="3381">
                  <c:v>3.2213449999999999</c:v>
                </c:pt>
                <c:pt idx="3382">
                  <c:v>3.1023070000000001</c:v>
                </c:pt>
                <c:pt idx="3383">
                  <c:v>3.3993069999999967</c:v>
                </c:pt>
                <c:pt idx="3384">
                  <c:v>3.887429</c:v>
                </c:pt>
                <c:pt idx="3385">
                  <c:v>4.011978</c:v>
                </c:pt>
                <c:pt idx="3386">
                  <c:v>4.1240139999999545</c:v>
                </c:pt>
                <c:pt idx="3387">
                  <c:v>4.1550869999999609</c:v>
                </c:pt>
                <c:pt idx="3388">
                  <c:v>4.0857429999999999</c:v>
                </c:pt>
                <c:pt idx="3389">
                  <c:v>4.1761650000000001</c:v>
                </c:pt>
                <c:pt idx="3390">
                  <c:v>4.2548809999999655</c:v>
                </c:pt>
                <c:pt idx="3391">
                  <c:v>4.5067209999999998</c:v>
                </c:pt>
                <c:pt idx="3392">
                  <c:v>4.1762940000000004</c:v>
                </c:pt>
                <c:pt idx="3393">
                  <c:v>3.6319849999999998</c:v>
                </c:pt>
                <c:pt idx="3394">
                  <c:v>3.3582669999999779</c:v>
                </c:pt>
                <c:pt idx="3395">
                  <c:v>4.0784310000000001</c:v>
                </c:pt>
                <c:pt idx="3396">
                  <c:v>4.9875999999999996</c:v>
                </c:pt>
                <c:pt idx="3397">
                  <c:v>4.838044</c:v>
                </c:pt>
                <c:pt idx="3398">
                  <c:v>5.7588280000000003</c:v>
                </c:pt>
                <c:pt idx="3399">
                  <c:v>5.5577589999999955</c:v>
                </c:pt>
                <c:pt idx="3400">
                  <c:v>5.4916740000000024</c:v>
                </c:pt>
                <c:pt idx="3401">
                  <c:v>4.7174930000000002</c:v>
                </c:pt>
                <c:pt idx="3402">
                  <c:v>4.3306839999999998</c:v>
                </c:pt>
                <c:pt idx="3403">
                  <c:v>4.4367410000000493</c:v>
                </c:pt>
                <c:pt idx="3404">
                  <c:v>3.5758479999999802</c:v>
                </c:pt>
                <c:pt idx="3405">
                  <c:v>3.3296649999999977</c:v>
                </c:pt>
                <c:pt idx="3406">
                  <c:v>3.2412209999999999</c:v>
                </c:pt>
                <c:pt idx="3407">
                  <c:v>3.3535589999999829</c:v>
                </c:pt>
                <c:pt idx="3408">
                  <c:v>3.861367</c:v>
                </c:pt>
                <c:pt idx="3409">
                  <c:v>3.9005239999999999</c:v>
                </c:pt>
                <c:pt idx="3410">
                  <c:v>3.8582679999999967</c:v>
                </c:pt>
                <c:pt idx="3411">
                  <c:v>3.7367489999999779</c:v>
                </c:pt>
                <c:pt idx="3412">
                  <c:v>3.911381</c:v>
                </c:pt>
                <c:pt idx="3413">
                  <c:v>3.9609459999999967</c:v>
                </c:pt>
                <c:pt idx="3414">
                  <c:v>3.9771839999999998</c:v>
                </c:pt>
                <c:pt idx="3415">
                  <c:v>4.5854410000000003</c:v>
                </c:pt>
                <c:pt idx="3416">
                  <c:v>4.6053309999999845</c:v>
                </c:pt>
                <c:pt idx="3417">
                  <c:v>4.686337</c:v>
                </c:pt>
                <c:pt idx="3418">
                  <c:v>4.3060520000000002</c:v>
                </c:pt>
                <c:pt idx="3419">
                  <c:v>3.8330559999999769</c:v>
                </c:pt>
                <c:pt idx="3420">
                  <c:v>4.2852090000000134</c:v>
                </c:pt>
                <c:pt idx="3421">
                  <c:v>6.5443869999999755</c:v>
                </c:pt>
                <c:pt idx="3422">
                  <c:v>6.3301769999999955</c:v>
                </c:pt>
                <c:pt idx="3423">
                  <c:v>4.9961970000000004</c:v>
                </c:pt>
                <c:pt idx="3424">
                  <c:v>3.6709369999999999</c:v>
                </c:pt>
                <c:pt idx="3425">
                  <c:v>3.585439</c:v>
                </c:pt>
                <c:pt idx="3426">
                  <c:v>4.3019369999999855</c:v>
                </c:pt>
                <c:pt idx="3427">
                  <c:v>4.1011980000000001</c:v>
                </c:pt>
                <c:pt idx="3428">
                  <c:v>4.1755559999999745</c:v>
                </c:pt>
                <c:pt idx="3429">
                  <c:v>4.0858889999999946</c:v>
                </c:pt>
                <c:pt idx="3430">
                  <c:v>3.7489870000000205</c:v>
                </c:pt>
                <c:pt idx="3431">
                  <c:v>4.1109459999999745</c:v>
                </c:pt>
                <c:pt idx="3432">
                  <c:v>4.1008649999999855</c:v>
                </c:pt>
                <c:pt idx="3433">
                  <c:v>4.050751</c:v>
                </c:pt>
                <c:pt idx="3434">
                  <c:v>4.0128059999999746</c:v>
                </c:pt>
                <c:pt idx="3435">
                  <c:v>3.9516839999999829</c:v>
                </c:pt>
                <c:pt idx="3436">
                  <c:v>3.8176649999999968</c:v>
                </c:pt>
                <c:pt idx="3437">
                  <c:v>3.5394149999999978</c:v>
                </c:pt>
                <c:pt idx="3438">
                  <c:v>3.5437340000000224</c:v>
                </c:pt>
                <c:pt idx="3439">
                  <c:v>3.8135889999999977</c:v>
                </c:pt>
                <c:pt idx="3440">
                  <c:v>4.0944959999999755</c:v>
                </c:pt>
                <c:pt idx="3441">
                  <c:v>4.1809669999999945</c:v>
                </c:pt>
                <c:pt idx="3442">
                  <c:v>3.341329</c:v>
                </c:pt>
                <c:pt idx="3443">
                  <c:v>3.4981209999999998</c:v>
                </c:pt>
                <c:pt idx="3444">
                  <c:v>3.9968889999999728</c:v>
                </c:pt>
                <c:pt idx="3445">
                  <c:v>3.9081649999999999</c:v>
                </c:pt>
                <c:pt idx="3446">
                  <c:v>3.3068289999999769</c:v>
                </c:pt>
                <c:pt idx="3447">
                  <c:v>3.7299440000000001</c:v>
                </c:pt>
                <c:pt idx="3448">
                  <c:v>3.5782479999999977</c:v>
                </c:pt>
                <c:pt idx="3449">
                  <c:v>3.2134459999999967</c:v>
                </c:pt>
                <c:pt idx="3450">
                  <c:v>3.5977039999999998</c:v>
                </c:pt>
                <c:pt idx="3451">
                  <c:v>3.0704019999999987</c:v>
                </c:pt>
                <c:pt idx="3452">
                  <c:v>3.0512259999999967</c:v>
                </c:pt>
                <c:pt idx="3453">
                  <c:v>3.217406</c:v>
                </c:pt>
                <c:pt idx="3454">
                  <c:v>3.151691</c:v>
                </c:pt>
                <c:pt idx="3455">
                  <c:v>3.3217449999999977</c:v>
                </c:pt>
                <c:pt idx="3456">
                  <c:v>3.7520119999999997</c:v>
                </c:pt>
                <c:pt idx="3457">
                  <c:v>3.2282649999999999</c:v>
                </c:pt>
                <c:pt idx="3458">
                  <c:v>3.4097429999999829</c:v>
                </c:pt>
                <c:pt idx="3459">
                  <c:v>3.449757</c:v>
                </c:pt>
                <c:pt idx="3460">
                  <c:v>3.5404010000000001</c:v>
                </c:pt>
                <c:pt idx="3461">
                  <c:v>3.5008210000000002</c:v>
                </c:pt>
                <c:pt idx="3462">
                  <c:v>3.5283899999999999</c:v>
                </c:pt>
                <c:pt idx="3463">
                  <c:v>3.5875870000000205</c:v>
                </c:pt>
                <c:pt idx="3464">
                  <c:v>3.5637840000000205</c:v>
                </c:pt>
                <c:pt idx="3465">
                  <c:v>3.2886730000000002</c:v>
                </c:pt>
                <c:pt idx="3466">
                  <c:v>2.9520959999999778</c:v>
                </c:pt>
                <c:pt idx="3467">
                  <c:v>3.1299389999999998</c:v>
                </c:pt>
                <c:pt idx="3468">
                  <c:v>3.3715379999999997</c:v>
                </c:pt>
                <c:pt idx="3469">
                  <c:v>4.0850280000000003</c:v>
                </c:pt>
                <c:pt idx="3470">
                  <c:v>4.3558309999999745</c:v>
                </c:pt>
                <c:pt idx="3471">
                  <c:v>4.502383</c:v>
                </c:pt>
                <c:pt idx="3472">
                  <c:v>4.1380889999999955</c:v>
                </c:pt>
                <c:pt idx="3473">
                  <c:v>3.2240289999999998</c:v>
                </c:pt>
                <c:pt idx="3474">
                  <c:v>3.0248599999999977</c:v>
                </c:pt>
                <c:pt idx="3475">
                  <c:v>2.8446489999999764</c:v>
                </c:pt>
                <c:pt idx="3476">
                  <c:v>2.6599539999999977</c:v>
                </c:pt>
                <c:pt idx="3477">
                  <c:v>2.7390789999999967</c:v>
                </c:pt>
                <c:pt idx="3478">
                  <c:v>2.7522579999999977</c:v>
                </c:pt>
                <c:pt idx="3479">
                  <c:v>2.6487889999999998</c:v>
                </c:pt>
                <c:pt idx="3480">
                  <c:v>3.7916429999999779</c:v>
                </c:pt>
                <c:pt idx="3481">
                  <c:v>4.2446780000000004</c:v>
                </c:pt>
                <c:pt idx="3482">
                  <c:v>4.6404699999999997</c:v>
                </c:pt>
                <c:pt idx="3483">
                  <c:v>4.3911490000000004</c:v>
                </c:pt>
                <c:pt idx="3484">
                  <c:v>4.5190489999999999</c:v>
                </c:pt>
                <c:pt idx="3485">
                  <c:v>4.4121039999999985</c:v>
                </c:pt>
                <c:pt idx="3486">
                  <c:v>4.6078259999999656</c:v>
                </c:pt>
                <c:pt idx="3487">
                  <c:v>4.6240419999999745</c:v>
                </c:pt>
                <c:pt idx="3488">
                  <c:v>4.8220899999999745</c:v>
                </c:pt>
                <c:pt idx="3489">
                  <c:v>4.2094040000000001</c:v>
                </c:pt>
                <c:pt idx="3490">
                  <c:v>4.0529449999999745</c:v>
                </c:pt>
                <c:pt idx="3491">
                  <c:v>4.4496240000000133</c:v>
                </c:pt>
                <c:pt idx="3492">
                  <c:v>5.0478680000000002</c:v>
                </c:pt>
                <c:pt idx="3493">
                  <c:v>5.7113959999999997</c:v>
                </c:pt>
                <c:pt idx="3494">
                  <c:v>5.9954200000000002</c:v>
                </c:pt>
                <c:pt idx="3495">
                  <c:v>6.0809889999999855</c:v>
                </c:pt>
                <c:pt idx="3496">
                  <c:v>5.715611</c:v>
                </c:pt>
                <c:pt idx="3497">
                  <c:v>4.9253410000000004</c:v>
                </c:pt>
                <c:pt idx="3498">
                  <c:v>5.7022449999999996</c:v>
                </c:pt>
                <c:pt idx="3499">
                  <c:v>4.3393179999999996</c:v>
                </c:pt>
                <c:pt idx="3500">
                  <c:v>4.1797709999999997</c:v>
                </c:pt>
                <c:pt idx="3501">
                  <c:v>4.5891380000000002</c:v>
                </c:pt>
                <c:pt idx="3502">
                  <c:v>4.3962260000000004</c:v>
                </c:pt>
                <c:pt idx="3503">
                  <c:v>4.2411770000000004</c:v>
                </c:pt>
                <c:pt idx="3504">
                  <c:v>3.946977</c:v>
                </c:pt>
                <c:pt idx="3505">
                  <c:v>4.176526</c:v>
                </c:pt>
                <c:pt idx="3506">
                  <c:v>4.5155119999999656</c:v>
                </c:pt>
                <c:pt idx="3507">
                  <c:v>4.5719890000000003</c:v>
                </c:pt>
                <c:pt idx="3508">
                  <c:v>4.5393910000000384</c:v>
                </c:pt>
                <c:pt idx="3509">
                  <c:v>4.5485179999999845</c:v>
                </c:pt>
                <c:pt idx="3510">
                  <c:v>4.4617480000000134</c:v>
                </c:pt>
                <c:pt idx="3511">
                  <c:v>4.743995</c:v>
                </c:pt>
                <c:pt idx="3512">
                  <c:v>4.7808520000000003</c:v>
                </c:pt>
                <c:pt idx="3513">
                  <c:v>3.9691649999999998</c:v>
                </c:pt>
                <c:pt idx="3514">
                  <c:v>4.0216799999999999</c:v>
                </c:pt>
                <c:pt idx="3515">
                  <c:v>4.5189959999999845</c:v>
                </c:pt>
                <c:pt idx="3516">
                  <c:v>4.4406850000000002</c:v>
                </c:pt>
                <c:pt idx="3517">
                  <c:v>5.4426670000000383</c:v>
                </c:pt>
                <c:pt idx="3518">
                  <c:v>5.890676</c:v>
                </c:pt>
                <c:pt idx="3519">
                  <c:v>5.7844660000000001</c:v>
                </c:pt>
                <c:pt idx="3520">
                  <c:v>5.5085689999999996</c:v>
                </c:pt>
                <c:pt idx="3521">
                  <c:v>4.9137120000000003</c:v>
                </c:pt>
                <c:pt idx="3522">
                  <c:v>4.1530189999999845</c:v>
                </c:pt>
                <c:pt idx="3523">
                  <c:v>3.778508</c:v>
                </c:pt>
                <c:pt idx="3524">
                  <c:v>3.7216499999999977</c:v>
                </c:pt>
                <c:pt idx="3525">
                  <c:v>3.8847299999999998</c:v>
                </c:pt>
                <c:pt idx="3526">
                  <c:v>4.0844189999999845</c:v>
                </c:pt>
                <c:pt idx="3527">
                  <c:v>4.4376730000000393</c:v>
                </c:pt>
                <c:pt idx="3528">
                  <c:v>4.3672579999999845</c:v>
                </c:pt>
                <c:pt idx="3529">
                  <c:v>4.3163460000000002</c:v>
                </c:pt>
                <c:pt idx="3530">
                  <c:v>4.2717410000000458</c:v>
                </c:pt>
                <c:pt idx="3531">
                  <c:v>4.1034030000000001</c:v>
                </c:pt>
                <c:pt idx="3532">
                  <c:v>3.9893670000000001</c:v>
                </c:pt>
                <c:pt idx="3533">
                  <c:v>4.0897889999999997</c:v>
                </c:pt>
                <c:pt idx="3534">
                  <c:v>4.2860490000000393</c:v>
                </c:pt>
                <c:pt idx="3535">
                  <c:v>4.1716899999999999</c:v>
                </c:pt>
                <c:pt idx="3536">
                  <c:v>4.4888700000000004</c:v>
                </c:pt>
                <c:pt idx="3537">
                  <c:v>4.4568479999999999</c:v>
                </c:pt>
                <c:pt idx="3538">
                  <c:v>3.6961219999999999</c:v>
                </c:pt>
                <c:pt idx="3539">
                  <c:v>3.7452019999999999</c:v>
                </c:pt>
                <c:pt idx="3540">
                  <c:v>3.5655929999999998</c:v>
                </c:pt>
                <c:pt idx="3541">
                  <c:v>4.4798410000000448</c:v>
                </c:pt>
                <c:pt idx="3542">
                  <c:v>4.7138119999999955</c:v>
                </c:pt>
                <c:pt idx="3543">
                  <c:v>6.131242000000042</c:v>
                </c:pt>
                <c:pt idx="3544">
                  <c:v>5.9362280000000558</c:v>
                </c:pt>
                <c:pt idx="3545">
                  <c:v>6.0543019999999945</c:v>
                </c:pt>
                <c:pt idx="3546">
                  <c:v>4.6964139999999945</c:v>
                </c:pt>
                <c:pt idx="3547">
                  <c:v>5.1255859999999354</c:v>
                </c:pt>
                <c:pt idx="3548">
                  <c:v>4.1349729999999845</c:v>
                </c:pt>
                <c:pt idx="3549">
                  <c:v>3.9486270000000001</c:v>
                </c:pt>
                <c:pt idx="3550">
                  <c:v>3.6033820000000012</c:v>
                </c:pt>
                <c:pt idx="3551">
                  <c:v>3.1966169999999967</c:v>
                </c:pt>
                <c:pt idx="3552">
                  <c:v>3.776373</c:v>
                </c:pt>
                <c:pt idx="3553">
                  <c:v>4.1053049999999756</c:v>
                </c:pt>
                <c:pt idx="3554">
                  <c:v>4.1580309999999745</c:v>
                </c:pt>
                <c:pt idx="3555">
                  <c:v>4.0345539999999955</c:v>
                </c:pt>
                <c:pt idx="3556">
                  <c:v>3.978904</c:v>
                </c:pt>
                <c:pt idx="3557">
                  <c:v>4.134252</c:v>
                </c:pt>
                <c:pt idx="3558">
                  <c:v>4.0713189999999999</c:v>
                </c:pt>
                <c:pt idx="3559">
                  <c:v>4.4239990000000002</c:v>
                </c:pt>
                <c:pt idx="3560">
                  <c:v>4.7487089999999998</c:v>
                </c:pt>
                <c:pt idx="3561">
                  <c:v>3.7510249999999998</c:v>
                </c:pt>
                <c:pt idx="3562">
                  <c:v>3.6782149999999998</c:v>
                </c:pt>
                <c:pt idx="3563">
                  <c:v>3.9682200000000001</c:v>
                </c:pt>
                <c:pt idx="3564">
                  <c:v>4.1537610000000003</c:v>
                </c:pt>
                <c:pt idx="3565">
                  <c:v>4.1097849999999845</c:v>
                </c:pt>
                <c:pt idx="3566">
                  <c:v>4.8210730000000002</c:v>
                </c:pt>
                <c:pt idx="3567">
                  <c:v>5.607253</c:v>
                </c:pt>
                <c:pt idx="3568">
                  <c:v>5.2961739999999997</c:v>
                </c:pt>
                <c:pt idx="3569">
                  <c:v>4.8257599999999945</c:v>
                </c:pt>
                <c:pt idx="3570">
                  <c:v>3.8824439999999765</c:v>
                </c:pt>
                <c:pt idx="3571">
                  <c:v>3.8955559999999769</c:v>
                </c:pt>
                <c:pt idx="3572">
                  <c:v>3.9557929999999977</c:v>
                </c:pt>
                <c:pt idx="3573">
                  <c:v>3.2266049999999997</c:v>
                </c:pt>
                <c:pt idx="3574">
                  <c:v>3.3668519999999824</c:v>
                </c:pt>
                <c:pt idx="3575">
                  <c:v>4.2575389999999755</c:v>
                </c:pt>
                <c:pt idx="3576">
                  <c:v>3.4042529999999829</c:v>
                </c:pt>
                <c:pt idx="3577">
                  <c:v>2.9220759999999779</c:v>
                </c:pt>
                <c:pt idx="3578">
                  <c:v>2.8029859999999927</c:v>
                </c:pt>
                <c:pt idx="3579">
                  <c:v>2.6792569999999967</c:v>
                </c:pt>
                <c:pt idx="3580">
                  <c:v>2.9040759999999977</c:v>
                </c:pt>
                <c:pt idx="3581">
                  <c:v>2.9052769999999977</c:v>
                </c:pt>
                <c:pt idx="3582">
                  <c:v>2.9452849999999997</c:v>
                </c:pt>
                <c:pt idx="3583">
                  <c:v>2.9109539999999967</c:v>
                </c:pt>
                <c:pt idx="3584">
                  <c:v>3.0550499999999778</c:v>
                </c:pt>
                <c:pt idx="3585">
                  <c:v>3.226057</c:v>
                </c:pt>
                <c:pt idx="3586">
                  <c:v>3.0534979999999998</c:v>
                </c:pt>
                <c:pt idx="3587">
                  <c:v>2.9381879999999998</c:v>
                </c:pt>
                <c:pt idx="3588">
                  <c:v>3.0326209999999967</c:v>
                </c:pt>
                <c:pt idx="3589">
                  <c:v>2.934291</c:v>
                </c:pt>
                <c:pt idx="3590">
                  <c:v>2.5555349999999999</c:v>
                </c:pt>
                <c:pt idx="3591">
                  <c:v>2.423095</c:v>
                </c:pt>
                <c:pt idx="3592">
                  <c:v>2.6120589999999724</c:v>
                </c:pt>
                <c:pt idx="3593">
                  <c:v>2.284790000000021</c:v>
                </c:pt>
                <c:pt idx="3594">
                  <c:v>2.5558049999999977</c:v>
                </c:pt>
                <c:pt idx="3595">
                  <c:v>2.24634</c:v>
                </c:pt>
                <c:pt idx="3596">
                  <c:v>2.5171579999999998</c:v>
                </c:pt>
                <c:pt idx="3597">
                  <c:v>2.8090039999999967</c:v>
                </c:pt>
                <c:pt idx="3598">
                  <c:v>3.0109409999999968</c:v>
                </c:pt>
                <c:pt idx="3599">
                  <c:v>3.0232060000000001</c:v>
                </c:pt>
                <c:pt idx="3600">
                  <c:v>3.1758999999999977</c:v>
                </c:pt>
                <c:pt idx="3601">
                  <c:v>3.1882280000000001</c:v>
                </c:pt>
                <c:pt idx="3602">
                  <c:v>3.045277</c:v>
                </c:pt>
                <c:pt idx="3603">
                  <c:v>2.950723</c:v>
                </c:pt>
                <c:pt idx="3604">
                  <c:v>2.9214370000000001</c:v>
                </c:pt>
                <c:pt idx="3605">
                  <c:v>3.0878060000000001</c:v>
                </c:pt>
                <c:pt idx="3606">
                  <c:v>2.8110949999999977</c:v>
                </c:pt>
                <c:pt idx="3607">
                  <c:v>2.7808459999999977</c:v>
                </c:pt>
                <c:pt idx="3608">
                  <c:v>3.0116279999999978</c:v>
                </c:pt>
                <c:pt idx="3609">
                  <c:v>3.0894889999999977</c:v>
                </c:pt>
                <c:pt idx="3610">
                  <c:v>3.0614619999999997</c:v>
                </c:pt>
                <c:pt idx="3611">
                  <c:v>3.3516809999999801</c:v>
                </c:pt>
                <c:pt idx="3612">
                  <c:v>3.1751010000000002</c:v>
                </c:pt>
                <c:pt idx="3613">
                  <c:v>3.1537419999999998</c:v>
                </c:pt>
                <c:pt idx="3614">
                  <c:v>3.1370489999999829</c:v>
                </c:pt>
                <c:pt idx="3615">
                  <c:v>3.3859779999999997</c:v>
                </c:pt>
                <c:pt idx="3616">
                  <c:v>3.3486210000000001</c:v>
                </c:pt>
                <c:pt idx="3617">
                  <c:v>3.0605959999999999</c:v>
                </c:pt>
                <c:pt idx="3618">
                  <c:v>3.1578659999999967</c:v>
                </c:pt>
                <c:pt idx="3619">
                  <c:v>3.3810659999999788</c:v>
                </c:pt>
                <c:pt idx="3620">
                  <c:v>3.482224</c:v>
                </c:pt>
                <c:pt idx="3621">
                  <c:v>3.2972030000000001</c:v>
                </c:pt>
                <c:pt idx="3622">
                  <c:v>3.4545879999999998</c:v>
                </c:pt>
                <c:pt idx="3623">
                  <c:v>3.174404</c:v>
                </c:pt>
                <c:pt idx="3624">
                  <c:v>3.403025</c:v>
                </c:pt>
                <c:pt idx="3625">
                  <c:v>3.5476809999999999</c:v>
                </c:pt>
                <c:pt idx="3626">
                  <c:v>3.5491139999999999</c:v>
                </c:pt>
                <c:pt idx="3627">
                  <c:v>3.385014</c:v>
                </c:pt>
                <c:pt idx="3628">
                  <c:v>3.7108749999999997</c:v>
                </c:pt>
                <c:pt idx="3629">
                  <c:v>3.6600350000000001</c:v>
                </c:pt>
                <c:pt idx="3630">
                  <c:v>3.8907099999999977</c:v>
                </c:pt>
                <c:pt idx="3631">
                  <c:v>4.0703170000000002</c:v>
                </c:pt>
                <c:pt idx="3632">
                  <c:v>3.8266769999999779</c:v>
                </c:pt>
                <c:pt idx="3633">
                  <c:v>3.6701910000000177</c:v>
                </c:pt>
                <c:pt idx="3634">
                  <c:v>4.2146530000000002</c:v>
                </c:pt>
                <c:pt idx="3635">
                  <c:v>3.8698889999999802</c:v>
                </c:pt>
                <c:pt idx="3636">
                  <c:v>2.7184330000000001</c:v>
                </c:pt>
                <c:pt idx="3637">
                  <c:v>2.959514</c:v>
                </c:pt>
                <c:pt idx="3638">
                  <c:v>3.1350789999999829</c:v>
                </c:pt>
                <c:pt idx="3639">
                  <c:v>3.1177239999999999</c:v>
                </c:pt>
                <c:pt idx="3640">
                  <c:v>3.1750879999999997</c:v>
                </c:pt>
                <c:pt idx="3641">
                  <c:v>3.2018170000000001</c:v>
                </c:pt>
                <c:pt idx="3642">
                  <c:v>3.1388649999999987</c:v>
                </c:pt>
                <c:pt idx="3643">
                  <c:v>3.293275</c:v>
                </c:pt>
                <c:pt idx="3644">
                  <c:v>3.300421</c:v>
                </c:pt>
                <c:pt idx="3645">
                  <c:v>3.4693860000000001</c:v>
                </c:pt>
                <c:pt idx="3646">
                  <c:v>3.4329779999999968</c:v>
                </c:pt>
                <c:pt idx="3647">
                  <c:v>2.8847299999999998</c:v>
                </c:pt>
                <c:pt idx="3648">
                  <c:v>3.1500159999999977</c:v>
                </c:pt>
                <c:pt idx="3649">
                  <c:v>3.0597999999999987</c:v>
                </c:pt>
                <c:pt idx="3650">
                  <c:v>3.062729</c:v>
                </c:pt>
                <c:pt idx="3651">
                  <c:v>3.0932710000000001</c:v>
                </c:pt>
                <c:pt idx="3652">
                  <c:v>3.028006</c:v>
                </c:pt>
                <c:pt idx="3653">
                  <c:v>3.1188449999999968</c:v>
                </c:pt>
                <c:pt idx="3654">
                  <c:v>3.2725999999999997</c:v>
                </c:pt>
                <c:pt idx="3655">
                  <c:v>3.4520959999999778</c:v>
                </c:pt>
                <c:pt idx="3656">
                  <c:v>3.4710609999999829</c:v>
                </c:pt>
                <c:pt idx="3657">
                  <c:v>3.7529870000000001</c:v>
                </c:pt>
                <c:pt idx="3658">
                  <c:v>3.7667440000000001</c:v>
                </c:pt>
                <c:pt idx="3659">
                  <c:v>4.0930839999999975</c:v>
                </c:pt>
                <c:pt idx="3660">
                  <c:v>3.3014859999999819</c:v>
                </c:pt>
                <c:pt idx="3661">
                  <c:v>2.9930129999999977</c:v>
                </c:pt>
                <c:pt idx="3662">
                  <c:v>2.9397669999999967</c:v>
                </c:pt>
                <c:pt idx="3663">
                  <c:v>3.0635930000000204</c:v>
                </c:pt>
                <c:pt idx="3664">
                  <c:v>3.195001</c:v>
                </c:pt>
                <c:pt idx="3665">
                  <c:v>3.199398</c:v>
                </c:pt>
                <c:pt idx="3666">
                  <c:v>3.6059950000000001</c:v>
                </c:pt>
                <c:pt idx="3667">
                  <c:v>3.6380370000000002</c:v>
                </c:pt>
                <c:pt idx="3668">
                  <c:v>3.5695809999999999</c:v>
                </c:pt>
                <c:pt idx="3669">
                  <c:v>3.6986499999999967</c:v>
                </c:pt>
                <c:pt idx="3670">
                  <c:v>3.4641690000000001</c:v>
                </c:pt>
                <c:pt idx="3671">
                  <c:v>3.4905979999999999</c:v>
                </c:pt>
                <c:pt idx="3672">
                  <c:v>3.2250070000000002</c:v>
                </c:pt>
                <c:pt idx="3673">
                  <c:v>3.1434899999999999</c:v>
                </c:pt>
                <c:pt idx="3674">
                  <c:v>3.0438479999999997</c:v>
                </c:pt>
                <c:pt idx="3675">
                  <c:v>3.050106</c:v>
                </c:pt>
                <c:pt idx="3676">
                  <c:v>3.0123879999999987</c:v>
                </c:pt>
                <c:pt idx="3677">
                  <c:v>3.1188899999999977</c:v>
                </c:pt>
                <c:pt idx="3678">
                  <c:v>3.3177489999999779</c:v>
                </c:pt>
                <c:pt idx="3679">
                  <c:v>3.2352459999999779</c:v>
                </c:pt>
                <c:pt idx="3680">
                  <c:v>3.7579280000000002</c:v>
                </c:pt>
                <c:pt idx="3684">
                  <c:v>3.405335</c:v>
                </c:pt>
                <c:pt idx="3685">
                  <c:v>2.9743779999999997</c:v>
                </c:pt>
                <c:pt idx="3686">
                  <c:v>3.0036239999999998</c:v>
                </c:pt>
                <c:pt idx="3687">
                  <c:v>3.463028</c:v>
                </c:pt>
                <c:pt idx="3688">
                  <c:v>3.0118449999999775</c:v>
                </c:pt>
                <c:pt idx="3689">
                  <c:v>2.7025429999999977</c:v>
                </c:pt>
                <c:pt idx="3690">
                  <c:v>2.8095469999999967</c:v>
                </c:pt>
                <c:pt idx="3691">
                  <c:v>2.7404869999999999</c:v>
                </c:pt>
                <c:pt idx="3692">
                  <c:v>3.2929179999999998</c:v>
                </c:pt>
                <c:pt idx="3693">
                  <c:v>3.69109</c:v>
                </c:pt>
                <c:pt idx="3694">
                  <c:v>3.533687</c:v>
                </c:pt>
                <c:pt idx="3695">
                  <c:v>3.5001760000000002</c:v>
                </c:pt>
                <c:pt idx="3696">
                  <c:v>3.0441340000000219</c:v>
                </c:pt>
                <c:pt idx="3697">
                  <c:v>2.4490599999999967</c:v>
                </c:pt>
                <c:pt idx="3698">
                  <c:v>2.532184</c:v>
                </c:pt>
                <c:pt idx="3699">
                  <c:v>2.4180519999999968</c:v>
                </c:pt>
                <c:pt idx="3700">
                  <c:v>2.5948789999999819</c:v>
                </c:pt>
                <c:pt idx="3701">
                  <c:v>2.5070800000000002</c:v>
                </c:pt>
                <c:pt idx="3702">
                  <c:v>2.4680810000000002</c:v>
                </c:pt>
                <c:pt idx="3703">
                  <c:v>2.4004599999999967</c:v>
                </c:pt>
                <c:pt idx="3704">
                  <c:v>2.8564979999999967</c:v>
                </c:pt>
                <c:pt idx="3705">
                  <c:v>3.154236</c:v>
                </c:pt>
                <c:pt idx="3706">
                  <c:v>3.407715</c:v>
                </c:pt>
                <c:pt idx="3707">
                  <c:v>3.1778979999999999</c:v>
                </c:pt>
                <c:pt idx="3708">
                  <c:v>2.6033220000000012</c:v>
                </c:pt>
                <c:pt idx="3709">
                  <c:v>2.2850259999999998</c:v>
                </c:pt>
                <c:pt idx="3710">
                  <c:v>2.8564929999999746</c:v>
                </c:pt>
                <c:pt idx="3711">
                  <c:v>2.877224</c:v>
                </c:pt>
                <c:pt idx="3712">
                  <c:v>2.5205440000000001</c:v>
                </c:pt>
                <c:pt idx="3713">
                  <c:v>2.4010249999999997</c:v>
                </c:pt>
                <c:pt idx="3714">
                  <c:v>2.2767659999999967</c:v>
                </c:pt>
                <c:pt idx="3715">
                  <c:v>2.0679280000000002</c:v>
                </c:pt>
                <c:pt idx="3716">
                  <c:v>2.0912669999999967</c:v>
                </c:pt>
                <c:pt idx="3717">
                  <c:v>2.1483569999999999</c:v>
                </c:pt>
                <c:pt idx="3718">
                  <c:v>2.9570049999999997</c:v>
                </c:pt>
                <c:pt idx="3719">
                  <c:v>2.9359619999999977</c:v>
                </c:pt>
                <c:pt idx="3720">
                  <c:v>3.4909669999999977</c:v>
                </c:pt>
                <c:pt idx="3721">
                  <c:v>4.0282920000000004</c:v>
                </c:pt>
                <c:pt idx="3722">
                  <c:v>3.5486339999999998</c:v>
                </c:pt>
                <c:pt idx="3723">
                  <c:v>3.6802210000000177</c:v>
                </c:pt>
                <c:pt idx="3724">
                  <c:v>3.6245539999999998</c:v>
                </c:pt>
                <c:pt idx="3725">
                  <c:v>3.5922779999999968</c:v>
                </c:pt>
                <c:pt idx="3726">
                  <c:v>3.7474870000000204</c:v>
                </c:pt>
                <c:pt idx="3727">
                  <c:v>3.6370330000000002</c:v>
                </c:pt>
                <c:pt idx="3728">
                  <c:v>3.7300719999999998</c:v>
                </c:pt>
                <c:pt idx="3729">
                  <c:v>4.2284839999999955</c:v>
                </c:pt>
                <c:pt idx="3730">
                  <c:v>4.2515419999999997</c:v>
                </c:pt>
                <c:pt idx="3731">
                  <c:v>4.0842039999999997</c:v>
                </c:pt>
                <c:pt idx="3732">
                  <c:v>4.205832</c:v>
                </c:pt>
                <c:pt idx="3733">
                  <c:v>4.0560980000000004</c:v>
                </c:pt>
                <c:pt idx="3734">
                  <c:v>4.3464539999999996</c:v>
                </c:pt>
                <c:pt idx="3735">
                  <c:v>3.8713919999999997</c:v>
                </c:pt>
                <c:pt idx="3736">
                  <c:v>3.7263809999999999</c:v>
                </c:pt>
                <c:pt idx="3737">
                  <c:v>3.9755919999999998</c:v>
                </c:pt>
                <c:pt idx="3738">
                  <c:v>4.5240969999999745</c:v>
                </c:pt>
                <c:pt idx="3739">
                  <c:v>4.1273579999999646</c:v>
                </c:pt>
                <c:pt idx="3740">
                  <c:v>4.0777789999999996</c:v>
                </c:pt>
                <c:pt idx="3741">
                  <c:v>4.0718870000000003</c:v>
                </c:pt>
                <c:pt idx="3742">
                  <c:v>4.1643169999999454</c:v>
                </c:pt>
                <c:pt idx="3743">
                  <c:v>3.8232810000000002</c:v>
                </c:pt>
                <c:pt idx="3744">
                  <c:v>3.53057</c:v>
                </c:pt>
                <c:pt idx="3745">
                  <c:v>3.3948079999999967</c:v>
                </c:pt>
                <c:pt idx="3746">
                  <c:v>3.5382759999999829</c:v>
                </c:pt>
                <c:pt idx="3747">
                  <c:v>3.2874780000000001</c:v>
                </c:pt>
                <c:pt idx="3748">
                  <c:v>3.0299860000000001</c:v>
                </c:pt>
                <c:pt idx="3749">
                  <c:v>3.2120859999999967</c:v>
                </c:pt>
                <c:pt idx="3750">
                  <c:v>3.1768429999999692</c:v>
                </c:pt>
                <c:pt idx="3751">
                  <c:v>3.4641700000000002</c:v>
                </c:pt>
                <c:pt idx="3752">
                  <c:v>3.9177789999999977</c:v>
                </c:pt>
                <c:pt idx="3753">
                  <c:v>3.9443980000000001</c:v>
                </c:pt>
                <c:pt idx="3754">
                  <c:v>3.559037</c:v>
                </c:pt>
                <c:pt idx="3755">
                  <c:v>2.923816</c:v>
                </c:pt>
                <c:pt idx="3756">
                  <c:v>2.8485429999999967</c:v>
                </c:pt>
                <c:pt idx="3757">
                  <c:v>3.0518349999999987</c:v>
                </c:pt>
                <c:pt idx="3758">
                  <c:v>4.0261490000000002</c:v>
                </c:pt>
                <c:pt idx="3759">
                  <c:v>3.434933</c:v>
                </c:pt>
                <c:pt idx="3760">
                  <c:v>3.2452369999999999</c:v>
                </c:pt>
                <c:pt idx="3761">
                  <c:v>4.0665549999999655</c:v>
                </c:pt>
                <c:pt idx="3762">
                  <c:v>3.4985629999999968</c:v>
                </c:pt>
                <c:pt idx="3763">
                  <c:v>2.8024989999999779</c:v>
                </c:pt>
                <c:pt idx="3764">
                  <c:v>2.7863910000000205</c:v>
                </c:pt>
                <c:pt idx="3765">
                  <c:v>2.863496</c:v>
                </c:pt>
                <c:pt idx="3766">
                  <c:v>2.9995959999999977</c:v>
                </c:pt>
                <c:pt idx="3767">
                  <c:v>3.4593149999999997</c:v>
                </c:pt>
                <c:pt idx="3768">
                  <c:v>3.4727559999999755</c:v>
                </c:pt>
                <c:pt idx="3769">
                  <c:v>3.5673210000000246</c:v>
                </c:pt>
                <c:pt idx="3770">
                  <c:v>3.6111170000000001</c:v>
                </c:pt>
                <c:pt idx="3771">
                  <c:v>3.7511890000000001</c:v>
                </c:pt>
                <c:pt idx="3772">
                  <c:v>3.8589910000000001</c:v>
                </c:pt>
                <c:pt idx="3773">
                  <c:v>3.7123119999999998</c:v>
                </c:pt>
                <c:pt idx="3774">
                  <c:v>4.0251939999999955</c:v>
                </c:pt>
                <c:pt idx="3775">
                  <c:v>4.0486829999999996</c:v>
                </c:pt>
                <c:pt idx="3776">
                  <c:v>3.5325559999999778</c:v>
                </c:pt>
                <c:pt idx="3777">
                  <c:v>3.0883039999999999</c:v>
                </c:pt>
                <c:pt idx="3778">
                  <c:v>2.9090129999999967</c:v>
                </c:pt>
                <c:pt idx="3779">
                  <c:v>2.8979360000000001</c:v>
                </c:pt>
                <c:pt idx="3780">
                  <c:v>3.424185</c:v>
                </c:pt>
                <c:pt idx="3781">
                  <c:v>3.73454</c:v>
                </c:pt>
                <c:pt idx="3782">
                  <c:v>4.2544490000000001</c:v>
                </c:pt>
                <c:pt idx="3783">
                  <c:v>4.8174959999999745</c:v>
                </c:pt>
                <c:pt idx="3784">
                  <c:v>3.9352529999999692</c:v>
                </c:pt>
                <c:pt idx="3785">
                  <c:v>4.1628009999999609</c:v>
                </c:pt>
                <c:pt idx="3786">
                  <c:v>4.6019039999999976</c:v>
                </c:pt>
                <c:pt idx="3787">
                  <c:v>3.4186009999999967</c:v>
                </c:pt>
                <c:pt idx="3788">
                  <c:v>4.0318849999999955</c:v>
                </c:pt>
                <c:pt idx="3789">
                  <c:v>3.239217</c:v>
                </c:pt>
                <c:pt idx="3790">
                  <c:v>3.0724179999999977</c:v>
                </c:pt>
                <c:pt idx="3791">
                  <c:v>2.8186899999999819</c:v>
                </c:pt>
                <c:pt idx="3792">
                  <c:v>3.3687740000000002</c:v>
                </c:pt>
                <c:pt idx="3793">
                  <c:v>4.3539819999999745</c:v>
                </c:pt>
                <c:pt idx="3794">
                  <c:v>4.4074090000000004</c:v>
                </c:pt>
                <c:pt idx="3795">
                  <c:v>4.3916550000000001</c:v>
                </c:pt>
                <c:pt idx="3796">
                  <c:v>4.0362150000000003</c:v>
                </c:pt>
                <c:pt idx="3797">
                  <c:v>4.0892830000000124</c:v>
                </c:pt>
                <c:pt idx="3798">
                  <c:v>4.0582089999999997</c:v>
                </c:pt>
                <c:pt idx="3799">
                  <c:v>3.8221469999999829</c:v>
                </c:pt>
                <c:pt idx="3800">
                  <c:v>3.902091</c:v>
                </c:pt>
                <c:pt idx="3801">
                  <c:v>3.8457729999999977</c:v>
                </c:pt>
                <c:pt idx="3802">
                  <c:v>3.9228579999999824</c:v>
                </c:pt>
                <c:pt idx="3803">
                  <c:v>4.0392980000000493</c:v>
                </c:pt>
                <c:pt idx="3804">
                  <c:v>4.6194009999999945</c:v>
                </c:pt>
                <c:pt idx="3805">
                  <c:v>5.6831009999999855</c:v>
                </c:pt>
                <c:pt idx="3806">
                  <c:v>5.8547399999999845</c:v>
                </c:pt>
                <c:pt idx="3807">
                  <c:v>5.718235</c:v>
                </c:pt>
                <c:pt idx="3808">
                  <c:v>5.7425319999999855</c:v>
                </c:pt>
                <c:pt idx="3809">
                  <c:v>5.4670030000000001</c:v>
                </c:pt>
                <c:pt idx="3810">
                  <c:v>5.7736190000000134</c:v>
                </c:pt>
                <c:pt idx="3811">
                  <c:v>5.0654259999999756</c:v>
                </c:pt>
                <c:pt idx="3812">
                  <c:v>5.047275</c:v>
                </c:pt>
                <c:pt idx="3813">
                  <c:v>4.5177569999999845</c:v>
                </c:pt>
                <c:pt idx="3814">
                  <c:v>4.4700959999999998</c:v>
                </c:pt>
                <c:pt idx="3815">
                  <c:v>3.7508049999999997</c:v>
                </c:pt>
                <c:pt idx="3816">
                  <c:v>3.843553</c:v>
                </c:pt>
                <c:pt idx="3817">
                  <c:v>3.9718759999999755</c:v>
                </c:pt>
                <c:pt idx="3818">
                  <c:v>4.4125129999999855</c:v>
                </c:pt>
                <c:pt idx="3819">
                  <c:v>4.3502179999999955</c:v>
                </c:pt>
                <c:pt idx="3820">
                  <c:v>4.3592990000000134</c:v>
                </c:pt>
                <c:pt idx="3821">
                  <c:v>4.2957689999999999</c:v>
                </c:pt>
                <c:pt idx="3822">
                  <c:v>4.5494310000000002</c:v>
                </c:pt>
                <c:pt idx="3823">
                  <c:v>4.2601139999999855</c:v>
                </c:pt>
                <c:pt idx="3824">
                  <c:v>4.1080119999999845</c:v>
                </c:pt>
                <c:pt idx="3825">
                  <c:v>4.0858280000000002</c:v>
                </c:pt>
                <c:pt idx="3826">
                  <c:v>3.943508</c:v>
                </c:pt>
                <c:pt idx="3827">
                  <c:v>4.1669369999999581</c:v>
                </c:pt>
                <c:pt idx="3828">
                  <c:v>5.731260000000054</c:v>
                </c:pt>
                <c:pt idx="3829">
                  <c:v>6.7059769999999945</c:v>
                </c:pt>
                <c:pt idx="3830">
                  <c:v>7.004969</c:v>
                </c:pt>
                <c:pt idx="3831">
                  <c:v>7.0138429999999996</c:v>
                </c:pt>
                <c:pt idx="3832">
                  <c:v>7.0201979999999855</c:v>
                </c:pt>
                <c:pt idx="3833">
                  <c:v>6.4669699999999999</c:v>
                </c:pt>
                <c:pt idx="3834">
                  <c:v>5.9855419999999997</c:v>
                </c:pt>
                <c:pt idx="3835">
                  <c:v>5.7278979999999855</c:v>
                </c:pt>
                <c:pt idx="3836">
                  <c:v>5.277031</c:v>
                </c:pt>
                <c:pt idx="3837">
                  <c:v>4.7745139999999955</c:v>
                </c:pt>
                <c:pt idx="3838">
                  <c:v>4.2604759999999855</c:v>
                </c:pt>
                <c:pt idx="3839">
                  <c:v>4.1580919999999955</c:v>
                </c:pt>
                <c:pt idx="3840">
                  <c:v>4.2260470000000003</c:v>
                </c:pt>
                <c:pt idx="3841">
                  <c:v>4.5135049999999755</c:v>
                </c:pt>
                <c:pt idx="3842">
                  <c:v>4.6319699999999999</c:v>
                </c:pt>
                <c:pt idx="3843">
                  <c:v>4.6624849999999372</c:v>
                </c:pt>
                <c:pt idx="3844">
                  <c:v>4.4221839999999855</c:v>
                </c:pt>
                <c:pt idx="3845">
                  <c:v>4.5664400000000001</c:v>
                </c:pt>
                <c:pt idx="3846">
                  <c:v>4.4308610000000384</c:v>
                </c:pt>
                <c:pt idx="3847">
                  <c:v>4.6360390000000002</c:v>
                </c:pt>
                <c:pt idx="3848">
                  <c:v>4.5560029999999996</c:v>
                </c:pt>
                <c:pt idx="3849">
                  <c:v>4.265409</c:v>
                </c:pt>
                <c:pt idx="3850">
                  <c:v>4.3172849999999645</c:v>
                </c:pt>
                <c:pt idx="3851">
                  <c:v>3.9947049999999997</c:v>
                </c:pt>
                <c:pt idx="3852">
                  <c:v>4.9358909999999998</c:v>
                </c:pt>
                <c:pt idx="3853">
                  <c:v>5.7910750000000002</c:v>
                </c:pt>
                <c:pt idx="3854">
                  <c:v>5.9517020000000134</c:v>
                </c:pt>
                <c:pt idx="3855">
                  <c:v>6.3682230000000004</c:v>
                </c:pt>
                <c:pt idx="3856">
                  <c:v>6.4424210000000004</c:v>
                </c:pt>
                <c:pt idx="3857">
                  <c:v>6.4244490000000001</c:v>
                </c:pt>
                <c:pt idx="3858">
                  <c:v>5.9426019999999999</c:v>
                </c:pt>
                <c:pt idx="3859">
                  <c:v>5.4977710000000002</c:v>
                </c:pt>
                <c:pt idx="3860">
                  <c:v>4.7488869999999945</c:v>
                </c:pt>
                <c:pt idx="3861">
                  <c:v>4.5090349999999955</c:v>
                </c:pt>
                <c:pt idx="3862">
                  <c:v>4.155554999999949</c:v>
                </c:pt>
                <c:pt idx="3863">
                  <c:v>3.6777799999999998</c:v>
                </c:pt>
                <c:pt idx="3864">
                  <c:v>3.6874449999999999</c:v>
                </c:pt>
                <c:pt idx="3865">
                  <c:v>4.0151399999999855</c:v>
                </c:pt>
                <c:pt idx="3866">
                  <c:v>4.212129</c:v>
                </c:pt>
                <c:pt idx="3867">
                  <c:v>4.2221119999999646</c:v>
                </c:pt>
                <c:pt idx="3868">
                  <c:v>4.2263679999999999</c:v>
                </c:pt>
                <c:pt idx="3869">
                  <c:v>4.2442229999999999</c:v>
                </c:pt>
                <c:pt idx="3870">
                  <c:v>4.2374339999999995</c:v>
                </c:pt>
                <c:pt idx="3871">
                  <c:v>3.7651729999999999</c:v>
                </c:pt>
                <c:pt idx="3872">
                  <c:v>3.7853960000000177</c:v>
                </c:pt>
                <c:pt idx="3873">
                  <c:v>3.7357339999999999</c:v>
                </c:pt>
                <c:pt idx="3874">
                  <c:v>3.7332169999999998</c:v>
                </c:pt>
                <c:pt idx="3875">
                  <c:v>3.7034509999999998</c:v>
                </c:pt>
                <c:pt idx="3876">
                  <c:v>3.9073030000000002</c:v>
                </c:pt>
                <c:pt idx="3877">
                  <c:v>4.5225679999999855</c:v>
                </c:pt>
                <c:pt idx="3878">
                  <c:v>5.2104149999999745</c:v>
                </c:pt>
                <c:pt idx="3879">
                  <c:v>5.8043539999999965</c:v>
                </c:pt>
                <c:pt idx="3880">
                  <c:v>5.5377869999999945</c:v>
                </c:pt>
                <c:pt idx="3881">
                  <c:v>5.2472110000000001</c:v>
                </c:pt>
                <c:pt idx="3882">
                  <c:v>4.8350390000000001</c:v>
                </c:pt>
                <c:pt idx="3883">
                  <c:v>4.5800780000000003</c:v>
                </c:pt>
                <c:pt idx="3884">
                  <c:v>3.9279609999999998</c:v>
                </c:pt>
                <c:pt idx="3885">
                  <c:v>3.8909529999999779</c:v>
                </c:pt>
                <c:pt idx="3886">
                  <c:v>3.6328069999999779</c:v>
                </c:pt>
                <c:pt idx="3887">
                  <c:v>3.4930779999999997</c:v>
                </c:pt>
                <c:pt idx="3888">
                  <c:v>3.6864170000000001</c:v>
                </c:pt>
                <c:pt idx="3889">
                  <c:v>3.5329579999999967</c:v>
                </c:pt>
                <c:pt idx="3890">
                  <c:v>3.5744249999999997</c:v>
                </c:pt>
                <c:pt idx="3891">
                  <c:v>3.9617479999999987</c:v>
                </c:pt>
                <c:pt idx="3892">
                  <c:v>4.3648109999999454</c:v>
                </c:pt>
                <c:pt idx="3893">
                  <c:v>4.4467640000000124</c:v>
                </c:pt>
                <c:pt idx="3894">
                  <c:v>4.741854</c:v>
                </c:pt>
                <c:pt idx="3895">
                  <c:v>4.527917999999949</c:v>
                </c:pt>
                <c:pt idx="3896">
                  <c:v>3.9420859999999927</c:v>
                </c:pt>
                <c:pt idx="3897">
                  <c:v>3.7483580000000001</c:v>
                </c:pt>
                <c:pt idx="3898">
                  <c:v>3.831394</c:v>
                </c:pt>
                <c:pt idx="3899">
                  <c:v>4.172167</c:v>
                </c:pt>
                <c:pt idx="3900">
                  <c:v>4.1600839999999755</c:v>
                </c:pt>
                <c:pt idx="3901">
                  <c:v>4.6278929999999745</c:v>
                </c:pt>
                <c:pt idx="3902">
                  <c:v>4.318584999999949</c:v>
                </c:pt>
                <c:pt idx="3903">
                  <c:v>5.4482590000000384</c:v>
                </c:pt>
                <c:pt idx="3904">
                  <c:v>5.638782</c:v>
                </c:pt>
                <c:pt idx="3905">
                  <c:v>5.6332240000000002</c:v>
                </c:pt>
                <c:pt idx="3906">
                  <c:v>5.2514690000000384</c:v>
                </c:pt>
                <c:pt idx="3907">
                  <c:v>5.2263200000000003</c:v>
                </c:pt>
                <c:pt idx="3908">
                  <c:v>5.2183060000000001</c:v>
                </c:pt>
                <c:pt idx="3909">
                  <c:v>5.0479169999999645</c:v>
                </c:pt>
                <c:pt idx="3910">
                  <c:v>4.2818459999999998</c:v>
                </c:pt>
                <c:pt idx="3911">
                  <c:v>3.9468619999999968</c:v>
                </c:pt>
                <c:pt idx="3912">
                  <c:v>4.01654</c:v>
                </c:pt>
                <c:pt idx="3913">
                  <c:v>3.6219649999999999</c:v>
                </c:pt>
                <c:pt idx="3914">
                  <c:v>3.7045729999999999</c:v>
                </c:pt>
                <c:pt idx="3915">
                  <c:v>3.8285239999999998</c:v>
                </c:pt>
                <c:pt idx="3916">
                  <c:v>4.0042900000000001</c:v>
                </c:pt>
                <c:pt idx="3917">
                  <c:v>4.0785830000000001</c:v>
                </c:pt>
                <c:pt idx="3918">
                  <c:v>4.33704</c:v>
                </c:pt>
                <c:pt idx="3919">
                  <c:v>4.3007569999999955</c:v>
                </c:pt>
                <c:pt idx="3920">
                  <c:v>3.9190989999999779</c:v>
                </c:pt>
                <c:pt idx="3921">
                  <c:v>3.7526409999999779</c:v>
                </c:pt>
                <c:pt idx="3922">
                  <c:v>4.0885420000000003</c:v>
                </c:pt>
                <c:pt idx="3923">
                  <c:v>4.1006159999999845</c:v>
                </c:pt>
                <c:pt idx="3924">
                  <c:v>4.3418770000000002</c:v>
                </c:pt>
                <c:pt idx="3925">
                  <c:v>4.6181549999999545</c:v>
                </c:pt>
                <c:pt idx="3926">
                  <c:v>3.999501</c:v>
                </c:pt>
                <c:pt idx="3927">
                  <c:v>4.0520559999999755</c:v>
                </c:pt>
                <c:pt idx="3928">
                  <c:v>4.5678779999999755</c:v>
                </c:pt>
                <c:pt idx="3929">
                  <c:v>5.218051</c:v>
                </c:pt>
                <c:pt idx="3930">
                  <c:v>4.1536039999999996</c:v>
                </c:pt>
                <c:pt idx="3931">
                  <c:v>3.7647350000000164</c:v>
                </c:pt>
                <c:pt idx="3932">
                  <c:v>3.8272819999999999</c:v>
                </c:pt>
                <c:pt idx="3933">
                  <c:v>3.5474060000000001</c:v>
                </c:pt>
                <c:pt idx="3934">
                  <c:v>3.7621630000000001</c:v>
                </c:pt>
                <c:pt idx="3935">
                  <c:v>3.662792</c:v>
                </c:pt>
                <c:pt idx="3936">
                  <c:v>3.8825249999999998</c:v>
                </c:pt>
                <c:pt idx="3937">
                  <c:v>4.1840059999999655</c:v>
                </c:pt>
                <c:pt idx="3938">
                  <c:v>4.1461069999999856</c:v>
                </c:pt>
                <c:pt idx="3939">
                  <c:v>4.1818920000000004</c:v>
                </c:pt>
                <c:pt idx="3940">
                  <c:v>4.4598050000000002</c:v>
                </c:pt>
                <c:pt idx="3941">
                  <c:v>4.4367190000000134</c:v>
                </c:pt>
                <c:pt idx="3942">
                  <c:v>4.4059379999999955</c:v>
                </c:pt>
                <c:pt idx="3943">
                  <c:v>4.4432760000000124</c:v>
                </c:pt>
                <c:pt idx="3944">
                  <c:v>4.5512720000000124</c:v>
                </c:pt>
                <c:pt idx="3945">
                  <c:v>4.2061719999999996</c:v>
                </c:pt>
                <c:pt idx="3946">
                  <c:v>3.7196979999999997</c:v>
                </c:pt>
                <c:pt idx="3947">
                  <c:v>4.1270359999999409</c:v>
                </c:pt>
                <c:pt idx="3948">
                  <c:v>3.9645589999999977</c:v>
                </c:pt>
                <c:pt idx="3949">
                  <c:v>4.6260539999999946</c:v>
                </c:pt>
                <c:pt idx="3950">
                  <c:v>3.9060099999999967</c:v>
                </c:pt>
                <c:pt idx="3951">
                  <c:v>4.0968790000000004</c:v>
                </c:pt>
                <c:pt idx="3952">
                  <c:v>3.8123269999999967</c:v>
                </c:pt>
                <c:pt idx="3953">
                  <c:v>4.0001379999999855</c:v>
                </c:pt>
                <c:pt idx="3954">
                  <c:v>4.2724919999999997</c:v>
                </c:pt>
                <c:pt idx="3955">
                  <c:v>4.5766390000000134</c:v>
                </c:pt>
                <c:pt idx="3956">
                  <c:v>4.3536979999999996</c:v>
                </c:pt>
                <c:pt idx="3957">
                  <c:v>4.3917279999999996</c:v>
                </c:pt>
                <c:pt idx="3958">
                  <c:v>4.404655</c:v>
                </c:pt>
                <c:pt idx="3959">
                  <c:v>4.4211159999999845</c:v>
                </c:pt>
                <c:pt idx="3960">
                  <c:v>3.5612710000000001</c:v>
                </c:pt>
                <c:pt idx="3961">
                  <c:v>2.866692999999982</c:v>
                </c:pt>
                <c:pt idx="3962">
                  <c:v>2.772786</c:v>
                </c:pt>
                <c:pt idx="3963">
                  <c:v>2.8120749999999775</c:v>
                </c:pt>
                <c:pt idx="3964">
                  <c:v>2.9678119999999999</c:v>
                </c:pt>
                <c:pt idx="3965">
                  <c:v>2.5064019999999987</c:v>
                </c:pt>
                <c:pt idx="3966">
                  <c:v>2.5924339999999977</c:v>
                </c:pt>
                <c:pt idx="3967">
                  <c:v>2.5875759999999999</c:v>
                </c:pt>
                <c:pt idx="3968">
                  <c:v>2.6885669999999999</c:v>
                </c:pt>
                <c:pt idx="3969">
                  <c:v>2.8970699999999967</c:v>
                </c:pt>
                <c:pt idx="3970">
                  <c:v>3.078398</c:v>
                </c:pt>
                <c:pt idx="3971">
                  <c:v>2.7643110000000246</c:v>
                </c:pt>
                <c:pt idx="3972">
                  <c:v>2.6063350000000001</c:v>
                </c:pt>
                <c:pt idx="3973">
                  <c:v>2.5274179999999999</c:v>
                </c:pt>
                <c:pt idx="3974">
                  <c:v>2.2942360000000002</c:v>
                </c:pt>
                <c:pt idx="3975">
                  <c:v>1.7631789999999998</c:v>
                </c:pt>
                <c:pt idx="3976">
                  <c:v>1.9506030000000001</c:v>
                </c:pt>
                <c:pt idx="3977">
                  <c:v>1.6608430000000001</c:v>
                </c:pt>
                <c:pt idx="3978">
                  <c:v>2.2233010000000251</c:v>
                </c:pt>
                <c:pt idx="3979">
                  <c:v>2.594125</c:v>
                </c:pt>
                <c:pt idx="3980">
                  <c:v>2.52156</c:v>
                </c:pt>
                <c:pt idx="3981">
                  <c:v>2.4030499999999977</c:v>
                </c:pt>
                <c:pt idx="3982">
                  <c:v>2.5306489999999733</c:v>
                </c:pt>
                <c:pt idx="3983">
                  <c:v>2.5437650000000001</c:v>
                </c:pt>
                <c:pt idx="3984">
                  <c:v>3.0349749999999998</c:v>
                </c:pt>
                <c:pt idx="3985">
                  <c:v>3.8081549999999997</c:v>
                </c:pt>
                <c:pt idx="3986">
                  <c:v>3.636196</c:v>
                </c:pt>
                <c:pt idx="3987">
                  <c:v>3.6584310000000002</c:v>
                </c:pt>
                <c:pt idx="3988">
                  <c:v>3.6472929999999999</c:v>
                </c:pt>
                <c:pt idx="3989">
                  <c:v>3.9241419999999998</c:v>
                </c:pt>
                <c:pt idx="3990">
                  <c:v>3.9464349999999997</c:v>
                </c:pt>
                <c:pt idx="3991">
                  <c:v>3.8040499999999819</c:v>
                </c:pt>
                <c:pt idx="3992">
                  <c:v>3.8262679999999967</c:v>
                </c:pt>
                <c:pt idx="3993">
                  <c:v>3.9192799999999779</c:v>
                </c:pt>
                <c:pt idx="3994">
                  <c:v>4.5892860000000004</c:v>
                </c:pt>
                <c:pt idx="3995">
                  <c:v>4.6727439999999998</c:v>
                </c:pt>
                <c:pt idx="3996">
                  <c:v>4.7058489999999997</c:v>
                </c:pt>
                <c:pt idx="3997">
                  <c:v>4.4236329999999997</c:v>
                </c:pt>
                <c:pt idx="3998">
                  <c:v>3.9701849999999999</c:v>
                </c:pt>
                <c:pt idx="3999">
                  <c:v>4.3048869999999582</c:v>
                </c:pt>
                <c:pt idx="4000">
                  <c:v>4.5552619999999999</c:v>
                </c:pt>
                <c:pt idx="4001">
                  <c:v>4.1430199999999955</c:v>
                </c:pt>
                <c:pt idx="4002">
                  <c:v>4.1048549999999491</c:v>
                </c:pt>
                <c:pt idx="4003">
                  <c:v>4.0966920000000124</c:v>
                </c:pt>
                <c:pt idx="4004">
                  <c:v>3.9818849999999997</c:v>
                </c:pt>
                <c:pt idx="4005">
                  <c:v>4.0188319999999855</c:v>
                </c:pt>
                <c:pt idx="4006">
                  <c:v>3.9763329999999977</c:v>
                </c:pt>
                <c:pt idx="4007">
                  <c:v>3.7688280000000001</c:v>
                </c:pt>
                <c:pt idx="4008">
                  <c:v>3.445627</c:v>
                </c:pt>
                <c:pt idx="4009">
                  <c:v>3.2541950000000002</c:v>
                </c:pt>
                <c:pt idx="4010">
                  <c:v>3.21271</c:v>
                </c:pt>
                <c:pt idx="4011">
                  <c:v>3.2505970000000164</c:v>
                </c:pt>
                <c:pt idx="4012">
                  <c:v>3.1912689999999801</c:v>
                </c:pt>
                <c:pt idx="4013">
                  <c:v>3.2984529999999967</c:v>
                </c:pt>
                <c:pt idx="4014">
                  <c:v>3.2659799999999999</c:v>
                </c:pt>
                <c:pt idx="4015">
                  <c:v>3.2637559999999999</c:v>
                </c:pt>
                <c:pt idx="4016">
                  <c:v>3.3635869999999999</c:v>
                </c:pt>
                <c:pt idx="4017">
                  <c:v>3.4766389999999778</c:v>
                </c:pt>
                <c:pt idx="4018">
                  <c:v>4.1936359999999855</c:v>
                </c:pt>
                <c:pt idx="4019">
                  <c:v>4.4572279999999997</c:v>
                </c:pt>
                <c:pt idx="4020">
                  <c:v>3.9579740000000001</c:v>
                </c:pt>
                <c:pt idx="4021">
                  <c:v>3.5316789999999769</c:v>
                </c:pt>
                <c:pt idx="4022">
                  <c:v>3.058211</c:v>
                </c:pt>
                <c:pt idx="4023">
                  <c:v>3.1433340000000287</c:v>
                </c:pt>
                <c:pt idx="4024">
                  <c:v>3.1224519999999987</c:v>
                </c:pt>
                <c:pt idx="4025">
                  <c:v>3.150798</c:v>
                </c:pt>
                <c:pt idx="4026">
                  <c:v>2.9684719999999998</c:v>
                </c:pt>
                <c:pt idx="4027">
                  <c:v>3.1500569999999977</c:v>
                </c:pt>
                <c:pt idx="4028">
                  <c:v>3.130433</c:v>
                </c:pt>
                <c:pt idx="4029">
                  <c:v>3.3059189999999967</c:v>
                </c:pt>
                <c:pt idx="4030">
                  <c:v>3.4727219999999988</c:v>
                </c:pt>
                <c:pt idx="4031">
                  <c:v>3.3560409999999692</c:v>
                </c:pt>
                <c:pt idx="4032">
                  <c:v>3.226925</c:v>
                </c:pt>
                <c:pt idx="4033">
                  <c:v>3.3327469999999719</c:v>
                </c:pt>
                <c:pt idx="4034">
                  <c:v>3.3361939999999977</c:v>
                </c:pt>
                <c:pt idx="4035">
                  <c:v>3.1455639999999998</c:v>
                </c:pt>
                <c:pt idx="4036">
                  <c:v>3.3626229999999819</c:v>
                </c:pt>
                <c:pt idx="4037">
                  <c:v>3.222782</c:v>
                </c:pt>
                <c:pt idx="4038">
                  <c:v>3.3504449999999775</c:v>
                </c:pt>
                <c:pt idx="4039">
                  <c:v>3.3590119999999977</c:v>
                </c:pt>
                <c:pt idx="4040">
                  <c:v>3.766966</c:v>
                </c:pt>
                <c:pt idx="4041">
                  <c:v>3.7388870000000001</c:v>
                </c:pt>
                <c:pt idx="4042">
                  <c:v>3.7292709999999998</c:v>
                </c:pt>
                <c:pt idx="4043">
                  <c:v>3.5988609999999968</c:v>
                </c:pt>
                <c:pt idx="4044">
                  <c:v>3.6177069999999998</c:v>
                </c:pt>
                <c:pt idx="4045">
                  <c:v>3.249403</c:v>
                </c:pt>
                <c:pt idx="4046">
                  <c:v>3.706366</c:v>
                </c:pt>
                <c:pt idx="4048">
                  <c:v>3.6564829999999819</c:v>
                </c:pt>
                <c:pt idx="4049">
                  <c:v>3.6153960000000001</c:v>
                </c:pt>
                <c:pt idx="4050">
                  <c:v>3.4876559999999968</c:v>
                </c:pt>
                <c:pt idx="4051">
                  <c:v>3.4659960000000001</c:v>
                </c:pt>
                <c:pt idx="4052">
                  <c:v>3.282057</c:v>
                </c:pt>
                <c:pt idx="4053">
                  <c:v>3.1738079999999997</c:v>
                </c:pt>
                <c:pt idx="4054">
                  <c:v>3.2970459999999977</c:v>
                </c:pt>
                <c:pt idx="4055">
                  <c:v>3.231417</c:v>
                </c:pt>
                <c:pt idx="4056">
                  <c:v>3.3512459999999669</c:v>
                </c:pt>
                <c:pt idx="4057">
                  <c:v>3.5419860000000001</c:v>
                </c:pt>
                <c:pt idx="4058">
                  <c:v>3.763865</c:v>
                </c:pt>
                <c:pt idx="4059">
                  <c:v>3.6221260000000002</c:v>
                </c:pt>
                <c:pt idx="4060">
                  <c:v>3.6080459999999968</c:v>
                </c:pt>
                <c:pt idx="4061">
                  <c:v>3.3838219999999999</c:v>
                </c:pt>
                <c:pt idx="4062">
                  <c:v>3.539911</c:v>
                </c:pt>
                <c:pt idx="4063">
                  <c:v>3.7050969999999999</c:v>
                </c:pt>
                <c:pt idx="4064">
                  <c:v>3.638496</c:v>
                </c:pt>
                <c:pt idx="4065">
                  <c:v>3.1829909999999999</c:v>
                </c:pt>
                <c:pt idx="4066">
                  <c:v>3.5880839999999998</c:v>
                </c:pt>
                <c:pt idx="4067">
                  <c:v>3.6746049999999997</c:v>
                </c:pt>
                <c:pt idx="4068">
                  <c:v>3.961363</c:v>
                </c:pt>
                <c:pt idx="4069">
                  <c:v>3.3630589999999967</c:v>
                </c:pt>
                <c:pt idx="4070">
                  <c:v>3.2998810000000001</c:v>
                </c:pt>
                <c:pt idx="4071">
                  <c:v>3.4756589999999692</c:v>
                </c:pt>
                <c:pt idx="4072">
                  <c:v>3.6161919999999999</c:v>
                </c:pt>
                <c:pt idx="4073">
                  <c:v>3.6803789999999998</c:v>
                </c:pt>
                <c:pt idx="4074">
                  <c:v>3.7543500000000001</c:v>
                </c:pt>
                <c:pt idx="4075">
                  <c:v>3.6800190000000002</c:v>
                </c:pt>
                <c:pt idx="4076">
                  <c:v>3.3865459999999779</c:v>
                </c:pt>
                <c:pt idx="4077">
                  <c:v>3.5356829999999793</c:v>
                </c:pt>
                <c:pt idx="4078">
                  <c:v>3.4213610000000001</c:v>
                </c:pt>
                <c:pt idx="4079">
                  <c:v>3.404188</c:v>
                </c:pt>
                <c:pt idx="4080">
                  <c:v>3.7037490000000002</c:v>
                </c:pt>
                <c:pt idx="4081">
                  <c:v>3.7072390000000164</c:v>
                </c:pt>
                <c:pt idx="4082">
                  <c:v>3.6050800000000001</c:v>
                </c:pt>
                <c:pt idx="4083">
                  <c:v>3.6264119999999997</c:v>
                </c:pt>
                <c:pt idx="4084">
                  <c:v>3.579221</c:v>
                </c:pt>
                <c:pt idx="4085">
                  <c:v>3.745644</c:v>
                </c:pt>
                <c:pt idx="4086">
                  <c:v>3.5017449999999997</c:v>
                </c:pt>
                <c:pt idx="4087">
                  <c:v>3.7282250000000001</c:v>
                </c:pt>
                <c:pt idx="4088">
                  <c:v>3.9279820000000001</c:v>
                </c:pt>
                <c:pt idx="4089">
                  <c:v>4.1393380000000004</c:v>
                </c:pt>
                <c:pt idx="4090">
                  <c:v>4.250381</c:v>
                </c:pt>
                <c:pt idx="4091">
                  <c:v>4.3265509999999745</c:v>
                </c:pt>
                <c:pt idx="4092">
                  <c:v>4.1989949999999645</c:v>
                </c:pt>
                <c:pt idx="4093">
                  <c:v>4.0601369999999655</c:v>
                </c:pt>
                <c:pt idx="4094">
                  <c:v>3.7122139999999977</c:v>
                </c:pt>
                <c:pt idx="4095">
                  <c:v>3.504426</c:v>
                </c:pt>
                <c:pt idx="4096">
                  <c:v>3.6288719999999999</c:v>
                </c:pt>
                <c:pt idx="4097">
                  <c:v>3.9576759999999829</c:v>
                </c:pt>
                <c:pt idx="4098">
                  <c:v>4.5514270000000003</c:v>
                </c:pt>
                <c:pt idx="4099">
                  <c:v>4.2491349999999946</c:v>
                </c:pt>
                <c:pt idx="4100">
                  <c:v>3.8290310000000001</c:v>
                </c:pt>
                <c:pt idx="4101">
                  <c:v>3.9038659999999967</c:v>
                </c:pt>
                <c:pt idx="4102">
                  <c:v>4.0783550000000002</c:v>
                </c:pt>
                <c:pt idx="4103">
                  <c:v>3.7868979999999999</c:v>
                </c:pt>
                <c:pt idx="4104">
                  <c:v>3.5414079999999997</c:v>
                </c:pt>
                <c:pt idx="4105">
                  <c:v>3.1880670000000002</c:v>
                </c:pt>
                <c:pt idx="4106">
                  <c:v>3.1157789999999967</c:v>
                </c:pt>
                <c:pt idx="4107">
                  <c:v>3.0909260000000001</c:v>
                </c:pt>
                <c:pt idx="4108">
                  <c:v>3.037318</c:v>
                </c:pt>
                <c:pt idx="4109">
                  <c:v>2.9405320000000001</c:v>
                </c:pt>
                <c:pt idx="4110">
                  <c:v>3.2004860000000002</c:v>
                </c:pt>
                <c:pt idx="4111">
                  <c:v>3.154023</c:v>
                </c:pt>
                <c:pt idx="4112">
                  <c:v>3.393195</c:v>
                </c:pt>
                <c:pt idx="4113">
                  <c:v>3.7360139999999977</c:v>
                </c:pt>
                <c:pt idx="4114">
                  <c:v>3.9365699999999784</c:v>
                </c:pt>
                <c:pt idx="4115">
                  <c:v>3.7936399999999999</c:v>
                </c:pt>
                <c:pt idx="4116">
                  <c:v>3.9432990000000001</c:v>
                </c:pt>
                <c:pt idx="4117">
                  <c:v>3.9515849999999997</c:v>
                </c:pt>
                <c:pt idx="4118">
                  <c:v>3.4681679999999999</c:v>
                </c:pt>
                <c:pt idx="4119">
                  <c:v>3.2879350000000205</c:v>
                </c:pt>
                <c:pt idx="4120">
                  <c:v>3.6669160000000001</c:v>
                </c:pt>
                <c:pt idx="4121">
                  <c:v>3.0776589999999819</c:v>
                </c:pt>
                <c:pt idx="4122">
                  <c:v>3.1419839999999999</c:v>
                </c:pt>
                <c:pt idx="4123">
                  <c:v>2.8851960000000001</c:v>
                </c:pt>
                <c:pt idx="4124">
                  <c:v>3.194585</c:v>
                </c:pt>
                <c:pt idx="4125">
                  <c:v>3.222785</c:v>
                </c:pt>
                <c:pt idx="4126">
                  <c:v>3.1762549999999967</c:v>
                </c:pt>
                <c:pt idx="4127">
                  <c:v>3.1319659999999967</c:v>
                </c:pt>
                <c:pt idx="4128">
                  <c:v>3.1726929999999967</c:v>
                </c:pt>
                <c:pt idx="4129">
                  <c:v>3.2295199999999999</c:v>
                </c:pt>
                <c:pt idx="4130">
                  <c:v>3.4119469999999779</c:v>
                </c:pt>
                <c:pt idx="4131">
                  <c:v>3.2046049999999999</c:v>
                </c:pt>
                <c:pt idx="4132">
                  <c:v>3.2649910000000251</c:v>
                </c:pt>
                <c:pt idx="4133">
                  <c:v>3.2482090000000001</c:v>
                </c:pt>
                <c:pt idx="4134">
                  <c:v>3.2514979999999998</c:v>
                </c:pt>
                <c:pt idx="4135">
                  <c:v>3.1578539999999977</c:v>
                </c:pt>
                <c:pt idx="4136">
                  <c:v>3.68019900000002</c:v>
                </c:pt>
                <c:pt idx="4137">
                  <c:v>4.0647939999999965</c:v>
                </c:pt>
                <c:pt idx="4138">
                  <c:v>3.825248999999971</c:v>
                </c:pt>
                <c:pt idx="4139">
                  <c:v>3.6088140000000002</c:v>
                </c:pt>
                <c:pt idx="4140">
                  <c:v>3.140479</c:v>
                </c:pt>
                <c:pt idx="4141">
                  <c:v>3.1637439999999999</c:v>
                </c:pt>
                <c:pt idx="4142">
                  <c:v>3.2749600000000001</c:v>
                </c:pt>
                <c:pt idx="4143">
                  <c:v>3.1015700000000002</c:v>
                </c:pt>
                <c:pt idx="4144">
                  <c:v>2.6531069999999999</c:v>
                </c:pt>
                <c:pt idx="4145">
                  <c:v>2.6924219999999988</c:v>
                </c:pt>
                <c:pt idx="4146">
                  <c:v>2.7521999999999998</c:v>
                </c:pt>
                <c:pt idx="4147">
                  <c:v>2.8365529999999692</c:v>
                </c:pt>
                <c:pt idx="4148">
                  <c:v>3.2506249999999999</c:v>
                </c:pt>
                <c:pt idx="4149">
                  <c:v>3.547498</c:v>
                </c:pt>
                <c:pt idx="4150">
                  <c:v>3.5984229999999977</c:v>
                </c:pt>
                <c:pt idx="4151">
                  <c:v>3.5560079999999967</c:v>
                </c:pt>
                <c:pt idx="4152">
                  <c:v>3.51119</c:v>
                </c:pt>
                <c:pt idx="4153">
                  <c:v>3.6988019999999997</c:v>
                </c:pt>
                <c:pt idx="4154">
                  <c:v>3.5326389999999779</c:v>
                </c:pt>
                <c:pt idx="4155">
                  <c:v>3.4794839999999967</c:v>
                </c:pt>
                <c:pt idx="4156">
                  <c:v>3.4563329999999977</c:v>
                </c:pt>
                <c:pt idx="4157">
                  <c:v>3.1683070000000177</c:v>
                </c:pt>
                <c:pt idx="4158">
                  <c:v>3.1611579999999999</c:v>
                </c:pt>
                <c:pt idx="4159">
                  <c:v>3.19421</c:v>
                </c:pt>
                <c:pt idx="4160">
                  <c:v>3.5207700000000002</c:v>
                </c:pt>
                <c:pt idx="4161">
                  <c:v>4.1489399999999845</c:v>
                </c:pt>
                <c:pt idx="4162">
                  <c:v>3.463152</c:v>
                </c:pt>
                <c:pt idx="4163">
                  <c:v>3.431165999999982</c:v>
                </c:pt>
                <c:pt idx="4164">
                  <c:v>4.0998109999999945</c:v>
                </c:pt>
                <c:pt idx="4165">
                  <c:v>3.2690419999999998</c:v>
                </c:pt>
                <c:pt idx="4166">
                  <c:v>3.2243160000000173</c:v>
                </c:pt>
                <c:pt idx="4167">
                  <c:v>3.5740270000000001</c:v>
                </c:pt>
                <c:pt idx="4168">
                  <c:v>4.2684379999999855</c:v>
                </c:pt>
                <c:pt idx="4169">
                  <c:v>3.5979739999999998</c:v>
                </c:pt>
                <c:pt idx="4170">
                  <c:v>3.2325419999999987</c:v>
                </c:pt>
                <c:pt idx="4171">
                  <c:v>3.2443880000000012</c:v>
                </c:pt>
                <c:pt idx="4172">
                  <c:v>2.7146669999999977</c:v>
                </c:pt>
                <c:pt idx="4173">
                  <c:v>2.7047200000000204</c:v>
                </c:pt>
                <c:pt idx="4174">
                  <c:v>2.8537509999999977</c:v>
                </c:pt>
                <c:pt idx="4175">
                  <c:v>3.3527649999999967</c:v>
                </c:pt>
                <c:pt idx="4176">
                  <c:v>3.8788279999999977</c:v>
                </c:pt>
                <c:pt idx="4177">
                  <c:v>4.2754580000000004</c:v>
                </c:pt>
                <c:pt idx="4178">
                  <c:v>3.9998399999999967</c:v>
                </c:pt>
                <c:pt idx="4179">
                  <c:v>3.9122809999999779</c:v>
                </c:pt>
                <c:pt idx="4180">
                  <c:v>4.1824599999999945</c:v>
                </c:pt>
                <c:pt idx="4181">
                  <c:v>4.1053280000000001</c:v>
                </c:pt>
                <c:pt idx="4182">
                  <c:v>4.2181379999999855</c:v>
                </c:pt>
                <c:pt idx="4183">
                  <c:v>4.1984529999999856</c:v>
                </c:pt>
                <c:pt idx="4184">
                  <c:v>4.2791500000000013</c:v>
                </c:pt>
                <c:pt idx="4185">
                  <c:v>4.2527949999999946</c:v>
                </c:pt>
                <c:pt idx="4186">
                  <c:v>3.5232350000000001</c:v>
                </c:pt>
                <c:pt idx="4187">
                  <c:v>3.705676</c:v>
                </c:pt>
                <c:pt idx="4188">
                  <c:v>3.6017860000000002</c:v>
                </c:pt>
                <c:pt idx="4189">
                  <c:v>3.8392219999999977</c:v>
                </c:pt>
                <c:pt idx="4190">
                  <c:v>4.2949509999999655</c:v>
                </c:pt>
                <c:pt idx="4191">
                  <c:v>4.0422919999999998</c:v>
                </c:pt>
                <c:pt idx="4192">
                  <c:v>4.1579589999999609</c:v>
                </c:pt>
                <c:pt idx="4193">
                  <c:v>3.5726459999999682</c:v>
                </c:pt>
                <c:pt idx="4194">
                  <c:v>3.5057269999999998</c:v>
                </c:pt>
                <c:pt idx="4195">
                  <c:v>3.8964839999999779</c:v>
                </c:pt>
                <c:pt idx="4196">
                  <c:v>4.2876899999999996</c:v>
                </c:pt>
                <c:pt idx="4197">
                  <c:v>4.5977030000000001</c:v>
                </c:pt>
                <c:pt idx="4198">
                  <c:v>4.5652670000000004</c:v>
                </c:pt>
                <c:pt idx="4199">
                  <c:v>4.5715399999999997</c:v>
                </c:pt>
                <c:pt idx="4200">
                  <c:v>3.8595419999999967</c:v>
                </c:pt>
                <c:pt idx="4201">
                  <c:v>3.4987729999999977</c:v>
                </c:pt>
                <c:pt idx="4202">
                  <c:v>3.3130159999999829</c:v>
                </c:pt>
                <c:pt idx="4203">
                  <c:v>3.215827</c:v>
                </c:pt>
                <c:pt idx="4204">
                  <c:v>3.4539070000000001</c:v>
                </c:pt>
                <c:pt idx="4205">
                  <c:v>3.2903570000000002</c:v>
                </c:pt>
                <c:pt idx="4206">
                  <c:v>3.2049720000000002</c:v>
                </c:pt>
                <c:pt idx="4207">
                  <c:v>3.3627340000000001</c:v>
                </c:pt>
                <c:pt idx="4208">
                  <c:v>3.4414179999999988</c:v>
                </c:pt>
                <c:pt idx="4209">
                  <c:v>3.5109029999999977</c:v>
                </c:pt>
                <c:pt idx="4210">
                  <c:v>3.1884899999999998</c:v>
                </c:pt>
                <c:pt idx="4211">
                  <c:v>2.9793699999999967</c:v>
                </c:pt>
                <c:pt idx="4212">
                  <c:v>3.2477270000000287</c:v>
                </c:pt>
                <c:pt idx="4213">
                  <c:v>3.0349349999999999</c:v>
                </c:pt>
                <c:pt idx="4214">
                  <c:v>3.006831</c:v>
                </c:pt>
                <c:pt idx="4215">
                  <c:v>3.1484380000000001</c:v>
                </c:pt>
                <c:pt idx="4216">
                  <c:v>2.5768709999999801</c:v>
                </c:pt>
                <c:pt idx="4217">
                  <c:v>2.542586</c:v>
                </c:pt>
                <c:pt idx="4218">
                  <c:v>2.61503</c:v>
                </c:pt>
                <c:pt idx="4219">
                  <c:v>2.9755539999999967</c:v>
                </c:pt>
                <c:pt idx="4220">
                  <c:v>2.3527939999999967</c:v>
                </c:pt>
                <c:pt idx="4221">
                  <c:v>2.4569759999999778</c:v>
                </c:pt>
                <c:pt idx="4222">
                  <c:v>2.504454</c:v>
                </c:pt>
                <c:pt idx="4223">
                  <c:v>3.3279299999999998</c:v>
                </c:pt>
                <c:pt idx="4224">
                  <c:v>3.5567319999999998</c:v>
                </c:pt>
                <c:pt idx="4225">
                  <c:v>3.0845310000000219</c:v>
                </c:pt>
                <c:pt idx="4226">
                  <c:v>3.1996989999999967</c:v>
                </c:pt>
                <c:pt idx="4227">
                  <c:v>3.1917049999999998</c:v>
                </c:pt>
                <c:pt idx="4228">
                  <c:v>3.0685449999999999</c:v>
                </c:pt>
                <c:pt idx="4229">
                  <c:v>2.6705890000000001</c:v>
                </c:pt>
                <c:pt idx="4230">
                  <c:v>2.5737320000000001</c:v>
                </c:pt>
                <c:pt idx="4231">
                  <c:v>2.735833</c:v>
                </c:pt>
                <c:pt idx="4232">
                  <c:v>3.0075409999999998</c:v>
                </c:pt>
                <c:pt idx="4233">
                  <c:v>3.2965140000000002</c:v>
                </c:pt>
                <c:pt idx="4234">
                  <c:v>3.427467</c:v>
                </c:pt>
                <c:pt idx="4235">
                  <c:v>2.7296519999999997</c:v>
                </c:pt>
                <c:pt idx="4236">
                  <c:v>2.3858919999999997</c:v>
                </c:pt>
                <c:pt idx="4237">
                  <c:v>2.98658</c:v>
                </c:pt>
                <c:pt idx="4238">
                  <c:v>2.437379</c:v>
                </c:pt>
                <c:pt idx="4239">
                  <c:v>2.7937699999999999</c:v>
                </c:pt>
                <c:pt idx="4240">
                  <c:v>2.953589</c:v>
                </c:pt>
                <c:pt idx="4241">
                  <c:v>2.9434670000000001</c:v>
                </c:pt>
                <c:pt idx="4242">
                  <c:v>2.2962389999999977</c:v>
                </c:pt>
                <c:pt idx="4243">
                  <c:v>2.146477</c:v>
                </c:pt>
                <c:pt idx="4244">
                  <c:v>2.1179429999999977</c:v>
                </c:pt>
                <c:pt idx="4245">
                  <c:v>2.6430270000000204</c:v>
                </c:pt>
                <c:pt idx="4246">
                  <c:v>2.8760599999999692</c:v>
                </c:pt>
                <c:pt idx="4247">
                  <c:v>2.9427729999999968</c:v>
                </c:pt>
                <c:pt idx="4248">
                  <c:v>2.9340359999999968</c:v>
                </c:pt>
                <c:pt idx="4249">
                  <c:v>3.3792049999999967</c:v>
                </c:pt>
                <c:pt idx="4250">
                  <c:v>3.1624619999999997</c:v>
                </c:pt>
                <c:pt idx="4251">
                  <c:v>2.7077659999999999</c:v>
                </c:pt>
                <c:pt idx="4252">
                  <c:v>2.582471</c:v>
                </c:pt>
                <c:pt idx="4253">
                  <c:v>2.574919</c:v>
                </c:pt>
                <c:pt idx="4254">
                  <c:v>2.7056269999999998</c:v>
                </c:pt>
                <c:pt idx="4255">
                  <c:v>2.7054800000000001</c:v>
                </c:pt>
                <c:pt idx="4256">
                  <c:v>3.0968429999999678</c:v>
                </c:pt>
                <c:pt idx="4257">
                  <c:v>3.19658</c:v>
                </c:pt>
                <c:pt idx="4258">
                  <c:v>3.4172799999999977</c:v>
                </c:pt>
                <c:pt idx="4259">
                  <c:v>3.3110209999999967</c:v>
                </c:pt>
                <c:pt idx="4260">
                  <c:v>3.0135429999999968</c:v>
                </c:pt>
                <c:pt idx="4261">
                  <c:v>2.4541849999999998</c:v>
                </c:pt>
                <c:pt idx="4262">
                  <c:v>2.3106609999999779</c:v>
                </c:pt>
                <c:pt idx="4263">
                  <c:v>2.2823240000000204</c:v>
                </c:pt>
                <c:pt idx="4264">
                  <c:v>2.2422879999999998</c:v>
                </c:pt>
                <c:pt idx="4265">
                  <c:v>2.2881060000000177</c:v>
                </c:pt>
                <c:pt idx="4266">
                  <c:v>2.4799799999999967</c:v>
                </c:pt>
                <c:pt idx="4267">
                  <c:v>2.7093989999999999</c:v>
                </c:pt>
                <c:pt idx="4268">
                  <c:v>2.777145</c:v>
                </c:pt>
                <c:pt idx="4269">
                  <c:v>2.8183129999999967</c:v>
                </c:pt>
                <c:pt idx="4270">
                  <c:v>2.7913139999999999</c:v>
                </c:pt>
                <c:pt idx="4271">
                  <c:v>2.676644999999982</c:v>
                </c:pt>
                <c:pt idx="4272">
                  <c:v>3.1451440000000002</c:v>
                </c:pt>
                <c:pt idx="4273">
                  <c:v>3.3896139999999977</c:v>
                </c:pt>
                <c:pt idx="4274">
                  <c:v>3.3921429999999724</c:v>
                </c:pt>
                <c:pt idx="4275">
                  <c:v>3.4453499999999977</c:v>
                </c:pt>
                <c:pt idx="4276">
                  <c:v>3.6870660000000002</c:v>
                </c:pt>
                <c:pt idx="4277">
                  <c:v>3.854336</c:v>
                </c:pt>
                <c:pt idx="4278">
                  <c:v>4.004022</c:v>
                </c:pt>
                <c:pt idx="4279">
                  <c:v>3.6914639999999967</c:v>
                </c:pt>
                <c:pt idx="4280">
                  <c:v>4.1932939999999999</c:v>
                </c:pt>
                <c:pt idx="4281">
                  <c:v>3.6220810000000001</c:v>
                </c:pt>
                <c:pt idx="4282">
                  <c:v>3.3291230000000001</c:v>
                </c:pt>
                <c:pt idx="4283">
                  <c:v>3.400007</c:v>
                </c:pt>
                <c:pt idx="4284">
                  <c:v>3.4286419999999977</c:v>
                </c:pt>
                <c:pt idx="4285">
                  <c:v>3.1626119999999998</c:v>
                </c:pt>
                <c:pt idx="4286">
                  <c:v>2.8672529999999967</c:v>
                </c:pt>
                <c:pt idx="4287">
                  <c:v>3.3365799999999779</c:v>
                </c:pt>
                <c:pt idx="4288">
                  <c:v>3.3766099999999692</c:v>
                </c:pt>
                <c:pt idx="4289">
                  <c:v>3.2929079999999997</c:v>
                </c:pt>
                <c:pt idx="4290">
                  <c:v>3.0612949999999999</c:v>
                </c:pt>
                <c:pt idx="4291">
                  <c:v>3.1328979999999977</c:v>
                </c:pt>
                <c:pt idx="4292">
                  <c:v>3.225622</c:v>
                </c:pt>
                <c:pt idx="4293">
                  <c:v>2.9809860000000001</c:v>
                </c:pt>
                <c:pt idx="4294">
                  <c:v>3.0090840000000001</c:v>
                </c:pt>
                <c:pt idx="4295">
                  <c:v>2.974729</c:v>
                </c:pt>
                <c:pt idx="4296">
                  <c:v>3.4380899999999968</c:v>
                </c:pt>
                <c:pt idx="4297">
                  <c:v>4.1717389999999996</c:v>
                </c:pt>
                <c:pt idx="4298">
                  <c:v>4.1801439999999985</c:v>
                </c:pt>
                <c:pt idx="4299">
                  <c:v>4.280017</c:v>
                </c:pt>
                <c:pt idx="4300">
                  <c:v>4.3908290000000001</c:v>
                </c:pt>
                <c:pt idx="4301">
                  <c:v>4.2986909999999998</c:v>
                </c:pt>
                <c:pt idx="4302">
                  <c:v>4.3759620000000004</c:v>
                </c:pt>
                <c:pt idx="4303">
                  <c:v>4.3660490000000003</c:v>
                </c:pt>
                <c:pt idx="4304">
                  <c:v>4.6644039999999745</c:v>
                </c:pt>
                <c:pt idx="4305">
                  <c:v>4.0928789999999955</c:v>
                </c:pt>
                <c:pt idx="4306">
                  <c:v>3.5994189999999819</c:v>
                </c:pt>
                <c:pt idx="4307">
                  <c:v>4.2022180000000002</c:v>
                </c:pt>
                <c:pt idx="4308">
                  <c:v>4.1268839999999845</c:v>
                </c:pt>
                <c:pt idx="4309">
                  <c:v>3.5836899999999998</c:v>
                </c:pt>
                <c:pt idx="4310">
                  <c:v>4.3363149999999955</c:v>
                </c:pt>
                <c:pt idx="4311">
                  <c:v>4.0385790000000004</c:v>
                </c:pt>
                <c:pt idx="4312">
                  <c:v>4.0574299999999965</c:v>
                </c:pt>
                <c:pt idx="4313">
                  <c:v>4.3421799999999955</c:v>
                </c:pt>
                <c:pt idx="4314">
                  <c:v>3.5614300000000001</c:v>
                </c:pt>
                <c:pt idx="4315">
                  <c:v>4.2581600000000002</c:v>
                </c:pt>
                <c:pt idx="4316">
                  <c:v>3.8243360000000002</c:v>
                </c:pt>
                <c:pt idx="4317">
                  <c:v>3.4865729999999977</c:v>
                </c:pt>
                <c:pt idx="4318">
                  <c:v>3.4760399999999967</c:v>
                </c:pt>
                <c:pt idx="4319">
                  <c:v>3.4113910000000001</c:v>
                </c:pt>
                <c:pt idx="4320">
                  <c:v>3.8842379999999999</c:v>
                </c:pt>
                <c:pt idx="4321">
                  <c:v>4.3420009999999865</c:v>
                </c:pt>
                <c:pt idx="4322">
                  <c:v>4.3726430000000134</c:v>
                </c:pt>
                <c:pt idx="4323">
                  <c:v>4.6841049999999509</c:v>
                </c:pt>
                <c:pt idx="4324">
                  <c:v>4.5420879999999855</c:v>
                </c:pt>
                <c:pt idx="4325">
                  <c:v>4.5334469999999998</c:v>
                </c:pt>
                <c:pt idx="4326">
                  <c:v>4.4826379999999997</c:v>
                </c:pt>
                <c:pt idx="4327">
                  <c:v>4.8211269999999855</c:v>
                </c:pt>
                <c:pt idx="4328">
                  <c:v>4.8570989999999945</c:v>
                </c:pt>
                <c:pt idx="4329">
                  <c:v>5.0785429999999998</c:v>
                </c:pt>
                <c:pt idx="4330">
                  <c:v>4.5826250000000002</c:v>
                </c:pt>
                <c:pt idx="4331">
                  <c:v>4.177962</c:v>
                </c:pt>
                <c:pt idx="4332">
                  <c:v>4.6689289999999755</c:v>
                </c:pt>
                <c:pt idx="4333">
                  <c:v>4.1206930000000002</c:v>
                </c:pt>
                <c:pt idx="4334">
                  <c:v>4.9121600000000001</c:v>
                </c:pt>
                <c:pt idx="4335">
                  <c:v>4.79779</c:v>
                </c:pt>
                <c:pt idx="4336">
                  <c:v>6.2030159999999945</c:v>
                </c:pt>
                <c:pt idx="4337">
                  <c:v>5.5094279999999998</c:v>
                </c:pt>
                <c:pt idx="4338">
                  <c:v>4.3208909999999845</c:v>
                </c:pt>
                <c:pt idx="4339">
                  <c:v>5.3203259999999855</c:v>
                </c:pt>
                <c:pt idx="4340">
                  <c:v>4.6605599999999745</c:v>
                </c:pt>
                <c:pt idx="4341">
                  <c:v>4.3148919999999755</c:v>
                </c:pt>
                <c:pt idx="4342">
                  <c:v>4.2730319999999997</c:v>
                </c:pt>
                <c:pt idx="4343">
                  <c:v>4.7284420000000003</c:v>
                </c:pt>
                <c:pt idx="4344">
                  <c:v>4.2041739999999965</c:v>
                </c:pt>
                <c:pt idx="4345">
                  <c:v>4.3920169999999645</c:v>
                </c:pt>
                <c:pt idx="4346">
                  <c:v>4.3227389999999755</c:v>
                </c:pt>
                <c:pt idx="4347">
                  <c:v>4.410933</c:v>
                </c:pt>
                <c:pt idx="4348">
                  <c:v>4.5287030000000001</c:v>
                </c:pt>
                <c:pt idx="4349">
                  <c:v>4.7436049999999996</c:v>
                </c:pt>
                <c:pt idx="4350">
                  <c:v>4.5806040000000001</c:v>
                </c:pt>
                <c:pt idx="4351">
                  <c:v>4.8863659999999998</c:v>
                </c:pt>
                <c:pt idx="4352">
                  <c:v>4.7029739999999975</c:v>
                </c:pt>
                <c:pt idx="4353">
                  <c:v>4.7210070000000002</c:v>
                </c:pt>
                <c:pt idx="4354">
                  <c:v>5.0511010000000001</c:v>
                </c:pt>
                <c:pt idx="4355">
                  <c:v>4.4856980000000384</c:v>
                </c:pt>
                <c:pt idx="4356">
                  <c:v>4.3034530000000002</c:v>
                </c:pt>
                <c:pt idx="4357">
                  <c:v>4.4531320000000001</c:v>
                </c:pt>
                <c:pt idx="4358">
                  <c:v>4.2067990000000384</c:v>
                </c:pt>
                <c:pt idx="4359">
                  <c:v>4.1976159999999645</c:v>
                </c:pt>
                <c:pt idx="4360">
                  <c:v>4.0948009999999755</c:v>
                </c:pt>
                <c:pt idx="4361">
                  <c:v>4.4332720000000494</c:v>
                </c:pt>
                <c:pt idx="4362">
                  <c:v>4.0151659999999945</c:v>
                </c:pt>
                <c:pt idx="4363">
                  <c:v>3.8566439999999669</c:v>
                </c:pt>
                <c:pt idx="4364">
                  <c:v>3.9363489999999692</c:v>
                </c:pt>
                <c:pt idx="4365">
                  <c:v>3.8432930000000001</c:v>
                </c:pt>
                <c:pt idx="4366">
                  <c:v>4.17056</c:v>
                </c:pt>
                <c:pt idx="4367">
                  <c:v>3.9923439999999779</c:v>
                </c:pt>
                <c:pt idx="4368">
                  <c:v>3.9597999999999987</c:v>
                </c:pt>
                <c:pt idx="4369">
                  <c:v>3.9520819999999977</c:v>
                </c:pt>
                <c:pt idx="4370">
                  <c:v>4.2981980000000002</c:v>
                </c:pt>
                <c:pt idx="4371">
                  <c:v>4.1572819999999755</c:v>
                </c:pt>
                <c:pt idx="4372">
                  <c:v>4.2513700000000014</c:v>
                </c:pt>
                <c:pt idx="4373">
                  <c:v>4.1047939999999965</c:v>
                </c:pt>
                <c:pt idx="4374">
                  <c:v>4.1849219999999745</c:v>
                </c:pt>
                <c:pt idx="4375">
                  <c:v>4.41425</c:v>
                </c:pt>
                <c:pt idx="4376">
                  <c:v>4.758146</c:v>
                </c:pt>
                <c:pt idx="4377">
                  <c:v>4.3878409999999946</c:v>
                </c:pt>
                <c:pt idx="4378">
                  <c:v>3.8736549999999967</c:v>
                </c:pt>
                <c:pt idx="4379">
                  <c:v>4.1806179999999955</c:v>
                </c:pt>
                <c:pt idx="4380">
                  <c:v>4.5003919999999997</c:v>
                </c:pt>
                <c:pt idx="4381">
                  <c:v>4.3159279999999756</c:v>
                </c:pt>
                <c:pt idx="4382">
                  <c:v>3.6001729999999998</c:v>
                </c:pt>
                <c:pt idx="4383">
                  <c:v>4.2675159999999472</c:v>
                </c:pt>
                <c:pt idx="4384">
                  <c:v>4.088311</c:v>
                </c:pt>
                <c:pt idx="4385">
                  <c:v>4.6061290000000001</c:v>
                </c:pt>
                <c:pt idx="4386">
                  <c:v>3.666471</c:v>
                </c:pt>
                <c:pt idx="4387">
                  <c:v>3.5441799999999999</c:v>
                </c:pt>
                <c:pt idx="4388">
                  <c:v>3.6137160000000002</c:v>
                </c:pt>
                <c:pt idx="4389">
                  <c:v>4.0919509999999955</c:v>
                </c:pt>
                <c:pt idx="4390">
                  <c:v>3.6656649999999997</c:v>
                </c:pt>
                <c:pt idx="4391">
                  <c:v>3.6323279999999998</c:v>
                </c:pt>
                <c:pt idx="4392">
                  <c:v>3.389551</c:v>
                </c:pt>
                <c:pt idx="4393">
                  <c:v>3.9036049999999998</c:v>
                </c:pt>
                <c:pt idx="4394">
                  <c:v>4.3539599999999945</c:v>
                </c:pt>
                <c:pt idx="4395">
                  <c:v>4.4653139999999985</c:v>
                </c:pt>
                <c:pt idx="4396">
                  <c:v>4.4845519999999945</c:v>
                </c:pt>
                <c:pt idx="4397">
                  <c:v>4.4115460000000004</c:v>
                </c:pt>
                <c:pt idx="4398">
                  <c:v>4.2474600000000002</c:v>
                </c:pt>
                <c:pt idx="4399">
                  <c:v>4.3540889999999655</c:v>
                </c:pt>
                <c:pt idx="4400">
                  <c:v>4.7042599999999997</c:v>
                </c:pt>
                <c:pt idx="4401">
                  <c:v>4.2794540000000003</c:v>
                </c:pt>
                <c:pt idx="4402">
                  <c:v>3.7673240000000296</c:v>
                </c:pt>
                <c:pt idx="4403">
                  <c:v>4.4754959999999997</c:v>
                </c:pt>
                <c:pt idx="4404">
                  <c:v>3.7924279999999997</c:v>
                </c:pt>
                <c:pt idx="4405">
                  <c:v>4.270666000000042</c:v>
                </c:pt>
                <c:pt idx="4406">
                  <c:v>4.996723000000042</c:v>
                </c:pt>
                <c:pt idx="4407">
                  <c:v>5.5335289999999997</c:v>
                </c:pt>
                <c:pt idx="4408">
                  <c:v>5.3527859999999645</c:v>
                </c:pt>
                <c:pt idx="4409">
                  <c:v>5.4170790000000002</c:v>
                </c:pt>
                <c:pt idx="4410">
                  <c:v>5.0521439999999975</c:v>
                </c:pt>
                <c:pt idx="4411">
                  <c:v>4.3890599999999997</c:v>
                </c:pt>
                <c:pt idx="4412">
                  <c:v>3.5889950000000002</c:v>
                </c:pt>
                <c:pt idx="4413">
                  <c:v>3.936803999999976</c:v>
                </c:pt>
                <c:pt idx="4414">
                  <c:v>4.2725059999999955</c:v>
                </c:pt>
                <c:pt idx="4415">
                  <c:v>4.2526089999999996</c:v>
                </c:pt>
                <c:pt idx="4416">
                  <c:v>4.2070790000000002</c:v>
                </c:pt>
                <c:pt idx="4417">
                  <c:v>4.1925979999999745</c:v>
                </c:pt>
                <c:pt idx="4418">
                  <c:v>4.1763440000000003</c:v>
                </c:pt>
                <c:pt idx="4419">
                  <c:v>4.0332430000000503</c:v>
                </c:pt>
                <c:pt idx="4420">
                  <c:v>3.7941009999999999</c:v>
                </c:pt>
                <c:pt idx="4421">
                  <c:v>3.749619</c:v>
                </c:pt>
                <c:pt idx="4422">
                  <c:v>3.9212729999999967</c:v>
                </c:pt>
                <c:pt idx="4423">
                  <c:v>4.0875979999999945</c:v>
                </c:pt>
                <c:pt idx="4424">
                  <c:v>4.2518680000000124</c:v>
                </c:pt>
                <c:pt idx="4425">
                  <c:v>4.5267020000000002</c:v>
                </c:pt>
                <c:pt idx="4426">
                  <c:v>4.4719709999999999</c:v>
                </c:pt>
                <c:pt idx="4427">
                  <c:v>4.0495780000000003</c:v>
                </c:pt>
                <c:pt idx="4428">
                  <c:v>3.627653</c:v>
                </c:pt>
                <c:pt idx="4429">
                  <c:v>3.2781250000000002</c:v>
                </c:pt>
                <c:pt idx="4430">
                  <c:v>3.5028849999999987</c:v>
                </c:pt>
                <c:pt idx="4431">
                  <c:v>3.808414</c:v>
                </c:pt>
                <c:pt idx="4432">
                  <c:v>3.6855180000000001</c:v>
                </c:pt>
                <c:pt idx="4433">
                  <c:v>3.239201</c:v>
                </c:pt>
                <c:pt idx="4434">
                  <c:v>3.2439589999999998</c:v>
                </c:pt>
                <c:pt idx="4435">
                  <c:v>3.224602</c:v>
                </c:pt>
                <c:pt idx="4436">
                  <c:v>3.1974900000000002</c:v>
                </c:pt>
                <c:pt idx="4437">
                  <c:v>3.5119539999999967</c:v>
                </c:pt>
                <c:pt idx="4438">
                  <c:v>4.0475659999999865</c:v>
                </c:pt>
                <c:pt idx="4439">
                  <c:v>3.9017170000000001</c:v>
                </c:pt>
                <c:pt idx="4440">
                  <c:v>4.0560149999999755</c:v>
                </c:pt>
                <c:pt idx="4441">
                  <c:v>3.5916559999999755</c:v>
                </c:pt>
                <c:pt idx="4442">
                  <c:v>3.6468719999999997</c:v>
                </c:pt>
                <c:pt idx="4443">
                  <c:v>3.4867370000000002</c:v>
                </c:pt>
                <c:pt idx="4444">
                  <c:v>3.29956</c:v>
                </c:pt>
                <c:pt idx="4445">
                  <c:v>3.2005930000000204</c:v>
                </c:pt>
                <c:pt idx="4446">
                  <c:v>3.142814</c:v>
                </c:pt>
                <c:pt idx="4447">
                  <c:v>3.4023789999999967</c:v>
                </c:pt>
                <c:pt idx="4448">
                  <c:v>3.5000770000000001</c:v>
                </c:pt>
                <c:pt idx="4449">
                  <c:v>3.7052489999999967</c:v>
                </c:pt>
                <c:pt idx="4450">
                  <c:v>3.2912699999999977</c:v>
                </c:pt>
                <c:pt idx="4451">
                  <c:v>3.0423819999999999</c:v>
                </c:pt>
                <c:pt idx="4452">
                  <c:v>2.8855569999999977</c:v>
                </c:pt>
                <c:pt idx="4453">
                  <c:v>2.8040589999999779</c:v>
                </c:pt>
                <c:pt idx="4454">
                  <c:v>2.8588369999999967</c:v>
                </c:pt>
                <c:pt idx="4455">
                  <c:v>3.2295199999999999</c:v>
                </c:pt>
                <c:pt idx="4456">
                  <c:v>2.9379579999999987</c:v>
                </c:pt>
                <c:pt idx="4457">
                  <c:v>3.159049999999981</c:v>
                </c:pt>
                <c:pt idx="4458">
                  <c:v>3.625499</c:v>
                </c:pt>
                <c:pt idx="4459">
                  <c:v>3.3775179999999998</c:v>
                </c:pt>
                <c:pt idx="4460">
                  <c:v>2.8626919999999987</c:v>
                </c:pt>
                <c:pt idx="4461">
                  <c:v>2.878155999999982</c:v>
                </c:pt>
                <c:pt idx="4462">
                  <c:v>3.2362029999999824</c:v>
                </c:pt>
                <c:pt idx="4463">
                  <c:v>2.8728849999999793</c:v>
                </c:pt>
                <c:pt idx="4464">
                  <c:v>3.6896079999999998</c:v>
                </c:pt>
                <c:pt idx="4465">
                  <c:v>4.447819</c:v>
                </c:pt>
                <c:pt idx="4466">
                  <c:v>4.5369400000000004</c:v>
                </c:pt>
                <c:pt idx="4467">
                  <c:v>4.7918120000000002</c:v>
                </c:pt>
                <c:pt idx="4468">
                  <c:v>4.7873690000000124</c:v>
                </c:pt>
                <c:pt idx="4469">
                  <c:v>4.7900849999999755</c:v>
                </c:pt>
                <c:pt idx="4470">
                  <c:v>4.6161749999999655</c:v>
                </c:pt>
                <c:pt idx="4471">
                  <c:v>4.9184640000000002</c:v>
                </c:pt>
                <c:pt idx="4472">
                  <c:v>4.9506649999999999</c:v>
                </c:pt>
                <c:pt idx="4473">
                  <c:v>4.3143839999999845</c:v>
                </c:pt>
                <c:pt idx="4474">
                  <c:v>4.1077049999999655</c:v>
                </c:pt>
                <c:pt idx="4475">
                  <c:v>4.0169439999999996</c:v>
                </c:pt>
                <c:pt idx="4476">
                  <c:v>4.6165049999999646</c:v>
                </c:pt>
                <c:pt idx="4477">
                  <c:v>5.5657119999999765</c:v>
                </c:pt>
                <c:pt idx="4478">
                  <c:v>5.7799139999999998</c:v>
                </c:pt>
                <c:pt idx="4479">
                  <c:v>5.7017090000000366</c:v>
                </c:pt>
                <c:pt idx="4480">
                  <c:v>5.7963909999999998</c:v>
                </c:pt>
                <c:pt idx="4481">
                  <c:v>6.0817500000000004</c:v>
                </c:pt>
                <c:pt idx="4482">
                  <c:v>6.0487780000000004</c:v>
                </c:pt>
                <c:pt idx="4483">
                  <c:v>5.8265509999999745</c:v>
                </c:pt>
                <c:pt idx="4484">
                  <c:v>5.670636</c:v>
                </c:pt>
                <c:pt idx="4485">
                  <c:v>5.7216079999999998</c:v>
                </c:pt>
                <c:pt idx="4486">
                  <c:v>5.4787270000000134</c:v>
                </c:pt>
                <c:pt idx="4487">
                  <c:v>4.6542749999999655</c:v>
                </c:pt>
                <c:pt idx="4488">
                  <c:v>3.9728899999999778</c:v>
                </c:pt>
                <c:pt idx="4489">
                  <c:v>3.4687169999999998</c:v>
                </c:pt>
                <c:pt idx="4490">
                  <c:v>3.5420129999999967</c:v>
                </c:pt>
                <c:pt idx="4491">
                  <c:v>3.973671</c:v>
                </c:pt>
                <c:pt idx="4492">
                  <c:v>4.1313610000000134</c:v>
                </c:pt>
                <c:pt idx="4493">
                  <c:v>4.0851889999999855</c:v>
                </c:pt>
                <c:pt idx="4494">
                  <c:v>4.5680579999999855</c:v>
                </c:pt>
                <c:pt idx="4495">
                  <c:v>4.3812759999999997</c:v>
                </c:pt>
                <c:pt idx="4496">
                  <c:v>4.0398370000000003</c:v>
                </c:pt>
                <c:pt idx="4497">
                  <c:v>3.8745949999999998</c:v>
                </c:pt>
                <c:pt idx="4498">
                  <c:v>4.077591</c:v>
                </c:pt>
                <c:pt idx="4499">
                  <c:v>4.2301089999999997</c:v>
                </c:pt>
                <c:pt idx="4500">
                  <c:v>5.0439679999999996</c:v>
                </c:pt>
                <c:pt idx="4501">
                  <c:v>5.9547920000000003</c:v>
                </c:pt>
                <c:pt idx="4502">
                  <c:v>6.0352230000000393</c:v>
                </c:pt>
                <c:pt idx="4503">
                  <c:v>6.3910799999999997</c:v>
                </c:pt>
                <c:pt idx="4504">
                  <c:v>6.5740149999999655</c:v>
                </c:pt>
                <c:pt idx="4505">
                  <c:v>6.4470200000000002</c:v>
                </c:pt>
                <c:pt idx="4506">
                  <c:v>6.2169210000000001</c:v>
                </c:pt>
                <c:pt idx="4507">
                  <c:v>5.5205319999999745</c:v>
                </c:pt>
                <c:pt idx="4508">
                  <c:v>5.1667179999999755</c:v>
                </c:pt>
                <c:pt idx="4509">
                  <c:v>4.9683089999999996</c:v>
                </c:pt>
                <c:pt idx="4510">
                  <c:v>4.7406509999999997</c:v>
                </c:pt>
                <c:pt idx="4511">
                  <c:v>4.3609889999999645</c:v>
                </c:pt>
                <c:pt idx="4512">
                  <c:v>3.47051</c:v>
                </c:pt>
                <c:pt idx="4513">
                  <c:v>2.8975300000000002</c:v>
                </c:pt>
                <c:pt idx="4514">
                  <c:v>2.8481010000000002</c:v>
                </c:pt>
                <c:pt idx="4515">
                  <c:v>2.7698659999999977</c:v>
                </c:pt>
                <c:pt idx="4516">
                  <c:v>2.6964659999999778</c:v>
                </c:pt>
                <c:pt idx="4517">
                  <c:v>2.7028289999999977</c:v>
                </c:pt>
                <c:pt idx="4518">
                  <c:v>2.9134249999999997</c:v>
                </c:pt>
                <c:pt idx="4519">
                  <c:v>3.0826759999999829</c:v>
                </c:pt>
                <c:pt idx="4520">
                  <c:v>3.1093120000000001</c:v>
                </c:pt>
                <c:pt idx="4521">
                  <c:v>3.2460749999999998</c:v>
                </c:pt>
                <c:pt idx="4522">
                  <c:v>3.7343869999999999</c:v>
                </c:pt>
                <c:pt idx="4523">
                  <c:v>3.4987499999999967</c:v>
                </c:pt>
                <c:pt idx="4524">
                  <c:v>4.0949249999999591</c:v>
                </c:pt>
                <c:pt idx="4525">
                  <c:v>5.0662070000000003</c:v>
                </c:pt>
                <c:pt idx="4526">
                  <c:v>5.1566510000000001</c:v>
                </c:pt>
                <c:pt idx="4527">
                  <c:v>5.6475269999999655</c:v>
                </c:pt>
                <c:pt idx="4528">
                  <c:v>5.8671179999999454</c:v>
                </c:pt>
                <c:pt idx="4529">
                  <c:v>5.7900970000000003</c:v>
                </c:pt>
                <c:pt idx="4530">
                  <c:v>5.7034719999999997</c:v>
                </c:pt>
                <c:pt idx="4531">
                  <c:v>5.2872420000000124</c:v>
                </c:pt>
                <c:pt idx="4532">
                  <c:v>4.7809149999999745</c:v>
                </c:pt>
                <c:pt idx="4533">
                  <c:v>3.8462259999999819</c:v>
                </c:pt>
                <c:pt idx="4534">
                  <c:v>3.0076040000000002</c:v>
                </c:pt>
                <c:pt idx="4535">
                  <c:v>3.1376189999999977</c:v>
                </c:pt>
                <c:pt idx="4536">
                  <c:v>3.5729529999999778</c:v>
                </c:pt>
                <c:pt idx="4537">
                  <c:v>4.0453279999999996</c:v>
                </c:pt>
                <c:pt idx="4538">
                  <c:v>3.768602</c:v>
                </c:pt>
                <c:pt idx="4539">
                  <c:v>3.864703</c:v>
                </c:pt>
                <c:pt idx="4540">
                  <c:v>4.2533089999999998</c:v>
                </c:pt>
                <c:pt idx="4541">
                  <c:v>4.2449039999999965</c:v>
                </c:pt>
                <c:pt idx="4542">
                  <c:v>4.281693000000053</c:v>
                </c:pt>
                <c:pt idx="4543">
                  <c:v>4.4826300000000003</c:v>
                </c:pt>
                <c:pt idx="4544">
                  <c:v>4.1935759999999656</c:v>
                </c:pt>
                <c:pt idx="4545">
                  <c:v>3.929821</c:v>
                </c:pt>
                <c:pt idx="4546">
                  <c:v>4.4245189999999655</c:v>
                </c:pt>
                <c:pt idx="4547">
                  <c:v>4.1893700000000003</c:v>
                </c:pt>
                <c:pt idx="4548">
                  <c:v>4.1309269999999945</c:v>
                </c:pt>
                <c:pt idx="4549">
                  <c:v>4.9836330000000393</c:v>
                </c:pt>
                <c:pt idx="4550">
                  <c:v>5.3608630000000002</c:v>
                </c:pt>
                <c:pt idx="4551">
                  <c:v>5.181521</c:v>
                </c:pt>
                <c:pt idx="4552">
                  <c:v>5.3758039999999996</c:v>
                </c:pt>
                <c:pt idx="4553">
                  <c:v>4.6847819999999745</c:v>
                </c:pt>
                <c:pt idx="4554">
                  <c:v>4.7201949999999755</c:v>
                </c:pt>
                <c:pt idx="4555">
                  <c:v>5.6370339999999945</c:v>
                </c:pt>
                <c:pt idx="4556">
                  <c:v>5.006189</c:v>
                </c:pt>
                <c:pt idx="4557">
                  <c:v>3.9281470000000001</c:v>
                </c:pt>
                <c:pt idx="4558">
                  <c:v>3.7259760000000002</c:v>
                </c:pt>
                <c:pt idx="4559">
                  <c:v>4.1295389999999745</c:v>
                </c:pt>
                <c:pt idx="4560">
                  <c:v>4.0754469999999996</c:v>
                </c:pt>
                <c:pt idx="4561">
                  <c:v>3.9712369999999977</c:v>
                </c:pt>
                <c:pt idx="4562">
                  <c:v>3.7937729999999998</c:v>
                </c:pt>
                <c:pt idx="4563">
                  <c:v>3.7822309999999999</c:v>
                </c:pt>
                <c:pt idx="4564">
                  <c:v>3.8130889999999829</c:v>
                </c:pt>
                <c:pt idx="4565">
                  <c:v>3.938491</c:v>
                </c:pt>
                <c:pt idx="4566">
                  <c:v>4.0508339999999965</c:v>
                </c:pt>
                <c:pt idx="4567">
                  <c:v>3.98726</c:v>
                </c:pt>
                <c:pt idx="4568">
                  <c:v>3.8581349999999999</c:v>
                </c:pt>
                <c:pt idx="4569">
                  <c:v>3.7275780000000012</c:v>
                </c:pt>
                <c:pt idx="4570">
                  <c:v>3.6008529999999968</c:v>
                </c:pt>
                <c:pt idx="4571">
                  <c:v>4.4658189999999856</c:v>
                </c:pt>
                <c:pt idx="4572">
                  <c:v>4.3787060000000002</c:v>
                </c:pt>
                <c:pt idx="4573">
                  <c:v>3.6200359999999998</c:v>
                </c:pt>
                <c:pt idx="4574">
                  <c:v>4.2668780000000002</c:v>
                </c:pt>
                <c:pt idx="4575">
                  <c:v>4.3497610000000124</c:v>
                </c:pt>
                <c:pt idx="4576">
                  <c:v>5.2930010000000003</c:v>
                </c:pt>
                <c:pt idx="4577">
                  <c:v>4.8307450000000003</c:v>
                </c:pt>
                <c:pt idx="4578">
                  <c:v>4.656371</c:v>
                </c:pt>
                <c:pt idx="4579">
                  <c:v>4.3887510000000001</c:v>
                </c:pt>
                <c:pt idx="4580">
                  <c:v>3.4125399999999977</c:v>
                </c:pt>
                <c:pt idx="4581">
                  <c:v>3.6500419999999987</c:v>
                </c:pt>
                <c:pt idx="4582">
                  <c:v>3.81393</c:v>
                </c:pt>
                <c:pt idx="4583">
                  <c:v>3.7761479999999987</c:v>
                </c:pt>
                <c:pt idx="4584">
                  <c:v>3.6304129999999977</c:v>
                </c:pt>
                <c:pt idx="4585">
                  <c:v>3.6590210000000001</c:v>
                </c:pt>
                <c:pt idx="4586">
                  <c:v>3.4460319999999998</c:v>
                </c:pt>
                <c:pt idx="4587">
                  <c:v>4.1123919999999945</c:v>
                </c:pt>
                <c:pt idx="4588">
                  <c:v>4.0731539999999997</c:v>
                </c:pt>
                <c:pt idx="4589">
                  <c:v>4.1468959999999955</c:v>
                </c:pt>
                <c:pt idx="4590">
                  <c:v>3.8683619999999999</c:v>
                </c:pt>
                <c:pt idx="4591">
                  <c:v>4.0147579999999845</c:v>
                </c:pt>
                <c:pt idx="4592">
                  <c:v>3.7944300000000002</c:v>
                </c:pt>
                <c:pt idx="4593">
                  <c:v>4.2159499999999985</c:v>
                </c:pt>
                <c:pt idx="4594">
                  <c:v>4.2418589999999998</c:v>
                </c:pt>
                <c:pt idx="4595">
                  <c:v>3.8496919999999997</c:v>
                </c:pt>
                <c:pt idx="4596">
                  <c:v>3.5103489999999824</c:v>
                </c:pt>
                <c:pt idx="4597">
                  <c:v>3.4982579999999968</c:v>
                </c:pt>
                <c:pt idx="4598">
                  <c:v>3.3928469999999669</c:v>
                </c:pt>
                <c:pt idx="4599">
                  <c:v>3.564864</c:v>
                </c:pt>
                <c:pt idx="4600">
                  <c:v>3.3907159999999967</c:v>
                </c:pt>
                <c:pt idx="4601">
                  <c:v>3.5340910000000001</c:v>
                </c:pt>
                <c:pt idx="4602">
                  <c:v>3.5660439999999967</c:v>
                </c:pt>
                <c:pt idx="4603">
                  <c:v>3.0994049999999977</c:v>
                </c:pt>
                <c:pt idx="4604">
                  <c:v>3.090592</c:v>
                </c:pt>
                <c:pt idx="4605">
                  <c:v>3.4235320000000002</c:v>
                </c:pt>
                <c:pt idx="4606">
                  <c:v>3.903708</c:v>
                </c:pt>
                <c:pt idx="4607">
                  <c:v>4.1459119999999645</c:v>
                </c:pt>
                <c:pt idx="4608">
                  <c:v>4.3255549999999454</c:v>
                </c:pt>
                <c:pt idx="4609">
                  <c:v>3.9596199999999819</c:v>
                </c:pt>
                <c:pt idx="4610">
                  <c:v>4.1735030000000002</c:v>
                </c:pt>
                <c:pt idx="4611">
                  <c:v>3.6027269999999998</c:v>
                </c:pt>
                <c:pt idx="4612">
                  <c:v>3.3581249999999998</c:v>
                </c:pt>
                <c:pt idx="4613">
                  <c:v>3.2441240000000287</c:v>
                </c:pt>
                <c:pt idx="4614">
                  <c:v>3.3683559999999977</c:v>
                </c:pt>
                <c:pt idx="4615">
                  <c:v>3.5419010000000002</c:v>
                </c:pt>
                <c:pt idx="4616">
                  <c:v>3.6027990000000001</c:v>
                </c:pt>
                <c:pt idx="4617">
                  <c:v>4.2359090000000004</c:v>
                </c:pt>
                <c:pt idx="4618">
                  <c:v>4.2899320000000003</c:v>
                </c:pt>
                <c:pt idx="4619">
                  <c:v>3.4849299999999999</c:v>
                </c:pt>
                <c:pt idx="4620">
                  <c:v>3.2225310000000205</c:v>
                </c:pt>
                <c:pt idx="4621">
                  <c:v>3.17937</c:v>
                </c:pt>
                <c:pt idx="4622">
                  <c:v>3.1714849999999997</c:v>
                </c:pt>
                <c:pt idx="4623">
                  <c:v>3.2713290000000002</c:v>
                </c:pt>
                <c:pt idx="4624">
                  <c:v>3.1775720000000001</c:v>
                </c:pt>
                <c:pt idx="4625">
                  <c:v>2.9717959999999977</c:v>
                </c:pt>
                <c:pt idx="4626">
                  <c:v>2.9647610000000002</c:v>
                </c:pt>
                <c:pt idx="4627">
                  <c:v>3.3115899999999967</c:v>
                </c:pt>
                <c:pt idx="4628">
                  <c:v>3.1187549999999997</c:v>
                </c:pt>
                <c:pt idx="4629">
                  <c:v>2.9645260000000002</c:v>
                </c:pt>
                <c:pt idx="4630">
                  <c:v>3.4038390000000001</c:v>
                </c:pt>
                <c:pt idx="4631">
                  <c:v>3.5749369999999998</c:v>
                </c:pt>
                <c:pt idx="4632">
                  <c:v>3.5152069999999829</c:v>
                </c:pt>
                <c:pt idx="4633">
                  <c:v>3.2203170000000205</c:v>
                </c:pt>
                <c:pt idx="4634">
                  <c:v>3.1596839999999977</c:v>
                </c:pt>
                <c:pt idx="4635">
                  <c:v>3.1828569999999967</c:v>
                </c:pt>
                <c:pt idx="4636">
                  <c:v>3.1702429999999819</c:v>
                </c:pt>
                <c:pt idx="4637">
                  <c:v>3.2128229999999967</c:v>
                </c:pt>
                <c:pt idx="4638">
                  <c:v>3.308767</c:v>
                </c:pt>
                <c:pt idx="4639">
                  <c:v>3.3321969999999967</c:v>
                </c:pt>
                <c:pt idx="4640">
                  <c:v>3.0894649999999997</c:v>
                </c:pt>
                <c:pt idx="4641">
                  <c:v>2.8935170000000001</c:v>
                </c:pt>
                <c:pt idx="4642">
                  <c:v>2.4498019999999987</c:v>
                </c:pt>
                <c:pt idx="4643">
                  <c:v>2.5448369999999998</c:v>
                </c:pt>
                <c:pt idx="4644">
                  <c:v>2.2317369999999999</c:v>
                </c:pt>
                <c:pt idx="4645">
                  <c:v>2.6544970000000001</c:v>
                </c:pt>
                <c:pt idx="4646">
                  <c:v>3.1257069999999998</c:v>
                </c:pt>
                <c:pt idx="4647">
                  <c:v>4.0364079999999998</c:v>
                </c:pt>
                <c:pt idx="4648">
                  <c:v>4.2315399999999999</c:v>
                </c:pt>
                <c:pt idx="4649">
                  <c:v>4.1234309999999645</c:v>
                </c:pt>
                <c:pt idx="4650">
                  <c:v>3.5363669999999967</c:v>
                </c:pt>
                <c:pt idx="4651">
                  <c:v>4.6521219999999746</c:v>
                </c:pt>
                <c:pt idx="4652">
                  <c:v>3.6909770000000002</c:v>
                </c:pt>
                <c:pt idx="4653">
                  <c:v>3.3209149999999998</c:v>
                </c:pt>
                <c:pt idx="4654">
                  <c:v>2.9501499999999967</c:v>
                </c:pt>
                <c:pt idx="4655">
                  <c:v>2.5509779999999997</c:v>
                </c:pt>
                <c:pt idx="4656">
                  <c:v>3.1749649999999998</c:v>
                </c:pt>
                <c:pt idx="4657">
                  <c:v>3.7579220000000002</c:v>
                </c:pt>
                <c:pt idx="4658">
                  <c:v>3.9318099999999778</c:v>
                </c:pt>
                <c:pt idx="4659">
                  <c:v>3.9729939999999977</c:v>
                </c:pt>
                <c:pt idx="4660">
                  <c:v>4.0038819999999955</c:v>
                </c:pt>
                <c:pt idx="4661">
                  <c:v>4.0237290000000003</c:v>
                </c:pt>
                <c:pt idx="4662">
                  <c:v>4.2309089999999996</c:v>
                </c:pt>
                <c:pt idx="4663">
                  <c:v>4.5669739999999965</c:v>
                </c:pt>
                <c:pt idx="4664">
                  <c:v>4.2429339999999955</c:v>
                </c:pt>
                <c:pt idx="4665">
                  <c:v>3.9226109999999967</c:v>
                </c:pt>
                <c:pt idx="4666">
                  <c:v>4.1158909999999755</c:v>
                </c:pt>
                <c:pt idx="4667">
                  <c:v>4.6036390000000003</c:v>
                </c:pt>
                <c:pt idx="4668">
                  <c:v>4.3857109999999855</c:v>
                </c:pt>
                <c:pt idx="4669">
                  <c:v>4.8260449999999855</c:v>
                </c:pt>
                <c:pt idx="4670">
                  <c:v>5.575649000000042</c:v>
                </c:pt>
                <c:pt idx="4671">
                  <c:v>5.6029109999999518</c:v>
                </c:pt>
                <c:pt idx="4672">
                  <c:v>5.6630989999999946</c:v>
                </c:pt>
                <c:pt idx="4673">
                  <c:v>5.5034770000000002</c:v>
                </c:pt>
                <c:pt idx="4674">
                  <c:v>5.2073119999999955</c:v>
                </c:pt>
                <c:pt idx="4675">
                  <c:v>5.2656999999999998</c:v>
                </c:pt>
                <c:pt idx="4676">
                  <c:v>4.2347910000000004</c:v>
                </c:pt>
                <c:pt idx="4677">
                  <c:v>4.4024419999999997</c:v>
                </c:pt>
                <c:pt idx="4678">
                  <c:v>4.1915799999999965</c:v>
                </c:pt>
                <c:pt idx="4679">
                  <c:v>3.8317389999999967</c:v>
                </c:pt>
                <c:pt idx="4680">
                  <c:v>3.615672999999981</c:v>
                </c:pt>
                <c:pt idx="4681">
                  <c:v>3.5614140000000001</c:v>
                </c:pt>
                <c:pt idx="4682">
                  <c:v>3.9685790000000001</c:v>
                </c:pt>
                <c:pt idx="4683">
                  <c:v>4.1351979999999955</c:v>
                </c:pt>
                <c:pt idx="4684">
                  <c:v>4.4311460000000134</c:v>
                </c:pt>
                <c:pt idx="4685">
                  <c:v>4.5133710000000002</c:v>
                </c:pt>
                <c:pt idx="4686">
                  <c:v>4.5855129999999855</c:v>
                </c:pt>
                <c:pt idx="4687">
                  <c:v>4.4000130000000004</c:v>
                </c:pt>
                <c:pt idx="4688">
                  <c:v>4.2850590000000004</c:v>
                </c:pt>
                <c:pt idx="4689">
                  <c:v>3.870733</c:v>
                </c:pt>
                <c:pt idx="4690">
                  <c:v>4.0557679999999996</c:v>
                </c:pt>
                <c:pt idx="4691">
                  <c:v>4.2549939999999955</c:v>
                </c:pt>
                <c:pt idx="4692">
                  <c:v>4.1985009999999745</c:v>
                </c:pt>
                <c:pt idx="4693">
                  <c:v>4.8562459999999996</c:v>
                </c:pt>
                <c:pt idx="4694">
                  <c:v>5.3098799999999997</c:v>
                </c:pt>
                <c:pt idx="4695">
                  <c:v>5.2269639999999997</c:v>
                </c:pt>
                <c:pt idx="4696">
                  <c:v>4.5610139999999975</c:v>
                </c:pt>
                <c:pt idx="4697">
                  <c:v>3.9236179999999998</c:v>
                </c:pt>
                <c:pt idx="4698">
                  <c:v>4.059649000000042</c:v>
                </c:pt>
                <c:pt idx="4699">
                  <c:v>4.0537979999999996</c:v>
                </c:pt>
                <c:pt idx="4700">
                  <c:v>3.9194739999999784</c:v>
                </c:pt>
                <c:pt idx="4701">
                  <c:v>3.7009029999999998</c:v>
                </c:pt>
                <c:pt idx="4702">
                  <c:v>3.4237790000000001</c:v>
                </c:pt>
                <c:pt idx="4703">
                  <c:v>3.656161</c:v>
                </c:pt>
                <c:pt idx="4704">
                  <c:v>3.6228359999999977</c:v>
                </c:pt>
                <c:pt idx="4705">
                  <c:v>3.4803259999999998</c:v>
                </c:pt>
                <c:pt idx="4706">
                  <c:v>3.4709840000000001</c:v>
                </c:pt>
                <c:pt idx="4707">
                  <c:v>3.450974</c:v>
                </c:pt>
                <c:pt idx="4708">
                  <c:v>3.4677739999999999</c:v>
                </c:pt>
                <c:pt idx="4709">
                  <c:v>3.4627629999999967</c:v>
                </c:pt>
                <c:pt idx="4710">
                  <c:v>3.6004019999999999</c:v>
                </c:pt>
                <c:pt idx="4711">
                  <c:v>3.5033970000000205</c:v>
                </c:pt>
                <c:pt idx="4712">
                  <c:v>3.586741</c:v>
                </c:pt>
                <c:pt idx="4713">
                  <c:v>3.6844209999999999</c:v>
                </c:pt>
                <c:pt idx="4714">
                  <c:v>3.6064419999999977</c:v>
                </c:pt>
                <c:pt idx="4715">
                  <c:v>4.2557119999999955</c:v>
                </c:pt>
                <c:pt idx="4716">
                  <c:v>3.8959659999999778</c:v>
                </c:pt>
                <c:pt idx="4717">
                  <c:v>4.5305359999999855</c:v>
                </c:pt>
                <c:pt idx="4718">
                  <c:v>4.2224759999999755</c:v>
                </c:pt>
                <c:pt idx="4719">
                  <c:v>5.8335869999999845</c:v>
                </c:pt>
                <c:pt idx="4720">
                  <c:v>4.1216520000000001</c:v>
                </c:pt>
                <c:pt idx="4721">
                  <c:v>5.4012149999999997</c:v>
                </c:pt>
                <c:pt idx="4722">
                  <c:v>4.2364530000000133</c:v>
                </c:pt>
                <c:pt idx="4723">
                  <c:v>4.2716360000000124</c:v>
                </c:pt>
                <c:pt idx="4724">
                  <c:v>3.6747359999999998</c:v>
                </c:pt>
                <c:pt idx="4725">
                  <c:v>3.9631330000000204</c:v>
                </c:pt>
                <c:pt idx="4726">
                  <c:v>3.5564149999999977</c:v>
                </c:pt>
                <c:pt idx="4727">
                  <c:v>3.6740940000000002</c:v>
                </c:pt>
                <c:pt idx="4728">
                  <c:v>3.728008</c:v>
                </c:pt>
                <c:pt idx="4729">
                  <c:v>3.8523009999999829</c:v>
                </c:pt>
                <c:pt idx="4730">
                  <c:v>4.1804649999999945</c:v>
                </c:pt>
                <c:pt idx="4731">
                  <c:v>4.3157930000000002</c:v>
                </c:pt>
                <c:pt idx="4732">
                  <c:v>4.292605</c:v>
                </c:pt>
                <c:pt idx="4733">
                  <c:v>4.3290569999999855</c:v>
                </c:pt>
                <c:pt idx="4734">
                  <c:v>4.2137609999999999</c:v>
                </c:pt>
                <c:pt idx="4735">
                  <c:v>4.3022169999999855</c:v>
                </c:pt>
                <c:pt idx="4736">
                  <c:v>4.1501019999999755</c:v>
                </c:pt>
                <c:pt idx="4737">
                  <c:v>4.6232790000000001</c:v>
                </c:pt>
                <c:pt idx="4738">
                  <c:v>4.7196210000000134</c:v>
                </c:pt>
                <c:pt idx="4739">
                  <c:v>4.2660299999999998</c:v>
                </c:pt>
                <c:pt idx="4740">
                  <c:v>4.7772180000000004</c:v>
                </c:pt>
                <c:pt idx="4741">
                  <c:v>4.6514470000000001</c:v>
                </c:pt>
                <c:pt idx="4742">
                  <c:v>4.0026359999999945</c:v>
                </c:pt>
                <c:pt idx="4743">
                  <c:v>4.2083389999999996</c:v>
                </c:pt>
                <c:pt idx="4744">
                  <c:v>3.9005719999999999</c:v>
                </c:pt>
                <c:pt idx="4745">
                  <c:v>3.9651709999999998</c:v>
                </c:pt>
                <c:pt idx="4746">
                  <c:v>3.8679039999999998</c:v>
                </c:pt>
                <c:pt idx="4747">
                  <c:v>3.814888999999976</c:v>
                </c:pt>
                <c:pt idx="4748">
                  <c:v>4.0459459999999945</c:v>
                </c:pt>
                <c:pt idx="4749">
                  <c:v>3.883213</c:v>
                </c:pt>
                <c:pt idx="4750">
                  <c:v>3.9925809999999977</c:v>
                </c:pt>
                <c:pt idx="4751">
                  <c:v>3.9603160000000002</c:v>
                </c:pt>
                <c:pt idx="4752">
                  <c:v>3.3357619999999977</c:v>
                </c:pt>
                <c:pt idx="4753">
                  <c:v>3.1577160000000002</c:v>
                </c:pt>
                <c:pt idx="4754">
                  <c:v>3.4451170000000002</c:v>
                </c:pt>
                <c:pt idx="4755">
                  <c:v>3.3893759999999977</c:v>
                </c:pt>
                <c:pt idx="4756">
                  <c:v>3.4260809999999977</c:v>
                </c:pt>
                <c:pt idx="4757">
                  <c:v>3.3645010000000002</c:v>
                </c:pt>
                <c:pt idx="4758">
                  <c:v>3.403969</c:v>
                </c:pt>
                <c:pt idx="4759">
                  <c:v>3.510195</c:v>
                </c:pt>
                <c:pt idx="4760">
                  <c:v>3.604012</c:v>
                </c:pt>
                <c:pt idx="4761">
                  <c:v>3.6093910000000204</c:v>
                </c:pt>
                <c:pt idx="4762">
                  <c:v>3.1831730000000205</c:v>
                </c:pt>
                <c:pt idx="4763">
                  <c:v>3.0376240000000001</c:v>
                </c:pt>
                <c:pt idx="4764">
                  <c:v>3.2839350000000205</c:v>
                </c:pt>
                <c:pt idx="4765">
                  <c:v>3.448963</c:v>
                </c:pt>
                <c:pt idx="4766">
                  <c:v>3.7804479999999998</c:v>
                </c:pt>
                <c:pt idx="4767">
                  <c:v>4.0632820000000001</c:v>
                </c:pt>
                <c:pt idx="4768">
                  <c:v>3.750165</c:v>
                </c:pt>
                <c:pt idx="4769">
                  <c:v>3.4923019999999987</c:v>
                </c:pt>
                <c:pt idx="4770">
                  <c:v>3.078138</c:v>
                </c:pt>
                <c:pt idx="4771">
                  <c:v>3.292586</c:v>
                </c:pt>
                <c:pt idx="4772">
                  <c:v>2.908903</c:v>
                </c:pt>
                <c:pt idx="4773">
                  <c:v>2.8653930000000001</c:v>
                </c:pt>
                <c:pt idx="4774">
                  <c:v>3.000874</c:v>
                </c:pt>
                <c:pt idx="4775">
                  <c:v>2.9335429999999967</c:v>
                </c:pt>
                <c:pt idx="4776">
                  <c:v>3.0935109999999999</c:v>
                </c:pt>
                <c:pt idx="4777">
                  <c:v>3.2296339999999999</c:v>
                </c:pt>
                <c:pt idx="4778">
                  <c:v>3.3509949999999997</c:v>
                </c:pt>
                <c:pt idx="4779">
                  <c:v>3.2023239999999999</c:v>
                </c:pt>
                <c:pt idx="4780">
                  <c:v>3.061029</c:v>
                </c:pt>
                <c:pt idx="4781">
                  <c:v>3.1584110000000001</c:v>
                </c:pt>
                <c:pt idx="4782">
                  <c:v>3.135189</c:v>
                </c:pt>
                <c:pt idx="4783">
                  <c:v>3.1706779999999997</c:v>
                </c:pt>
                <c:pt idx="4784">
                  <c:v>3.1143209999999999</c:v>
                </c:pt>
                <c:pt idx="4785">
                  <c:v>3.1727810000000001</c:v>
                </c:pt>
                <c:pt idx="4786">
                  <c:v>3.6425510000000001</c:v>
                </c:pt>
                <c:pt idx="4787">
                  <c:v>3.4785759999999977</c:v>
                </c:pt>
                <c:pt idx="4788">
                  <c:v>3.2382419999999987</c:v>
                </c:pt>
                <c:pt idx="4789">
                  <c:v>3.4074360000000001</c:v>
                </c:pt>
                <c:pt idx="4790">
                  <c:v>3.847318</c:v>
                </c:pt>
                <c:pt idx="4791">
                  <c:v>3.4906949999999997</c:v>
                </c:pt>
                <c:pt idx="4792">
                  <c:v>3.1564879999999977</c:v>
                </c:pt>
                <c:pt idx="4793">
                  <c:v>3.7944260000000001</c:v>
                </c:pt>
                <c:pt idx="4794">
                  <c:v>3.6331449999999998</c:v>
                </c:pt>
                <c:pt idx="4795">
                  <c:v>3.746165</c:v>
                </c:pt>
                <c:pt idx="4796">
                  <c:v>3.4201090000000001</c:v>
                </c:pt>
                <c:pt idx="4797">
                  <c:v>3.5204270000000002</c:v>
                </c:pt>
                <c:pt idx="4798">
                  <c:v>3.5973169999999999</c:v>
                </c:pt>
                <c:pt idx="4799">
                  <c:v>3.5192009999999967</c:v>
                </c:pt>
                <c:pt idx="4800">
                  <c:v>3.8062009999999828</c:v>
                </c:pt>
                <c:pt idx="4801">
                  <c:v>3.9840100000000001</c:v>
                </c:pt>
                <c:pt idx="4802">
                  <c:v>4.195227</c:v>
                </c:pt>
                <c:pt idx="4803">
                  <c:v>4.0102359999999955</c:v>
                </c:pt>
                <c:pt idx="4804">
                  <c:v>3.888633</c:v>
                </c:pt>
                <c:pt idx="4805">
                  <c:v>4.2247449999999755</c:v>
                </c:pt>
                <c:pt idx="4806">
                  <c:v>4.2568210000000004</c:v>
                </c:pt>
                <c:pt idx="4807">
                  <c:v>4.1638079999999755</c:v>
                </c:pt>
                <c:pt idx="4808">
                  <c:v>4.1702729999999999</c:v>
                </c:pt>
                <c:pt idx="4809">
                  <c:v>3.9471750000000001</c:v>
                </c:pt>
                <c:pt idx="4810">
                  <c:v>3.8383659999999828</c:v>
                </c:pt>
                <c:pt idx="4811">
                  <c:v>3.7025199999999998</c:v>
                </c:pt>
                <c:pt idx="4812">
                  <c:v>3.731827</c:v>
                </c:pt>
                <c:pt idx="4813">
                  <c:v>4.608778</c:v>
                </c:pt>
                <c:pt idx="4814">
                  <c:v>5.4935039999999997</c:v>
                </c:pt>
                <c:pt idx="4815">
                  <c:v>5.4990399999999999</c:v>
                </c:pt>
                <c:pt idx="4816">
                  <c:v>5.3717779999999999</c:v>
                </c:pt>
                <c:pt idx="4817">
                  <c:v>5.3664869999999745</c:v>
                </c:pt>
                <c:pt idx="4818">
                  <c:v>5.3805159999999645</c:v>
                </c:pt>
                <c:pt idx="4819">
                  <c:v>5.4670839999999945</c:v>
                </c:pt>
                <c:pt idx="4820">
                  <c:v>5.3770119999999855</c:v>
                </c:pt>
                <c:pt idx="4821">
                  <c:v>5.1392829999999998</c:v>
                </c:pt>
                <c:pt idx="4822">
                  <c:v>4.5925269999999845</c:v>
                </c:pt>
                <c:pt idx="4823">
                  <c:v>4.0433260000000004</c:v>
                </c:pt>
                <c:pt idx="4824">
                  <c:v>3.8239320000000001</c:v>
                </c:pt>
                <c:pt idx="4825">
                  <c:v>3.8635090000000001</c:v>
                </c:pt>
                <c:pt idx="4826">
                  <c:v>4.1177989999999856</c:v>
                </c:pt>
                <c:pt idx="4827">
                  <c:v>4.2099070000000003</c:v>
                </c:pt>
                <c:pt idx="4828">
                  <c:v>4.282216</c:v>
                </c:pt>
                <c:pt idx="4829">
                  <c:v>4.2143220000000001</c:v>
                </c:pt>
                <c:pt idx="4830">
                  <c:v>4.4405270000000003</c:v>
                </c:pt>
                <c:pt idx="4831">
                  <c:v>4.4634330000000002</c:v>
                </c:pt>
                <c:pt idx="4832">
                  <c:v>4.5634920000000001</c:v>
                </c:pt>
                <c:pt idx="4833">
                  <c:v>4.3638139999999845</c:v>
                </c:pt>
                <c:pt idx="4834">
                  <c:v>4.8474249999999746</c:v>
                </c:pt>
                <c:pt idx="4835">
                  <c:v>4.2022870000000001</c:v>
                </c:pt>
                <c:pt idx="4836">
                  <c:v>5.4672149999999755</c:v>
                </c:pt>
                <c:pt idx="4837">
                  <c:v>6.5211269999999955</c:v>
                </c:pt>
                <c:pt idx="4838">
                  <c:v>8.1909890000000001</c:v>
                </c:pt>
                <c:pt idx="4839">
                  <c:v>7.7574920000000001</c:v>
                </c:pt>
                <c:pt idx="4840">
                  <c:v>7.5454509999999955</c:v>
                </c:pt>
                <c:pt idx="4841">
                  <c:v>7.2630980000000003</c:v>
                </c:pt>
                <c:pt idx="4842">
                  <c:v>6.9693959999999997</c:v>
                </c:pt>
                <c:pt idx="4843">
                  <c:v>7.1658799999999845</c:v>
                </c:pt>
                <c:pt idx="4844">
                  <c:v>6.859864</c:v>
                </c:pt>
                <c:pt idx="4845">
                  <c:v>6.9564190000000004</c:v>
                </c:pt>
                <c:pt idx="4846">
                  <c:v>6.9221009999999845</c:v>
                </c:pt>
                <c:pt idx="4847">
                  <c:v>6.2062220000000421</c:v>
                </c:pt>
                <c:pt idx="4848">
                  <c:v>4.3357530000000004</c:v>
                </c:pt>
                <c:pt idx="4849">
                  <c:v>3.5020389999999977</c:v>
                </c:pt>
                <c:pt idx="4850">
                  <c:v>2.7357479999999987</c:v>
                </c:pt>
                <c:pt idx="4851">
                  <c:v>2.2946719999999998</c:v>
                </c:pt>
                <c:pt idx="4852">
                  <c:v>2.3685939999999999</c:v>
                </c:pt>
                <c:pt idx="4853">
                  <c:v>2.5460959999999977</c:v>
                </c:pt>
                <c:pt idx="4854">
                  <c:v>2.4708259999999829</c:v>
                </c:pt>
                <c:pt idx="4855">
                  <c:v>2.2753489999999967</c:v>
                </c:pt>
                <c:pt idx="4856">
                  <c:v>2.6683880000000002</c:v>
                </c:pt>
                <c:pt idx="4857">
                  <c:v>2.6235439999999999</c:v>
                </c:pt>
                <c:pt idx="4858">
                  <c:v>2.7395399999999999</c:v>
                </c:pt>
                <c:pt idx="4859">
                  <c:v>3.6196329999999977</c:v>
                </c:pt>
                <c:pt idx="4860">
                  <c:v>4.7248599999999845</c:v>
                </c:pt>
                <c:pt idx="4861">
                  <c:v>5.1594410000000002</c:v>
                </c:pt>
                <c:pt idx="4862">
                  <c:v>5.6126259999999855</c:v>
                </c:pt>
                <c:pt idx="4863">
                  <c:v>5.5095510000000001</c:v>
                </c:pt>
                <c:pt idx="4864">
                  <c:v>5.0131369999999755</c:v>
                </c:pt>
                <c:pt idx="4865">
                  <c:v>5.211805</c:v>
                </c:pt>
                <c:pt idx="4866">
                  <c:v>5.1577599999999855</c:v>
                </c:pt>
                <c:pt idx="4867">
                  <c:v>4.1845639999999955</c:v>
                </c:pt>
                <c:pt idx="4868">
                  <c:v>4.2975939999999975</c:v>
                </c:pt>
                <c:pt idx="4869">
                  <c:v>4.0393910000000384</c:v>
                </c:pt>
                <c:pt idx="4870">
                  <c:v>3.7647280000000012</c:v>
                </c:pt>
                <c:pt idx="4871">
                  <c:v>2.7456659999999977</c:v>
                </c:pt>
                <c:pt idx="4872">
                  <c:v>3.17394</c:v>
                </c:pt>
                <c:pt idx="4873">
                  <c:v>3.3143129999999967</c:v>
                </c:pt>
                <c:pt idx="4874">
                  <c:v>2.9338139999999977</c:v>
                </c:pt>
                <c:pt idx="4875">
                  <c:v>2.7530370000000164</c:v>
                </c:pt>
                <c:pt idx="4876">
                  <c:v>2.9567509999999793</c:v>
                </c:pt>
                <c:pt idx="4877">
                  <c:v>3.0118979999999977</c:v>
                </c:pt>
                <c:pt idx="4878">
                  <c:v>2.8112529999999669</c:v>
                </c:pt>
                <c:pt idx="4879">
                  <c:v>2.8573369999999998</c:v>
                </c:pt>
                <c:pt idx="4880">
                  <c:v>3.0401739999999999</c:v>
                </c:pt>
                <c:pt idx="4881">
                  <c:v>3.3080409999999967</c:v>
                </c:pt>
                <c:pt idx="4882">
                  <c:v>3.4019629999999967</c:v>
                </c:pt>
                <c:pt idx="4883">
                  <c:v>3.2724099999999967</c:v>
                </c:pt>
                <c:pt idx="4884">
                  <c:v>3.5028299999999977</c:v>
                </c:pt>
                <c:pt idx="4885">
                  <c:v>3.4615589999999967</c:v>
                </c:pt>
                <c:pt idx="4886">
                  <c:v>3.4687809999999999</c:v>
                </c:pt>
                <c:pt idx="4887">
                  <c:v>2.9346429999999692</c:v>
                </c:pt>
                <c:pt idx="4888">
                  <c:v>2.8796109999999819</c:v>
                </c:pt>
                <c:pt idx="4889">
                  <c:v>2.9394589999999692</c:v>
                </c:pt>
                <c:pt idx="4890">
                  <c:v>3.0753419999999987</c:v>
                </c:pt>
                <c:pt idx="4891">
                  <c:v>3.2190110000000001</c:v>
                </c:pt>
                <c:pt idx="4892">
                  <c:v>3.1714879999999988</c:v>
                </c:pt>
                <c:pt idx="4893">
                  <c:v>2.9386669999999819</c:v>
                </c:pt>
                <c:pt idx="4894">
                  <c:v>3.0798439999999774</c:v>
                </c:pt>
                <c:pt idx="4895">
                  <c:v>2.9815179999999999</c:v>
                </c:pt>
                <c:pt idx="4896">
                  <c:v>3.3081479999999988</c:v>
                </c:pt>
                <c:pt idx="4897">
                  <c:v>3.5319159999999967</c:v>
                </c:pt>
                <c:pt idx="4898">
                  <c:v>3.533175</c:v>
                </c:pt>
                <c:pt idx="4899">
                  <c:v>3.5078860000000001</c:v>
                </c:pt>
                <c:pt idx="4900">
                  <c:v>3.7119870000000001</c:v>
                </c:pt>
                <c:pt idx="4901">
                  <c:v>3.7249880000000002</c:v>
                </c:pt>
                <c:pt idx="4902">
                  <c:v>3.9604419999999987</c:v>
                </c:pt>
                <c:pt idx="4903">
                  <c:v>4.0465070000000001</c:v>
                </c:pt>
                <c:pt idx="4904">
                  <c:v>3.844274</c:v>
                </c:pt>
                <c:pt idx="4905">
                  <c:v>3.6923179999999998</c:v>
                </c:pt>
                <c:pt idx="4906">
                  <c:v>3.6299000000000001</c:v>
                </c:pt>
                <c:pt idx="4907">
                  <c:v>3.5604589999999967</c:v>
                </c:pt>
                <c:pt idx="4908">
                  <c:v>3.6562809999999977</c:v>
                </c:pt>
                <c:pt idx="4909">
                  <c:v>3.4748619999999977</c:v>
                </c:pt>
                <c:pt idx="4910">
                  <c:v>3.9247709999999998</c:v>
                </c:pt>
                <c:pt idx="4911">
                  <c:v>3.7175029999999998</c:v>
                </c:pt>
                <c:pt idx="4912">
                  <c:v>3.2741470000000001</c:v>
                </c:pt>
                <c:pt idx="4913">
                  <c:v>3.33738</c:v>
                </c:pt>
                <c:pt idx="4914">
                  <c:v>3.1832569999999998</c:v>
                </c:pt>
                <c:pt idx="4915">
                  <c:v>3.2376290000000001</c:v>
                </c:pt>
                <c:pt idx="4916">
                  <c:v>3.3999049999999977</c:v>
                </c:pt>
                <c:pt idx="4917">
                  <c:v>3.3406259999999977</c:v>
                </c:pt>
                <c:pt idx="4918">
                  <c:v>3.3371149999999998</c:v>
                </c:pt>
                <c:pt idx="4919">
                  <c:v>3.5297999999999998</c:v>
                </c:pt>
                <c:pt idx="4920">
                  <c:v>3.6678310000000205</c:v>
                </c:pt>
                <c:pt idx="4921">
                  <c:v>3.5081519999999999</c:v>
                </c:pt>
                <c:pt idx="4922">
                  <c:v>3.2954509999999977</c:v>
                </c:pt>
                <c:pt idx="4923">
                  <c:v>3.236164</c:v>
                </c:pt>
                <c:pt idx="4924">
                  <c:v>3.5525719999999987</c:v>
                </c:pt>
                <c:pt idx="4925">
                  <c:v>3.8363209999999968</c:v>
                </c:pt>
                <c:pt idx="4926">
                  <c:v>3.8010579999999967</c:v>
                </c:pt>
                <c:pt idx="4927">
                  <c:v>3.8446579999999977</c:v>
                </c:pt>
                <c:pt idx="4928">
                  <c:v>3.5823330000000002</c:v>
                </c:pt>
                <c:pt idx="4929">
                  <c:v>3.1206549999999997</c:v>
                </c:pt>
                <c:pt idx="4930">
                  <c:v>3.2633750000000012</c:v>
                </c:pt>
                <c:pt idx="4931">
                  <c:v>3.6335440000000001</c:v>
                </c:pt>
                <c:pt idx="4932">
                  <c:v>3.2320179999999987</c:v>
                </c:pt>
                <c:pt idx="4933">
                  <c:v>3.6428219999999998</c:v>
                </c:pt>
                <c:pt idx="4934">
                  <c:v>4.382409</c:v>
                </c:pt>
                <c:pt idx="4935">
                  <c:v>4.6250119999999582</c:v>
                </c:pt>
                <c:pt idx="4936">
                  <c:v>4.4809510000000001</c:v>
                </c:pt>
                <c:pt idx="4937">
                  <c:v>4.5462540000000002</c:v>
                </c:pt>
                <c:pt idx="4938">
                  <c:v>4.0309200000000001</c:v>
                </c:pt>
                <c:pt idx="4939">
                  <c:v>4.1043259999999755</c:v>
                </c:pt>
                <c:pt idx="4940">
                  <c:v>3.8290499999999779</c:v>
                </c:pt>
                <c:pt idx="4941">
                  <c:v>3.2570100000000002</c:v>
                </c:pt>
                <c:pt idx="4942">
                  <c:v>3.1136659999999967</c:v>
                </c:pt>
                <c:pt idx="4943">
                  <c:v>3.021471</c:v>
                </c:pt>
                <c:pt idx="4944">
                  <c:v>3.5238079999999998</c:v>
                </c:pt>
                <c:pt idx="4945">
                  <c:v>4.0314640000000024</c:v>
                </c:pt>
                <c:pt idx="4946">
                  <c:v>4.2146539999999995</c:v>
                </c:pt>
                <c:pt idx="4947">
                  <c:v>4.2834690000000384</c:v>
                </c:pt>
                <c:pt idx="4948">
                  <c:v>4.4486140000000001</c:v>
                </c:pt>
                <c:pt idx="4949">
                  <c:v>4.4011969999999998</c:v>
                </c:pt>
                <c:pt idx="4950">
                  <c:v>4.4934859999999945</c:v>
                </c:pt>
                <c:pt idx="4951">
                  <c:v>4.4450760000000002</c:v>
                </c:pt>
                <c:pt idx="4952">
                  <c:v>4.1908399999999855</c:v>
                </c:pt>
                <c:pt idx="4953">
                  <c:v>4.0163460000000004</c:v>
                </c:pt>
                <c:pt idx="4954">
                  <c:v>3.9140249999999988</c:v>
                </c:pt>
                <c:pt idx="4955">
                  <c:v>3.8773439999999977</c:v>
                </c:pt>
                <c:pt idx="4956">
                  <c:v>5.1219109999999581</c:v>
                </c:pt>
                <c:pt idx="4957">
                  <c:v>5.9148199999999855</c:v>
                </c:pt>
                <c:pt idx="4958">
                  <c:v>6.3112649999999997</c:v>
                </c:pt>
                <c:pt idx="4959">
                  <c:v>6.4652779999999996</c:v>
                </c:pt>
                <c:pt idx="4960">
                  <c:v>6.8575329999999655</c:v>
                </c:pt>
                <c:pt idx="4961">
                  <c:v>6.9207280000000004</c:v>
                </c:pt>
                <c:pt idx="4962">
                  <c:v>6.8587990000000003</c:v>
                </c:pt>
                <c:pt idx="4963">
                  <c:v>6.6009329999999755</c:v>
                </c:pt>
                <c:pt idx="4964">
                  <c:v>6.2811830000000004</c:v>
                </c:pt>
                <c:pt idx="4965">
                  <c:v>5.3788080000000003</c:v>
                </c:pt>
                <c:pt idx="4966">
                  <c:v>5.1054969999999855</c:v>
                </c:pt>
                <c:pt idx="4967">
                  <c:v>4.4187669999999999</c:v>
                </c:pt>
                <c:pt idx="4968">
                  <c:v>3.3773879999999998</c:v>
                </c:pt>
                <c:pt idx="4969">
                  <c:v>2.9572549999999977</c:v>
                </c:pt>
                <c:pt idx="4970">
                  <c:v>2.8420569999999779</c:v>
                </c:pt>
                <c:pt idx="4971">
                  <c:v>2.7207990000000177</c:v>
                </c:pt>
                <c:pt idx="4972">
                  <c:v>2.6796719999999987</c:v>
                </c:pt>
                <c:pt idx="4973">
                  <c:v>2.5240740000000002</c:v>
                </c:pt>
                <c:pt idx="4974">
                  <c:v>2.8361249999999987</c:v>
                </c:pt>
                <c:pt idx="4975">
                  <c:v>2.8568129999999692</c:v>
                </c:pt>
                <c:pt idx="4976">
                  <c:v>2.8168689999999592</c:v>
                </c:pt>
                <c:pt idx="4977">
                  <c:v>2.7979620000000001</c:v>
                </c:pt>
                <c:pt idx="4978">
                  <c:v>2.8261340000000001</c:v>
                </c:pt>
                <c:pt idx="4979">
                  <c:v>3.2667160000000002</c:v>
                </c:pt>
                <c:pt idx="4980">
                  <c:v>4.4800920000000124</c:v>
                </c:pt>
                <c:pt idx="4981">
                  <c:v>4.6310260000000003</c:v>
                </c:pt>
                <c:pt idx="4982">
                  <c:v>5.1678479999999745</c:v>
                </c:pt>
                <c:pt idx="4983">
                  <c:v>5.4659209999999945</c:v>
                </c:pt>
                <c:pt idx="4984">
                  <c:v>5.4377509999999996</c:v>
                </c:pt>
                <c:pt idx="4985">
                  <c:v>5.2401030000000004</c:v>
                </c:pt>
                <c:pt idx="4986">
                  <c:v>5.2339270000000004</c:v>
                </c:pt>
                <c:pt idx="4987">
                  <c:v>4.87425</c:v>
                </c:pt>
                <c:pt idx="4988">
                  <c:v>4.6843569999999755</c:v>
                </c:pt>
                <c:pt idx="4989">
                  <c:v>4.4804430000000384</c:v>
                </c:pt>
                <c:pt idx="4990">
                  <c:v>4.261444</c:v>
                </c:pt>
                <c:pt idx="4991">
                  <c:v>3.9093360000000001</c:v>
                </c:pt>
                <c:pt idx="4992">
                  <c:v>2.9011439999999977</c:v>
                </c:pt>
                <c:pt idx="4993">
                  <c:v>2.0974240000000002</c:v>
                </c:pt>
                <c:pt idx="4994">
                  <c:v>2.1339039999999998</c:v>
                </c:pt>
                <c:pt idx="4995">
                  <c:v>1.93052</c:v>
                </c:pt>
                <c:pt idx="4996">
                  <c:v>1.8436589999999999</c:v>
                </c:pt>
                <c:pt idx="4997">
                  <c:v>1.914034</c:v>
                </c:pt>
                <c:pt idx="4998">
                  <c:v>2.061029</c:v>
                </c:pt>
                <c:pt idx="4999">
                  <c:v>2.1762519999999967</c:v>
                </c:pt>
                <c:pt idx="5000">
                  <c:v>1.9916289999999968</c:v>
                </c:pt>
                <c:pt idx="5001">
                  <c:v>2.1558159999999829</c:v>
                </c:pt>
                <c:pt idx="5002">
                  <c:v>2.0570659999999967</c:v>
                </c:pt>
                <c:pt idx="5003">
                  <c:v>2.8322469999999669</c:v>
                </c:pt>
                <c:pt idx="5004">
                  <c:v>3.7206980000000001</c:v>
                </c:pt>
                <c:pt idx="5005">
                  <c:v>4.4324070000000004</c:v>
                </c:pt>
                <c:pt idx="5006">
                  <c:v>4.8478719999999855</c:v>
                </c:pt>
                <c:pt idx="5007">
                  <c:v>4.8830119999999955</c:v>
                </c:pt>
                <c:pt idx="5008">
                  <c:v>4.661562</c:v>
                </c:pt>
                <c:pt idx="5009">
                  <c:v>4.111599</c:v>
                </c:pt>
                <c:pt idx="5010">
                  <c:v>4.6287959999999755</c:v>
                </c:pt>
                <c:pt idx="5011">
                  <c:v>4.7674509999999755</c:v>
                </c:pt>
                <c:pt idx="5012">
                  <c:v>4.8200149999999509</c:v>
                </c:pt>
                <c:pt idx="5013">
                  <c:v>4.8486339999999997</c:v>
                </c:pt>
                <c:pt idx="5014">
                  <c:v>4.3507980000000002</c:v>
                </c:pt>
                <c:pt idx="5015">
                  <c:v>3.4948189999999779</c:v>
                </c:pt>
                <c:pt idx="5016">
                  <c:v>3.2658119999999999</c:v>
                </c:pt>
                <c:pt idx="5017">
                  <c:v>2.9113319999999998</c:v>
                </c:pt>
                <c:pt idx="5018">
                  <c:v>2.2993610000000002</c:v>
                </c:pt>
                <c:pt idx="5019">
                  <c:v>2.080273</c:v>
                </c:pt>
                <c:pt idx="5020">
                  <c:v>2.274823</c:v>
                </c:pt>
                <c:pt idx="5021">
                  <c:v>2.2021229999999998</c:v>
                </c:pt>
                <c:pt idx="5022">
                  <c:v>2.2407530000000002</c:v>
                </c:pt>
                <c:pt idx="5023">
                  <c:v>2.4264219999999987</c:v>
                </c:pt>
                <c:pt idx="5024">
                  <c:v>2.2941110000000204</c:v>
                </c:pt>
                <c:pt idx="5025">
                  <c:v>2.799674</c:v>
                </c:pt>
                <c:pt idx="5026">
                  <c:v>2.5181079999999998</c:v>
                </c:pt>
                <c:pt idx="5027">
                  <c:v>2.6190559999999778</c:v>
                </c:pt>
                <c:pt idx="5028">
                  <c:v>2.364433</c:v>
                </c:pt>
                <c:pt idx="5029">
                  <c:v>2.9109210000000001</c:v>
                </c:pt>
                <c:pt idx="5030">
                  <c:v>3.5096469999999829</c:v>
                </c:pt>
                <c:pt idx="5031">
                  <c:v>3.482551</c:v>
                </c:pt>
                <c:pt idx="5032">
                  <c:v>3.366838999999981</c:v>
                </c:pt>
                <c:pt idx="5033">
                  <c:v>3.83413</c:v>
                </c:pt>
                <c:pt idx="5034">
                  <c:v>3.113054</c:v>
                </c:pt>
                <c:pt idx="5035">
                  <c:v>3.5336959999999977</c:v>
                </c:pt>
                <c:pt idx="5036">
                  <c:v>2.7275280000000164</c:v>
                </c:pt>
                <c:pt idx="5037">
                  <c:v>2.501271</c:v>
                </c:pt>
                <c:pt idx="5038">
                  <c:v>2.43953</c:v>
                </c:pt>
                <c:pt idx="5039">
                  <c:v>2.3535210000000002</c:v>
                </c:pt>
                <c:pt idx="5040">
                  <c:v>3.2064449999999987</c:v>
                </c:pt>
                <c:pt idx="5041">
                  <c:v>3.6133340000000205</c:v>
                </c:pt>
                <c:pt idx="5042">
                  <c:v>3.7030129999999999</c:v>
                </c:pt>
                <c:pt idx="5043">
                  <c:v>4.1790779999999996</c:v>
                </c:pt>
                <c:pt idx="5044">
                  <c:v>4.210083</c:v>
                </c:pt>
                <c:pt idx="5045">
                  <c:v>4.2903269999999996</c:v>
                </c:pt>
                <c:pt idx="5046">
                  <c:v>4.4011480000000134</c:v>
                </c:pt>
                <c:pt idx="5047">
                  <c:v>4.2338849999999955</c:v>
                </c:pt>
                <c:pt idx="5048">
                  <c:v>4.1335569999999855</c:v>
                </c:pt>
                <c:pt idx="5049">
                  <c:v>3.8230909999999998</c:v>
                </c:pt>
                <c:pt idx="5050">
                  <c:v>3.9084189999999968</c:v>
                </c:pt>
                <c:pt idx="5051">
                  <c:v>3.9123389999999967</c:v>
                </c:pt>
                <c:pt idx="5052">
                  <c:v>5.2447629999999998</c:v>
                </c:pt>
                <c:pt idx="5053">
                  <c:v>5.7758849999999855</c:v>
                </c:pt>
                <c:pt idx="5054">
                  <c:v>6.3265739999999955</c:v>
                </c:pt>
                <c:pt idx="5055">
                  <c:v>6.60778599999996</c:v>
                </c:pt>
                <c:pt idx="5056">
                  <c:v>6.5637460000000001</c:v>
                </c:pt>
                <c:pt idx="5057">
                  <c:v>6.4056970000000124</c:v>
                </c:pt>
                <c:pt idx="5058">
                  <c:v>6.3559499999999955</c:v>
                </c:pt>
                <c:pt idx="5059">
                  <c:v>6.3466500000000003</c:v>
                </c:pt>
                <c:pt idx="5060">
                  <c:v>6.3807679999999998</c:v>
                </c:pt>
                <c:pt idx="5061">
                  <c:v>6.5549749999999536</c:v>
                </c:pt>
                <c:pt idx="5062">
                  <c:v>6.1184599999999945</c:v>
                </c:pt>
                <c:pt idx="5063">
                  <c:v>5.4379539999999995</c:v>
                </c:pt>
                <c:pt idx="5064">
                  <c:v>4.1423439999999996</c:v>
                </c:pt>
                <c:pt idx="5065">
                  <c:v>3.3618209999999977</c:v>
                </c:pt>
                <c:pt idx="5066">
                  <c:v>2.6420549999999987</c:v>
                </c:pt>
                <c:pt idx="5067">
                  <c:v>2.363883</c:v>
                </c:pt>
                <c:pt idx="5068">
                  <c:v>2.2349860000000001</c:v>
                </c:pt>
                <c:pt idx="5069">
                  <c:v>2.1873650000000002</c:v>
                </c:pt>
                <c:pt idx="5070">
                  <c:v>2.6980200000000001</c:v>
                </c:pt>
                <c:pt idx="5071">
                  <c:v>2.4779110000000002</c:v>
                </c:pt>
                <c:pt idx="5072">
                  <c:v>2.3370229999999967</c:v>
                </c:pt>
                <c:pt idx="5073">
                  <c:v>2.6995559999999967</c:v>
                </c:pt>
                <c:pt idx="5074">
                  <c:v>2.7622059999999977</c:v>
                </c:pt>
                <c:pt idx="5075">
                  <c:v>3.0417479999999997</c:v>
                </c:pt>
                <c:pt idx="5076">
                  <c:v>4.5242359999999655</c:v>
                </c:pt>
                <c:pt idx="5077">
                  <c:v>4.8992779999999998</c:v>
                </c:pt>
                <c:pt idx="5078">
                  <c:v>5.0822269999999996</c:v>
                </c:pt>
                <c:pt idx="5079">
                  <c:v>5.3913549999999955</c:v>
                </c:pt>
                <c:pt idx="5080">
                  <c:v>5.3252090000000001</c:v>
                </c:pt>
                <c:pt idx="5081">
                  <c:v>5.2546530000000002</c:v>
                </c:pt>
                <c:pt idx="5082">
                  <c:v>5.1592190000000002</c:v>
                </c:pt>
                <c:pt idx="5083">
                  <c:v>5.0744920000000002</c:v>
                </c:pt>
                <c:pt idx="5084">
                  <c:v>5.2164169999999945</c:v>
                </c:pt>
                <c:pt idx="5085">
                  <c:v>5.1224649999999645</c:v>
                </c:pt>
                <c:pt idx="5086">
                  <c:v>4.0811839999999995</c:v>
                </c:pt>
                <c:pt idx="5087">
                  <c:v>3.7296399999999998</c:v>
                </c:pt>
                <c:pt idx="5088">
                  <c:v>3.1998509999999967</c:v>
                </c:pt>
                <c:pt idx="5089">
                  <c:v>2.4026919999999987</c:v>
                </c:pt>
                <c:pt idx="5090">
                  <c:v>1.6158929999999998</c:v>
                </c:pt>
                <c:pt idx="5091">
                  <c:v>1.5732729999999999</c:v>
                </c:pt>
                <c:pt idx="5092">
                  <c:v>1.4011949999999855</c:v>
                </c:pt>
                <c:pt idx="5093">
                  <c:v>1.5357269999999903</c:v>
                </c:pt>
                <c:pt idx="5094">
                  <c:v>1.854509</c:v>
                </c:pt>
                <c:pt idx="5095">
                  <c:v>1.629607</c:v>
                </c:pt>
                <c:pt idx="5096">
                  <c:v>1.7267969999999941</c:v>
                </c:pt>
                <c:pt idx="5097">
                  <c:v>1.5743050000000001</c:v>
                </c:pt>
                <c:pt idx="5098">
                  <c:v>2.2366099999999967</c:v>
                </c:pt>
                <c:pt idx="5099">
                  <c:v>2.6245880000000001</c:v>
                </c:pt>
                <c:pt idx="5100">
                  <c:v>3.45051</c:v>
                </c:pt>
                <c:pt idx="5101">
                  <c:v>3.7351830000000001</c:v>
                </c:pt>
                <c:pt idx="5102">
                  <c:v>4.0852709999999997</c:v>
                </c:pt>
                <c:pt idx="5103">
                  <c:v>4.4804060000000003</c:v>
                </c:pt>
                <c:pt idx="5104">
                  <c:v>4.3083580000000001</c:v>
                </c:pt>
                <c:pt idx="5105">
                  <c:v>4.2318030000000393</c:v>
                </c:pt>
                <c:pt idx="5106">
                  <c:v>4.1439339999999945</c:v>
                </c:pt>
                <c:pt idx="5107">
                  <c:v>4.0793860000000004</c:v>
                </c:pt>
                <c:pt idx="5108">
                  <c:v>3.8795179999999987</c:v>
                </c:pt>
                <c:pt idx="5109">
                  <c:v>3.5754319999999997</c:v>
                </c:pt>
                <c:pt idx="5110">
                  <c:v>2.8946109999999967</c:v>
                </c:pt>
                <c:pt idx="5111">
                  <c:v>3.1345779999999999</c:v>
                </c:pt>
                <c:pt idx="5112">
                  <c:v>4.3179739999999756</c:v>
                </c:pt>
                <c:pt idx="5113">
                  <c:v>4.3091670000000004</c:v>
                </c:pt>
                <c:pt idx="5114">
                  <c:v>4.2690010000000003</c:v>
                </c:pt>
                <c:pt idx="5115">
                  <c:v>3.9855559999999977</c:v>
                </c:pt>
                <c:pt idx="5116">
                  <c:v>3.9872299999999998</c:v>
                </c:pt>
                <c:pt idx="5117">
                  <c:v>3.9163669999999819</c:v>
                </c:pt>
                <c:pt idx="5118">
                  <c:v>3.9101499999999967</c:v>
                </c:pt>
                <c:pt idx="5119">
                  <c:v>4.0768969999999998</c:v>
                </c:pt>
                <c:pt idx="5120">
                  <c:v>4.1848959999999655</c:v>
                </c:pt>
                <c:pt idx="5121">
                  <c:v>4.0700659999999997</c:v>
                </c:pt>
                <c:pt idx="5122">
                  <c:v>4.1297779999999955</c:v>
                </c:pt>
                <c:pt idx="5123">
                  <c:v>4.8598520000000001</c:v>
                </c:pt>
                <c:pt idx="5124">
                  <c:v>5.4296389999999999</c:v>
                </c:pt>
                <c:pt idx="5125">
                  <c:v>5.737959</c:v>
                </c:pt>
                <c:pt idx="5126">
                  <c:v>6.1028329999999755</c:v>
                </c:pt>
                <c:pt idx="5127">
                  <c:v>6.3490669999999998</c:v>
                </c:pt>
                <c:pt idx="5128">
                  <c:v>6.6033869999999855</c:v>
                </c:pt>
                <c:pt idx="5129">
                  <c:v>6.8410549999999946</c:v>
                </c:pt>
                <c:pt idx="5130">
                  <c:v>6.4704879999999996</c:v>
                </c:pt>
                <c:pt idx="5131">
                  <c:v>5.2459199999999955</c:v>
                </c:pt>
                <c:pt idx="5132">
                  <c:v>5.1593270000000002</c:v>
                </c:pt>
                <c:pt idx="5133">
                  <c:v>4.3162779999999996</c:v>
                </c:pt>
                <c:pt idx="5134">
                  <c:v>4.1098220000000003</c:v>
                </c:pt>
                <c:pt idx="5135">
                  <c:v>4.1015799999999976</c:v>
                </c:pt>
                <c:pt idx="5136">
                  <c:v>3.5457719999999999</c:v>
                </c:pt>
                <c:pt idx="5137">
                  <c:v>3.4725109999999977</c:v>
                </c:pt>
                <c:pt idx="5138">
                  <c:v>3.3833839999999999</c:v>
                </c:pt>
                <c:pt idx="5139">
                  <c:v>3.2368999999999977</c:v>
                </c:pt>
                <c:pt idx="5140">
                  <c:v>3.2598779999999987</c:v>
                </c:pt>
                <c:pt idx="5141">
                  <c:v>4.0039829999999945</c:v>
                </c:pt>
                <c:pt idx="5142">
                  <c:v>4.2690070000000002</c:v>
                </c:pt>
                <c:pt idx="5143">
                  <c:v>4.1738309999999945</c:v>
                </c:pt>
                <c:pt idx="5144">
                  <c:v>3.4225409999999967</c:v>
                </c:pt>
                <c:pt idx="5145">
                  <c:v>3.2623419999999999</c:v>
                </c:pt>
                <c:pt idx="5146">
                  <c:v>3.3166479999999692</c:v>
                </c:pt>
                <c:pt idx="5147">
                  <c:v>4.0143939999999985</c:v>
                </c:pt>
                <c:pt idx="5148">
                  <c:v>5.0292380000000003</c:v>
                </c:pt>
                <c:pt idx="5149">
                  <c:v>5.4656960000000003</c:v>
                </c:pt>
                <c:pt idx="5150">
                  <c:v>5.9597490000000448</c:v>
                </c:pt>
                <c:pt idx="5151">
                  <c:v>6.2319500000000003</c:v>
                </c:pt>
                <c:pt idx="5152">
                  <c:v>6.2221879999999645</c:v>
                </c:pt>
                <c:pt idx="5153">
                  <c:v>6.1353650000000002</c:v>
                </c:pt>
                <c:pt idx="5154">
                  <c:v>5.9241269999999755</c:v>
                </c:pt>
                <c:pt idx="5155">
                  <c:v>5.7449669999999955</c:v>
                </c:pt>
                <c:pt idx="5156">
                  <c:v>5.8246379999999665</c:v>
                </c:pt>
                <c:pt idx="5157">
                  <c:v>5.5246649999999855</c:v>
                </c:pt>
                <c:pt idx="5158">
                  <c:v>4.4853680000000411</c:v>
                </c:pt>
                <c:pt idx="5159">
                  <c:v>4.1861879999999845</c:v>
                </c:pt>
                <c:pt idx="5160">
                  <c:v>3.752799</c:v>
                </c:pt>
                <c:pt idx="5161">
                  <c:v>3.6203140000000205</c:v>
                </c:pt>
                <c:pt idx="5162">
                  <c:v>3.603202</c:v>
                </c:pt>
                <c:pt idx="5163">
                  <c:v>3.6166579999999811</c:v>
                </c:pt>
                <c:pt idx="5164">
                  <c:v>3.6358269999999977</c:v>
                </c:pt>
                <c:pt idx="5165">
                  <c:v>3.6828629999999967</c:v>
                </c:pt>
                <c:pt idx="5166">
                  <c:v>3.5966529999999692</c:v>
                </c:pt>
                <c:pt idx="5167">
                  <c:v>3.8047589999999967</c:v>
                </c:pt>
                <c:pt idx="5168">
                  <c:v>3.7340579999999997</c:v>
                </c:pt>
                <c:pt idx="5169">
                  <c:v>3.8353599999999779</c:v>
                </c:pt>
                <c:pt idx="5170">
                  <c:v>4.1163449999999955</c:v>
                </c:pt>
                <c:pt idx="5171">
                  <c:v>5.0055809999999745</c:v>
                </c:pt>
                <c:pt idx="5172">
                  <c:v>5.7558680000000004</c:v>
                </c:pt>
                <c:pt idx="5173">
                  <c:v>6.1483629999999998</c:v>
                </c:pt>
                <c:pt idx="5174">
                  <c:v>6.5238269999999945</c:v>
                </c:pt>
                <c:pt idx="5175">
                  <c:v>6.2304640000000004</c:v>
                </c:pt>
                <c:pt idx="5176">
                  <c:v>6.1199209999999855</c:v>
                </c:pt>
                <c:pt idx="5177">
                  <c:v>6.1748889999999745</c:v>
                </c:pt>
                <c:pt idx="5178">
                  <c:v>6.0595849999999745</c:v>
                </c:pt>
                <c:pt idx="5179">
                  <c:v>5.9963949999999997</c:v>
                </c:pt>
                <c:pt idx="5180">
                  <c:v>5.7666209999999998</c:v>
                </c:pt>
                <c:pt idx="5181">
                  <c:v>6.2762040000000034</c:v>
                </c:pt>
                <c:pt idx="5182">
                  <c:v>6.2860370000000003</c:v>
                </c:pt>
                <c:pt idx="5183">
                  <c:v>5.778384</c:v>
                </c:pt>
                <c:pt idx="5184">
                  <c:v>4.1397120000000003</c:v>
                </c:pt>
                <c:pt idx="5185">
                  <c:v>3.691811</c:v>
                </c:pt>
                <c:pt idx="5186">
                  <c:v>3.0933009999999999</c:v>
                </c:pt>
                <c:pt idx="5187">
                  <c:v>2.4123749999999977</c:v>
                </c:pt>
                <c:pt idx="5188">
                  <c:v>2.3357869999999967</c:v>
                </c:pt>
                <c:pt idx="5189">
                  <c:v>2.4050159999999967</c:v>
                </c:pt>
                <c:pt idx="5190">
                  <c:v>2.4342889999999819</c:v>
                </c:pt>
                <c:pt idx="5191">
                  <c:v>2.4876429999999967</c:v>
                </c:pt>
                <c:pt idx="5192">
                  <c:v>2.7048730000000001</c:v>
                </c:pt>
                <c:pt idx="5193">
                  <c:v>2.716774</c:v>
                </c:pt>
                <c:pt idx="5194">
                  <c:v>2.6107</c:v>
                </c:pt>
                <c:pt idx="5195">
                  <c:v>3.3775599999999977</c:v>
                </c:pt>
                <c:pt idx="5196">
                  <c:v>4.0484520000000002</c:v>
                </c:pt>
                <c:pt idx="5197">
                  <c:v>4.2578009999999855</c:v>
                </c:pt>
                <c:pt idx="5198">
                  <c:v>4.7789669999999997</c:v>
                </c:pt>
                <c:pt idx="5199">
                  <c:v>5.1311669999999996</c:v>
                </c:pt>
                <c:pt idx="5200">
                  <c:v>4.9931749999999955</c:v>
                </c:pt>
                <c:pt idx="5201">
                  <c:v>4.9377440000000004</c:v>
                </c:pt>
                <c:pt idx="5202">
                  <c:v>4.2992010000000134</c:v>
                </c:pt>
                <c:pt idx="5203">
                  <c:v>3.7951239999999999</c:v>
                </c:pt>
                <c:pt idx="5204">
                  <c:v>3.8710539999999765</c:v>
                </c:pt>
                <c:pt idx="5205">
                  <c:v>3.2684579999999999</c:v>
                </c:pt>
                <c:pt idx="5206">
                  <c:v>2.4645929999999998</c:v>
                </c:pt>
                <c:pt idx="5207">
                  <c:v>2.6497820000000001</c:v>
                </c:pt>
                <c:pt idx="5208">
                  <c:v>3.2458579999999997</c:v>
                </c:pt>
                <c:pt idx="5209">
                  <c:v>3.8123329999999829</c:v>
                </c:pt>
                <c:pt idx="5210">
                  <c:v>3.8537719999999998</c:v>
                </c:pt>
                <c:pt idx="5211">
                  <c:v>3.8092459999999724</c:v>
                </c:pt>
                <c:pt idx="5212">
                  <c:v>3.8428069999999779</c:v>
                </c:pt>
                <c:pt idx="5213">
                  <c:v>3.9070429999999967</c:v>
                </c:pt>
                <c:pt idx="5214">
                  <c:v>3.7339419999999999</c:v>
                </c:pt>
                <c:pt idx="5215">
                  <c:v>3.7789549999999998</c:v>
                </c:pt>
                <c:pt idx="5216">
                  <c:v>3.8043439999999977</c:v>
                </c:pt>
                <c:pt idx="5217">
                  <c:v>3.8444629999999829</c:v>
                </c:pt>
                <c:pt idx="5218">
                  <c:v>3.8236079999999997</c:v>
                </c:pt>
                <c:pt idx="5219">
                  <c:v>4.5275199999999645</c:v>
                </c:pt>
                <c:pt idx="5220">
                  <c:v>5.4749639999999999</c:v>
                </c:pt>
                <c:pt idx="5221">
                  <c:v>5.4743139999999997</c:v>
                </c:pt>
                <c:pt idx="5222">
                  <c:v>5.9194069999999996</c:v>
                </c:pt>
                <c:pt idx="5223">
                  <c:v>6.3422159999999845</c:v>
                </c:pt>
                <c:pt idx="5224">
                  <c:v>6.7461060000000002</c:v>
                </c:pt>
                <c:pt idx="5225">
                  <c:v>6.6843690000000002</c:v>
                </c:pt>
                <c:pt idx="5226">
                  <c:v>6.501203000000042</c:v>
                </c:pt>
                <c:pt idx="5227">
                  <c:v>6.0038710000000002</c:v>
                </c:pt>
                <c:pt idx="5228">
                  <c:v>5.4120509999999955</c:v>
                </c:pt>
                <c:pt idx="5229">
                  <c:v>4.9264029999999996</c:v>
                </c:pt>
                <c:pt idx="5230">
                  <c:v>4.7390260000000124</c:v>
                </c:pt>
                <c:pt idx="5231">
                  <c:v>4.0460690000000366</c:v>
                </c:pt>
                <c:pt idx="5232">
                  <c:v>3.7613770000000177</c:v>
                </c:pt>
                <c:pt idx="5233">
                  <c:v>3.5205609999999998</c:v>
                </c:pt>
                <c:pt idx="5234">
                  <c:v>3.4100479999999824</c:v>
                </c:pt>
                <c:pt idx="5235">
                  <c:v>3.5311859999999977</c:v>
                </c:pt>
                <c:pt idx="5236">
                  <c:v>3.6755819999999999</c:v>
                </c:pt>
                <c:pt idx="5237">
                  <c:v>4.0092960000000124</c:v>
                </c:pt>
                <c:pt idx="5238">
                  <c:v>4.1152189999999855</c:v>
                </c:pt>
                <c:pt idx="5239">
                  <c:v>4.3999220000000001</c:v>
                </c:pt>
                <c:pt idx="5240">
                  <c:v>4.004149</c:v>
                </c:pt>
                <c:pt idx="5241">
                  <c:v>3.9367299999999967</c:v>
                </c:pt>
                <c:pt idx="5242">
                  <c:v>3.8907949999999998</c:v>
                </c:pt>
                <c:pt idx="5243">
                  <c:v>4.5377590000000003</c:v>
                </c:pt>
                <c:pt idx="5245">
                  <c:v>6.0967599999999997</c:v>
                </c:pt>
                <c:pt idx="5246">
                  <c:v>6.5413600000000134</c:v>
                </c:pt>
                <c:pt idx="5247">
                  <c:v>6.5487279999999997</c:v>
                </c:pt>
                <c:pt idx="5248">
                  <c:v>6.2246990000000002</c:v>
                </c:pt>
                <c:pt idx="5249">
                  <c:v>6.0843169999999756</c:v>
                </c:pt>
                <c:pt idx="5250">
                  <c:v>6.3120819999999656</c:v>
                </c:pt>
                <c:pt idx="5251">
                  <c:v>6.3014869999999945</c:v>
                </c:pt>
                <c:pt idx="5252">
                  <c:v>6.2698669999999996</c:v>
                </c:pt>
                <c:pt idx="5253">
                  <c:v>6.1128739999999855</c:v>
                </c:pt>
                <c:pt idx="5254">
                  <c:v>5.0051019999999955</c:v>
                </c:pt>
                <c:pt idx="5255">
                  <c:v>4.7699280000000002</c:v>
                </c:pt>
                <c:pt idx="5256">
                  <c:v>4.1766170000000002</c:v>
                </c:pt>
                <c:pt idx="5257">
                  <c:v>3.6707930000000002</c:v>
                </c:pt>
                <c:pt idx="5258">
                  <c:v>3.634226</c:v>
                </c:pt>
                <c:pt idx="5259">
                  <c:v>3.6821540000000001</c:v>
                </c:pt>
                <c:pt idx="5260">
                  <c:v>3.5736599999999967</c:v>
                </c:pt>
                <c:pt idx="5261">
                  <c:v>3.7124519999999968</c:v>
                </c:pt>
                <c:pt idx="5262">
                  <c:v>3.4922309999999968</c:v>
                </c:pt>
                <c:pt idx="5263">
                  <c:v>3.8022039999999819</c:v>
                </c:pt>
                <c:pt idx="5264">
                  <c:v>3.7282009999999999</c:v>
                </c:pt>
                <c:pt idx="5265">
                  <c:v>3.74248</c:v>
                </c:pt>
                <c:pt idx="5266">
                  <c:v>3.8911759999999829</c:v>
                </c:pt>
                <c:pt idx="5267">
                  <c:v>5.1423949999999845</c:v>
                </c:pt>
                <c:pt idx="5268">
                  <c:v>4.3620969999999755</c:v>
                </c:pt>
                <c:pt idx="5269">
                  <c:v>3.5876939999999999</c:v>
                </c:pt>
                <c:pt idx="5270">
                  <c:v>3.7139160000000002</c:v>
                </c:pt>
                <c:pt idx="5271">
                  <c:v>3.5936539999999977</c:v>
                </c:pt>
                <c:pt idx="5272">
                  <c:v>3.5863779999999998</c:v>
                </c:pt>
                <c:pt idx="5273">
                  <c:v>3.6136559999999927</c:v>
                </c:pt>
                <c:pt idx="5274">
                  <c:v>3.4860379999999997</c:v>
                </c:pt>
                <c:pt idx="5275">
                  <c:v>3.3405779999999998</c:v>
                </c:pt>
                <c:pt idx="5276">
                  <c:v>3.5064189999999829</c:v>
                </c:pt>
                <c:pt idx="5277">
                  <c:v>3.4459469999999977</c:v>
                </c:pt>
                <c:pt idx="5278">
                  <c:v>3.6535850000000001</c:v>
                </c:pt>
                <c:pt idx="5279">
                  <c:v>4.0611059999999846</c:v>
                </c:pt>
                <c:pt idx="5280">
                  <c:v>3.73</c:v>
                </c:pt>
                <c:pt idx="5281">
                  <c:v>3.7068559999999819</c:v>
                </c:pt>
                <c:pt idx="5282">
                  <c:v>3.7815350000000012</c:v>
                </c:pt>
                <c:pt idx="5283">
                  <c:v>3.5089389999999998</c:v>
                </c:pt>
                <c:pt idx="5284">
                  <c:v>3.6758329999999977</c:v>
                </c:pt>
                <c:pt idx="5285">
                  <c:v>3.6211229999999999</c:v>
                </c:pt>
                <c:pt idx="5286">
                  <c:v>3.6858970000000002</c:v>
                </c:pt>
                <c:pt idx="5287">
                  <c:v>3.4624559999999764</c:v>
                </c:pt>
                <c:pt idx="5288">
                  <c:v>3.5021659999999977</c:v>
                </c:pt>
                <c:pt idx="5289">
                  <c:v>4.0280259999999855</c:v>
                </c:pt>
                <c:pt idx="5290">
                  <c:v>3.7110529999999819</c:v>
                </c:pt>
                <c:pt idx="5291">
                  <c:v>3.0508389999999967</c:v>
                </c:pt>
                <c:pt idx="5292">
                  <c:v>3.1839300000000224</c:v>
                </c:pt>
                <c:pt idx="5293">
                  <c:v>3.6135640000000002</c:v>
                </c:pt>
                <c:pt idx="5294">
                  <c:v>3.6416270000000002</c:v>
                </c:pt>
                <c:pt idx="5295">
                  <c:v>3.2965870000000002</c:v>
                </c:pt>
                <c:pt idx="5296">
                  <c:v>3.3287399999999998</c:v>
                </c:pt>
                <c:pt idx="5297">
                  <c:v>3.4290019999999997</c:v>
                </c:pt>
                <c:pt idx="5298">
                  <c:v>3.250966</c:v>
                </c:pt>
                <c:pt idx="5299">
                  <c:v>3.1637680000000001</c:v>
                </c:pt>
                <c:pt idx="5300">
                  <c:v>3.23129</c:v>
                </c:pt>
                <c:pt idx="5301">
                  <c:v>3.1820919999999999</c:v>
                </c:pt>
                <c:pt idx="5302">
                  <c:v>3.2361659999999977</c:v>
                </c:pt>
                <c:pt idx="5303">
                  <c:v>3.484076</c:v>
                </c:pt>
                <c:pt idx="5304">
                  <c:v>4.0140199999999755</c:v>
                </c:pt>
                <c:pt idx="5305">
                  <c:v>3.9726799999999765</c:v>
                </c:pt>
                <c:pt idx="5306">
                  <c:v>4.0849819999999655</c:v>
                </c:pt>
                <c:pt idx="5307">
                  <c:v>4.0452969999999997</c:v>
                </c:pt>
                <c:pt idx="5308">
                  <c:v>4.0387370000000002</c:v>
                </c:pt>
                <c:pt idx="5309">
                  <c:v>4.1595939999999985</c:v>
                </c:pt>
                <c:pt idx="5310">
                  <c:v>4.101089</c:v>
                </c:pt>
                <c:pt idx="5311">
                  <c:v>4.2755349999999845</c:v>
                </c:pt>
                <c:pt idx="5312">
                  <c:v>4.255795</c:v>
                </c:pt>
                <c:pt idx="5313">
                  <c:v>4.1571759999999518</c:v>
                </c:pt>
                <c:pt idx="5314">
                  <c:v>3.9141279999999998</c:v>
                </c:pt>
                <c:pt idx="5315">
                  <c:v>3.6141890000000001</c:v>
                </c:pt>
                <c:pt idx="5316">
                  <c:v>4.3286210000000001</c:v>
                </c:pt>
                <c:pt idx="5317">
                  <c:v>4.0115739999999995</c:v>
                </c:pt>
                <c:pt idx="5318">
                  <c:v>3.8869409999999927</c:v>
                </c:pt>
                <c:pt idx="5319">
                  <c:v>3.9760149999999967</c:v>
                </c:pt>
                <c:pt idx="5320">
                  <c:v>3.8539330000000001</c:v>
                </c:pt>
                <c:pt idx="5321">
                  <c:v>3.8082749999999987</c:v>
                </c:pt>
                <c:pt idx="5322">
                  <c:v>3.5563349999999998</c:v>
                </c:pt>
                <c:pt idx="5323">
                  <c:v>3.5003760000000002</c:v>
                </c:pt>
                <c:pt idx="5324">
                  <c:v>3.4184439999999778</c:v>
                </c:pt>
                <c:pt idx="5325">
                  <c:v>3.4558639999999778</c:v>
                </c:pt>
                <c:pt idx="5326">
                  <c:v>3.8345219999999998</c:v>
                </c:pt>
                <c:pt idx="5327">
                  <c:v>3.9112969999999967</c:v>
                </c:pt>
                <c:pt idx="5328">
                  <c:v>3.7402229999999999</c:v>
                </c:pt>
                <c:pt idx="5329">
                  <c:v>3.4802399999999998</c:v>
                </c:pt>
                <c:pt idx="5330">
                  <c:v>3.444035</c:v>
                </c:pt>
                <c:pt idx="5331">
                  <c:v>3.6307779999999998</c:v>
                </c:pt>
                <c:pt idx="5332">
                  <c:v>3.7384399999999998</c:v>
                </c:pt>
                <c:pt idx="5333">
                  <c:v>3.75278</c:v>
                </c:pt>
                <c:pt idx="5334">
                  <c:v>3.8837600000000001</c:v>
                </c:pt>
                <c:pt idx="5335">
                  <c:v>3.959911</c:v>
                </c:pt>
                <c:pt idx="5336">
                  <c:v>3.7461169999999999</c:v>
                </c:pt>
                <c:pt idx="5337">
                  <c:v>4.1074509999999655</c:v>
                </c:pt>
                <c:pt idx="5338">
                  <c:v>4.0355080000000001</c:v>
                </c:pt>
                <c:pt idx="5339">
                  <c:v>3.3378829999999819</c:v>
                </c:pt>
                <c:pt idx="5340">
                  <c:v>3.9272830000000001</c:v>
                </c:pt>
                <c:pt idx="5341">
                  <c:v>4.0463490000000384</c:v>
                </c:pt>
                <c:pt idx="5342">
                  <c:v>4.0493199999999998</c:v>
                </c:pt>
                <c:pt idx="5343">
                  <c:v>3.896041999999976</c:v>
                </c:pt>
                <c:pt idx="5344">
                  <c:v>3.938577</c:v>
                </c:pt>
                <c:pt idx="5345">
                  <c:v>3.8292719999999987</c:v>
                </c:pt>
                <c:pt idx="5346">
                  <c:v>3.8048579999999967</c:v>
                </c:pt>
                <c:pt idx="5347">
                  <c:v>3.633982</c:v>
                </c:pt>
                <c:pt idx="5348">
                  <c:v>3.7762829999999967</c:v>
                </c:pt>
                <c:pt idx="5349">
                  <c:v>3.832244999999971</c:v>
                </c:pt>
                <c:pt idx="5350">
                  <c:v>3.5148399999999977</c:v>
                </c:pt>
                <c:pt idx="5351">
                  <c:v>3.4489670000000001</c:v>
                </c:pt>
                <c:pt idx="5352">
                  <c:v>3.2457910000000205</c:v>
                </c:pt>
                <c:pt idx="5353">
                  <c:v>3.3370229999999967</c:v>
                </c:pt>
                <c:pt idx="5354">
                  <c:v>3.4722289999999765</c:v>
                </c:pt>
                <c:pt idx="5355">
                  <c:v>3.5189339999999998</c:v>
                </c:pt>
                <c:pt idx="5356">
                  <c:v>3.7309040000000002</c:v>
                </c:pt>
                <c:pt idx="5357">
                  <c:v>3.5843110000000205</c:v>
                </c:pt>
                <c:pt idx="5358">
                  <c:v>3.796967</c:v>
                </c:pt>
                <c:pt idx="5359">
                  <c:v>3.9079269999999999</c:v>
                </c:pt>
                <c:pt idx="5360">
                  <c:v>3.9078870000000001</c:v>
                </c:pt>
                <c:pt idx="5361">
                  <c:v>3.8581099999999977</c:v>
                </c:pt>
                <c:pt idx="5362">
                  <c:v>3.6042879999999999</c:v>
                </c:pt>
                <c:pt idx="5363">
                  <c:v>3.5842830000000001</c:v>
                </c:pt>
                <c:pt idx="5364">
                  <c:v>4.3418109999999945</c:v>
                </c:pt>
                <c:pt idx="5365">
                  <c:v>4.7238189999999856</c:v>
                </c:pt>
                <c:pt idx="5366">
                  <c:v>4.1658219999999755</c:v>
                </c:pt>
                <c:pt idx="5367">
                  <c:v>4.9393180000000134</c:v>
                </c:pt>
                <c:pt idx="5368">
                  <c:v>4.3063830000000003</c:v>
                </c:pt>
                <c:pt idx="5369">
                  <c:v>4.5348309999999845</c:v>
                </c:pt>
                <c:pt idx="5370">
                  <c:v>3.4773399999999999</c:v>
                </c:pt>
                <c:pt idx="5371">
                  <c:v>4.5700260000000004</c:v>
                </c:pt>
                <c:pt idx="5372">
                  <c:v>4.1177019999999755</c:v>
                </c:pt>
                <c:pt idx="5373">
                  <c:v>3.8803310000000177</c:v>
                </c:pt>
                <c:pt idx="5374">
                  <c:v>3.9133110000000002</c:v>
                </c:pt>
                <c:pt idx="5375">
                  <c:v>3.7358210000000001</c:v>
                </c:pt>
                <c:pt idx="5376">
                  <c:v>3.5938459999999779</c:v>
                </c:pt>
                <c:pt idx="5377">
                  <c:v>3.6164829999999779</c:v>
                </c:pt>
                <c:pt idx="5378">
                  <c:v>3.4023129999999977</c:v>
                </c:pt>
                <c:pt idx="5379">
                  <c:v>3.3102969999999967</c:v>
                </c:pt>
                <c:pt idx="5380">
                  <c:v>3.3313849999999987</c:v>
                </c:pt>
                <c:pt idx="5381">
                  <c:v>3.572031</c:v>
                </c:pt>
                <c:pt idx="5382">
                  <c:v>3.558694</c:v>
                </c:pt>
                <c:pt idx="5383">
                  <c:v>3.7831030000000214</c:v>
                </c:pt>
                <c:pt idx="5384">
                  <c:v>3.6833280000000164</c:v>
                </c:pt>
                <c:pt idx="5385">
                  <c:v>3.677235</c:v>
                </c:pt>
                <c:pt idx="5386">
                  <c:v>3.9460789999999779</c:v>
                </c:pt>
                <c:pt idx="5387">
                  <c:v>3.988683</c:v>
                </c:pt>
                <c:pt idx="5388">
                  <c:v>4.3088309999999845</c:v>
                </c:pt>
                <c:pt idx="5389">
                  <c:v>3.6367959999999977</c:v>
                </c:pt>
                <c:pt idx="5390">
                  <c:v>3.9384719999999978</c:v>
                </c:pt>
                <c:pt idx="5391">
                  <c:v>4.0853200000000003</c:v>
                </c:pt>
                <c:pt idx="5392">
                  <c:v>4.080578</c:v>
                </c:pt>
                <c:pt idx="5393">
                  <c:v>3.8882019999999997</c:v>
                </c:pt>
                <c:pt idx="5394">
                  <c:v>3.9808349999999999</c:v>
                </c:pt>
                <c:pt idx="5395">
                  <c:v>4.2357360000000002</c:v>
                </c:pt>
                <c:pt idx="5396">
                  <c:v>4.1715479999999996</c:v>
                </c:pt>
                <c:pt idx="5397">
                  <c:v>4.2578959999999855</c:v>
                </c:pt>
                <c:pt idx="5398">
                  <c:v>4.3086669999999998</c:v>
                </c:pt>
                <c:pt idx="5399">
                  <c:v>4.0190260000000002</c:v>
                </c:pt>
                <c:pt idx="5400">
                  <c:v>3.3811770000000001</c:v>
                </c:pt>
                <c:pt idx="5401">
                  <c:v>3.1493549999999999</c:v>
                </c:pt>
                <c:pt idx="5402">
                  <c:v>3.0720429999999692</c:v>
                </c:pt>
                <c:pt idx="5403">
                  <c:v>3.033169</c:v>
                </c:pt>
                <c:pt idx="5404">
                  <c:v>3.0709770000000001</c:v>
                </c:pt>
                <c:pt idx="5405">
                  <c:v>3.2142330000000001</c:v>
                </c:pt>
                <c:pt idx="5406">
                  <c:v>3.405637</c:v>
                </c:pt>
                <c:pt idx="5407">
                  <c:v>3.6242670000000001</c:v>
                </c:pt>
                <c:pt idx="5408">
                  <c:v>3.5840239999999999</c:v>
                </c:pt>
                <c:pt idx="5409">
                  <c:v>3.465506</c:v>
                </c:pt>
                <c:pt idx="5410">
                  <c:v>3.5180069999999977</c:v>
                </c:pt>
                <c:pt idx="5411">
                  <c:v>3.8390379999999977</c:v>
                </c:pt>
                <c:pt idx="5412">
                  <c:v>3.7058749999999998</c:v>
                </c:pt>
                <c:pt idx="5413">
                  <c:v>3.8063359999999977</c:v>
                </c:pt>
                <c:pt idx="5414">
                  <c:v>3.5516729999999779</c:v>
                </c:pt>
                <c:pt idx="5415">
                  <c:v>4.1187939999999985</c:v>
                </c:pt>
                <c:pt idx="5416">
                  <c:v>6.1926139999999945</c:v>
                </c:pt>
                <c:pt idx="5417">
                  <c:v>6.2304120000000003</c:v>
                </c:pt>
                <c:pt idx="5418">
                  <c:v>6.1873109999999745</c:v>
                </c:pt>
                <c:pt idx="5421">
                  <c:v>6.3997869999999955</c:v>
                </c:pt>
                <c:pt idx="5422">
                  <c:v>4.8494529999999996</c:v>
                </c:pt>
                <c:pt idx="5423">
                  <c:v>3.4559009999999977</c:v>
                </c:pt>
                <c:pt idx="5424">
                  <c:v>3.8350119999999968</c:v>
                </c:pt>
                <c:pt idx="5425">
                  <c:v>4.2060769999999996</c:v>
                </c:pt>
                <c:pt idx="5426">
                  <c:v>3.8037740000000002</c:v>
                </c:pt>
                <c:pt idx="5427">
                  <c:v>3.9281609999999998</c:v>
                </c:pt>
                <c:pt idx="5428">
                  <c:v>3.6893120000000001</c:v>
                </c:pt>
                <c:pt idx="5429">
                  <c:v>3.5448240000000002</c:v>
                </c:pt>
                <c:pt idx="5430">
                  <c:v>4.1426970000000001</c:v>
                </c:pt>
                <c:pt idx="5431">
                  <c:v>4.3931499999999986</c:v>
                </c:pt>
                <c:pt idx="5432">
                  <c:v>4.5968109999999855</c:v>
                </c:pt>
                <c:pt idx="5433">
                  <c:v>4.1928119999999645</c:v>
                </c:pt>
                <c:pt idx="5434">
                  <c:v>4.2508010000000001</c:v>
                </c:pt>
                <c:pt idx="5435">
                  <c:v>4.4794720000000421</c:v>
                </c:pt>
                <c:pt idx="5436">
                  <c:v>4.5185089999999946</c:v>
                </c:pt>
                <c:pt idx="5437">
                  <c:v>4.4577270000000002</c:v>
                </c:pt>
                <c:pt idx="5438">
                  <c:v>4.527679</c:v>
                </c:pt>
                <c:pt idx="5439">
                  <c:v>6.2350329999999996</c:v>
                </c:pt>
                <c:pt idx="5440">
                  <c:v>5.4678599999999955</c:v>
                </c:pt>
                <c:pt idx="5441">
                  <c:v>4.4079129999999855</c:v>
                </c:pt>
                <c:pt idx="5442">
                  <c:v>4.3178969999999746</c:v>
                </c:pt>
                <c:pt idx="5443">
                  <c:v>4.4689149999999609</c:v>
                </c:pt>
                <c:pt idx="5444">
                  <c:v>4.5164499999999999</c:v>
                </c:pt>
                <c:pt idx="5445">
                  <c:v>4.3824119999999755</c:v>
                </c:pt>
                <c:pt idx="5446">
                  <c:v>4.1671029999999645</c:v>
                </c:pt>
                <c:pt idx="5447">
                  <c:v>3.9420979999999997</c:v>
                </c:pt>
                <c:pt idx="5448">
                  <c:v>4.1889009999999756</c:v>
                </c:pt>
                <c:pt idx="5449">
                  <c:v>4.1729839999999845</c:v>
                </c:pt>
                <c:pt idx="5450">
                  <c:v>4.0240839999999745</c:v>
                </c:pt>
                <c:pt idx="5451">
                  <c:v>4.1397649999999997</c:v>
                </c:pt>
                <c:pt idx="5452">
                  <c:v>3.749854</c:v>
                </c:pt>
                <c:pt idx="5453">
                  <c:v>3.9642439999999977</c:v>
                </c:pt>
                <c:pt idx="5454">
                  <c:v>4.3066360000000001</c:v>
                </c:pt>
                <c:pt idx="5455">
                  <c:v>4.4795620000000493</c:v>
                </c:pt>
                <c:pt idx="5456">
                  <c:v>4.1046459999999945</c:v>
                </c:pt>
                <c:pt idx="5457">
                  <c:v>4.3558939999999975</c:v>
                </c:pt>
                <c:pt idx="5458">
                  <c:v>4.3053229999999996</c:v>
                </c:pt>
                <c:pt idx="5459">
                  <c:v>4.2441230000000001</c:v>
                </c:pt>
                <c:pt idx="5460">
                  <c:v>4.6381009999999945</c:v>
                </c:pt>
                <c:pt idx="5461">
                  <c:v>4.5798000000000014</c:v>
                </c:pt>
                <c:pt idx="5462">
                  <c:v>4.267728</c:v>
                </c:pt>
                <c:pt idx="5463">
                  <c:v>4.3343980000000002</c:v>
                </c:pt>
                <c:pt idx="5464">
                  <c:v>4.6078199999999745</c:v>
                </c:pt>
                <c:pt idx="5465">
                  <c:v>4.5391620000000383</c:v>
                </c:pt>
                <c:pt idx="5466">
                  <c:v>4.4388769999999997</c:v>
                </c:pt>
                <c:pt idx="5467">
                  <c:v>4.2346349999999955</c:v>
                </c:pt>
                <c:pt idx="5468">
                  <c:v>4.1411239999999996</c:v>
                </c:pt>
                <c:pt idx="5469">
                  <c:v>4.2271749999999582</c:v>
                </c:pt>
                <c:pt idx="5470">
                  <c:v>4.2420900000000001</c:v>
                </c:pt>
                <c:pt idx="5471">
                  <c:v>4.2243719999999945</c:v>
                </c:pt>
                <c:pt idx="5472">
                  <c:v>3.817431</c:v>
                </c:pt>
                <c:pt idx="5473">
                  <c:v>3.7152970000000001</c:v>
                </c:pt>
                <c:pt idx="5474">
                  <c:v>3.6476600000000001</c:v>
                </c:pt>
                <c:pt idx="5475">
                  <c:v>3.8298019999999977</c:v>
                </c:pt>
                <c:pt idx="5476">
                  <c:v>3.9763659999999779</c:v>
                </c:pt>
                <c:pt idx="5477">
                  <c:v>3.8941619999999997</c:v>
                </c:pt>
                <c:pt idx="5478">
                  <c:v>4.0686530000000003</c:v>
                </c:pt>
                <c:pt idx="5479">
                  <c:v>3.958189</c:v>
                </c:pt>
                <c:pt idx="5480">
                  <c:v>3.9163399999999977</c:v>
                </c:pt>
                <c:pt idx="5481">
                  <c:v>4.1592099999999999</c:v>
                </c:pt>
                <c:pt idx="5482">
                  <c:v>4.2644159999999518</c:v>
                </c:pt>
                <c:pt idx="5483">
                  <c:v>3.9972509999999977</c:v>
                </c:pt>
                <c:pt idx="5484">
                  <c:v>4.0721059999999945</c:v>
                </c:pt>
                <c:pt idx="5485">
                  <c:v>4.2322179999999996</c:v>
                </c:pt>
                <c:pt idx="5486">
                  <c:v>3.9621789999999977</c:v>
                </c:pt>
                <c:pt idx="5487">
                  <c:v>4.226756</c:v>
                </c:pt>
                <c:pt idx="5488">
                  <c:v>4.250839</c:v>
                </c:pt>
                <c:pt idx="5489">
                  <c:v>4.0665749999999745</c:v>
                </c:pt>
                <c:pt idx="5490">
                  <c:v>4.0268290000000002</c:v>
                </c:pt>
                <c:pt idx="5491">
                  <c:v>4.1502149999999745</c:v>
                </c:pt>
                <c:pt idx="5492">
                  <c:v>4.2632510000000003</c:v>
                </c:pt>
                <c:pt idx="5493">
                  <c:v>4.1079139999999645</c:v>
                </c:pt>
                <c:pt idx="5494">
                  <c:v>3.9395769999999977</c:v>
                </c:pt>
                <c:pt idx="5495">
                  <c:v>3.9620819999999997</c:v>
                </c:pt>
                <c:pt idx="5496">
                  <c:v>3.8795599999999779</c:v>
                </c:pt>
                <c:pt idx="5497">
                  <c:v>3.6334819999999999</c:v>
                </c:pt>
                <c:pt idx="5498">
                  <c:v>3.5957589999999819</c:v>
                </c:pt>
                <c:pt idx="5499">
                  <c:v>3.178067</c:v>
                </c:pt>
                <c:pt idx="5500">
                  <c:v>3.2192519999999987</c:v>
                </c:pt>
                <c:pt idx="5501">
                  <c:v>3.3944269999999968</c:v>
                </c:pt>
                <c:pt idx="5502">
                  <c:v>3.6446809999999998</c:v>
                </c:pt>
                <c:pt idx="5503">
                  <c:v>3.7269410000000001</c:v>
                </c:pt>
                <c:pt idx="5504">
                  <c:v>3.6292770000000001</c:v>
                </c:pt>
                <c:pt idx="5505">
                  <c:v>4.1922459999999955</c:v>
                </c:pt>
                <c:pt idx="5506">
                  <c:v>4.5725730000000002</c:v>
                </c:pt>
                <c:pt idx="5507">
                  <c:v>4.6654539999999765</c:v>
                </c:pt>
                <c:pt idx="5508">
                  <c:v>4.2616889999999996</c:v>
                </c:pt>
                <c:pt idx="5509">
                  <c:v>4.1693839999999955</c:v>
                </c:pt>
                <c:pt idx="5510">
                  <c:v>4.0797509999999999</c:v>
                </c:pt>
                <c:pt idx="5511">
                  <c:v>3.9136259999999967</c:v>
                </c:pt>
                <c:pt idx="5512">
                  <c:v>4.0202460000000002</c:v>
                </c:pt>
                <c:pt idx="5513">
                  <c:v>4.0912670000000393</c:v>
                </c:pt>
                <c:pt idx="5514">
                  <c:v>3.6443970000000214</c:v>
                </c:pt>
                <c:pt idx="5515">
                  <c:v>3.7718449999999977</c:v>
                </c:pt>
                <c:pt idx="5516">
                  <c:v>3.477115</c:v>
                </c:pt>
                <c:pt idx="5517">
                  <c:v>3.6674099999999998</c:v>
                </c:pt>
                <c:pt idx="5518">
                  <c:v>3.996841999999976</c:v>
                </c:pt>
                <c:pt idx="5519">
                  <c:v>3.8500819999999987</c:v>
                </c:pt>
                <c:pt idx="5520">
                  <c:v>3.6831310000000306</c:v>
                </c:pt>
                <c:pt idx="5521">
                  <c:v>3.6845650000000001</c:v>
                </c:pt>
                <c:pt idx="5522">
                  <c:v>3.3735569999999977</c:v>
                </c:pt>
                <c:pt idx="5523">
                  <c:v>3.2457820000000002</c:v>
                </c:pt>
                <c:pt idx="5524">
                  <c:v>3.1138870000000001</c:v>
                </c:pt>
                <c:pt idx="5525">
                  <c:v>3.3492589999999764</c:v>
                </c:pt>
                <c:pt idx="5526">
                  <c:v>3.4042949999999998</c:v>
                </c:pt>
                <c:pt idx="5527">
                  <c:v>3.3728019999999774</c:v>
                </c:pt>
                <c:pt idx="5528">
                  <c:v>3.6118579999999967</c:v>
                </c:pt>
                <c:pt idx="5529">
                  <c:v>3.9064049999999977</c:v>
                </c:pt>
                <c:pt idx="5530">
                  <c:v>4.5658149999999509</c:v>
                </c:pt>
                <c:pt idx="5531">
                  <c:v>5.0492140000000001</c:v>
                </c:pt>
                <c:pt idx="5532">
                  <c:v>4.5510659999999996</c:v>
                </c:pt>
                <c:pt idx="5533">
                  <c:v>4.410662000000042</c:v>
                </c:pt>
                <c:pt idx="5534">
                  <c:v>4.6170169999999491</c:v>
                </c:pt>
                <c:pt idx="5535">
                  <c:v>4.1472910000000001</c:v>
                </c:pt>
                <c:pt idx="5536">
                  <c:v>4.0928230000000001</c:v>
                </c:pt>
                <c:pt idx="5537">
                  <c:v>3.6697660000000001</c:v>
                </c:pt>
                <c:pt idx="5538">
                  <c:v>3.766454</c:v>
                </c:pt>
                <c:pt idx="5539">
                  <c:v>3.7194499999999819</c:v>
                </c:pt>
                <c:pt idx="5540">
                  <c:v>3.5915659999999967</c:v>
                </c:pt>
                <c:pt idx="5541">
                  <c:v>3.5833409999999999</c:v>
                </c:pt>
                <c:pt idx="5542">
                  <c:v>3.6631510000000205</c:v>
                </c:pt>
                <c:pt idx="5543">
                  <c:v>3.8237030000000001</c:v>
                </c:pt>
                <c:pt idx="5544">
                  <c:v>3.608082</c:v>
                </c:pt>
                <c:pt idx="5545">
                  <c:v>3.2048299999999998</c:v>
                </c:pt>
                <c:pt idx="5546">
                  <c:v>3.0741700000000001</c:v>
                </c:pt>
                <c:pt idx="5547">
                  <c:v>3.035784</c:v>
                </c:pt>
                <c:pt idx="5548">
                  <c:v>3.097343</c:v>
                </c:pt>
                <c:pt idx="5549">
                  <c:v>3.0943649999999998</c:v>
                </c:pt>
                <c:pt idx="5550">
                  <c:v>2.8318049999999784</c:v>
                </c:pt>
                <c:pt idx="5551">
                  <c:v>2.9222429999999733</c:v>
                </c:pt>
                <c:pt idx="5552">
                  <c:v>3.0806489999999829</c:v>
                </c:pt>
                <c:pt idx="5553">
                  <c:v>3.4460729999999824</c:v>
                </c:pt>
                <c:pt idx="5554">
                  <c:v>4.1194949999999855</c:v>
                </c:pt>
                <c:pt idx="5555">
                  <c:v>3.9379770000000001</c:v>
                </c:pt>
                <c:pt idx="5556">
                  <c:v>3.5964699999999779</c:v>
                </c:pt>
                <c:pt idx="5557">
                  <c:v>3.5368159999999755</c:v>
                </c:pt>
                <c:pt idx="5558">
                  <c:v>3.486434</c:v>
                </c:pt>
                <c:pt idx="5559">
                  <c:v>3.3490039999999968</c:v>
                </c:pt>
                <c:pt idx="5560">
                  <c:v>3.3788729999999769</c:v>
                </c:pt>
                <c:pt idx="5561">
                  <c:v>3.4312999999999967</c:v>
                </c:pt>
                <c:pt idx="5562">
                  <c:v>3.4081109999999999</c:v>
                </c:pt>
                <c:pt idx="5563">
                  <c:v>3.4113179999999987</c:v>
                </c:pt>
                <c:pt idx="5564">
                  <c:v>3.268046</c:v>
                </c:pt>
                <c:pt idx="5565">
                  <c:v>3.0243259999999998</c:v>
                </c:pt>
                <c:pt idx="5566">
                  <c:v>3.0115279999999998</c:v>
                </c:pt>
                <c:pt idx="5567">
                  <c:v>3.0198629999999755</c:v>
                </c:pt>
                <c:pt idx="5568">
                  <c:v>3.1881539999999999</c:v>
                </c:pt>
                <c:pt idx="5569">
                  <c:v>2.9477340000000205</c:v>
                </c:pt>
                <c:pt idx="5570">
                  <c:v>3.1129799999999967</c:v>
                </c:pt>
                <c:pt idx="5571">
                  <c:v>3.4199669999999927</c:v>
                </c:pt>
                <c:pt idx="5572">
                  <c:v>3.656536</c:v>
                </c:pt>
                <c:pt idx="5573">
                  <c:v>3.4940709999999977</c:v>
                </c:pt>
                <c:pt idx="5574">
                  <c:v>3.5989200000000001</c:v>
                </c:pt>
                <c:pt idx="5575">
                  <c:v>3.8544299999999967</c:v>
                </c:pt>
                <c:pt idx="5576">
                  <c:v>3.8558709999999778</c:v>
                </c:pt>
                <c:pt idx="5577">
                  <c:v>3.6963999999999997</c:v>
                </c:pt>
                <c:pt idx="5578">
                  <c:v>3.462183</c:v>
                </c:pt>
                <c:pt idx="5579">
                  <c:v>3.2484350000000002</c:v>
                </c:pt>
                <c:pt idx="5580">
                  <c:v>3.752529</c:v>
                </c:pt>
                <c:pt idx="5581">
                  <c:v>3.6946669999999977</c:v>
                </c:pt>
                <c:pt idx="5582">
                  <c:v>3.4558269999999967</c:v>
                </c:pt>
                <c:pt idx="5583">
                  <c:v>3.9087200000000002</c:v>
                </c:pt>
                <c:pt idx="5584">
                  <c:v>3.5141969999999998</c:v>
                </c:pt>
                <c:pt idx="5585">
                  <c:v>3.4561009999999968</c:v>
                </c:pt>
                <c:pt idx="5586">
                  <c:v>3.602141</c:v>
                </c:pt>
                <c:pt idx="5587">
                  <c:v>3.5016769999999977</c:v>
                </c:pt>
                <c:pt idx="5588">
                  <c:v>3.460086</c:v>
                </c:pt>
                <c:pt idx="5589">
                  <c:v>3.1888449999999997</c:v>
                </c:pt>
                <c:pt idx="5590">
                  <c:v>3.0799569999999967</c:v>
                </c:pt>
                <c:pt idx="5591">
                  <c:v>3.0271230000000204</c:v>
                </c:pt>
                <c:pt idx="5592">
                  <c:v>3.178823</c:v>
                </c:pt>
                <c:pt idx="5593">
                  <c:v>3.1934049999999998</c:v>
                </c:pt>
                <c:pt idx="5594">
                  <c:v>3.1253510000000002</c:v>
                </c:pt>
                <c:pt idx="5595">
                  <c:v>3.061064</c:v>
                </c:pt>
                <c:pt idx="5596">
                  <c:v>3.1094529999999967</c:v>
                </c:pt>
                <c:pt idx="5597">
                  <c:v>3.1141340000000164</c:v>
                </c:pt>
                <c:pt idx="5598">
                  <c:v>3.2374239999999999</c:v>
                </c:pt>
                <c:pt idx="5599">
                  <c:v>3.2225630000000001</c:v>
                </c:pt>
                <c:pt idx="5600">
                  <c:v>3.3722729999999692</c:v>
                </c:pt>
                <c:pt idx="5601">
                  <c:v>3.5420879999999997</c:v>
                </c:pt>
                <c:pt idx="5602">
                  <c:v>3.5258959999999977</c:v>
                </c:pt>
                <c:pt idx="5603">
                  <c:v>3.7523849999999999</c:v>
                </c:pt>
                <c:pt idx="5604">
                  <c:v>3.8751509999999967</c:v>
                </c:pt>
                <c:pt idx="5605">
                  <c:v>3.6017370000000177</c:v>
                </c:pt>
                <c:pt idx="5606">
                  <c:v>3.4033850000000001</c:v>
                </c:pt>
                <c:pt idx="5607">
                  <c:v>3.4013270000000002</c:v>
                </c:pt>
                <c:pt idx="5608">
                  <c:v>3.2885680000000002</c:v>
                </c:pt>
                <c:pt idx="5609">
                  <c:v>3.5593300000000001</c:v>
                </c:pt>
                <c:pt idx="5610">
                  <c:v>3.2343329999999999</c:v>
                </c:pt>
                <c:pt idx="5611">
                  <c:v>3.4482469999999967</c:v>
                </c:pt>
                <c:pt idx="5612">
                  <c:v>3.3119749999999977</c:v>
                </c:pt>
                <c:pt idx="5613">
                  <c:v>3.5195999999999987</c:v>
                </c:pt>
                <c:pt idx="5614">
                  <c:v>3.5697990000000002</c:v>
                </c:pt>
                <c:pt idx="5615">
                  <c:v>3.669365</c:v>
                </c:pt>
                <c:pt idx="5616">
                  <c:v>3.539037</c:v>
                </c:pt>
                <c:pt idx="5617">
                  <c:v>3.3112249999999968</c:v>
                </c:pt>
                <c:pt idx="5618">
                  <c:v>3.2850359999999998</c:v>
                </c:pt>
                <c:pt idx="5619">
                  <c:v>3.2770570000000001</c:v>
                </c:pt>
                <c:pt idx="5620">
                  <c:v>3.3587919999999998</c:v>
                </c:pt>
                <c:pt idx="5621">
                  <c:v>3.4892639999999977</c:v>
                </c:pt>
                <c:pt idx="5622">
                  <c:v>3.4953779999999997</c:v>
                </c:pt>
                <c:pt idx="5623">
                  <c:v>3.6321110000000001</c:v>
                </c:pt>
                <c:pt idx="5624">
                  <c:v>3.8357609999999829</c:v>
                </c:pt>
                <c:pt idx="5625">
                  <c:v>3.7234150000000001</c:v>
                </c:pt>
                <c:pt idx="5626">
                  <c:v>3.844357</c:v>
                </c:pt>
                <c:pt idx="5627">
                  <c:v>3.7441469999999999</c:v>
                </c:pt>
                <c:pt idx="5628">
                  <c:v>3.8183609999999977</c:v>
                </c:pt>
                <c:pt idx="5629">
                  <c:v>3.4317899999999977</c:v>
                </c:pt>
                <c:pt idx="5630">
                  <c:v>3.3084219999999998</c:v>
                </c:pt>
                <c:pt idx="5631">
                  <c:v>3.2044969999999999</c:v>
                </c:pt>
                <c:pt idx="5632">
                  <c:v>3.1564579999999967</c:v>
                </c:pt>
                <c:pt idx="5633">
                  <c:v>3.3036279999999998</c:v>
                </c:pt>
                <c:pt idx="5634">
                  <c:v>3.2157749999999998</c:v>
                </c:pt>
                <c:pt idx="5635">
                  <c:v>3.2538939999999998</c:v>
                </c:pt>
                <c:pt idx="5636">
                  <c:v>3.2882030000000002</c:v>
                </c:pt>
                <c:pt idx="5637">
                  <c:v>3.097709</c:v>
                </c:pt>
                <c:pt idx="5638">
                  <c:v>3.3454699999999828</c:v>
                </c:pt>
                <c:pt idx="5639">
                  <c:v>3.323998</c:v>
                </c:pt>
                <c:pt idx="5640">
                  <c:v>3.3383069999999977</c:v>
                </c:pt>
                <c:pt idx="5641">
                  <c:v>3.3980959999999967</c:v>
                </c:pt>
                <c:pt idx="5642">
                  <c:v>3.2869090000000001</c:v>
                </c:pt>
                <c:pt idx="5643">
                  <c:v>3.4554369999999968</c:v>
                </c:pt>
                <c:pt idx="5644">
                  <c:v>3.2841970000000287</c:v>
                </c:pt>
                <c:pt idx="5645">
                  <c:v>3.3958599999999692</c:v>
                </c:pt>
                <c:pt idx="5646">
                  <c:v>3.6431900000000224</c:v>
                </c:pt>
                <c:pt idx="5647">
                  <c:v>3.8539419999999978</c:v>
                </c:pt>
                <c:pt idx="5648">
                  <c:v>4.6777329999999955</c:v>
                </c:pt>
                <c:pt idx="5649">
                  <c:v>4.9320139999999997</c:v>
                </c:pt>
                <c:pt idx="5650">
                  <c:v>4.6076569999999855</c:v>
                </c:pt>
                <c:pt idx="5651">
                  <c:v>4.5462720000000134</c:v>
                </c:pt>
                <c:pt idx="5652">
                  <c:v>3.9201320000000002</c:v>
                </c:pt>
                <c:pt idx="5653">
                  <c:v>3.5933099999999998</c:v>
                </c:pt>
                <c:pt idx="5654">
                  <c:v>3.3595959999999967</c:v>
                </c:pt>
                <c:pt idx="5655">
                  <c:v>3.4618719999999987</c:v>
                </c:pt>
                <c:pt idx="5656">
                  <c:v>3.6289850000000001</c:v>
                </c:pt>
                <c:pt idx="5657">
                  <c:v>3.5857429999999977</c:v>
                </c:pt>
                <c:pt idx="5658">
                  <c:v>3.5836960000000002</c:v>
                </c:pt>
                <c:pt idx="5659">
                  <c:v>3.6933020000000001</c:v>
                </c:pt>
                <c:pt idx="5660">
                  <c:v>3.514732</c:v>
                </c:pt>
                <c:pt idx="5661">
                  <c:v>3.5878260000000002</c:v>
                </c:pt>
                <c:pt idx="5662">
                  <c:v>3.723859</c:v>
                </c:pt>
                <c:pt idx="5663">
                  <c:v>3.7817080000000001</c:v>
                </c:pt>
                <c:pt idx="5664">
                  <c:v>3.8277559999999977</c:v>
                </c:pt>
                <c:pt idx="5665">
                  <c:v>3.884144</c:v>
                </c:pt>
                <c:pt idx="5666">
                  <c:v>3.9173049999999998</c:v>
                </c:pt>
                <c:pt idx="5667">
                  <c:v>4.0035559999999855</c:v>
                </c:pt>
                <c:pt idx="5668">
                  <c:v>4.0913170000000001</c:v>
                </c:pt>
                <c:pt idx="5669">
                  <c:v>4.3116890000000003</c:v>
                </c:pt>
                <c:pt idx="5670">
                  <c:v>4.0396809999999999</c:v>
                </c:pt>
                <c:pt idx="5671">
                  <c:v>4.0976299999999997</c:v>
                </c:pt>
                <c:pt idx="5672">
                  <c:v>4.4167860000000001</c:v>
                </c:pt>
                <c:pt idx="5673">
                  <c:v>4.6990270000000001</c:v>
                </c:pt>
                <c:pt idx="5674">
                  <c:v>4.6707359999999865</c:v>
                </c:pt>
                <c:pt idx="5675">
                  <c:v>4.6478529999999845</c:v>
                </c:pt>
                <c:pt idx="5676">
                  <c:v>4.0558009999999856</c:v>
                </c:pt>
                <c:pt idx="5677">
                  <c:v>3.7068629999999967</c:v>
                </c:pt>
                <c:pt idx="5678">
                  <c:v>3.642128</c:v>
                </c:pt>
                <c:pt idx="5679">
                  <c:v>3.904471</c:v>
                </c:pt>
                <c:pt idx="5680">
                  <c:v>3.6350529999999779</c:v>
                </c:pt>
                <c:pt idx="5681">
                  <c:v>4.0203199999999955</c:v>
                </c:pt>
                <c:pt idx="5682">
                  <c:v>4.0701200000000002</c:v>
                </c:pt>
                <c:pt idx="5683">
                  <c:v>3.8949739999999977</c:v>
                </c:pt>
                <c:pt idx="5684">
                  <c:v>4.0415159999999855</c:v>
                </c:pt>
                <c:pt idx="5685">
                  <c:v>3.9320719999999967</c:v>
                </c:pt>
                <c:pt idx="5686">
                  <c:v>3.9205380000000001</c:v>
                </c:pt>
                <c:pt idx="5687">
                  <c:v>4.0375249999999845</c:v>
                </c:pt>
                <c:pt idx="5688">
                  <c:v>3.8751079999999987</c:v>
                </c:pt>
                <c:pt idx="5689">
                  <c:v>3.737803</c:v>
                </c:pt>
                <c:pt idx="5690">
                  <c:v>3.7265310000000205</c:v>
                </c:pt>
                <c:pt idx="5691">
                  <c:v>3.7292719999999999</c:v>
                </c:pt>
                <c:pt idx="5692">
                  <c:v>3.7817280000000002</c:v>
                </c:pt>
                <c:pt idx="5693">
                  <c:v>3.7291740000000191</c:v>
                </c:pt>
                <c:pt idx="5694">
                  <c:v>3.7656290000000001</c:v>
                </c:pt>
                <c:pt idx="5695">
                  <c:v>3.9568719999999824</c:v>
                </c:pt>
                <c:pt idx="5696">
                  <c:v>4.6639009999999645</c:v>
                </c:pt>
                <c:pt idx="5697">
                  <c:v>4.6826889999999946</c:v>
                </c:pt>
                <c:pt idx="5698">
                  <c:v>4.2062179999999998</c:v>
                </c:pt>
                <c:pt idx="5699">
                  <c:v>4.3371349999999609</c:v>
                </c:pt>
                <c:pt idx="5700">
                  <c:v>4.1870159999999546</c:v>
                </c:pt>
                <c:pt idx="5701">
                  <c:v>3.6992399999999988</c:v>
                </c:pt>
                <c:pt idx="5702">
                  <c:v>3.6106240000000001</c:v>
                </c:pt>
                <c:pt idx="5703">
                  <c:v>3.520295</c:v>
                </c:pt>
                <c:pt idx="5704">
                  <c:v>3.4714339999999977</c:v>
                </c:pt>
                <c:pt idx="5705">
                  <c:v>3.4812119999999998</c:v>
                </c:pt>
                <c:pt idx="5706">
                  <c:v>3.4676149999999999</c:v>
                </c:pt>
                <c:pt idx="5707">
                  <c:v>3.3783319999999999</c:v>
                </c:pt>
                <c:pt idx="5708">
                  <c:v>3.2582589999999967</c:v>
                </c:pt>
                <c:pt idx="5709">
                  <c:v>3.6401980000000012</c:v>
                </c:pt>
                <c:pt idx="5710">
                  <c:v>3.689667</c:v>
                </c:pt>
                <c:pt idx="5711">
                  <c:v>3.6344509999999977</c:v>
                </c:pt>
                <c:pt idx="5712">
                  <c:v>3.8296739999999967</c:v>
                </c:pt>
                <c:pt idx="5713">
                  <c:v>4.032724</c:v>
                </c:pt>
                <c:pt idx="5714">
                  <c:v>4.2204790000000001</c:v>
                </c:pt>
                <c:pt idx="5715">
                  <c:v>4.1320359999999745</c:v>
                </c:pt>
                <c:pt idx="5716">
                  <c:v>4.3697689999999998</c:v>
                </c:pt>
                <c:pt idx="5717">
                  <c:v>4.475303000000042</c:v>
                </c:pt>
                <c:pt idx="5718">
                  <c:v>4.6777149999999645</c:v>
                </c:pt>
                <c:pt idx="5719">
                  <c:v>4.8590280000000003</c:v>
                </c:pt>
                <c:pt idx="5720">
                  <c:v>5.0906890000000002</c:v>
                </c:pt>
                <c:pt idx="5721">
                  <c:v>5.1015600000000001</c:v>
                </c:pt>
                <c:pt idx="5722">
                  <c:v>4.8980049999999755</c:v>
                </c:pt>
                <c:pt idx="5723">
                  <c:v>5.2928749999999845</c:v>
                </c:pt>
                <c:pt idx="5724">
                  <c:v>5.4002400000000383</c:v>
                </c:pt>
                <c:pt idx="5725">
                  <c:v>5.6975919999999745</c:v>
                </c:pt>
                <c:pt idx="5726">
                  <c:v>5.6100439999999985</c:v>
                </c:pt>
                <c:pt idx="5727">
                  <c:v>4.7012850000000004</c:v>
                </c:pt>
                <c:pt idx="5728">
                  <c:v>4.5246449999999845</c:v>
                </c:pt>
                <c:pt idx="5729">
                  <c:v>4.4241509999999655</c:v>
                </c:pt>
                <c:pt idx="5730">
                  <c:v>4.1975029999999665</c:v>
                </c:pt>
                <c:pt idx="5731">
                  <c:v>3.9917019999999988</c:v>
                </c:pt>
                <c:pt idx="5732">
                  <c:v>3.6976549999999997</c:v>
                </c:pt>
                <c:pt idx="5733">
                  <c:v>3.796414</c:v>
                </c:pt>
                <c:pt idx="5734">
                  <c:v>3.8426849999999977</c:v>
                </c:pt>
                <c:pt idx="5735">
                  <c:v>3.7910189999999977</c:v>
                </c:pt>
                <c:pt idx="5736">
                  <c:v>3.5034070000000002</c:v>
                </c:pt>
                <c:pt idx="5737">
                  <c:v>3.7118589999999769</c:v>
                </c:pt>
                <c:pt idx="5738">
                  <c:v>3.9061629999999967</c:v>
                </c:pt>
                <c:pt idx="5739">
                  <c:v>3.4990859999999819</c:v>
                </c:pt>
                <c:pt idx="5740">
                  <c:v>3.9240629999999967</c:v>
                </c:pt>
                <c:pt idx="5741">
                  <c:v>3.8111759999999779</c:v>
                </c:pt>
                <c:pt idx="5742">
                  <c:v>3.866987</c:v>
                </c:pt>
                <c:pt idx="5743">
                  <c:v>4.0464839999999995</c:v>
                </c:pt>
                <c:pt idx="5744">
                  <c:v>4.1351169999999655</c:v>
                </c:pt>
                <c:pt idx="5745">
                  <c:v>4.2399019999999998</c:v>
                </c:pt>
                <c:pt idx="5746">
                  <c:v>3.997725</c:v>
                </c:pt>
                <c:pt idx="5747">
                  <c:v>4.5642620000000003</c:v>
                </c:pt>
                <c:pt idx="5748">
                  <c:v>3.8661210000000001</c:v>
                </c:pt>
                <c:pt idx="5749">
                  <c:v>3.6768689999999737</c:v>
                </c:pt>
                <c:pt idx="5750">
                  <c:v>3.7716519999999987</c:v>
                </c:pt>
                <c:pt idx="5751">
                  <c:v>3.8331010000000001</c:v>
                </c:pt>
                <c:pt idx="5752">
                  <c:v>4.0709879999999945</c:v>
                </c:pt>
                <c:pt idx="5753">
                  <c:v>4.7550739999999996</c:v>
                </c:pt>
                <c:pt idx="5754">
                  <c:v>5.0658979999999945</c:v>
                </c:pt>
                <c:pt idx="5755">
                  <c:v>4.9978210000000001</c:v>
                </c:pt>
                <c:pt idx="5756">
                  <c:v>5.0342609999999999</c:v>
                </c:pt>
                <c:pt idx="5757">
                  <c:v>4.9827269999999997</c:v>
                </c:pt>
                <c:pt idx="5758">
                  <c:v>4.4726530000000393</c:v>
                </c:pt>
                <c:pt idx="5759">
                  <c:v>3.9474870000000002</c:v>
                </c:pt>
                <c:pt idx="5760">
                  <c:v>3.4925119999999987</c:v>
                </c:pt>
                <c:pt idx="5761">
                  <c:v>3.0986049999999987</c:v>
                </c:pt>
                <c:pt idx="5762">
                  <c:v>2.9506379999999988</c:v>
                </c:pt>
                <c:pt idx="5763">
                  <c:v>2.9939770000000001</c:v>
                </c:pt>
                <c:pt idx="5764">
                  <c:v>3.182401</c:v>
                </c:pt>
                <c:pt idx="5765">
                  <c:v>3.3231299999999999</c:v>
                </c:pt>
                <c:pt idx="5766">
                  <c:v>3.7895560000000001</c:v>
                </c:pt>
                <c:pt idx="5767">
                  <c:v>3.5854579999999987</c:v>
                </c:pt>
                <c:pt idx="5768">
                  <c:v>3.5062319999999998</c:v>
                </c:pt>
                <c:pt idx="5769">
                  <c:v>3.6703830000000002</c:v>
                </c:pt>
                <c:pt idx="5770">
                  <c:v>3.9369779999999968</c:v>
                </c:pt>
                <c:pt idx="5771">
                  <c:v>4.7948899999999846</c:v>
                </c:pt>
                <c:pt idx="5772">
                  <c:v>4.247471</c:v>
                </c:pt>
                <c:pt idx="5773">
                  <c:v>4.2500309999999955</c:v>
                </c:pt>
                <c:pt idx="5774">
                  <c:v>3.9763639999999967</c:v>
                </c:pt>
                <c:pt idx="5775">
                  <c:v>3.5524969999999967</c:v>
                </c:pt>
                <c:pt idx="5776">
                  <c:v>3.2021970000000173</c:v>
                </c:pt>
                <c:pt idx="5777">
                  <c:v>4.0513830000000004</c:v>
                </c:pt>
                <c:pt idx="5778">
                  <c:v>3.957573</c:v>
                </c:pt>
                <c:pt idx="5779">
                  <c:v>4.1713959999999997</c:v>
                </c:pt>
                <c:pt idx="5780">
                  <c:v>4.4268070000000002</c:v>
                </c:pt>
                <c:pt idx="5781">
                  <c:v>4.3187709999999955</c:v>
                </c:pt>
                <c:pt idx="5782">
                  <c:v>4.5151659999999945</c:v>
                </c:pt>
                <c:pt idx="5783">
                  <c:v>3.9678149999999999</c:v>
                </c:pt>
                <c:pt idx="5784">
                  <c:v>3.0142609999999967</c:v>
                </c:pt>
                <c:pt idx="5785">
                  <c:v>2.6287600000000002</c:v>
                </c:pt>
                <c:pt idx="5786">
                  <c:v>2.4690179999999997</c:v>
                </c:pt>
                <c:pt idx="5787">
                  <c:v>2.7107139999999998</c:v>
                </c:pt>
                <c:pt idx="5788">
                  <c:v>2.8580619999999977</c:v>
                </c:pt>
                <c:pt idx="5789">
                  <c:v>2.820878999999981</c:v>
                </c:pt>
                <c:pt idx="5790">
                  <c:v>3.1552989999999967</c:v>
                </c:pt>
                <c:pt idx="5791">
                  <c:v>3.3558989999999755</c:v>
                </c:pt>
                <c:pt idx="5792">
                  <c:v>3.2330779999999999</c:v>
                </c:pt>
                <c:pt idx="5793">
                  <c:v>3.2615099999999999</c:v>
                </c:pt>
                <c:pt idx="5794">
                  <c:v>3.2896209999999999</c:v>
                </c:pt>
                <c:pt idx="5795">
                  <c:v>4.0580869999999845</c:v>
                </c:pt>
                <c:pt idx="5796">
                  <c:v>3.6179960000000002</c:v>
                </c:pt>
                <c:pt idx="5797">
                  <c:v>3.3570539999999967</c:v>
                </c:pt>
                <c:pt idx="5798">
                  <c:v>3.2095350000000002</c:v>
                </c:pt>
                <c:pt idx="5799">
                  <c:v>2.8665489999999769</c:v>
                </c:pt>
                <c:pt idx="5800">
                  <c:v>2.8406469999999819</c:v>
                </c:pt>
                <c:pt idx="5801">
                  <c:v>3.2033480000000001</c:v>
                </c:pt>
                <c:pt idx="5802">
                  <c:v>3.4693849999999999</c:v>
                </c:pt>
                <c:pt idx="5803">
                  <c:v>3.766232</c:v>
                </c:pt>
                <c:pt idx="5804">
                  <c:v>3.6814840000000002</c:v>
                </c:pt>
                <c:pt idx="5805">
                  <c:v>3.4764929999999779</c:v>
                </c:pt>
                <c:pt idx="5806">
                  <c:v>3.6914649999999987</c:v>
                </c:pt>
                <c:pt idx="5807">
                  <c:v>3.4984299999999977</c:v>
                </c:pt>
                <c:pt idx="5808">
                  <c:v>3.5085120000000001</c:v>
                </c:pt>
                <c:pt idx="5809">
                  <c:v>3.0764179999999977</c:v>
                </c:pt>
                <c:pt idx="5810">
                  <c:v>2.9801959999999998</c:v>
                </c:pt>
                <c:pt idx="5811">
                  <c:v>2.8965279999999987</c:v>
                </c:pt>
                <c:pt idx="5812">
                  <c:v>3.2581419999999999</c:v>
                </c:pt>
                <c:pt idx="5813">
                  <c:v>3.557871</c:v>
                </c:pt>
                <c:pt idx="5814">
                  <c:v>3.6757610000000001</c:v>
                </c:pt>
                <c:pt idx="5815">
                  <c:v>3.6536179999999998</c:v>
                </c:pt>
                <c:pt idx="5816">
                  <c:v>3.6695840000000164</c:v>
                </c:pt>
                <c:pt idx="5817">
                  <c:v>3.6379549999999998</c:v>
                </c:pt>
                <c:pt idx="5818">
                  <c:v>3.7076110000000191</c:v>
                </c:pt>
                <c:pt idx="5819">
                  <c:v>4.2349939999999995</c:v>
                </c:pt>
                <c:pt idx="5820">
                  <c:v>3.6838669999999998</c:v>
                </c:pt>
                <c:pt idx="5821">
                  <c:v>3.5674250000000001</c:v>
                </c:pt>
                <c:pt idx="5822">
                  <c:v>3.2932039999999998</c:v>
                </c:pt>
                <c:pt idx="5823">
                  <c:v>3.2536849999999999</c:v>
                </c:pt>
                <c:pt idx="5824">
                  <c:v>3.246302</c:v>
                </c:pt>
                <c:pt idx="5825">
                  <c:v>3.1844549999999998</c:v>
                </c:pt>
                <c:pt idx="5826">
                  <c:v>3.6095479999999998</c:v>
                </c:pt>
                <c:pt idx="5827">
                  <c:v>3.6005690000000001</c:v>
                </c:pt>
                <c:pt idx="5828">
                  <c:v>3.6266619999999987</c:v>
                </c:pt>
                <c:pt idx="5829">
                  <c:v>3.8763689999999755</c:v>
                </c:pt>
                <c:pt idx="5830">
                  <c:v>4.0735970000000004</c:v>
                </c:pt>
                <c:pt idx="5831">
                  <c:v>3.9156339999999967</c:v>
                </c:pt>
                <c:pt idx="5832">
                  <c:v>3.5725340000000001</c:v>
                </c:pt>
                <c:pt idx="5833">
                  <c:v>3.3194569999999692</c:v>
                </c:pt>
                <c:pt idx="5834">
                  <c:v>3.3515119999999987</c:v>
                </c:pt>
                <c:pt idx="5835">
                  <c:v>3.18425</c:v>
                </c:pt>
                <c:pt idx="5836">
                  <c:v>3.0857449999999997</c:v>
                </c:pt>
                <c:pt idx="5837">
                  <c:v>3.2730640000000002</c:v>
                </c:pt>
                <c:pt idx="5838">
                  <c:v>3.4960219999999977</c:v>
                </c:pt>
                <c:pt idx="5839">
                  <c:v>3.6262099999999977</c:v>
                </c:pt>
                <c:pt idx="5840">
                  <c:v>3.6104810000000001</c:v>
                </c:pt>
                <c:pt idx="5841">
                  <c:v>3.9131070000000001</c:v>
                </c:pt>
                <c:pt idx="5842">
                  <c:v>4.40768</c:v>
                </c:pt>
                <c:pt idx="5843">
                  <c:v>4.5365190000000002</c:v>
                </c:pt>
                <c:pt idx="5844">
                  <c:v>3.8367239999999967</c:v>
                </c:pt>
                <c:pt idx="5845">
                  <c:v>3.5072399999999999</c:v>
                </c:pt>
                <c:pt idx="5846">
                  <c:v>3.2436690000000001</c:v>
                </c:pt>
                <c:pt idx="5847">
                  <c:v>3.4100679999999977</c:v>
                </c:pt>
                <c:pt idx="5848">
                  <c:v>3.4254749999999987</c:v>
                </c:pt>
                <c:pt idx="5849">
                  <c:v>3.0821479999999997</c:v>
                </c:pt>
                <c:pt idx="5850">
                  <c:v>3.0304259999999967</c:v>
                </c:pt>
                <c:pt idx="5851">
                  <c:v>3.0151979999999998</c:v>
                </c:pt>
                <c:pt idx="5852">
                  <c:v>3.5391399999999997</c:v>
                </c:pt>
                <c:pt idx="5853">
                  <c:v>3.7051729999999998</c:v>
                </c:pt>
                <c:pt idx="5854">
                  <c:v>3.8040089999999829</c:v>
                </c:pt>
                <c:pt idx="5855">
                  <c:v>3.7991199999999998</c:v>
                </c:pt>
                <c:pt idx="5856">
                  <c:v>3.7732260000000002</c:v>
                </c:pt>
                <c:pt idx="5857">
                  <c:v>3.5134370000000001</c:v>
                </c:pt>
                <c:pt idx="5858">
                  <c:v>3.4048059999999967</c:v>
                </c:pt>
                <c:pt idx="5859">
                  <c:v>3.2646929999999998</c:v>
                </c:pt>
                <c:pt idx="5860">
                  <c:v>3.1805530000000002</c:v>
                </c:pt>
                <c:pt idx="5861">
                  <c:v>3.058697</c:v>
                </c:pt>
                <c:pt idx="5862">
                  <c:v>3.0315399999999997</c:v>
                </c:pt>
                <c:pt idx="5863">
                  <c:v>3.2704209999999998</c:v>
                </c:pt>
                <c:pt idx="5864">
                  <c:v>3.771077</c:v>
                </c:pt>
                <c:pt idx="5865">
                  <c:v>4.0405829999999945</c:v>
                </c:pt>
                <c:pt idx="5866">
                  <c:v>3.8146989999999779</c:v>
                </c:pt>
                <c:pt idx="5867">
                  <c:v>3.708672</c:v>
                </c:pt>
                <c:pt idx="5868">
                  <c:v>2.9978289999999967</c:v>
                </c:pt>
                <c:pt idx="5869">
                  <c:v>2.8194069999999765</c:v>
                </c:pt>
                <c:pt idx="5870">
                  <c:v>3.0200149999999999</c:v>
                </c:pt>
                <c:pt idx="5871">
                  <c:v>2.9733130000000001</c:v>
                </c:pt>
                <c:pt idx="5872">
                  <c:v>3.0835460000000001</c:v>
                </c:pt>
                <c:pt idx="5873">
                  <c:v>3.2476769999999999</c:v>
                </c:pt>
                <c:pt idx="5874">
                  <c:v>2.9971109999999999</c:v>
                </c:pt>
                <c:pt idx="5875">
                  <c:v>2.8798659999999692</c:v>
                </c:pt>
                <c:pt idx="5876">
                  <c:v>2.8548749999999967</c:v>
                </c:pt>
                <c:pt idx="5877">
                  <c:v>2.96408</c:v>
                </c:pt>
                <c:pt idx="5878">
                  <c:v>2.8513639999999967</c:v>
                </c:pt>
                <c:pt idx="5879">
                  <c:v>2.8142239999999967</c:v>
                </c:pt>
                <c:pt idx="5880">
                  <c:v>3.5098679999999987</c:v>
                </c:pt>
                <c:pt idx="5881">
                  <c:v>4.1142499999999975</c:v>
                </c:pt>
                <c:pt idx="5882">
                  <c:v>3.9939719999999999</c:v>
                </c:pt>
                <c:pt idx="5883">
                  <c:v>4.2522589999999996</c:v>
                </c:pt>
                <c:pt idx="5884">
                  <c:v>4.1514610000000003</c:v>
                </c:pt>
                <c:pt idx="5885">
                  <c:v>4.233049000000042</c:v>
                </c:pt>
                <c:pt idx="5886">
                  <c:v>4.0477369999999855</c:v>
                </c:pt>
                <c:pt idx="5887">
                  <c:v>4.1513960000000001</c:v>
                </c:pt>
                <c:pt idx="5888">
                  <c:v>4.3573439999999986</c:v>
                </c:pt>
                <c:pt idx="5889">
                  <c:v>4.3905729999999945</c:v>
                </c:pt>
                <c:pt idx="5890">
                  <c:v>4.2734740000000002</c:v>
                </c:pt>
                <c:pt idx="5891">
                  <c:v>4.0504569999999855</c:v>
                </c:pt>
                <c:pt idx="5892">
                  <c:v>3.8646910000000001</c:v>
                </c:pt>
                <c:pt idx="5893">
                  <c:v>3.8674619999999997</c:v>
                </c:pt>
                <c:pt idx="5894">
                  <c:v>4.0298339999999975</c:v>
                </c:pt>
                <c:pt idx="5895">
                  <c:v>3.9480119999999999</c:v>
                </c:pt>
                <c:pt idx="5896">
                  <c:v>3.9962619999999967</c:v>
                </c:pt>
                <c:pt idx="5897">
                  <c:v>3.406234</c:v>
                </c:pt>
                <c:pt idx="5898">
                  <c:v>3.2371310000000251</c:v>
                </c:pt>
                <c:pt idx="5899">
                  <c:v>3.4498189999999829</c:v>
                </c:pt>
                <c:pt idx="5900">
                  <c:v>3.4570529999999819</c:v>
                </c:pt>
                <c:pt idx="5901">
                  <c:v>3.142404</c:v>
                </c:pt>
                <c:pt idx="5902">
                  <c:v>3.1726189999999779</c:v>
                </c:pt>
                <c:pt idx="5903">
                  <c:v>3.3905729999999967</c:v>
                </c:pt>
                <c:pt idx="5904">
                  <c:v>3.3380789999999769</c:v>
                </c:pt>
                <c:pt idx="5905">
                  <c:v>3.3140589999999692</c:v>
                </c:pt>
                <c:pt idx="5906">
                  <c:v>3.4869149999999998</c:v>
                </c:pt>
                <c:pt idx="5907">
                  <c:v>3.5498549999999987</c:v>
                </c:pt>
                <c:pt idx="5908">
                  <c:v>4.1555469999999755</c:v>
                </c:pt>
                <c:pt idx="5909">
                  <c:v>4.0641259999999582</c:v>
                </c:pt>
                <c:pt idx="5910">
                  <c:v>3.9135879999999998</c:v>
                </c:pt>
                <c:pt idx="5911">
                  <c:v>3.8522109999999778</c:v>
                </c:pt>
                <c:pt idx="5912">
                  <c:v>3.762302</c:v>
                </c:pt>
                <c:pt idx="5913">
                  <c:v>3.949014</c:v>
                </c:pt>
                <c:pt idx="5914">
                  <c:v>4.4747180000000002</c:v>
                </c:pt>
                <c:pt idx="5915">
                  <c:v>4.4648479999999955</c:v>
                </c:pt>
                <c:pt idx="5916">
                  <c:v>4.4769620000000421</c:v>
                </c:pt>
                <c:pt idx="5917">
                  <c:v>4.3062100000000001</c:v>
                </c:pt>
                <c:pt idx="5918">
                  <c:v>4.4778430000000133</c:v>
                </c:pt>
                <c:pt idx="5919">
                  <c:v>4.2380060000000004</c:v>
                </c:pt>
                <c:pt idx="5920">
                  <c:v>4.0144499999999965</c:v>
                </c:pt>
                <c:pt idx="5921">
                  <c:v>3.6367439999999829</c:v>
                </c:pt>
                <c:pt idx="5922">
                  <c:v>3.6496429999999829</c:v>
                </c:pt>
                <c:pt idx="5923">
                  <c:v>3.7468940000000002</c:v>
                </c:pt>
                <c:pt idx="5924">
                  <c:v>3.8896069999999967</c:v>
                </c:pt>
                <c:pt idx="5925">
                  <c:v>3.7655889999999999</c:v>
                </c:pt>
                <c:pt idx="5926">
                  <c:v>4.035336</c:v>
                </c:pt>
                <c:pt idx="5927">
                  <c:v>4.0486640000000014</c:v>
                </c:pt>
                <c:pt idx="5928">
                  <c:v>3.8741970000000001</c:v>
                </c:pt>
                <c:pt idx="5929">
                  <c:v>3.7044540000000001</c:v>
                </c:pt>
                <c:pt idx="5930">
                  <c:v>3.7771260000000177</c:v>
                </c:pt>
                <c:pt idx="5931">
                  <c:v>3.999126</c:v>
                </c:pt>
                <c:pt idx="5932">
                  <c:v>3.9027989999999977</c:v>
                </c:pt>
                <c:pt idx="5933">
                  <c:v>3.9457740000000001</c:v>
                </c:pt>
                <c:pt idx="5934">
                  <c:v>4.0233449999999955</c:v>
                </c:pt>
                <c:pt idx="5935">
                  <c:v>4.1485089999999945</c:v>
                </c:pt>
                <c:pt idx="5936">
                  <c:v>4.070362000000042</c:v>
                </c:pt>
                <c:pt idx="5937">
                  <c:v>4.2552120000000002</c:v>
                </c:pt>
                <c:pt idx="5938">
                  <c:v>4.4482889999999999</c:v>
                </c:pt>
                <c:pt idx="5939">
                  <c:v>4.6631999999999945</c:v>
                </c:pt>
                <c:pt idx="5940">
                  <c:v>4.3972099999999985</c:v>
                </c:pt>
                <c:pt idx="5941">
                  <c:v>4.3539869999999645</c:v>
                </c:pt>
                <c:pt idx="5942">
                  <c:v>4.0561970000000001</c:v>
                </c:pt>
                <c:pt idx="5943">
                  <c:v>3.5532519999999987</c:v>
                </c:pt>
                <c:pt idx="5944">
                  <c:v>3.2986810000000002</c:v>
                </c:pt>
                <c:pt idx="5945">
                  <c:v>3.3174929999999967</c:v>
                </c:pt>
                <c:pt idx="5946">
                  <c:v>3.257285</c:v>
                </c:pt>
                <c:pt idx="5947">
                  <c:v>3.9293369999999999</c:v>
                </c:pt>
                <c:pt idx="5948">
                  <c:v>4.3416940000000004</c:v>
                </c:pt>
                <c:pt idx="5949">
                  <c:v>4.7034750000000001</c:v>
                </c:pt>
                <c:pt idx="5950">
                  <c:v>4.9608539999999985</c:v>
                </c:pt>
                <c:pt idx="5951">
                  <c:v>4.8625639999999946</c:v>
                </c:pt>
                <c:pt idx="5952">
                  <c:v>3.9208679999999987</c:v>
                </c:pt>
                <c:pt idx="5953">
                  <c:v>3.1271020000000012</c:v>
                </c:pt>
                <c:pt idx="5954">
                  <c:v>2.8555299999999977</c:v>
                </c:pt>
                <c:pt idx="5955">
                  <c:v>2.9683609999999998</c:v>
                </c:pt>
                <c:pt idx="5956">
                  <c:v>2.7907980000000001</c:v>
                </c:pt>
                <c:pt idx="5957">
                  <c:v>2.8263849999999997</c:v>
                </c:pt>
                <c:pt idx="5958">
                  <c:v>2.8782609999999829</c:v>
                </c:pt>
                <c:pt idx="5959">
                  <c:v>2.1106129999999967</c:v>
                </c:pt>
                <c:pt idx="5960">
                  <c:v>2.206251</c:v>
                </c:pt>
                <c:pt idx="5961">
                  <c:v>2.4143759999999967</c:v>
                </c:pt>
                <c:pt idx="5962">
                  <c:v>2.5261309999999999</c:v>
                </c:pt>
                <c:pt idx="5963">
                  <c:v>2.7105540000000001</c:v>
                </c:pt>
                <c:pt idx="5964">
                  <c:v>3.3087559999999967</c:v>
                </c:pt>
                <c:pt idx="5965">
                  <c:v>3.274505</c:v>
                </c:pt>
                <c:pt idx="5966">
                  <c:v>2.5201910000000205</c:v>
                </c:pt>
                <c:pt idx="5967">
                  <c:v>2.1182399999999997</c:v>
                </c:pt>
                <c:pt idx="5968">
                  <c:v>2.2311960000000002</c:v>
                </c:pt>
                <c:pt idx="5969">
                  <c:v>2.7937660000000002</c:v>
                </c:pt>
                <c:pt idx="5970">
                  <c:v>2.7309380000000001</c:v>
                </c:pt>
                <c:pt idx="5971">
                  <c:v>2.8615049999999997</c:v>
                </c:pt>
                <c:pt idx="5972">
                  <c:v>2.92658</c:v>
                </c:pt>
                <c:pt idx="5973">
                  <c:v>3.2445710000000205</c:v>
                </c:pt>
                <c:pt idx="5974">
                  <c:v>3.0526089999999719</c:v>
                </c:pt>
                <c:pt idx="5975">
                  <c:v>2.7279860000000205</c:v>
                </c:pt>
                <c:pt idx="5976">
                  <c:v>3.4258049999999987</c:v>
                </c:pt>
                <c:pt idx="5977">
                  <c:v>3.5688219999999999</c:v>
                </c:pt>
                <c:pt idx="5978">
                  <c:v>3.6774300000000002</c:v>
                </c:pt>
                <c:pt idx="5979">
                  <c:v>3.4402749999999997</c:v>
                </c:pt>
                <c:pt idx="5980">
                  <c:v>3.3055879999999997</c:v>
                </c:pt>
                <c:pt idx="5981">
                  <c:v>3.2637360000000251</c:v>
                </c:pt>
                <c:pt idx="5982">
                  <c:v>3.3481310000000177</c:v>
                </c:pt>
                <c:pt idx="5983">
                  <c:v>3.3486179999999997</c:v>
                </c:pt>
                <c:pt idx="5984">
                  <c:v>3.3597679999999968</c:v>
                </c:pt>
                <c:pt idx="5985">
                  <c:v>3.8850249999999997</c:v>
                </c:pt>
                <c:pt idx="5986">
                  <c:v>3.6736489999999828</c:v>
                </c:pt>
                <c:pt idx="5987">
                  <c:v>3.9595229999999977</c:v>
                </c:pt>
                <c:pt idx="5988">
                  <c:v>3.5974499999999967</c:v>
                </c:pt>
                <c:pt idx="5989">
                  <c:v>3.2093539999999998</c:v>
                </c:pt>
                <c:pt idx="5990">
                  <c:v>2.6129099999999967</c:v>
                </c:pt>
                <c:pt idx="5991">
                  <c:v>2.7283539999999999</c:v>
                </c:pt>
                <c:pt idx="5992">
                  <c:v>2.6045099999999999</c:v>
                </c:pt>
                <c:pt idx="5993">
                  <c:v>2.5256189999999967</c:v>
                </c:pt>
                <c:pt idx="5994">
                  <c:v>2.4876839999999998</c:v>
                </c:pt>
                <c:pt idx="5995">
                  <c:v>2.4045329999999998</c:v>
                </c:pt>
                <c:pt idx="5996">
                  <c:v>2.9800610000000001</c:v>
                </c:pt>
                <c:pt idx="5997">
                  <c:v>3.1639840000000219</c:v>
                </c:pt>
                <c:pt idx="5998">
                  <c:v>3.5386079999999978</c:v>
                </c:pt>
                <c:pt idx="5999">
                  <c:v>3.5695969999999999</c:v>
                </c:pt>
                <c:pt idx="6000">
                  <c:v>3.5311940000000002</c:v>
                </c:pt>
                <c:pt idx="6001">
                  <c:v>3.3349509999999967</c:v>
                </c:pt>
                <c:pt idx="6002">
                  <c:v>3.4028829999999779</c:v>
                </c:pt>
                <c:pt idx="6003">
                  <c:v>3.2355839999999998</c:v>
                </c:pt>
                <c:pt idx="6004">
                  <c:v>3.1170599999999977</c:v>
                </c:pt>
                <c:pt idx="6005">
                  <c:v>3.0876540000000001</c:v>
                </c:pt>
                <c:pt idx="6006">
                  <c:v>3.2911630000000001</c:v>
                </c:pt>
                <c:pt idx="6007">
                  <c:v>3.387778</c:v>
                </c:pt>
                <c:pt idx="6008">
                  <c:v>3.4300819999999987</c:v>
                </c:pt>
                <c:pt idx="6009">
                  <c:v>3.9914519999999967</c:v>
                </c:pt>
                <c:pt idx="6010">
                  <c:v>4.4248979999999865</c:v>
                </c:pt>
                <c:pt idx="6011">
                  <c:v>3.801755999999981</c:v>
                </c:pt>
                <c:pt idx="6012">
                  <c:v>2.7402099999999998</c:v>
                </c:pt>
                <c:pt idx="6013">
                  <c:v>2.4468769999999829</c:v>
                </c:pt>
                <c:pt idx="6014">
                  <c:v>2.5564529999999692</c:v>
                </c:pt>
                <c:pt idx="6015">
                  <c:v>2.6597729999999977</c:v>
                </c:pt>
                <c:pt idx="6016">
                  <c:v>2.5799569999999967</c:v>
                </c:pt>
                <c:pt idx="6017">
                  <c:v>2.4084479999999977</c:v>
                </c:pt>
                <c:pt idx="6018">
                  <c:v>1.9799269999999938</c:v>
                </c:pt>
                <c:pt idx="6019">
                  <c:v>1.9456279999999972</c:v>
                </c:pt>
                <c:pt idx="6020">
                  <c:v>2.3933930000000001</c:v>
                </c:pt>
                <c:pt idx="6021">
                  <c:v>2.5582989999999977</c:v>
                </c:pt>
                <c:pt idx="6022">
                  <c:v>2.607062</c:v>
                </c:pt>
                <c:pt idx="6023">
                  <c:v>2.67334</c:v>
                </c:pt>
                <c:pt idx="6024">
                  <c:v>2.8731979999999999</c:v>
                </c:pt>
                <c:pt idx="6025">
                  <c:v>3.1841840000000219</c:v>
                </c:pt>
                <c:pt idx="6026">
                  <c:v>3.2997800000000002</c:v>
                </c:pt>
                <c:pt idx="6027">
                  <c:v>3.3471660000000001</c:v>
                </c:pt>
                <c:pt idx="6028">
                  <c:v>3.3092399999999977</c:v>
                </c:pt>
                <c:pt idx="6029">
                  <c:v>3.2238609999999999</c:v>
                </c:pt>
                <c:pt idx="6030">
                  <c:v>3.3803559999999977</c:v>
                </c:pt>
                <c:pt idx="6031">
                  <c:v>3.4164229999999765</c:v>
                </c:pt>
                <c:pt idx="6032">
                  <c:v>3.5199599999999927</c:v>
                </c:pt>
                <c:pt idx="6033">
                  <c:v>4.0044149999999545</c:v>
                </c:pt>
                <c:pt idx="6034">
                  <c:v>4.2328659999999996</c:v>
                </c:pt>
                <c:pt idx="6035">
                  <c:v>4.3398580000000004</c:v>
                </c:pt>
                <c:pt idx="6036">
                  <c:v>6.9000060000000003</c:v>
                </c:pt>
                <c:pt idx="6037">
                  <c:v>3.3734129999999967</c:v>
                </c:pt>
                <c:pt idx="6038">
                  <c:v>3.2191200000000002</c:v>
                </c:pt>
                <c:pt idx="6039">
                  <c:v>3.4608429999999779</c:v>
                </c:pt>
                <c:pt idx="6040">
                  <c:v>2.9882369999999998</c:v>
                </c:pt>
                <c:pt idx="6041">
                  <c:v>2.9617849999999999</c:v>
                </c:pt>
                <c:pt idx="6042">
                  <c:v>2.9717289999999967</c:v>
                </c:pt>
                <c:pt idx="6043">
                  <c:v>2.8544919999999987</c:v>
                </c:pt>
                <c:pt idx="6044">
                  <c:v>2.9393319999999998</c:v>
                </c:pt>
                <c:pt idx="6045">
                  <c:v>3.0187270000000002</c:v>
                </c:pt>
                <c:pt idx="6046">
                  <c:v>3.2801140000000251</c:v>
                </c:pt>
                <c:pt idx="6047">
                  <c:v>3.2637250000000186</c:v>
                </c:pt>
                <c:pt idx="6048">
                  <c:v>3.6069519999999997</c:v>
                </c:pt>
                <c:pt idx="6049">
                  <c:v>3.7269130000000001</c:v>
                </c:pt>
                <c:pt idx="6050">
                  <c:v>3.7881670000000205</c:v>
                </c:pt>
                <c:pt idx="6051">
                  <c:v>3.6475659999999999</c:v>
                </c:pt>
                <c:pt idx="6052">
                  <c:v>4.1342410000000003</c:v>
                </c:pt>
                <c:pt idx="6053">
                  <c:v>4.1258329999999646</c:v>
                </c:pt>
                <c:pt idx="6054">
                  <c:v>4.1309549999999655</c:v>
                </c:pt>
                <c:pt idx="6055">
                  <c:v>4.0230889999999855</c:v>
                </c:pt>
                <c:pt idx="6056">
                  <c:v>4.1923999999999975</c:v>
                </c:pt>
                <c:pt idx="6057">
                  <c:v>4.3308849999999746</c:v>
                </c:pt>
                <c:pt idx="6058">
                  <c:v>4.3215509999999755</c:v>
                </c:pt>
                <c:pt idx="6059">
                  <c:v>4.2370999999999999</c:v>
                </c:pt>
                <c:pt idx="6060">
                  <c:v>3.4347840000000001</c:v>
                </c:pt>
                <c:pt idx="6061">
                  <c:v>3.3337179999999997</c:v>
                </c:pt>
                <c:pt idx="6062">
                  <c:v>3.2513640000000001</c:v>
                </c:pt>
                <c:pt idx="6063">
                  <c:v>3.3916819999999968</c:v>
                </c:pt>
                <c:pt idx="6064">
                  <c:v>3.3365159999999778</c:v>
                </c:pt>
                <c:pt idx="6065">
                  <c:v>3.3569939999999967</c:v>
                </c:pt>
                <c:pt idx="6066">
                  <c:v>3.0591249999999999</c:v>
                </c:pt>
                <c:pt idx="6067">
                  <c:v>3.0189569999999977</c:v>
                </c:pt>
                <c:pt idx="6068">
                  <c:v>3.3298089999999769</c:v>
                </c:pt>
                <c:pt idx="6069">
                  <c:v>3.0419969999999998</c:v>
                </c:pt>
                <c:pt idx="6070">
                  <c:v>3.5886140000000002</c:v>
                </c:pt>
                <c:pt idx="6071">
                  <c:v>3.4609570000000001</c:v>
                </c:pt>
                <c:pt idx="6072">
                  <c:v>3.6438670000000002</c:v>
                </c:pt>
                <c:pt idx="6073">
                  <c:v>3.7383980000000001</c:v>
                </c:pt>
                <c:pt idx="6074">
                  <c:v>3.7478030000000002</c:v>
                </c:pt>
                <c:pt idx="6075">
                  <c:v>3.7105370000000177</c:v>
                </c:pt>
                <c:pt idx="6076">
                  <c:v>3.9524709999999779</c:v>
                </c:pt>
                <c:pt idx="6077">
                  <c:v>3.8061459999999778</c:v>
                </c:pt>
                <c:pt idx="6078">
                  <c:v>3.8109739999999968</c:v>
                </c:pt>
                <c:pt idx="6079">
                  <c:v>3.9706019999999977</c:v>
                </c:pt>
                <c:pt idx="6080">
                  <c:v>4.1635419999999845</c:v>
                </c:pt>
                <c:pt idx="6081">
                  <c:v>4.4301440000000003</c:v>
                </c:pt>
                <c:pt idx="6082">
                  <c:v>4.6336870000000001</c:v>
                </c:pt>
                <c:pt idx="6083">
                  <c:v>4.4851270000000003</c:v>
                </c:pt>
                <c:pt idx="6084">
                  <c:v>3.3940649999999977</c:v>
                </c:pt>
                <c:pt idx="6085">
                  <c:v>3.5109349999999999</c:v>
                </c:pt>
                <c:pt idx="6086">
                  <c:v>3.434164</c:v>
                </c:pt>
                <c:pt idx="6087">
                  <c:v>3.5659890000000001</c:v>
                </c:pt>
                <c:pt idx="6088">
                  <c:v>3.2574160000000001</c:v>
                </c:pt>
                <c:pt idx="6089">
                  <c:v>3.2078959999999999</c:v>
                </c:pt>
                <c:pt idx="6090">
                  <c:v>3.162115</c:v>
                </c:pt>
                <c:pt idx="6091">
                  <c:v>3.022297</c:v>
                </c:pt>
                <c:pt idx="6092">
                  <c:v>3.577429</c:v>
                </c:pt>
                <c:pt idx="6093">
                  <c:v>3.7617840000000204</c:v>
                </c:pt>
                <c:pt idx="6094">
                  <c:v>3.6794579999999977</c:v>
                </c:pt>
                <c:pt idx="6095">
                  <c:v>3.8658079999999977</c:v>
                </c:pt>
                <c:pt idx="6096">
                  <c:v>3.6183779999999999</c:v>
                </c:pt>
                <c:pt idx="6097">
                  <c:v>3.0746649999999978</c:v>
                </c:pt>
                <c:pt idx="6098">
                  <c:v>3.0593459999999779</c:v>
                </c:pt>
                <c:pt idx="6099">
                  <c:v>2.7719040000000001</c:v>
                </c:pt>
                <c:pt idx="6100">
                  <c:v>2.9094629999999801</c:v>
                </c:pt>
                <c:pt idx="6101">
                  <c:v>2.8166539999999682</c:v>
                </c:pt>
                <c:pt idx="6102">
                  <c:v>3.1496479999999987</c:v>
                </c:pt>
                <c:pt idx="6103">
                  <c:v>3.465071</c:v>
                </c:pt>
                <c:pt idx="6104">
                  <c:v>3.7210779999999999</c:v>
                </c:pt>
                <c:pt idx="6105">
                  <c:v>3.7013389999999999</c:v>
                </c:pt>
                <c:pt idx="6106">
                  <c:v>3.7491660000000002</c:v>
                </c:pt>
                <c:pt idx="6107">
                  <c:v>3.5869369999999998</c:v>
                </c:pt>
                <c:pt idx="6108">
                  <c:v>2.9935830000000001</c:v>
                </c:pt>
                <c:pt idx="6109">
                  <c:v>2.7701810000000204</c:v>
                </c:pt>
                <c:pt idx="6110">
                  <c:v>2.6773940000000205</c:v>
                </c:pt>
                <c:pt idx="6111">
                  <c:v>2.7553130000000001</c:v>
                </c:pt>
                <c:pt idx="6112">
                  <c:v>2.8874390000000001</c:v>
                </c:pt>
                <c:pt idx="6113">
                  <c:v>2.9140979999999987</c:v>
                </c:pt>
                <c:pt idx="6114">
                  <c:v>3.0701740000000002</c:v>
                </c:pt>
                <c:pt idx="6115">
                  <c:v>2.6740779999999997</c:v>
                </c:pt>
                <c:pt idx="6116">
                  <c:v>2.4950079999999977</c:v>
                </c:pt>
                <c:pt idx="6117">
                  <c:v>2.6336459999999819</c:v>
                </c:pt>
                <c:pt idx="6118">
                  <c:v>2.5920669999999779</c:v>
                </c:pt>
                <c:pt idx="6119">
                  <c:v>2.7814079999999999</c:v>
                </c:pt>
                <c:pt idx="6120">
                  <c:v>2.9436599999999977</c:v>
                </c:pt>
                <c:pt idx="6121">
                  <c:v>3.0769099999999967</c:v>
                </c:pt>
                <c:pt idx="6122">
                  <c:v>3.3138809999999967</c:v>
                </c:pt>
                <c:pt idx="6123">
                  <c:v>3.3440119999999998</c:v>
                </c:pt>
                <c:pt idx="6124">
                  <c:v>3.4884429999999829</c:v>
                </c:pt>
                <c:pt idx="6125">
                  <c:v>3.6600380000000001</c:v>
                </c:pt>
                <c:pt idx="6126">
                  <c:v>3.6629740000000002</c:v>
                </c:pt>
                <c:pt idx="6127">
                  <c:v>3.7122829999999967</c:v>
                </c:pt>
                <c:pt idx="6128">
                  <c:v>3.7520529999999779</c:v>
                </c:pt>
                <c:pt idx="6129">
                  <c:v>3.5864219999999998</c:v>
                </c:pt>
                <c:pt idx="6130">
                  <c:v>3.627812</c:v>
                </c:pt>
                <c:pt idx="6131">
                  <c:v>3.4350499999999737</c:v>
                </c:pt>
                <c:pt idx="6132">
                  <c:v>3.1725499999999967</c:v>
                </c:pt>
                <c:pt idx="6133">
                  <c:v>2.8309569999999828</c:v>
                </c:pt>
                <c:pt idx="6134">
                  <c:v>3.1412589999999967</c:v>
                </c:pt>
                <c:pt idx="6135">
                  <c:v>2.8985829999999977</c:v>
                </c:pt>
                <c:pt idx="6136">
                  <c:v>2.8199939999999977</c:v>
                </c:pt>
                <c:pt idx="6137">
                  <c:v>2.7347320000000002</c:v>
                </c:pt>
                <c:pt idx="6138">
                  <c:v>2.7249050000000001</c:v>
                </c:pt>
                <c:pt idx="6139">
                  <c:v>2.7511679999999998</c:v>
                </c:pt>
                <c:pt idx="6140">
                  <c:v>2.6354519999999977</c:v>
                </c:pt>
                <c:pt idx="6141">
                  <c:v>2.8247949999999999</c:v>
                </c:pt>
                <c:pt idx="6142">
                  <c:v>3.2331660000000002</c:v>
                </c:pt>
                <c:pt idx="6143">
                  <c:v>3.0989629999999977</c:v>
                </c:pt>
                <c:pt idx="6144">
                  <c:v>3.6521669999999977</c:v>
                </c:pt>
                <c:pt idx="6145">
                  <c:v>4.2371539999999985</c:v>
                </c:pt>
                <c:pt idx="6146">
                  <c:v>3.979123</c:v>
                </c:pt>
                <c:pt idx="6147">
                  <c:v>4.1358779999999955</c:v>
                </c:pt>
                <c:pt idx="6148">
                  <c:v>3.8696399999999977</c:v>
                </c:pt>
                <c:pt idx="6149">
                  <c:v>3.8067359999999977</c:v>
                </c:pt>
                <c:pt idx="6150">
                  <c:v>3.8119049999999977</c:v>
                </c:pt>
                <c:pt idx="6151">
                  <c:v>3.8322339999999819</c:v>
                </c:pt>
                <c:pt idx="6152">
                  <c:v>3.9378310000000001</c:v>
                </c:pt>
                <c:pt idx="6153">
                  <c:v>4.3724080000000001</c:v>
                </c:pt>
                <c:pt idx="6154">
                  <c:v>4.8813259999999996</c:v>
                </c:pt>
                <c:pt idx="6155">
                  <c:v>4.9246949999999945</c:v>
                </c:pt>
                <c:pt idx="6156">
                  <c:v>4.6718909999999996</c:v>
                </c:pt>
                <c:pt idx="6157">
                  <c:v>4.1199879999999665</c:v>
                </c:pt>
                <c:pt idx="6158">
                  <c:v>3.7474180000000001</c:v>
                </c:pt>
                <c:pt idx="6159">
                  <c:v>3.7979970000000205</c:v>
                </c:pt>
                <c:pt idx="6160">
                  <c:v>3.5893139999999999</c:v>
                </c:pt>
                <c:pt idx="6161">
                  <c:v>3.3378359999999967</c:v>
                </c:pt>
                <c:pt idx="6162">
                  <c:v>3.1467100000000001</c:v>
                </c:pt>
                <c:pt idx="6163">
                  <c:v>3.8075899999999998</c:v>
                </c:pt>
                <c:pt idx="6164">
                  <c:v>4.0081359999999755</c:v>
                </c:pt>
                <c:pt idx="6165">
                  <c:v>4.10189</c:v>
                </c:pt>
                <c:pt idx="6166">
                  <c:v>4.1100539999999945</c:v>
                </c:pt>
                <c:pt idx="6167">
                  <c:v>3.9742179999999987</c:v>
                </c:pt>
                <c:pt idx="6168">
                  <c:v>3.7674340000000224</c:v>
                </c:pt>
                <c:pt idx="6169">
                  <c:v>3.6157469999999967</c:v>
                </c:pt>
                <c:pt idx="6170">
                  <c:v>4.017169</c:v>
                </c:pt>
                <c:pt idx="6171">
                  <c:v>3.8926089999999682</c:v>
                </c:pt>
                <c:pt idx="6172">
                  <c:v>3.8033389999999998</c:v>
                </c:pt>
                <c:pt idx="6173">
                  <c:v>3.8719759999999779</c:v>
                </c:pt>
                <c:pt idx="6174">
                  <c:v>3.9147949999999998</c:v>
                </c:pt>
                <c:pt idx="6175">
                  <c:v>4.0162329999999997</c:v>
                </c:pt>
                <c:pt idx="6176">
                  <c:v>4.1561859999999591</c:v>
                </c:pt>
                <c:pt idx="6177">
                  <c:v>4.431745000000042</c:v>
                </c:pt>
                <c:pt idx="6178">
                  <c:v>4.7669119999999845</c:v>
                </c:pt>
                <c:pt idx="6179">
                  <c:v>5.2585249999999855</c:v>
                </c:pt>
                <c:pt idx="6180">
                  <c:v>5.0723479999999999</c:v>
                </c:pt>
                <c:pt idx="6181">
                  <c:v>4.6476879999999845</c:v>
                </c:pt>
                <c:pt idx="6182">
                  <c:v>4.2534689999999999</c:v>
                </c:pt>
                <c:pt idx="6183">
                  <c:v>4.0873859999999755</c:v>
                </c:pt>
                <c:pt idx="6184">
                  <c:v>4.1948599999999745</c:v>
                </c:pt>
                <c:pt idx="6185">
                  <c:v>4.4010170000000004</c:v>
                </c:pt>
                <c:pt idx="6186">
                  <c:v>4.2035070000000001</c:v>
                </c:pt>
                <c:pt idx="6187">
                  <c:v>4.1847019999999855</c:v>
                </c:pt>
                <c:pt idx="6188">
                  <c:v>4.2467690000000458</c:v>
                </c:pt>
                <c:pt idx="6189">
                  <c:v>4.2173569999999945</c:v>
                </c:pt>
                <c:pt idx="6190">
                  <c:v>4.1200079999999755</c:v>
                </c:pt>
                <c:pt idx="6191">
                  <c:v>4.1796329999999999</c:v>
                </c:pt>
                <c:pt idx="6192">
                  <c:v>3.3532999999999977</c:v>
                </c:pt>
                <c:pt idx="6193">
                  <c:v>2.8484849999999997</c:v>
                </c:pt>
                <c:pt idx="6194">
                  <c:v>2.7299250000000002</c:v>
                </c:pt>
                <c:pt idx="6195">
                  <c:v>2.8870879999999999</c:v>
                </c:pt>
                <c:pt idx="6196">
                  <c:v>2.981582</c:v>
                </c:pt>
                <c:pt idx="6197">
                  <c:v>2.650293</c:v>
                </c:pt>
                <c:pt idx="6198">
                  <c:v>2.8155639999999829</c:v>
                </c:pt>
                <c:pt idx="6199">
                  <c:v>2.8195259999999829</c:v>
                </c:pt>
                <c:pt idx="6200">
                  <c:v>2.6467710000000002</c:v>
                </c:pt>
                <c:pt idx="6201">
                  <c:v>2.981579</c:v>
                </c:pt>
                <c:pt idx="6202">
                  <c:v>3.1290589999999967</c:v>
                </c:pt>
                <c:pt idx="6203">
                  <c:v>3.0630410000000001</c:v>
                </c:pt>
                <c:pt idx="6204">
                  <c:v>3.1673000000000204</c:v>
                </c:pt>
                <c:pt idx="6205">
                  <c:v>3.0259930000000002</c:v>
                </c:pt>
                <c:pt idx="6206">
                  <c:v>3.0908439999999819</c:v>
                </c:pt>
                <c:pt idx="6207">
                  <c:v>2.9544959999999967</c:v>
                </c:pt>
                <c:pt idx="6208">
                  <c:v>2.9163919999999997</c:v>
                </c:pt>
                <c:pt idx="6209">
                  <c:v>2.990974</c:v>
                </c:pt>
                <c:pt idx="6210">
                  <c:v>2.9615800000000001</c:v>
                </c:pt>
                <c:pt idx="6211">
                  <c:v>2.8455719999999998</c:v>
                </c:pt>
                <c:pt idx="6212">
                  <c:v>2.9293130000000001</c:v>
                </c:pt>
                <c:pt idx="6213">
                  <c:v>2.9501740000000001</c:v>
                </c:pt>
                <c:pt idx="6214">
                  <c:v>2.6873760000000186</c:v>
                </c:pt>
                <c:pt idx="6215">
                  <c:v>2.8159209999999977</c:v>
                </c:pt>
                <c:pt idx="6216">
                  <c:v>2.6361379999999999</c:v>
                </c:pt>
                <c:pt idx="6217">
                  <c:v>2.7488370000000177</c:v>
                </c:pt>
                <c:pt idx="6218">
                  <c:v>2.817536</c:v>
                </c:pt>
                <c:pt idx="6219">
                  <c:v>2.7142390000000001</c:v>
                </c:pt>
                <c:pt idx="6220">
                  <c:v>2.8266089999999733</c:v>
                </c:pt>
                <c:pt idx="6221">
                  <c:v>2.7620549999999997</c:v>
                </c:pt>
                <c:pt idx="6222">
                  <c:v>3.1239280000000011</c:v>
                </c:pt>
                <c:pt idx="6223">
                  <c:v>2.9638879999999999</c:v>
                </c:pt>
                <c:pt idx="6224">
                  <c:v>3.0662549999999977</c:v>
                </c:pt>
                <c:pt idx="6225">
                  <c:v>3.0245250000000001</c:v>
                </c:pt>
                <c:pt idx="6226">
                  <c:v>3.1596379999999997</c:v>
                </c:pt>
                <c:pt idx="6227">
                  <c:v>3.068349</c:v>
                </c:pt>
                <c:pt idx="6228">
                  <c:v>2.9647429999999977</c:v>
                </c:pt>
                <c:pt idx="6229">
                  <c:v>3.0458949999999998</c:v>
                </c:pt>
                <c:pt idx="6230">
                  <c:v>2.9919779999999987</c:v>
                </c:pt>
                <c:pt idx="6231">
                  <c:v>2.8871519999999999</c:v>
                </c:pt>
                <c:pt idx="6232">
                  <c:v>3.0369879999999987</c:v>
                </c:pt>
                <c:pt idx="6233">
                  <c:v>3.015323</c:v>
                </c:pt>
                <c:pt idx="6234">
                  <c:v>2.9644010000000001</c:v>
                </c:pt>
                <c:pt idx="6235">
                  <c:v>2.798759</c:v>
                </c:pt>
                <c:pt idx="6236">
                  <c:v>2.9579529999999967</c:v>
                </c:pt>
                <c:pt idx="6237">
                  <c:v>3.11409</c:v>
                </c:pt>
                <c:pt idx="6238">
                  <c:v>2.847826</c:v>
                </c:pt>
                <c:pt idx="6239">
                  <c:v>2.8451689999999967</c:v>
                </c:pt>
                <c:pt idx="6240">
                  <c:v>3.0379369999999999</c:v>
                </c:pt>
                <c:pt idx="6241">
                  <c:v>3.1229499999999977</c:v>
                </c:pt>
                <c:pt idx="6242">
                  <c:v>3.3285209999999998</c:v>
                </c:pt>
                <c:pt idx="6243">
                  <c:v>3.3153049999999977</c:v>
                </c:pt>
                <c:pt idx="6244">
                  <c:v>3.3181559999999779</c:v>
                </c:pt>
                <c:pt idx="6245">
                  <c:v>3.3671989999999998</c:v>
                </c:pt>
                <c:pt idx="6246">
                  <c:v>3.3973339999999999</c:v>
                </c:pt>
                <c:pt idx="6247">
                  <c:v>3.7158249999999997</c:v>
                </c:pt>
                <c:pt idx="6248">
                  <c:v>3.7602500000000001</c:v>
                </c:pt>
                <c:pt idx="6249">
                  <c:v>3.4509099999999977</c:v>
                </c:pt>
                <c:pt idx="6250">
                  <c:v>3.3922539999999692</c:v>
                </c:pt>
                <c:pt idx="6251">
                  <c:v>3.9406870000000001</c:v>
                </c:pt>
                <c:pt idx="6252">
                  <c:v>3.8400619999999988</c:v>
                </c:pt>
                <c:pt idx="6253">
                  <c:v>3.691713</c:v>
                </c:pt>
                <c:pt idx="6254">
                  <c:v>3.6516629999999779</c:v>
                </c:pt>
                <c:pt idx="6255">
                  <c:v>3.4442119999999998</c:v>
                </c:pt>
                <c:pt idx="6256">
                  <c:v>3.4299249999999999</c:v>
                </c:pt>
                <c:pt idx="6257">
                  <c:v>3.4476589999999967</c:v>
                </c:pt>
                <c:pt idx="6258">
                  <c:v>2.8921429999999724</c:v>
                </c:pt>
                <c:pt idx="6259">
                  <c:v>2.6806589999999977</c:v>
                </c:pt>
                <c:pt idx="6260">
                  <c:v>2.9779059999999977</c:v>
                </c:pt>
                <c:pt idx="6261">
                  <c:v>2.909338</c:v>
                </c:pt>
                <c:pt idx="6262">
                  <c:v>2.5292519999999987</c:v>
                </c:pt>
                <c:pt idx="6263">
                  <c:v>2.455867999999982</c:v>
                </c:pt>
                <c:pt idx="6264">
                  <c:v>3.1544110000000001</c:v>
                </c:pt>
                <c:pt idx="6265">
                  <c:v>3.8112059999999692</c:v>
                </c:pt>
                <c:pt idx="6266">
                  <c:v>3.6775760000000002</c:v>
                </c:pt>
                <c:pt idx="6267">
                  <c:v>3.5879500000000002</c:v>
                </c:pt>
                <c:pt idx="6268">
                  <c:v>3.5747960000000001</c:v>
                </c:pt>
                <c:pt idx="6269">
                  <c:v>3.5457990000000001</c:v>
                </c:pt>
                <c:pt idx="6270">
                  <c:v>3.66004</c:v>
                </c:pt>
                <c:pt idx="6271">
                  <c:v>3.9382289999999927</c:v>
                </c:pt>
                <c:pt idx="6272">
                  <c:v>3.9256340000000001</c:v>
                </c:pt>
                <c:pt idx="6273">
                  <c:v>4.1430139999999955</c:v>
                </c:pt>
                <c:pt idx="6274">
                  <c:v>3.7875429999999999</c:v>
                </c:pt>
                <c:pt idx="6275">
                  <c:v>4.0924139999999865</c:v>
                </c:pt>
                <c:pt idx="6276">
                  <c:v>4.5181469999999955</c:v>
                </c:pt>
                <c:pt idx="6277">
                  <c:v>4.4993379999999998</c:v>
                </c:pt>
                <c:pt idx="6278">
                  <c:v>4.2543709999999955</c:v>
                </c:pt>
                <c:pt idx="6279">
                  <c:v>4.2862510000000134</c:v>
                </c:pt>
                <c:pt idx="6280">
                  <c:v>4.2365290000000124</c:v>
                </c:pt>
                <c:pt idx="6281">
                  <c:v>4.2699099999999985</c:v>
                </c:pt>
                <c:pt idx="6282">
                  <c:v>4.2049369999999655</c:v>
                </c:pt>
                <c:pt idx="6283">
                  <c:v>4.0689749999999645</c:v>
                </c:pt>
                <c:pt idx="6284">
                  <c:v>4.4749460000000001</c:v>
                </c:pt>
                <c:pt idx="6285">
                  <c:v>4.2479990000000001</c:v>
                </c:pt>
                <c:pt idx="6286">
                  <c:v>3.9083510000000001</c:v>
                </c:pt>
                <c:pt idx="6287">
                  <c:v>3.943146</c:v>
                </c:pt>
                <c:pt idx="6288">
                  <c:v>3.3392139999999788</c:v>
                </c:pt>
                <c:pt idx="6289">
                  <c:v>2.9152459999999674</c:v>
                </c:pt>
                <c:pt idx="6290">
                  <c:v>3.0796749999999977</c:v>
                </c:pt>
                <c:pt idx="6291">
                  <c:v>2.9830049999999999</c:v>
                </c:pt>
                <c:pt idx="6292">
                  <c:v>2.960588</c:v>
                </c:pt>
                <c:pt idx="6293">
                  <c:v>3.0365769999999968</c:v>
                </c:pt>
                <c:pt idx="6294">
                  <c:v>3.0979199999999998</c:v>
                </c:pt>
                <c:pt idx="6295">
                  <c:v>3.2948059999999977</c:v>
                </c:pt>
                <c:pt idx="6296">
                  <c:v>3.2055880000000001</c:v>
                </c:pt>
                <c:pt idx="6297">
                  <c:v>3.053083</c:v>
                </c:pt>
                <c:pt idx="6298">
                  <c:v>3.4950409999999779</c:v>
                </c:pt>
                <c:pt idx="6299">
                  <c:v>3.5635870000000205</c:v>
                </c:pt>
                <c:pt idx="6300">
                  <c:v>3.719319</c:v>
                </c:pt>
                <c:pt idx="6301">
                  <c:v>3.8289779999999998</c:v>
                </c:pt>
                <c:pt idx="6302">
                  <c:v>3.9086699999999968</c:v>
                </c:pt>
                <c:pt idx="6303">
                  <c:v>4.1324059999999845</c:v>
                </c:pt>
                <c:pt idx="6304">
                  <c:v>4.0429169999999655</c:v>
                </c:pt>
                <c:pt idx="6305">
                  <c:v>3.924023</c:v>
                </c:pt>
                <c:pt idx="6306">
                  <c:v>3.9574759999999967</c:v>
                </c:pt>
                <c:pt idx="6307">
                  <c:v>3.6237910000000255</c:v>
                </c:pt>
                <c:pt idx="6308">
                  <c:v>3.3827279999999997</c:v>
                </c:pt>
                <c:pt idx="6309">
                  <c:v>3.6087989999999999</c:v>
                </c:pt>
                <c:pt idx="6310">
                  <c:v>3.2008760000000001</c:v>
                </c:pt>
                <c:pt idx="6311">
                  <c:v>3.2649320000000164</c:v>
                </c:pt>
                <c:pt idx="6312">
                  <c:v>3.1209060000000002</c:v>
                </c:pt>
                <c:pt idx="6313">
                  <c:v>3.2789280000000001</c:v>
                </c:pt>
                <c:pt idx="6314">
                  <c:v>3.1829170000000002</c:v>
                </c:pt>
                <c:pt idx="6315">
                  <c:v>3.1410930000000001</c:v>
                </c:pt>
                <c:pt idx="6316">
                  <c:v>3.3338609999999829</c:v>
                </c:pt>
                <c:pt idx="6317">
                  <c:v>3.3669859999999967</c:v>
                </c:pt>
                <c:pt idx="6318">
                  <c:v>3.7353860000000001</c:v>
                </c:pt>
                <c:pt idx="6319">
                  <c:v>3.5493459999999977</c:v>
                </c:pt>
                <c:pt idx="6320">
                  <c:v>3.6603430000000001</c:v>
                </c:pt>
                <c:pt idx="6321">
                  <c:v>4.1449099999999746</c:v>
                </c:pt>
                <c:pt idx="6322">
                  <c:v>3.9046049999999997</c:v>
                </c:pt>
                <c:pt idx="6323">
                  <c:v>3.9655179999999999</c:v>
                </c:pt>
                <c:pt idx="6324">
                  <c:v>3.981427</c:v>
                </c:pt>
                <c:pt idx="6325">
                  <c:v>3.964966</c:v>
                </c:pt>
                <c:pt idx="6326">
                  <c:v>4.377853</c:v>
                </c:pt>
                <c:pt idx="6327">
                  <c:v>3.9586029999999779</c:v>
                </c:pt>
                <c:pt idx="6328">
                  <c:v>3.8959319999999997</c:v>
                </c:pt>
                <c:pt idx="6329">
                  <c:v>3.7356579999999977</c:v>
                </c:pt>
                <c:pt idx="6330">
                  <c:v>3.6915170000000002</c:v>
                </c:pt>
                <c:pt idx="6331">
                  <c:v>3.7978399999999999</c:v>
                </c:pt>
                <c:pt idx="6332">
                  <c:v>3.8757629999999779</c:v>
                </c:pt>
                <c:pt idx="6333">
                  <c:v>4.1573469999999855</c:v>
                </c:pt>
                <c:pt idx="6334">
                  <c:v>4.1081709999999845</c:v>
                </c:pt>
                <c:pt idx="6335">
                  <c:v>3.9582929999999967</c:v>
                </c:pt>
                <c:pt idx="6336">
                  <c:v>3.4219970000000002</c:v>
                </c:pt>
                <c:pt idx="6337">
                  <c:v>3.3517639999999829</c:v>
                </c:pt>
                <c:pt idx="6338">
                  <c:v>3.1994119999999997</c:v>
                </c:pt>
                <c:pt idx="6339">
                  <c:v>3.029271</c:v>
                </c:pt>
                <c:pt idx="6340">
                  <c:v>3.0296449999999977</c:v>
                </c:pt>
                <c:pt idx="6341">
                  <c:v>3.1417940000000177</c:v>
                </c:pt>
                <c:pt idx="6342">
                  <c:v>3.1017199999999998</c:v>
                </c:pt>
                <c:pt idx="6343">
                  <c:v>3.1225459999999967</c:v>
                </c:pt>
                <c:pt idx="6344">
                  <c:v>3.4184449999999824</c:v>
                </c:pt>
                <c:pt idx="6345">
                  <c:v>3.6626059999999967</c:v>
                </c:pt>
                <c:pt idx="6346">
                  <c:v>3.6491289999999998</c:v>
                </c:pt>
                <c:pt idx="6347">
                  <c:v>3.7395299999999998</c:v>
                </c:pt>
                <c:pt idx="6348">
                  <c:v>3.7142940000000002</c:v>
                </c:pt>
                <c:pt idx="6349">
                  <c:v>3.6027670000000001</c:v>
                </c:pt>
                <c:pt idx="6350">
                  <c:v>3.5051909999999999</c:v>
                </c:pt>
                <c:pt idx="6351">
                  <c:v>3.1471350000000204</c:v>
                </c:pt>
                <c:pt idx="6352">
                  <c:v>3.2179280000000001</c:v>
                </c:pt>
                <c:pt idx="6353">
                  <c:v>3.1828659999999829</c:v>
                </c:pt>
                <c:pt idx="6354">
                  <c:v>3.2658449999999997</c:v>
                </c:pt>
                <c:pt idx="6355">
                  <c:v>3.5444649999999998</c:v>
                </c:pt>
                <c:pt idx="6356">
                  <c:v>3.3208919999999997</c:v>
                </c:pt>
                <c:pt idx="6357">
                  <c:v>3.1113979999999999</c:v>
                </c:pt>
                <c:pt idx="6358">
                  <c:v>3.0776059999999967</c:v>
                </c:pt>
                <c:pt idx="6359">
                  <c:v>3.0736179999999997</c:v>
                </c:pt>
                <c:pt idx="6360">
                  <c:v>3.4944849999999987</c:v>
                </c:pt>
                <c:pt idx="6361">
                  <c:v>3.9352429999999692</c:v>
                </c:pt>
                <c:pt idx="6362">
                  <c:v>3.9459449999999987</c:v>
                </c:pt>
                <c:pt idx="6363">
                  <c:v>3.9526379999999977</c:v>
                </c:pt>
                <c:pt idx="6364">
                  <c:v>3.8745119999999997</c:v>
                </c:pt>
                <c:pt idx="6365">
                  <c:v>3.8792039999999779</c:v>
                </c:pt>
                <c:pt idx="6366">
                  <c:v>4.0525519999999755</c:v>
                </c:pt>
                <c:pt idx="6367">
                  <c:v>3.9727829999999829</c:v>
                </c:pt>
                <c:pt idx="6368">
                  <c:v>3.9823840000000001</c:v>
                </c:pt>
                <c:pt idx="6369">
                  <c:v>4.5236409999999996</c:v>
                </c:pt>
                <c:pt idx="6370">
                  <c:v>4.2413660000000384</c:v>
                </c:pt>
                <c:pt idx="6371">
                  <c:v>4.501614</c:v>
                </c:pt>
                <c:pt idx="6372">
                  <c:v>4.1388539999999985</c:v>
                </c:pt>
                <c:pt idx="6373">
                  <c:v>3.8963549999999967</c:v>
                </c:pt>
                <c:pt idx="6374">
                  <c:v>3.954145999999982</c:v>
                </c:pt>
                <c:pt idx="6375">
                  <c:v>4.3421209999999855</c:v>
                </c:pt>
                <c:pt idx="6376">
                  <c:v>4.0395420000000124</c:v>
                </c:pt>
                <c:pt idx="6377">
                  <c:v>4.0509959999999845</c:v>
                </c:pt>
                <c:pt idx="6378">
                  <c:v>3.6337139999999999</c:v>
                </c:pt>
                <c:pt idx="6379">
                  <c:v>3.5758489999999692</c:v>
                </c:pt>
                <c:pt idx="6380">
                  <c:v>3.5808339999999999</c:v>
                </c:pt>
                <c:pt idx="6381">
                  <c:v>3.4916069999999788</c:v>
                </c:pt>
                <c:pt idx="6382">
                  <c:v>3.5064919999999997</c:v>
                </c:pt>
                <c:pt idx="6383">
                  <c:v>3.7444299999999999</c:v>
                </c:pt>
                <c:pt idx="6384">
                  <c:v>3.6123889999999967</c:v>
                </c:pt>
                <c:pt idx="6385">
                  <c:v>3.6732300000000002</c:v>
                </c:pt>
                <c:pt idx="6386">
                  <c:v>3.3567129999999779</c:v>
                </c:pt>
                <c:pt idx="6387">
                  <c:v>3.3413679999999997</c:v>
                </c:pt>
                <c:pt idx="6388">
                  <c:v>3.2197939999999998</c:v>
                </c:pt>
                <c:pt idx="6389">
                  <c:v>3.0790779999999978</c:v>
                </c:pt>
                <c:pt idx="6390">
                  <c:v>3.1391279999999999</c:v>
                </c:pt>
                <c:pt idx="6391">
                  <c:v>3.0531370000000191</c:v>
                </c:pt>
                <c:pt idx="6392">
                  <c:v>3.1480090000000001</c:v>
                </c:pt>
                <c:pt idx="6393">
                  <c:v>3.296424</c:v>
                </c:pt>
                <c:pt idx="6394">
                  <c:v>3.1932469999999977</c:v>
                </c:pt>
                <c:pt idx="6395">
                  <c:v>2.9847299999999999</c:v>
                </c:pt>
                <c:pt idx="6396">
                  <c:v>2.9449579999999997</c:v>
                </c:pt>
                <c:pt idx="6397">
                  <c:v>2.9837850000000001</c:v>
                </c:pt>
                <c:pt idx="6398">
                  <c:v>2.993528</c:v>
                </c:pt>
                <c:pt idx="6399">
                  <c:v>3.0229679999999997</c:v>
                </c:pt>
                <c:pt idx="6400">
                  <c:v>3.0377179999999999</c:v>
                </c:pt>
                <c:pt idx="6401">
                  <c:v>3.0055909999999999</c:v>
                </c:pt>
                <c:pt idx="6402">
                  <c:v>3.1040340000000173</c:v>
                </c:pt>
                <c:pt idx="6403">
                  <c:v>2.9938559999999779</c:v>
                </c:pt>
                <c:pt idx="6404">
                  <c:v>2.867</c:v>
                </c:pt>
                <c:pt idx="6405">
                  <c:v>2.8687419999999997</c:v>
                </c:pt>
                <c:pt idx="6406">
                  <c:v>2.9366419999999755</c:v>
                </c:pt>
                <c:pt idx="6407">
                  <c:v>3.0857070000000002</c:v>
                </c:pt>
                <c:pt idx="6408">
                  <c:v>3.240605</c:v>
                </c:pt>
                <c:pt idx="6409">
                  <c:v>3.0207340000000205</c:v>
                </c:pt>
                <c:pt idx="6410">
                  <c:v>3.0394179999999977</c:v>
                </c:pt>
                <c:pt idx="6411">
                  <c:v>3.1182310000000002</c:v>
                </c:pt>
                <c:pt idx="6412">
                  <c:v>3.3148839999999824</c:v>
                </c:pt>
                <c:pt idx="6413">
                  <c:v>3.4436209999999998</c:v>
                </c:pt>
                <c:pt idx="6414">
                  <c:v>3.234038</c:v>
                </c:pt>
                <c:pt idx="6415">
                  <c:v>3.5078260000000001</c:v>
                </c:pt>
                <c:pt idx="6416">
                  <c:v>3.774867</c:v>
                </c:pt>
                <c:pt idx="6417">
                  <c:v>3.8892049999999987</c:v>
                </c:pt>
                <c:pt idx="6418">
                  <c:v>4.0749889999999755</c:v>
                </c:pt>
                <c:pt idx="6419">
                  <c:v>3.5155459999999779</c:v>
                </c:pt>
                <c:pt idx="6420">
                  <c:v>3.4389999999999987</c:v>
                </c:pt>
                <c:pt idx="6421">
                  <c:v>3.4857</c:v>
                </c:pt>
                <c:pt idx="6422">
                  <c:v>3.47471</c:v>
                </c:pt>
                <c:pt idx="6423">
                  <c:v>3.235385</c:v>
                </c:pt>
                <c:pt idx="6424">
                  <c:v>3.1802039999999998</c:v>
                </c:pt>
                <c:pt idx="6425">
                  <c:v>3.1623770000000002</c:v>
                </c:pt>
                <c:pt idx="6426">
                  <c:v>3.0732629999999967</c:v>
                </c:pt>
                <c:pt idx="6427">
                  <c:v>3.3693209999999998</c:v>
                </c:pt>
                <c:pt idx="6428">
                  <c:v>3.1920439999999779</c:v>
                </c:pt>
                <c:pt idx="6429">
                  <c:v>3.0905800000000001</c:v>
                </c:pt>
                <c:pt idx="6430">
                  <c:v>3.1434410000000002</c:v>
                </c:pt>
                <c:pt idx="6431">
                  <c:v>3.4098489999999719</c:v>
                </c:pt>
                <c:pt idx="6432">
                  <c:v>3.5649229999999998</c:v>
                </c:pt>
                <c:pt idx="6433">
                  <c:v>3.5020439999999819</c:v>
                </c:pt>
                <c:pt idx="6434">
                  <c:v>3.5918699999999779</c:v>
                </c:pt>
                <c:pt idx="6435">
                  <c:v>3.5497770000000002</c:v>
                </c:pt>
                <c:pt idx="6436">
                  <c:v>3.43553</c:v>
                </c:pt>
                <c:pt idx="6437">
                  <c:v>3.5698029999999967</c:v>
                </c:pt>
                <c:pt idx="6438">
                  <c:v>3.6714489999999755</c:v>
                </c:pt>
                <c:pt idx="6439">
                  <c:v>3.6543869999999998</c:v>
                </c:pt>
                <c:pt idx="6440">
                  <c:v>4.9453670000000134</c:v>
                </c:pt>
                <c:pt idx="6441">
                  <c:v>4.5067120000000003</c:v>
                </c:pt>
                <c:pt idx="6442">
                  <c:v>4.9085109999999945</c:v>
                </c:pt>
                <c:pt idx="6443">
                  <c:v>4.7545079999999755</c:v>
                </c:pt>
                <c:pt idx="6444">
                  <c:v>4.6113049999999856</c:v>
                </c:pt>
                <c:pt idx="6445">
                  <c:v>4.6827969999999945</c:v>
                </c:pt>
                <c:pt idx="6446">
                  <c:v>4.4572159999999945</c:v>
                </c:pt>
                <c:pt idx="6447">
                  <c:v>4.1522430000000004</c:v>
                </c:pt>
                <c:pt idx="6448">
                  <c:v>3.9948049999999977</c:v>
                </c:pt>
                <c:pt idx="6449">
                  <c:v>3.9275829999999998</c:v>
                </c:pt>
                <c:pt idx="6450">
                  <c:v>4.003444</c:v>
                </c:pt>
                <c:pt idx="6451">
                  <c:v>3.947435</c:v>
                </c:pt>
                <c:pt idx="6452">
                  <c:v>3.9995179999999997</c:v>
                </c:pt>
                <c:pt idx="6453">
                  <c:v>3.9805769999999998</c:v>
                </c:pt>
                <c:pt idx="6454">
                  <c:v>4.0316400000000421</c:v>
                </c:pt>
                <c:pt idx="6455">
                  <c:v>3.8319899999999967</c:v>
                </c:pt>
                <c:pt idx="6456">
                  <c:v>3.095688999999981</c:v>
                </c:pt>
                <c:pt idx="6457">
                  <c:v>2.9557899999999977</c:v>
                </c:pt>
                <c:pt idx="6458">
                  <c:v>2.909529</c:v>
                </c:pt>
                <c:pt idx="6459">
                  <c:v>2.9507719999999997</c:v>
                </c:pt>
                <c:pt idx="6460">
                  <c:v>3.0348819999999987</c:v>
                </c:pt>
                <c:pt idx="6461">
                  <c:v>2.8339459999999779</c:v>
                </c:pt>
                <c:pt idx="6462">
                  <c:v>2.9598889999999765</c:v>
                </c:pt>
                <c:pt idx="6463">
                  <c:v>2.9876999999999998</c:v>
                </c:pt>
                <c:pt idx="6464">
                  <c:v>3.0260529999999779</c:v>
                </c:pt>
                <c:pt idx="6465">
                  <c:v>2.8610449999999967</c:v>
                </c:pt>
                <c:pt idx="6466">
                  <c:v>3.0925179999999997</c:v>
                </c:pt>
                <c:pt idx="6467">
                  <c:v>3.0233970000000219</c:v>
                </c:pt>
                <c:pt idx="6468">
                  <c:v>3.0658779999999997</c:v>
                </c:pt>
                <c:pt idx="6469">
                  <c:v>2.8250929999999967</c:v>
                </c:pt>
                <c:pt idx="6470">
                  <c:v>2.8990209999999967</c:v>
                </c:pt>
                <c:pt idx="6471">
                  <c:v>2.69895</c:v>
                </c:pt>
                <c:pt idx="6472">
                  <c:v>2.8201770000000002</c:v>
                </c:pt>
                <c:pt idx="6473">
                  <c:v>2.9346899999999967</c:v>
                </c:pt>
                <c:pt idx="6474">
                  <c:v>2.8375279999999998</c:v>
                </c:pt>
                <c:pt idx="6475">
                  <c:v>2.6665320000000001</c:v>
                </c:pt>
                <c:pt idx="6476">
                  <c:v>2.685146</c:v>
                </c:pt>
                <c:pt idx="6477">
                  <c:v>2.7055330000000177</c:v>
                </c:pt>
                <c:pt idx="6478">
                  <c:v>2.9313989999999968</c:v>
                </c:pt>
                <c:pt idx="6479">
                  <c:v>3.0073150000000002</c:v>
                </c:pt>
                <c:pt idx="6480">
                  <c:v>3.6662719999999998</c:v>
                </c:pt>
                <c:pt idx="6481">
                  <c:v>4.0225659999999746</c:v>
                </c:pt>
                <c:pt idx="6482">
                  <c:v>3.9912729999999779</c:v>
                </c:pt>
                <c:pt idx="6483">
                  <c:v>4.3027739999999985</c:v>
                </c:pt>
                <c:pt idx="6484">
                  <c:v>4.2461060000000002</c:v>
                </c:pt>
                <c:pt idx="6485">
                  <c:v>4.2607330000000001</c:v>
                </c:pt>
                <c:pt idx="6486">
                  <c:v>4.1977399999999845</c:v>
                </c:pt>
                <c:pt idx="6487">
                  <c:v>4.0893870000000003</c:v>
                </c:pt>
                <c:pt idx="6488">
                  <c:v>4.2551239999999995</c:v>
                </c:pt>
                <c:pt idx="6489">
                  <c:v>4.0742989999999999</c:v>
                </c:pt>
                <c:pt idx="6490">
                  <c:v>3.799404</c:v>
                </c:pt>
                <c:pt idx="6491">
                  <c:v>3.792424</c:v>
                </c:pt>
                <c:pt idx="6492">
                  <c:v>3.9340310000000001</c:v>
                </c:pt>
                <c:pt idx="6493">
                  <c:v>3.8159409999999778</c:v>
                </c:pt>
                <c:pt idx="6494">
                  <c:v>3.9645969999999999</c:v>
                </c:pt>
                <c:pt idx="6495">
                  <c:v>4.3380739999999998</c:v>
                </c:pt>
                <c:pt idx="6496">
                  <c:v>4.0757519999999996</c:v>
                </c:pt>
                <c:pt idx="6497">
                  <c:v>3.8811079999999998</c:v>
                </c:pt>
                <c:pt idx="6498">
                  <c:v>3.6016170000000001</c:v>
                </c:pt>
                <c:pt idx="6499">
                  <c:v>3.7036570000000002</c:v>
                </c:pt>
                <c:pt idx="6500">
                  <c:v>3.9249930000000002</c:v>
                </c:pt>
                <c:pt idx="6501">
                  <c:v>3.9430449999999997</c:v>
                </c:pt>
                <c:pt idx="6502">
                  <c:v>3.8104129999999778</c:v>
                </c:pt>
                <c:pt idx="6503">
                  <c:v>3.68262</c:v>
                </c:pt>
                <c:pt idx="6504">
                  <c:v>3.8412719999999987</c:v>
                </c:pt>
                <c:pt idx="6505">
                  <c:v>3.8571149999999998</c:v>
                </c:pt>
                <c:pt idx="6506">
                  <c:v>4.0655169999999545</c:v>
                </c:pt>
                <c:pt idx="6507">
                  <c:v>4.001188</c:v>
                </c:pt>
                <c:pt idx="6508">
                  <c:v>3.8993549999999977</c:v>
                </c:pt>
                <c:pt idx="6509">
                  <c:v>3.9708909999999977</c:v>
                </c:pt>
                <c:pt idx="6510">
                  <c:v>3.9663089999999968</c:v>
                </c:pt>
                <c:pt idx="6511">
                  <c:v>4.1302459999999996</c:v>
                </c:pt>
                <c:pt idx="6512">
                  <c:v>4.3574589999999755</c:v>
                </c:pt>
                <c:pt idx="6517">
                  <c:v>4.6196419999999998</c:v>
                </c:pt>
                <c:pt idx="6518">
                  <c:v>4.7561809999999856</c:v>
                </c:pt>
                <c:pt idx="6519">
                  <c:v>4.4438300000000002</c:v>
                </c:pt>
                <c:pt idx="6520">
                  <c:v>4.309412</c:v>
                </c:pt>
                <c:pt idx="6521">
                  <c:v>4.4955799999999995</c:v>
                </c:pt>
                <c:pt idx="6522">
                  <c:v>4.2135530000000001</c:v>
                </c:pt>
                <c:pt idx="6523">
                  <c:v>4.0150499999999996</c:v>
                </c:pt>
                <c:pt idx="6524">
                  <c:v>4.1144959999999591</c:v>
                </c:pt>
                <c:pt idx="6525">
                  <c:v>4.2986300000000002</c:v>
                </c:pt>
                <c:pt idx="6526">
                  <c:v>4.2715170000000002</c:v>
                </c:pt>
                <c:pt idx="6527">
                  <c:v>4.0945989999999846</c:v>
                </c:pt>
                <c:pt idx="6528">
                  <c:v>3.4998779999999967</c:v>
                </c:pt>
                <c:pt idx="6529">
                  <c:v>3.1729519999999987</c:v>
                </c:pt>
                <c:pt idx="6530">
                  <c:v>3.1744659999999967</c:v>
                </c:pt>
                <c:pt idx="6531">
                  <c:v>3.1731270000000205</c:v>
                </c:pt>
                <c:pt idx="6532">
                  <c:v>3.4227719999999997</c:v>
                </c:pt>
                <c:pt idx="6533">
                  <c:v>3.3472940000000002</c:v>
                </c:pt>
                <c:pt idx="6534">
                  <c:v>3.3873210000000205</c:v>
                </c:pt>
                <c:pt idx="6535">
                  <c:v>5.0435149999999656</c:v>
                </c:pt>
                <c:pt idx="6536">
                  <c:v>5.4916200000000384</c:v>
                </c:pt>
                <c:pt idx="6537">
                  <c:v>4.1631769999999655</c:v>
                </c:pt>
                <c:pt idx="6538">
                  <c:v>4.0374829999999955</c:v>
                </c:pt>
                <c:pt idx="6539">
                  <c:v>3.8716879999999967</c:v>
                </c:pt>
                <c:pt idx="6540">
                  <c:v>4.0729309999999845</c:v>
                </c:pt>
                <c:pt idx="6541">
                  <c:v>3.9189609999999977</c:v>
                </c:pt>
                <c:pt idx="6542">
                  <c:v>3.8722179999999815</c:v>
                </c:pt>
                <c:pt idx="6543">
                  <c:v>4.018097</c:v>
                </c:pt>
                <c:pt idx="6544">
                  <c:v>4.0305479999999996</c:v>
                </c:pt>
                <c:pt idx="6545">
                  <c:v>3.8946729999999778</c:v>
                </c:pt>
                <c:pt idx="6546">
                  <c:v>3.695535</c:v>
                </c:pt>
                <c:pt idx="6547">
                  <c:v>3.905427</c:v>
                </c:pt>
                <c:pt idx="6548">
                  <c:v>4.5259299999999945</c:v>
                </c:pt>
                <c:pt idx="6549">
                  <c:v>4.0658859999999581</c:v>
                </c:pt>
                <c:pt idx="6550">
                  <c:v>3.7247460000000001</c:v>
                </c:pt>
                <c:pt idx="6551">
                  <c:v>3.7810800000000002</c:v>
                </c:pt>
                <c:pt idx="6552">
                  <c:v>3.6395149999999998</c:v>
                </c:pt>
                <c:pt idx="6553">
                  <c:v>3.7727429999999829</c:v>
                </c:pt>
                <c:pt idx="6554">
                  <c:v>3.633705</c:v>
                </c:pt>
                <c:pt idx="6555">
                  <c:v>3.6337060000000001</c:v>
                </c:pt>
                <c:pt idx="6556">
                  <c:v>3.671144</c:v>
                </c:pt>
                <c:pt idx="6557">
                  <c:v>3.4347879999999997</c:v>
                </c:pt>
                <c:pt idx="6558">
                  <c:v>3.5249999999999999</c:v>
                </c:pt>
                <c:pt idx="6559">
                  <c:v>3.8454569999999784</c:v>
                </c:pt>
                <c:pt idx="6560">
                  <c:v>3.7278229999999999</c:v>
                </c:pt>
                <c:pt idx="6561">
                  <c:v>3.7683460000000002</c:v>
                </c:pt>
                <c:pt idx="6562">
                  <c:v>4.7269339999999955</c:v>
                </c:pt>
                <c:pt idx="6563">
                  <c:v>4.7893400000000383</c:v>
                </c:pt>
                <c:pt idx="6564">
                  <c:v>4.4338449999999998</c:v>
                </c:pt>
                <c:pt idx="6565">
                  <c:v>4.2793650000000421</c:v>
                </c:pt>
                <c:pt idx="6566">
                  <c:v>4.5452589999999997</c:v>
                </c:pt>
                <c:pt idx="6567">
                  <c:v>4.4961710000000004</c:v>
                </c:pt>
                <c:pt idx="6568">
                  <c:v>4.5528519999999855</c:v>
                </c:pt>
                <c:pt idx="6569">
                  <c:v>4.3226699999999996</c:v>
                </c:pt>
                <c:pt idx="6570">
                  <c:v>4.0783659999999999</c:v>
                </c:pt>
                <c:pt idx="6571">
                  <c:v>4.236372000000042</c:v>
                </c:pt>
                <c:pt idx="6572">
                  <c:v>4.1618269999999855</c:v>
                </c:pt>
                <c:pt idx="6573">
                  <c:v>4.0514070000000002</c:v>
                </c:pt>
                <c:pt idx="6574">
                  <c:v>4.0813670000000384</c:v>
                </c:pt>
                <c:pt idx="6575">
                  <c:v>4.0099830000000001</c:v>
                </c:pt>
                <c:pt idx="6576">
                  <c:v>3.2528099999999927</c:v>
                </c:pt>
                <c:pt idx="6577">
                  <c:v>3.0206619999999997</c:v>
                </c:pt>
                <c:pt idx="6578">
                  <c:v>2.7828049999999998</c:v>
                </c:pt>
                <c:pt idx="6579">
                  <c:v>2.7047729999999999</c:v>
                </c:pt>
                <c:pt idx="6580">
                  <c:v>2.7492019999999999</c:v>
                </c:pt>
                <c:pt idx="6581">
                  <c:v>2.7842410000000002</c:v>
                </c:pt>
                <c:pt idx="6582">
                  <c:v>2.9953859999999977</c:v>
                </c:pt>
                <c:pt idx="6583">
                  <c:v>2.8759129999999824</c:v>
                </c:pt>
                <c:pt idx="6584">
                  <c:v>2.9594959999999788</c:v>
                </c:pt>
                <c:pt idx="6585">
                  <c:v>3.5604979999999999</c:v>
                </c:pt>
                <c:pt idx="6586">
                  <c:v>3.6673770000000214</c:v>
                </c:pt>
                <c:pt idx="6587">
                  <c:v>3.790162</c:v>
                </c:pt>
                <c:pt idx="6588">
                  <c:v>3.1235800000000205</c:v>
                </c:pt>
                <c:pt idx="6589">
                  <c:v>3.6226940000000001</c:v>
                </c:pt>
                <c:pt idx="6590">
                  <c:v>3.4617849999999999</c:v>
                </c:pt>
                <c:pt idx="6591">
                  <c:v>3.3858789999999779</c:v>
                </c:pt>
                <c:pt idx="6592">
                  <c:v>3.4548169999999967</c:v>
                </c:pt>
                <c:pt idx="6593">
                  <c:v>3.4757189999999967</c:v>
                </c:pt>
                <c:pt idx="6594">
                  <c:v>3.3267370000000001</c:v>
                </c:pt>
                <c:pt idx="6595">
                  <c:v>3.1565999999999987</c:v>
                </c:pt>
                <c:pt idx="6596">
                  <c:v>3.1096249999999999</c:v>
                </c:pt>
                <c:pt idx="6597">
                  <c:v>3.06535</c:v>
                </c:pt>
                <c:pt idx="6598">
                  <c:v>2.9077299999999999</c:v>
                </c:pt>
                <c:pt idx="6599">
                  <c:v>2.9857339999999999</c:v>
                </c:pt>
                <c:pt idx="6600">
                  <c:v>3.1733419999999999</c:v>
                </c:pt>
                <c:pt idx="6601">
                  <c:v>3.262651</c:v>
                </c:pt>
                <c:pt idx="6602">
                  <c:v>3.1791969999999998</c:v>
                </c:pt>
                <c:pt idx="6603">
                  <c:v>3.1488369999999999</c:v>
                </c:pt>
                <c:pt idx="6604">
                  <c:v>3.0228869999999977</c:v>
                </c:pt>
                <c:pt idx="6605">
                  <c:v>2.9950619999999977</c:v>
                </c:pt>
                <c:pt idx="6606">
                  <c:v>2.9078040000000001</c:v>
                </c:pt>
                <c:pt idx="6607">
                  <c:v>2.9542899999999968</c:v>
                </c:pt>
                <c:pt idx="6608">
                  <c:v>3.0585549999999997</c:v>
                </c:pt>
                <c:pt idx="6609">
                  <c:v>3.2380900000000001</c:v>
                </c:pt>
                <c:pt idx="6610">
                  <c:v>3.3147949999999997</c:v>
                </c:pt>
                <c:pt idx="6611">
                  <c:v>3.4464109999999977</c:v>
                </c:pt>
                <c:pt idx="6612">
                  <c:v>3.6396659999999779</c:v>
                </c:pt>
                <c:pt idx="6613">
                  <c:v>3.5196969999999967</c:v>
                </c:pt>
                <c:pt idx="6614">
                  <c:v>3.2694920000000001</c:v>
                </c:pt>
                <c:pt idx="6615">
                  <c:v>3.2405360000000205</c:v>
                </c:pt>
                <c:pt idx="6616">
                  <c:v>3.2240500000000001</c:v>
                </c:pt>
                <c:pt idx="6617">
                  <c:v>3.0267300000000001</c:v>
                </c:pt>
                <c:pt idx="6618">
                  <c:v>2.9004370000000002</c:v>
                </c:pt>
                <c:pt idx="6619">
                  <c:v>2.9081429999999977</c:v>
                </c:pt>
                <c:pt idx="6620">
                  <c:v>2.9716429999999692</c:v>
                </c:pt>
                <c:pt idx="6621">
                  <c:v>3.0442969999999998</c:v>
                </c:pt>
                <c:pt idx="6622">
                  <c:v>3.1831640000000214</c:v>
                </c:pt>
                <c:pt idx="6623">
                  <c:v>2.9235220000000002</c:v>
                </c:pt>
                <c:pt idx="6624">
                  <c:v>3.0078870000000002</c:v>
                </c:pt>
                <c:pt idx="6625">
                  <c:v>3.2008230000000002</c:v>
                </c:pt>
                <c:pt idx="6626">
                  <c:v>3.3092849999999987</c:v>
                </c:pt>
                <c:pt idx="6627">
                  <c:v>3.2186249999999998</c:v>
                </c:pt>
                <c:pt idx="6628">
                  <c:v>3.0912049999999978</c:v>
                </c:pt>
                <c:pt idx="6629">
                  <c:v>3.2455859999999999</c:v>
                </c:pt>
                <c:pt idx="6630">
                  <c:v>3.1614629999999977</c:v>
                </c:pt>
                <c:pt idx="6631">
                  <c:v>3.3677419999999998</c:v>
                </c:pt>
                <c:pt idx="6632">
                  <c:v>3.3605010000000002</c:v>
                </c:pt>
                <c:pt idx="6633">
                  <c:v>3.2720699999999967</c:v>
                </c:pt>
                <c:pt idx="6634">
                  <c:v>3.1502429999999788</c:v>
                </c:pt>
                <c:pt idx="6635">
                  <c:v>3.3073070000000002</c:v>
                </c:pt>
                <c:pt idx="6636">
                  <c:v>3.3187889999999967</c:v>
                </c:pt>
                <c:pt idx="6637">
                  <c:v>3.3212979999999988</c:v>
                </c:pt>
                <c:pt idx="6638">
                  <c:v>3.4512589999999692</c:v>
                </c:pt>
                <c:pt idx="6639">
                  <c:v>3.4813990000000001</c:v>
                </c:pt>
                <c:pt idx="6640">
                  <c:v>3.4819830000000001</c:v>
                </c:pt>
                <c:pt idx="6641">
                  <c:v>3.4709089999999967</c:v>
                </c:pt>
                <c:pt idx="6642">
                  <c:v>3.3583429999999779</c:v>
                </c:pt>
                <c:pt idx="6643">
                  <c:v>3.2477640000000205</c:v>
                </c:pt>
                <c:pt idx="6644">
                  <c:v>3.1694360000000001</c:v>
                </c:pt>
                <c:pt idx="6645">
                  <c:v>3.2758249999999998</c:v>
                </c:pt>
                <c:pt idx="6646">
                  <c:v>3.0773700000000002</c:v>
                </c:pt>
                <c:pt idx="6647">
                  <c:v>3.2157390000000001</c:v>
                </c:pt>
                <c:pt idx="6648">
                  <c:v>3.3994399999999967</c:v>
                </c:pt>
                <c:pt idx="6649">
                  <c:v>3.4787049999999997</c:v>
                </c:pt>
                <c:pt idx="6650">
                  <c:v>3.4014869999999977</c:v>
                </c:pt>
                <c:pt idx="6651">
                  <c:v>3.3273160000000002</c:v>
                </c:pt>
                <c:pt idx="6652">
                  <c:v>3.4807109999999999</c:v>
                </c:pt>
                <c:pt idx="6653">
                  <c:v>3.5398949999999987</c:v>
                </c:pt>
                <c:pt idx="6654">
                  <c:v>3.4433669999999998</c:v>
                </c:pt>
                <c:pt idx="6655">
                  <c:v>3.4821249999999999</c:v>
                </c:pt>
                <c:pt idx="6656">
                  <c:v>3.8034539999999977</c:v>
                </c:pt>
                <c:pt idx="6657">
                  <c:v>4.1229649999999536</c:v>
                </c:pt>
                <c:pt idx="6658">
                  <c:v>3.9672879999999999</c:v>
                </c:pt>
                <c:pt idx="6659">
                  <c:v>3.6684679999999998</c:v>
                </c:pt>
                <c:pt idx="6660">
                  <c:v>3.6252270000000002</c:v>
                </c:pt>
                <c:pt idx="6661">
                  <c:v>3.5692170000000001</c:v>
                </c:pt>
                <c:pt idx="6662">
                  <c:v>3.5145379999999999</c:v>
                </c:pt>
                <c:pt idx="6663">
                  <c:v>3.5821589999999977</c:v>
                </c:pt>
                <c:pt idx="6664">
                  <c:v>3.4537990000000001</c:v>
                </c:pt>
                <c:pt idx="6665">
                  <c:v>3.221946</c:v>
                </c:pt>
                <c:pt idx="6666">
                  <c:v>3.2816139999999998</c:v>
                </c:pt>
                <c:pt idx="6667">
                  <c:v>3.3714239999999829</c:v>
                </c:pt>
                <c:pt idx="6668">
                  <c:v>3.4722019999999967</c:v>
                </c:pt>
                <c:pt idx="6669">
                  <c:v>3.6140629999999967</c:v>
                </c:pt>
                <c:pt idx="6670">
                  <c:v>3.8355789999999779</c:v>
                </c:pt>
                <c:pt idx="6671">
                  <c:v>3.7442500000000001</c:v>
                </c:pt>
                <c:pt idx="6672">
                  <c:v>3.866323</c:v>
                </c:pt>
                <c:pt idx="6673">
                  <c:v>3.732129</c:v>
                </c:pt>
                <c:pt idx="6674">
                  <c:v>3.6333530000000001</c:v>
                </c:pt>
                <c:pt idx="6675">
                  <c:v>3.8767299999999967</c:v>
                </c:pt>
                <c:pt idx="6676">
                  <c:v>3.7272880000000002</c:v>
                </c:pt>
                <c:pt idx="6677">
                  <c:v>3.8095619999999997</c:v>
                </c:pt>
                <c:pt idx="6678">
                  <c:v>3.5393569999999968</c:v>
                </c:pt>
                <c:pt idx="6679">
                  <c:v>3.9492599999999967</c:v>
                </c:pt>
                <c:pt idx="6680">
                  <c:v>4.0970819999999755</c:v>
                </c:pt>
                <c:pt idx="6681">
                  <c:v>4.0687869999999755</c:v>
                </c:pt>
                <c:pt idx="6682">
                  <c:v>4.0517159999999945</c:v>
                </c:pt>
                <c:pt idx="6683">
                  <c:v>3.6445840000000205</c:v>
                </c:pt>
                <c:pt idx="6684">
                  <c:v>3.5668589999999765</c:v>
                </c:pt>
                <c:pt idx="6685">
                  <c:v>3.293453</c:v>
                </c:pt>
                <c:pt idx="6686">
                  <c:v>3.2893820000000011</c:v>
                </c:pt>
                <c:pt idx="6687">
                  <c:v>3.3430900000000001</c:v>
                </c:pt>
                <c:pt idx="6688">
                  <c:v>3.2178290000000001</c:v>
                </c:pt>
                <c:pt idx="6689">
                  <c:v>3.0615220000000001</c:v>
                </c:pt>
                <c:pt idx="6690">
                  <c:v>3.065855999999981</c:v>
                </c:pt>
                <c:pt idx="6691">
                  <c:v>3.5208159999999977</c:v>
                </c:pt>
                <c:pt idx="6692">
                  <c:v>3.4173649999999998</c:v>
                </c:pt>
                <c:pt idx="6693">
                  <c:v>3.1674890000000002</c:v>
                </c:pt>
                <c:pt idx="6694">
                  <c:v>3.0361129999999967</c:v>
                </c:pt>
                <c:pt idx="6695">
                  <c:v>2.9302009999999967</c:v>
                </c:pt>
                <c:pt idx="6696">
                  <c:v>3.0925559999999779</c:v>
                </c:pt>
                <c:pt idx="6697">
                  <c:v>3.1426159999999967</c:v>
                </c:pt>
                <c:pt idx="6698">
                  <c:v>3.1790659999999828</c:v>
                </c:pt>
                <c:pt idx="6699">
                  <c:v>3.185098</c:v>
                </c:pt>
                <c:pt idx="6700">
                  <c:v>3.2066189999999977</c:v>
                </c:pt>
                <c:pt idx="6701">
                  <c:v>3.2053350000000012</c:v>
                </c:pt>
                <c:pt idx="6702">
                  <c:v>3.229098</c:v>
                </c:pt>
                <c:pt idx="6703">
                  <c:v>3.423702</c:v>
                </c:pt>
                <c:pt idx="6704">
                  <c:v>3.3644419999999977</c:v>
                </c:pt>
                <c:pt idx="6705">
                  <c:v>3.4342979999999987</c:v>
                </c:pt>
                <c:pt idx="6706">
                  <c:v>3.4315009999999977</c:v>
                </c:pt>
                <c:pt idx="6707">
                  <c:v>3.3706929999999824</c:v>
                </c:pt>
                <c:pt idx="6708">
                  <c:v>3.4892049999999997</c:v>
                </c:pt>
                <c:pt idx="6709">
                  <c:v>3.678766</c:v>
                </c:pt>
                <c:pt idx="6710">
                  <c:v>3.296532</c:v>
                </c:pt>
                <c:pt idx="6711">
                  <c:v>3.3373089999999968</c:v>
                </c:pt>
                <c:pt idx="6712">
                  <c:v>3.4714149999999977</c:v>
                </c:pt>
                <c:pt idx="6713">
                  <c:v>3.7342049999999998</c:v>
                </c:pt>
                <c:pt idx="6714">
                  <c:v>3.5780459999999779</c:v>
                </c:pt>
                <c:pt idx="6715">
                  <c:v>3.4107959999999977</c:v>
                </c:pt>
                <c:pt idx="6716">
                  <c:v>3.5390819999999987</c:v>
                </c:pt>
                <c:pt idx="6717">
                  <c:v>3.795687</c:v>
                </c:pt>
                <c:pt idx="6718">
                  <c:v>3.732332</c:v>
                </c:pt>
                <c:pt idx="6719">
                  <c:v>3.613883</c:v>
                </c:pt>
                <c:pt idx="6720">
                  <c:v>3.6897660000000001</c:v>
                </c:pt>
                <c:pt idx="6721">
                  <c:v>3.9007459999999967</c:v>
                </c:pt>
                <c:pt idx="6722">
                  <c:v>3.8392599999999693</c:v>
                </c:pt>
                <c:pt idx="6723">
                  <c:v>3.707249</c:v>
                </c:pt>
                <c:pt idx="6724">
                  <c:v>3.726092</c:v>
                </c:pt>
                <c:pt idx="6725">
                  <c:v>3.7128539999999779</c:v>
                </c:pt>
                <c:pt idx="6726">
                  <c:v>3.8102809999999967</c:v>
                </c:pt>
                <c:pt idx="6727">
                  <c:v>3.7741449999999999</c:v>
                </c:pt>
                <c:pt idx="6728">
                  <c:v>3.7030180000000001</c:v>
                </c:pt>
                <c:pt idx="6729">
                  <c:v>3.7904599999999977</c:v>
                </c:pt>
                <c:pt idx="6730">
                  <c:v>3.7619859999999998</c:v>
                </c:pt>
                <c:pt idx="6731">
                  <c:v>3.7834150000000002</c:v>
                </c:pt>
                <c:pt idx="6732">
                  <c:v>3.7239580000000001</c:v>
                </c:pt>
                <c:pt idx="6733">
                  <c:v>3.7936329999999998</c:v>
                </c:pt>
                <c:pt idx="6734">
                  <c:v>3.8955229999999967</c:v>
                </c:pt>
                <c:pt idx="6735">
                  <c:v>3.5805140000000177</c:v>
                </c:pt>
                <c:pt idx="6736">
                  <c:v>3.583008</c:v>
                </c:pt>
                <c:pt idx="6737">
                  <c:v>3.7730779999999999</c:v>
                </c:pt>
                <c:pt idx="6738">
                  <c:v>3.6649950000000002</c:v>
                </c:pt>
                <c:pt idx="6739">
                  <c:v>3.9024609999999829</c:v>
                </c:pt>
                <c:pt idx="6740">
                  <c:v>3.5358879999999977</c:v>
                </c:pt>
                <c:pt idx="6741">
                  <c:v>3.4904709999999977</c:v>
                </c:pt>
                <c:pt idx="6742">
                  <c:v>3.4389889999999967</c:v>
                </c:pt>
                <c:pt idx="6743">
                  <c:v>3.3877700000000002</c:v>
                </c:pt>
                <c:pt idx="6744">
                  <c:v>3.070611</c:v>
                </c:pt>
                <c:pt idx="6745">
                  <c:v>3.161651</c:v>
                </c:pt>
                <c:pt idx="6746">
                  <c:v>3.1236510000000002</c:v>
                </c:pt>
                <c:pt idx="6747">
                  <c:v>3.1356789999999779</c:v>
                </c:pt>
                <c:pt idx="6748">
                  <c:v>3.1188049999999987</c:v>
                </c:pt>
                <c:pt idx="6749">
                  <c:v>2.8795959999999967</c:v>
                </c:pt>
                <c:pt idx="6750">
                  <c:v>3.2872990000000177</c:v>
                </c:pt>
                <c:pt idx="6751">
                  <c:v>3.8507370000000001</c:v>
                </c:pt>
                <c:pt idx="6752">
                  <c:v>3.7523819999999999</c:v>
                </c:pt>
                <c:pt idx="6753">
                  <c:v>3.8918959999999769</c:v>
                </c:pt>
                <c:pt idx="6754">
                  <c:v>3.6671420000000001</c:v>
                </c:pt>
                <c:pt idx="6755">
                  <c:v>3.5103249999999999</c:v>
                </c:pt>
                <c:pt idx="6756">
                  <c:v>3.5649389999999999</c:v>
                </c:pt>
                <c:pt idx="6757">
                  <c:v>3.7361549999999997</c:v>
                </c:pt>
                <c:pt idx="6758">
                  <c:v>3.7590489999999779</c:v>
                </c:pt>
                <c:pt idx="6759">
                  <c:v>3.8766469999999669</c:v>
                </c:pt>
                <c:pt idx="6760">
                  <c:v>4.0937809999999955</c:v>
                </c:pt>
                <c:pt idx="6761">
                  <c:v>3.9891429999999977</c:v>
                </c:pt>
                <c:pt idx="6762">
                  <c:v>3.7829000000000002</c:v>
                </c:pt>
                <c:pt idx="6763">
                  <c:v>3.6255970000000164</c:v>
                </c:pt>
                <c:pt idx="6764">
                  <c:v>3.6805740000000204</c:v>
                </c:pt>
                <c:pt idx="6765">
                  <c:v>3.581887</c:v>
                </c:pt>
                <c:pt idx="6766">
                  <c:v>3.2310659999999967</c:v>
                </c:pt>
                <c:pt idx="6767">
                  <c:v>3.1416369999999998</c:v>
                </c:pt>
                <c:pt idx="6768">
                  <c:v>3.3664049999999968</c:v>
                </c:pt>
                <c:pt idx="6769">
                  <c:v>3.5336889999999967</c:v>
                </c:pt>
                <c:pt idx="6770">
                  <c:v>3.2107039999999998</c:v>
                </c:pt>
                <c:pt idx="6771">
                  <c:v>3.3835910000000204</c:v>
                </c:pt>
                <c:pt idx="6772">
                  <c:v>3.2775710000000204</c:v>
                </c:pt>
                <c:pt idx="6773">
                  <c:v>3.3132249999999988</c:v>
                </c:pt>
                <c:pt idx="6774">
                  <c:v>3.2589210000000164</c:v>
                </c:pt>
                <c:pt idx="6775">
                  <c:v>3.7604790000000001</c:v>
                </c:pt>
                <c:pt idx="6776">
                  <c:v>3.8145919999999998</c:v>
                </c:pt>
                <c:pt idx="6777">
                  <c:v>3.7998089999999967</c:v>
                </c:pt>
                <c:pt idx="6778">
                  <c:v>3.5761940000000001</c:v>
                </c:pt>
                <c:pt idx="6779">
                  <c:v>3.6309230000000001</c:v>
                </c:pt>
                <c:pt idx="6780">
                  <c:v>3.9384209999999977</c:v>
                </c:pt>
                <c:pt idx="6781">
                  <c:v>3.8821449999999977</c:v>
                </c:pt>
                <c:pt idx="6782">
                  <c:v>3.782038</c:v>
                </c:pt>
                <c:pt idx="6783">
                  <c:v>3.797558</c:v>
                </c:pt>
                <c:pt idx="6784">
                  <c:v>3.6516009999999977</c:v>
                </c:pt>
                <c:pt idx="6785">
                  <c:v>3.65896</c:v>
                </c:pt>
                <c:pt idx="6786">
                  <c:v>3.578484</c:v>
                </c:pt>
                <c:pt idx="6787">
                  <c:v>4.0322170000000002</c:v>
                </c:pt>
                <c:pt idx="6788">
                  <c:v>3.9691860000000001</c:v>
                </c:pt>
                <c:pt idx="6789">
                  <c:v>3.8379659999999967</c:v>
                </c:pt>
                <c:pt idx="6790">
                  <c:v>3.5525779999999987</c:v>
                </c:pt>
                <c:pt idx="6791">
                  <c:v>3.3527799999999779</c:v>
                </c:pt>
                <c:pt idx="6792">
                  <c:v>3.2544779999999998</c:v>
                </c:pt>
                <c:pt idx="6793">
                  <c:v>3.0195279999999998</c:v>
                </c:pt>
                <c:pt idx="6794">
                  <c:v>3.1037370000000251</c:v>
                </c:pt>
                <c:pt idx="6795">
                  <c:v>3.117467</c:v>
                </c:pt>
                <c:pt idx="6796">
                  <c:v>3.1043989999999999</c:v>
                </c:pt>
                <c:pt idx="6797">
                  <c:v>2.8722329999999778</c:v>
                </c:pt>
                <c:pt idx="6798">
                  <c:v>3.1215850000000001</c:v>
                </c:pt>
                <c:pt idx="6799">
                  <c:v>3.0655670000000002</c:v>
                </c:pt>
                <c:pt idx="6800">
                  <c:v>3.472247999999976</c:v>
                </c:pt>
                <c:pt idx="6801">
                  <c:v>3.6004499999999977</c:v>
                </c:pt>
                <c:pt idx="6802">
                  <c:v>3.799102</c:v>
                </c:pt>
                <c:pt idx="6803">
                  <c:v>3.1962569999999788</c:v>
                </c:pt>
                <c:pt idx="6804">
                  <c:v>3.589801</c:v>
                </c:pt>
                <c:pt idx="6805">
                  <c:v>3.6142049999999997</c:v>
                </c:pt>
                <c:pt idx="6806">
                  <c:v>3.2049210000000219</c:v>
                </c:pt>
                <c:pt idx="6807">
                  <c:v>3.4272689999999977</c:v>
                </c:pt>
                <c:pt idx="6808">
                  <c:v>3.57816</c:v>
                </c:pt>
                <c:pt idx="6809">
                  <c:v>3.3533519999999997</c:v>
                </c:pt>
                <c:pt idx="6810">
                  <c:v>3.2090939999999999</c:v>
                </c:pt>
                <c:pt idx="6811">
                  <c:v>2.8880579999999987</c:v>
                </c:pt>
                <c:pt idx="6812">
                  <c:v>3.12344</c:v>
                </c:pt>
                <c:pt idx="6813">
                  <c:v>4.0344290000000003</c:v>
                </c:pt>
                <c:pt idx="6814">
                  <c:v>3.337904</c:v>
                </c:pt>
                <c:pt idx="6815">
                  <c:v>3.0130979999999998</c:v>
                </c:pt>
                <c:pt idx="6816">
                  <c:v>3.6359049999999997</c:v>
                </c:pt>
                <c:pt idx="6817">
                  <c:v>3.7348599999999967</c:v>
                </c:pt>
                <c:pt idx="6818">
                  <c:v>3.9220719999999987</c:v>
                </c:pt>
                <c:pt idx="6819">
                  <c:v>3.6516109999999977</c:v>
                </c:pt>
                <c:pt idx="6820">
                  <c:v>4.0058660000000001</c:v>
                </c:pt>
                <c:pt idx="6821">
                  <c:v>3.8195609999999967</c:v>
                </c:pt>
                <c:pt idx="6822">
                  <c:v>4.012391</c:v>
                </c:pt>
                <c:pt idx="6823">
                  <c:v>4.1539079999999755</c:v>
                </c:pt>
                <c:pt idx="6824">
                  <c:v>4.0915590000000002</c:v>
                </c:pt>
                <c:pt idx="6825">
                  <c:v>4.4574199999999955</c:v>
                </c:pt>
                <c:pt idx="6826">
                  <c:v>4.0486730000000124</c:v>
                </c:pt>
                <c:pt idx="6827">
                  <c:v>4.1331439999999997</c:v>
                </c:pt>
                <c:pt idx="6828">
                  <c:v>4.1494159999999845</c:v>
                </c:pt>
                <c:pt idx="6829">
                  <c:v>4.1563439999999998</c:v>
                </c:pt>
                <c:pt idx="6830">
                  <c:v>4.1853149999999655</c:v>
                </c:pt>
                <c:pt idx="6831">
                  <c:v>4.2441649999999855</c:v>
                </c:pt>
                <c:pt idx="6832">
                  <c:v>4.1531439999999975</c:v>
                </c:pt>
                <c:pt idx="6833">
                  <c:v>3.988451</c:v>
                </c:pt>
                <c:pt idx="6834">
                  <c:v>3.7890250000000001</c:v>
                </c:pt>
                <c:pt idx="6835">
                  <c:v>3.7269009999999998</c:v>
                </c:pt>
                <c:pt idx="6836">
                  <c:v>6.8358930000000004</c:v>
                </c:pt>
                <c:pt idx="6837">
                  <c:v>4.5105149999999545</c:v>
                </c:pt>
                <c:pt idx="6838">
                  <c:v>4.3887600000000004</c:v>
                </c:pt>
                <c:pt idx="6839">
                  <c:v>4.01453799999996</c:v>
                </c:pt>
                <c:pt idx="6840">
                  <c:v>3.6576749999999998</c:v>
                </c:pt>
                <c:pt idx="6841">
                  <c:v>3.529423</c:v>
                </c:pt>
                <c:pt idx="6842">
                  <c:v>3.3653040000000001</c:v>
                </c:pt>
                <c:pt idx="6843">
                  <c:v>3.564438</c:v>
                </c:pt>
                <c:pt idx="6844">
                  <c:v>3.6112469999999779</c:v>
                </c:pt>
                <c:pt idx="6845">
                  <c:v>3.7116210000000001</c:v>
                </c:pt>
                <c:pt idx="6846">
                  <c:v>3.683265</c:v>
                </c:pt>
                <c:pt idx="6847">
                  <c:v>4.2036340000000001</c:v>
                </c:pt>
                <c:pt idx="6848">
                  <c:v>6.108892</c:v>
                </c:pt>
                <c:pt idx="6849">
                  <c:v>5.6324329999999945</c:v>
                </c:pt>
                <c:pt idx="6850">
                  <c:v>4.3488449999999945</c:v>
                </c:pt>
                <c:pt idx="6851">
                  <c:v>4.4377870000000001</c:v>
                </c:pt>
                <c:pt idx="6852">
                  <c:v>4.1275919999999591</c:v>
                </c:pt>
                <c:pt idx="6853">
                  <c:v>4.0953629999999999</c:v>
                </c:pt>
                <c:pt idx="6854">
                  <c:v>3.8782909999999977</c:v>
                </c:pt>
                <c:pt idx="6855">
                  <c:v>3.9385679999999987</c:v>
                </c:pt>
                <c:pt idx="6856">
                  <c:v>4.0774910000000002</c:v>
                </c:pt>
                <c:pt idx="6857">
                  <c:v>3.8244340000000001</c:v>
                </c:pt>
                <c:pt idx="6858">
                  <c:v>4.11415299999996</c:v>
                </c:pt>
                <c:pt idx="6859">
                  <c:v>5.4843599999999997</c:v>
                </c:pt>
                <c:pt idx="6860">
                  <c:v>7.5294999999999996</c:v>
                </c:pt>
                <c:pt idx="6861">
                  <c:v>3.7037180000000012</c:v>
                </c:pt>
                <c:pt idx="6862">
                  <c:v>3.46455</c:v>
                </c:pt>
                <c:pt idx="6863">
                  <c:v>3.4757489999999764</c:v>
                </c:pt>
                <c:pt idx="6864">
                  <c:v>3.1490960000000001</c:v>
                </c:pt>
                <c:pt idx="6865">
                  <c:v>3.2600790000000002</c:v>
                </c:pt>
                <c:pt idx="6866">
                  <c:v>3.2636780000000001</c:v>
                </c:pt>
                <c:pt idx="6867">
                  <c:v>3.2035250000000164</c:v>
                </c:pt>
                <c:pt idx="6868">
                  <c:v>3.0489830000000002</c:v>
                </c:pt>
                <c:pt idx="6869">
                  <c:v>3.1925309999999998</c:v>
                </c:pt>
                <c:pt idx="6870">
                  <c:v>3.5031610000000177</c:v>
                </c:pt>
                <c:pt idx="6871">
                  <c:v>4.3671459999999609</c:v>
                </c:pt>
                <c:pt idx="6872">
                  <c:v>5.1458299999999975</c:v>
                </c:pt>
                <c:pt idx="6873">
                  <c:v>4.5500059999999865</c:v>
                </c:pt>
                <c:pt idx="6874">
                  <c:v>4.4327389999999998</c:v>
                </c:pt>
                <c:pt idx="6875">
                  <c:v>3.8116769999999764</c:v>
                </c:pt>
                <c:pt idx="6876">
                  <c:v>3.7403050000000002</c:v>
                </c:pt>
                <c:pt idx="6877">
                  <c:v>3.810867999999981</c:v>
                </c:pt>
                <c:pt idx="6878">
                  <c:v>3.6270609999999999</c:v>
                </c:pt>
                <c:pt idx="6879">
                  <c:v>3.8862429999999692</c:v>
                </c:pt>
                <c:pt idx="6880">
                  <c:v>3.7826979999999999</c:v>
                </c:pt>
                <c:pt idx="6881">
                  <c:v>3.5338719999999997</c:v>
                </c:pt>
                <c:pt idx="6882">
                  <c:v>3.2728249999999997</c:v>
                </c:pt>
                <c:pt idx="6883">
                  <c:v>3.1349079999999998</c:v>
                </c:pt>
                <c:pt idx="6884">
                  <c:v>3.1092810000000002</c:v>
                </c:pt>
                <c:pt idx="6885">
                  <c:v>3.1151849999999999</c:v>
                </c:pt>
                <c:pt idx="6886">
                  <c:v>3.1684549999999998</c:v>
                </c:pt>
                <c:pt idx="6887">
                  <c:v>3.1316119999999987</c:v>
                </c:pt>
                <c:pt idx="6888">
                  <c:v>3.5132219999999998</c:v>
                </c:pt>
                <c:pt idx="6889">
                  <c:v>3.7702059999999977</c:v>
                </c:pt>
                <c:pt idx="6890">
                  <c:v>3.8165309999999977</c:v>
                </c:pt>
                <c:pt idx="6891">
                  <c:v>3.655132</c:v>
                </c:pt>
                <c:pt idx="6892">
                  <c:v>3.8025759999999829</c:v>
                </c:pt>
                <c:pt idx="6893">
                  <c:v>3.8145589999999778</c:v>
                </c:pt>
                <c:pt idx="6894">
                  <c:v>3.8130789999999779</c:v>
                </c:pt>
                <c:pt idx="6895">
                  <c:v>4.4931099999999997</c:v>
                </c:pt>
                <c:pt idx="6896">
                  <c:v>5.84023</c:v>
                </c:pt>
                <c:pt idx="6897">
                  <c:v>4.8950209999999945</c:v>
                </c:pt>
                <c:pt idx="6898">
                  <c:v>4.7375280000000002</c:v>
                </c:pt>
                <c:pt idx="6899">
                  <c:v>4.7784700000000004</c:v>
                </c:pt>
                <c:pt idx="6900">
                  <c:v>4.5758089999999996</c:v>
                </c:pt>
                <c:pt idx="6901">
                  <c:v>4.5896109999999997</c:v>
                </c:pt>
                <c:pt idx="6902">
                  <c:v>4.6622709999999845</c:v>
                </c:pt>
                <c:pt idx="6903">
                  <c:v>4.4521179999999845</c:v>
                </c:pt>
                <c:pt idx="6904">
                  <c:v>4.4921290000000003</c:v>
                </c:pt>
                <c:pt idx="6905">
                  <c:v>4.7493440000000033</c:v>
                </c:pt>
                <c:pt idx="6906">
                  <c:v>4.3705920000000003</c:v>
                </c:pt>
                <c:pt idx="6907">
                  <c:v>4.4583610000000133</c:v>
                </c:pt>
                <c:pt idx="6908">
                  <c:v>3.8662629999999765</c:v>
                </c:pt>
                <c:pt idx="6909">
                  <c:v>4.0727979999999997</c:v>
                </c:pt>
                <c:pt idx="6910">
                  <c:v>3.9925429999999755</c:v>
                </c:pt>
                <c:pt idx="6911">
                  <c:v>3.9452259999999977</c:v>
                </c:pt>
                <c:pt idx="6912">
                  <c:v>3.3983649999999987</c:v>
                </c:pt>
                <c:pt idx="6913">
                  <c:v>3.2722919999999998</c:v>
                </c:pt>
                <c:pt idx="6914">
                  <c:v>3.2403860000000186</c:v>
                </c:pt>
                <c:pt idx="6915">
                  <c:v>3.3012149999999987</c:v>
                </c:pt>
                <c:pt idx="6916">
                  <c:v>3.2800129999999998</c:v>
                </c:pt>
                <c:pt idx="6917">
                  <c:v>3.4217999999999997</c:v>
                </c:pt>
                <c:pt idx="6918">
                  <c:v>3.5556939999999977</c:v>
                </c:pt>
                <c:pt idx="6919">
                  <c:v>4.4558710000000001</c:v>
                </c:pt>
                <c:pt idx="6920">
                  <c:v>4.451443000000042</c:v>
                </c:pt>
                <c:pt idx="6921">
                  <c:v>4.9326740000000004</c:v>
                </c:pt>
                <c:pt idx="6922">
                  <c:v>4.6119690000000002</c:v>
                </c:pt>
                <c:pt idx="6923">
                  <c:v>4.7113360000000002</c:v>
                </c:pt>
                <c:pt idx="6924">
                  <c:v>4.9240209999999855</c:v>
                </c:pt>
                <c:pt idx="6925">
                  <c:v>4.1159769999999645</c:v>
                </c:pt>
                <c:pt idx="6926">
                  <c:v>4.6950909999999855</c:v>
                </c:pt>
                <c:pt idx="6927">
                  <c:v>4.5294299999999996</c:v>
                </c:pt>
                <c:pt idx="6928">
                  <c:v>4.0476289999999997</c:v>
                </c:pt>
                <c:pt idx="6929">
                  <c:v>3.564819</c:v>
                </c:pt>
                <c:pt idx="6930">
                  <c:v>3.4385449999999977</c:v>
                </c:pt>
                <c:pt idx="6931">
                  <c:v>4.4533319999999996</c:v>
                </c:pt>
                <c:pt idx="6932">
                  <c:v>4.0139680000000002</c:v>
                </c:pt>
                <c:pt idx="6933">
                  <c:v>3.9086179999999997</c:v>
                </c:pt>
                <c:pt idx="6934">
                  <c:v>3.9090989999999977</c:v>
                </c:pt>
                <c:pt idx="6935">
                  <c:v>3.9696359999999977</c:v>
                </c:pt>
                <c:pt idx="6936">
                  <c:v>4.0563250000000002</c:v>
                </c:pt>
                <c:pt idx="6937">
                  <c:v>3.900388</c:v>
                </c:pt>
                <c:pt idx="6938">
                  <c:v>3.8076279999999998</c:v>
                </c:pt>
                <c:pt idx="6939">
                  <c:v>3.6571320000000012</c:v>
                </c:pt>
                <c:pt idx="6940">
                  <c:v>3.558389</c:v>
                </c:pt>
                <c:pt idx="6941">
                  <c:v>3.5336449999999977</c:v>
                </c:pt>
                <c:pt idx="6942">
                  <c:v>3.6649210000000205</c:v>
                </c:pt>
                <c:pt idx="6943">
                  <c:v>4.9082590000000383</c:v>
                </c:pt>
                <c:pt idx="6944">
                  <c:v>8.0076219999999996</c:v>
                </c:pt>
                <c:pt idx="6945">
                  <c:v>6.3603949999999845</c:v>
                </c:pt>
                <c:pt idx="6946">
                  <c:v>4.4328890000000003</c:v>
                </c:pt>
                <c:pt idx="6947">
                  <c:v>4.381157</c:v>
                </c:pt>
                <c:pt idx="6948">
                  <c:v>4.3651069999999645</c:v>
                </c:pt>
                <c:pt idx="6949">
                  <c:v>4.1289339999999655</c:v>
                </c:pt>
                <c:pt idx="6950">
                  <c:v>4.1583199999999945</c:v>
                </c:pt>
                <c:pt idx="6951">
                  <c:v>4.2475610000000001</c:v>
                </c:pt>
                <c:pt idx="6952">
                  <c:v>4.3655769999999645</c:v>
                </c:pt>
                <c:pt idx="6953">
                  <c:v>4.1994299999999996</c:v>
                </c:pt>
                <c:pt idx="6954">
                  <c:v>5.0918869999999945</c:v>
                </c:pt>
                <c:pt idx="6955">
                  <c:v>3.7720259999999977</c:v>
                </c:pt>
                <c:pt idx="6956">
                  <c:v>3.793418</c:v>
                </c:pt>
                <c:pt idx="6957">
                  <c:v>3.7324039999999967</c:v>
                </c:pt>
                <c:pt idx="6958">
                  <c:v>3.653686</c:v>
                </c:pt>
                <c:pt idx="6959">
                  <c:v>4.0680439999999995</c:v>
                </c:pt>
                <c:pt idx="6960">
                  <c:v>3.7982939999999998</c:v>
                </c:pt>
                <c:pt idx="6961">
                  <c:v>3.6675059999999999</c:v>
                </c:pt>
                <c:pt idx="6962">
                  <c:v>3.6161829999999977</c:v>
                </c:pt>
                <c:pt idx="6963">
                  <c:v>3.8400300000000001</c:v>
                </c:pt>
                <c:pt idx="6964">
                  <c:v>4.1272549999999582</c:v>
                </c:pt>
                <c:pt idx="6965">
                  <c:v>4.2235829999999845</c:v>
                </c:pt>
                <c:pt idx="6966">
                  <c:v>4.0576829999999955</c:v>
                </c:pt>
                <c:pt idx="6967">
                  <c:v>3.8392349999999977</c:v>
                </c:pt>
                <c:pt idx="6968">
                  <c:v>4.1836609999999999</c:v>
                </c:pt>
                <c:pt idx="6969">
                  <c:v>4.6059859999999491</c:v>
                </c:pt>
                <c:pt idx="6970">
                  <c:v>4.2061450000000002</c:v>
                </c:pt>
                <c:pt idx="6971">
                  <c:v>3.9611390000000002</c:v>
                </c:pt>
                <c:pt idx="6972">
                  <c:v>3.577718</c:v>
                </c:pt>
                <c:pt idx="6973">
                  <c:v>3.734826</c:v>
                </c:pt>
                <c:pt idx="6974">
                  <c:v>3.9308399999999977</c:v>
                </c:pt>
                <c:pt idx="6975">
                  <c:v>4.3318890000000003</c:v>
                </c:pt>
                <c:pt idx="6976">
                  <c:v>4.0550639999999998</c:v>
                </c:pt>
                <c:pt idx="6977">
                  <c:v>4.0071019999999855</c:v>
                </c:pt>
                <c:pt idx="6978">
                  <c:v>3.7674150000000002</c:v>
                </c:pt>
                <c:pt idx="6979">
                  <c:v>3.7485840000000219</c:v>
                </c:pt>
                <c:pt idx="6980">
                  <c:v>3.9564039999999778</c:v>
                </c:pt>
                <c:pt idx="6981">
                  <c:v>4.2879019999999946</c:v>
                </c:pt>
                <c:pt idx="6982">
                  <c:v>4.3685079999999745</c:v>
                </c:pt>
                <c:pt idx="6983">
                  <c:v>4.3577259999999765</c:v>
                </c:pt>
                <c:pt idx="6984">
                  <c:v>3.920096</c:v>
                </c:pt>
                <c:pt idx="6985">
                  <c:v>3.9485920000000001</c:v>
                </c:pt>
                <c:pt idx="6986">
                  <c:v>3.7445640000000204</c:v>
                </c:pt>
                <c:pt idx="6987">
                  <c:v>3.9357519999999977</c:v>
                </c:pt>
                <c:pt idx="6988">
                  <c:v>3.9503659999999967</c:v>
                </c:pt>
                <c:pt idx="6989">
                  <c:v>4.0307560000000002</c:v>
                </c:pt>
                <c:pt idx="6990">
                  <c:v>4.0872620000000124</c:v>
                </c:pt>
                <c:pt idx="6991">
                  <c:v>3.93079</c:v>
                </c:pt>
                <c:pt idx="6992">
                  <c:v>4.0299449999999855</c:v>
                </c:pt>
                <c:pt idx="6993">
                  <c:v>4.3873699999999998</c:v>
                </c:pt>
                <c:pt idx="6994">
                  <c:v>4.4583240000000002</c:v>
                </c:pt>
                <c:pt idx="6995">
                  <c:v>4.7327310000000002</c:v>
                </c:pt>
                <c:pt idx="6996">
                  <c:v>4.4961250000000001</c:v>
                </c:pt>
                <c:pt idx="6997">
                  <c:v>3.9998109999999967</c:v>
                </c:pt>
                <c:pt idx="6998">
                  <c:v>3.6593</c:v>
                </c:pt>
                <c:pt idx="6999">
                  <c:v>3.3196869999999778</c:v>
                </c:pt>
                <c:pt idx="7000">
                  <c:v>3.0830600000000001</c:v>
                </c:pt>
                <c:pt idx="7001">
                  <c:v>3.0950419999999967</c:v>
                </c:pt>
                <c:pt idx="7002">
                  <c:v>3.2372179999999999</c:v>
                </c:pt>
                <c:pt idx="7003">
                  <c:v>3.4615119999999999</c:v>
                </c:pt>
                <c:pt idx="7004">
                  <c:v>3.3741479999999977</c:v>
                </c:pt>
                <c:pt idx="7005">
                  <c:v>3.4390709999999967</c:v>
                </c:pt>
                <c:pt idx="7006">
                  <c:v>3.6886930000000002</c:v>
                </c:pt>
                <c:pt idx="7007">
                  <c:v>3.6327029999999967</c:v>
                </c:pt>
                <c:pt idx="7008">
                  <c:v>3.4748399999999977</c:v>
                </c:pt>
                <c:pt idx="7009">
                  <c:v>3.5975670000000002</c:v>
                </c:pt>
                <c:pt idx="7010">
                  <c:v>3.534592</c:v>
                </c:pt>
                <c:pt idx="7011">
                  <c:v>3.6801380000000012</c:v>
                </c:pt>
                <c:pt idx="7012">
                  <c:v>3.650382</c:v>
                </c:pt>
                <c:pt idx="7013">
                  <c:v>3.529935</c:v>
                </c:pt>
                <c:pt idx="7014">
                  <c:v>3.8230040000000001</c:v>
                </c:pt>
                <c:pt idx="7015">
                  <c:v>3.818991</c:v>
                </c:pt>
                <c:pt idx="7016">
                  <c:v>4.1859049999999645</c:v>
                </c:pt>
                <c:pt idx="7017">
                  <c:v>3.8340609999999824</c:v>
                </c:pt>
                <c:pt idx="7018">
                  <c:v>3.88</c:v>
                </c:pt>
                <c:pt idx="7019">
                  <c:v>3.7135250000000002</c:v>
                </c:pt>
                <c:pt idx="7020">
                  <c:v>3.3919129999999829</c:v>
                </c:pt>
                <c:pt idx="7021">
                  <c:v>3.4117059999999788</c:v>
                </c:pt>
                <c:pt idx="7022">
                  <c:v>3.4143240000000001</c:v>
                </c:pt>
                <c:pt idx="7023">
                  <c:v>3.4223079999999997</c:v>
                </c:pt>
                <c:pt idx="7024">
                  <c:v>3.3970569999999967</c:v>
                </c:pt>
                <c:pt idx="7025">
                  <c:v>3.4970019999999997</c:v>
                </c:pt>
                <c:pt idx="7026">
                  <c:v>3.108428</c:v>
                </c:pt>
                <c:pt idx="7027">
                  <c:v>3.245063</c:v>
                </c:pt>
                <c:pt idx="7028">
                  <c:v>3.1946349999999999</c:v>
                </c:pt>
                <c:pt idx="7029">
                  <c:v>3.1659820000000001</c:v>
                </c:pt>
                <c:pt idx="7030">
                  <c:v>3.080549</c:v>
                </c:pt>
                <c:pt idx="7031">
                  <c:v>2.9451849999999999</c:v>
                </c:pt>
                <c:pt idx="7032">
                  <c:v>3.2388459999999779</c:v>
                </c:pt>
                <c:pt idx="7033">
                  <c:v>3.1091790000000001</c:v>
                </c:pt>
                <c:pt idx="7034">
                  <c:v>2.9249320000000001</c:v>
                </c:pt>
                <c:pt idx="7035">
                  <c:v>3.0271220000000012</c:v>
                </c:pt>
                <c:pt idx="7036">
                  <c:v>3.0375489999999967</c:v>
                </c:pt>
                <c:pt idx="7037">
                  <c:v>3.0758609999999829</c:v>
                </c:pt>
                <c:pt idx="7038">
                  <c:v>3.2272029999999998</c:v>
                </c:pt>
                <c:pt idx="7039">
                  <c:v>4.1141269999999563</c:v>
                </c:pt>
                <c:pt idx="7040">
                  <c:v>4.9265109999999845</c:v>
                </c:pt>
                <c:pt idx="7041">
                  <c:v>4.2212470000000124</c:v>
                </c:pt>
                <c:pt idx="7042">
                  <c:v>3.92577</c:v>
                </c:pt>
                <c:pt idx="7043">
                  <c:v>3.8959949999999997</c:v>
                </c:pt>
                <c:pt idx="7044">
                  <c:v>3.7746589999999967</c:v>
                </c:pt>
                <c:pt idx="7045">
                  <c:v>3.8005369999999998</c:v>
                </c:pt>
                <c:pt idx="7046">
                  <c:v>3.6546639999999977</c:v>
                </c:pt>
                <c:pt idx="7047">
                  <c:v>3.6099559999999977</c:v>
                </c:pt>
                <c:pt idx="7048">
                  <c:v>3.5409240000000173</c:v>
                </c:pt>
                <c:pt idx="7049">
                  <c:v>3.6780789999999977</c:v>
                </c:pt>
                <c:pt idx="7050">
                  <c:v>5.0691559999999845</c:v>
                </c:pt>
                <c:pt idx="7051">
                  <c:v>5.9393590000000493</c:v>
                </c:pt>
                <c:pt idx="7052">
                  <c:v>3.5345840000000002</c:v>
                </c:pt>
                <c:pt idx="7053">
                  <c:v>3.488226</c:v>
                </c:pt>
                <c:pt idx="7054">
                  <c:v>3.4494859999999967</c:v>
                </c:pt>
                <c:pt idx="7055">
                  <c:v>3.3293459999999819</c:v>
                </c:pt>
                <c:pt idx="7056">
                  <c:v>3.7099120000000001</c:v>
                </c:pt>
                <c:pt idx="7057">
                  <c:v>3.7355610000000001</c:v>
                </c:pt>
                <c:pt idx="7058">
                  <c:v>3.792036</c:v>
                </c:pt>
                <c:pt idx="7059">
                  <c:v>3.6255299999999999</c:v>
                </c:pt>
                <c:pt idx="7060">
                  <c:v>3.728275</c:v>
                </c:pt>
                <c:pt idx="7061">
                  <c:v>3.7993939999999999</c:v>
                </c:pt>
                <c:pt idx="7062">
                  <c:v>3.6374219999999999</c:v>
                </c:pt>
                <c:pt idx="7063">
                  <c:v>3.7203720000000002</c:v>
                </c:pt>
                <c:pt idx="7064">
                  <c:v>4.1107509999999845</c:v>
                </c:pt>
                <c:pt idx="7065">
                  <c:v>4.3429459999999755</c:v>
                </c:pt>
                <c:pt idx="7066">
                  <c:v>4.2661859999999745</c:v>
                </c:pt>
                <c:pt idx="7067">
                  <c:v>4.7864329999999997</c:v>
                </c:pt>
                <c:pt idx="7068">
                  <c:v>4.2822719999999999</c:v>
                </c:pt>
                <c:pt idx="7069">
                  <c:v>4.0581299999999985</c:v>
                </c:pt>
                <c:pt idx="7070">
                  <c:v>4.1812730000000133</c:v>
                </c:pt>
                <c:pt idx="7071">
                  <c:v>4.1738400000000002</c:v>
                </c:pt>
                <c:pt idx="7072">
                  <c:v>4.468127</c:v>
                </c:pt>
                <c:pt idx="7073">
                  <c:v>4.0385539999999995</c:v>
                </c:pt>
                <c:pt idx="7074">
                  <c:v>3.765854</c:v>
                </c:pt>
                <c:pt idx="7075">
                  <c:v>3.9860419999999968</c:v>
                </c:pt>
                <c:pt idx="7076">
                  <c:v>4.0730050000000002</c:v>
                </c:pt>
                <c:pt idx="7077">
                  <c:v>3.9724959999999778</c:v>
                </c:pt>
                <c:pt idx="7078">
                  <c:v>4.0039819999999855</c:v>
                </c:pt>
                <c:pt idx="7079">
                  <c:v>3.8621829999999977</c:v>
                </c:pt>
                <c:pt idx="7080">
                  <c:v>3.6318449999999967</c:v>
                </c:pt>
                <c:pt idx="7081">
                  <c:v>3.510586</c:v>
                </c:pt>
                <c:pt idx="7082">
                  <c:v>3.5082449999999987</c:v>
                </c:pt>
                <c:pt idx="7083">
                  <c:v>3.613499</c:v>
                </c:pt>
                <c:pt idx="7084">
                  <c:v>3.7028159999999977</c:v>
                </c:pt>
                <c:pt idx="7085">
                  <c:v>3.6525370000000001</c:v>
                </c:pt>
                <c:pt idx="7086">
                  <c:v>3.5474570000000001</c:v>
                </c:pt>
                <c:pt idx="7087">
                  <c:v>3.6899479999999998</c:v>
                </c:pt>
                <c:pt idx="7088">
                  <c:v>3.9029259999999977</c:v>
                </c:pt>
                <c:pt idx="7089">
                  <c:v>4.310848</c:v>
                </c:pt>
                <c:pt idx="7090">
                  <c:v>5.4421730000000004</c:v>
                </c:pt>
                <c:pt idx="7091">
                  <c:v>5.6755369999999745</c:v>
                </c:pt>
                <c:pt idx="7092">
                  <c:v>5.9165679999999998</c:v>
                </c:pt>
                <c:pt idx="7093">
                  <c:v>5.8443680000000002</c:v>
                </c:pt>
                <c:pt idx="7094">
                  <c:v>5.8403960000000001</c:v>
                </c:pt>
                <c:pt idx="7095">
                  <c:v>5.5871869999999655</c:v>
                </c:pt>
                <c:pt idx="7096">
                  <c:v>5.5010610000000124</c:v>
                </c:pt>
                <c:pt idx="7097">
                  <c:v>5.5699309999999755</c:v>
                </c:pt>
                <c:pt idx="7098">
                  <c:v>5.6448999999999945</c:v>
                </c:pt>
                <c:pt idx="7099">
                  <c:v>5.3717009999999998</c:v>
                </c:pt>
                <c:pt idx="7100">
                  <c:v>5.2618419999999997</c:v>
                </c:pt>
                <c:pt idx="7101">
                  <c:v>5.2572530000000004</c:v>
                </c:pt>
                <c:pt idx="7102">
                  <c:v>5.2437170000000002</c:v>
                </c:pt>
                <c:pt idx="7103">
                  <c:v>5.1760020000000004</c:v>
                </c:pt>
                <c:pt idx="7104">
                  <c:v>3.9198489999999655</c:v>
                </c:pt>
                <c:pt idx="7105">
                  <c:v>3.4625539999999977</c:v>
                </c:pt>
                <c:pt idx="7106">
                  <c:v>3.5087000000000002</c:v>
                </c:pt>
                <c:pt idx="7107">
                  <c:v>3.040988</c:v>
                </c:pt>
                <c:pt idx="7108">
                  <c:v>3.2287320000000164</c:v>
                </c:pt>
                <c:pt idx="7109">
                  <c:v>3.3195069999999967</c:v>
                </c:pt>
                <c:pt idx="7110">
                  <c:v>3.2555040000000002</c:v>
                </c:pt>
                <c:pt idx="7111">
                  <c:v>3.5013100000000001</c:v>
                </c:pt>
                <c:pt idx="7112">
                  <c:v>3.7338549999999997</c:v>
                </c:pt>
                <c:pt idx="7113">
                  <c:v>3.5571640000000002</c:v>
                </c:pt>
                <c:pt idx="7114">
                  <c:v>3.9057040000000001</c:v>
                </c:pt>
                <c:pt idx="7115">
                  <c:v>3.9844339999999998</c:v>
                </c:pt>
                <c:pt idx="7116">
                  <c:v>3.7455120000000002</c:v>
                </c:pt>
                <c:pt idx="7117">
                  <c:v>3.9138499999999778</c:v>
                </c:pt>
                <c:pt idx="7118">
                  <c:v>3.9369539999999779</c:v>
                </c:pt>
                <c:pt idx="7119">
                  <c:v>4.1255949999999491</c:v>
                </c:pt>
                <c:pt idx="7120">
                  <c:v>3.9800499999999968</c:v>
                </c:pt>
                <c:pt idx="7121">
                  <c:v>3.9958169999999829</c:v>
                </c:pt>
                <c:pt idx="7122">
                  <c:v>4.0352870000000003</c:v>
                </c:pt>
                <c:pt idx="7123">
                  <c:v>3.8492139999999977</c:v>
                </c:pt>
                <c:pt idx="7124">
                  <c:v>3.9777529999999977</c:v>
                </c:pt>
                <c:pt idx="7125">
                  <c:v>3.824916</c:v>
                </c:pt>
                <c:pt idx="7126">
                  <c:v>4.1530589999999945</c:v>
                </c:pt>
                <c:pt idx="7127">
                  <c:v>3.7233880000000052</c:v>
                </c:pt>
                <c:pt idx="7128">
                  <c:v>3.6692710000000002</c:v>
                </c:pt>
                <c:pt idx="7129">
                  <c:v>4.6243019999999655</c:v>
                </c:pt>
                <c:pt idx="7130">
                  <c:v>4.4519060000000001</c:v>
                </c:pt>
                <c:pt idx="7131">
                  <c:v>4.0521339999999855</c:v>
                </c:pt>
                <c:pt idx="7132">
                  <c:v>4.2794490000000494</c:v>
                </c:pt>
                <c:pt idx="7133">
                  <c:v>4.651052</c:v>
                </c:pt>
                <c:pt idx="7134">
                  <c:v>3.8901300000000001</c:v>
                </c:pt>
                <c:pt idx="7135">
                  <c:v>4.0603119999999855</c:v>
                </c:pt>
                <c:pt idx="7136">
                  <c:v>4.3024139999999855</c:v>
                </c:pt>
                <c:pt idx="7137">
                  <c:v>4.6075969999999655</c:v>
                </c:pt>
                <c:pt idx="7138">
                  <c:v>3.5513659999999967</c:v>
                </c:pt>
                <c:pt idx="7139">
                  <c:v>4.0113380000000003</c:v>
                </c:pt>
                <c:pt idx="7140">
                  <c:v>4.1570679999999856</c:v>
                </c:pt>
                <c:pt idx="7141">
                  <c:v>3.9683009999999999</c:v>
                </c:pt>
                <c:pt idx="7142">
                  <c:v>3.756027</c:v>
                </c:pt>
                <c:pt idx="7143">
                  <c:v>3.6861240000000164</c:v>
                </c:pt>
                <c:pt idx="7144">
                  <c:v>4.0676299999999985</c:v>
                </c:pt>
                <c:pt idx="7145">
                  <c:v>3.6450479999999987</c:v>
                </c:pt>
                <c:pt idx="7146">
                  <c:v>3.3878849999999998</c:v>
                </c:pt>
                <c:pt idx="7147">
                  <c:v>3.5929669999999967</c:v>
                </c:pt>
                <c:pt idx="7148">
                  <c:v>4.2370780000000003</c:v>
                </c:pt>
                <c:pt idx="7149">
                  <c:v>3.4296669999999967</c:v>
                </c:pt>
                <c:pt idx="7150">
                  <c:v>4.0939509999999855</c:v>
                </c:pt>
                <c:pt idx="7151">
                  <c:v>3.5335800000000002</c:v>
                </c:pt>
                <c:pt idx="7152">
                  <c:v>2.2810679999999999</c:v>
                </c:pt>
                <c:pt idx="7153">
                  <c:v>2.6046939999999998</c:v>
                </c:pt>
                <c:pt idx="7154">
                  <c:v>2.0789029999999977</c:v>
                </c:pt>
                <c:pt idx="7155">
                  <c:v>1.534019</c:v>
                </c:pt>
                <c:pt idx="7156">
                  <c:v>2.4563559999999764</c:v>
                </c:pt>
                <c:pt idx="7157">
                  <c:v>3.0784370000000001</c:v>
                </c:pt>
                <c:pt idx="7158">
                  <c:v>2.297275</c:v>
                </c:pt>
                <c:pt idx="7159">
                  <c:v>2.8954709999999788</c:v>
                </c:pt>
                <c:pt idx="7160">
                  <c:v>2.1735009999999999</c:v>
                </c:pt>
                <c:pt idx="7161">
                  <c:v>2.0653800000000002</c:v>
                </c:pt>
                <c:pt idx="7162">
                  <c:v>2.2082910000000204</c:v>
                </c:pt>
                <c:pt idx="7163">
                  <c:v>2.137283</c:v>
                </c:pt>
                <c:pt idx="7164">
                  <c:v>2.2243599999999999</c:v>
                </c:pt>
                <c:pt idx="7165">
                  <c:v>1.7372949999999916</c:v>
                </c:pt>
                <c:pt idx="7166">
                  <c:v>1.8234669999999922</c:v>
                </c:pt>
                <c:pt idx="7167">
                  <c:v>2.0368389999999779</c:v>
                </c:pt>
                <c:pt idx="7168">
                  <c:v>1.9215789999999973</c:v>
                </c:pt>
                <c:pt idx="7169">
                  <c:v>2.088857</c:v>
                </c:pt>
                <c:pt idx="7170">
                  <c:v>2.0974499999999967</c:v>
                </c:pt>
                <c:pt idx="7171">
                  <c:v>2.2088290000000002</c:v>
                </c:pt>
                <c:pt idx="7172">
                  <c:v>1.9802090000000001</c:v>
                </c:pt>
                <c:pt idx="7173">
                  <c:v>1.9676789999999975</c:v>
                </c:pt>
                <c:pt idx="7174">
                  <c:v>1.9795780000000001</c:v>
                </c:pt>
                <c:pt idx="7175">
                  <c:v>3.7746549999999988</c:v>
                </c:pt>
                <c:pt idx="7176">
                  <c:v>4.156199</c:v>
                </c:pt>
                <c:pt idx="7177">
                  <c:v>4.1311710000000001</c:v>
                </c:pt>
                <c:pt idx="7178">
                  <c:v>4.1876839999999955</c:v>
                </c:pt>
                <c:pt idx="7179">
                  <c:v>4.3193830000000002</c:v>
                </c:pt>
                <c:pt idx="7180">
                  <c:v>4.0788869999999955</c:v>
                </c:pt>
                <c:pt idx="7181">
                  <c:v>4.0651239999999955</c:v>
                </c:pt>
                <c:pt idx="7182">
                  <c:v>4.4732480000000558</c:v>
                </c:pt>
                <c:pt idx="7183">
                  <c:v>4.2371169999999845</c:v>
                </c:pt>
                <c:pt idx="7184">
                  <c:v>6.4406500000000024</c:v>
                </c:pt>
                <c:pt idx="7185">
                  <c:v>6.524222</c:v>
                </c:pt>
                <c:pt idx="7186">
                  <c:v>4.5842309999999955</c:v>
                </c:pt>
                <c:pt idx="7187">
                  <c:v>4.2129839999999845</c:v>
                </c:pt>
                <c:pt idx="7188">
                  <c:v>4.4634149999999755</c:v>
                </c:pt>
                <c:pt idx="7189">
                  <c:v>4.5929879999999645</c:v>
                </c:pt>
                <c:pt idx="7190">
                  <c:v>4.1702420000000124</c:v>
                </c:pt>
                <c:pt idx="7191">
                  <c:v>4.442717</c:v>
                </c:pt>
                <c:pt idx="7192">
                  <c:v>4.5048399999999855</c:v>
                </c:pt>
                <c:pt idx="7193">
                  <c:v>4.2338920000000124</c:v>
                </c:pt>
                <c:pt idx="7194">
                  <c:v>3.9331230000000001</c:v>
                </c:pt>
                <c:pt idx="7195">
                  <c:v>4.0883320000000003</c:v>
                </c:pt>
                <c:pt idx="7196">
                  <c:v>3.849936</c:v>
                </c:pt>
                <c:pt idx="7197">
                  <c:v>3.8780889999999779</c:v>
                </c:pt>
                <c:pt idx="7198">
                  <c:v>3.7853330000000205</c:v>
                </c:pt>
                <c:pt idx="7199">
                  <c:v>4.6359269999999855</c:v>
                </c:pt>
                <c:pt idx="7200">
                  <c:v>4.8430059999999955</c:v>
                </c:pt>
                <c:pt idx="7201">
                  <c:v>4.6156879999999845</c:v>
                </c:pt>
                <c:pt idx="7202">
                  <c:v>4.6640439999999845</c:v>
                </c:pt>
                <c:pt idx="7203">
                  <c:v>4.4836770000000365</c:v>
                </c:pt>
                <c:pt idx="7204">
                  <c:v>4.5922780000000003</c:v>
                </c:pt>
                <c:pt idx="7205">
                  <c:v>4.8540769999999656</c:v>
                </c:pt>
                <c:pt idx="7206">
                  <c:v>4.9130849999999855</c:v>
                </c:pt>
                <c:pt idx="7207">
                  <c:v>5.2597769999999997</c:v>
                </c:pt>
                <c:pt idx="7208">
                  <c:v>5.2855210000000001</c:v>
                </c:pt>
                <c:pt idx="7209">
                  <c:v>5.2921049999999745</c:v>
                </c:pt>
                <c:pt idx="7210">
                  <c:v>5.5216529999999997</c:v>
                </c:pt>
                <c:pt idx="7211">
                  <c:v>5.4422620000000439</c:v>
                </c:pt>
                <c:pt idx="7212">
                  <c:v>5.757288</c:v>
                </c:pt>
                <c:pt idx="7213">
                  <c:v>5.3456239999999999</c:v>
                </c:pt>
                <c:pt idx="7214">
                  <c:v>5.290108</c:v>
                </c:pt>
                <c:pt idx="7215">
                  <c:v>5.3439109999999745</c:v>
                </c:pt>
                <c:pt idx="7216">
                  <c:v>5.5702620000000493</c:v>
                </c:pt>
                <c:pt idx="7217">
                  <c:v>5.4809580000000002</c:v>
                </c:pt>
                <c:pt idx="7218">
                  <c:v>5.5070739999999985</c:v>
                </c:pt>
                <c:pt idx="7219">
                  <c:v>4.9367559999999999</c:v>
                </c:pt>
                <c:pt idx="7220">
                  <c:v>5.1635369999999545</c:v>
                </c:pt>
                <c:pt idx="7221">
                  <c:v>5.1240529999999609</c:v>
                </c:pt>
                <c:pt idx="7222">
                  <c:v>5.1375569999999655</c:v>
                </c:pt>
                <c:pt idx="7223">
                  <c:v>4.6337130000000002</c:v>
                </c:pt>
                <c:pt idx="7224">
                  <c:v>4.2206089999999996</c:v>
                </c:pt>
                <c:pt idx="7225">
                  <c:v>4.0009319999999855</c:v>
                </c:pt>
                <c:pt idx="7226">
                  <c:v>3.9680249999999999</c:v>
                </c:pt>
                <c:pt idx="7227">
                  <c:v>3.6918929999999968</c:v>
                </c:pt>
                <c:pt idx="7228">
                  <c:v>3.9330569999999967</c:v>
                </c:pt>
                <c:pt idx="7229">
                  <c:v>3.8425459999999769</c:v>
                </c:pt>
                <c:pt idx="7230">
                  <c:v>3.7034350000000011</c:v>
                </c:pt>
                <c:pt idx="7231">
                  <c:v>4.1852099999999997</c:v>
                </c:pt>
                <c:pt idx="7232">
                  <c:v>4.6566929999999997</c:v>
                </c:pt>
                <c:pt idx="7233">
                  <c:v>4.5750000000000002</c:v>
                </c:pt>
                <c:pt idx="7234">
                  <c:v>4.9731500000000004</c:v>
                </c:pt>
                <c:pt idx="7235">
                  <c:v>5.1263939999999995</c:v>
                </c:pt>
                <c:pt idx="7236">
                  <c:v>4.7416369999999999</c:v>
                </c:pt>
                <c:pt idx="7237">
                  <c:v>4.6562570000000001</c:v>
                </c:pt>
                <c:pt idx="7238">
                  <c:v>4.5736520000000134</c:v>
                </c:pt>
                <c:pt idx="7239">
                  <c:v>5.0069790000000003</c:v>
                </c:pt>
                <c:pt idx="7240">
                  <c:v>4.551649000000042</c:v>
                </c:pt>
                <c:pt idx="7241">
                  <c:v>4.5163599999999997</c:v>
                </c:pt>
                <c:pt idx="7242">
                  <c:v>4.404547</c:v>
                </c:pt>
                <c:pt idx="7243">
                  <c:v>4.6941129999999518</c:v>
                </c:pt>
                <c:pt idx="7244">
                  <c:v>4.367181999999949</c:v>
                </c:pt>
                <c:pt idx="7245">
                  <c:v>3.9813779999999999</c:v>
                </c:pt>
                <c:pt idx="7246">
                  <c:v>3.9333679999999998</c:v>
                </c:pt>
                <c:pt idx="7247">
                  <c:v>2.442364</c:v>
                </c:pt>
                <c:pt idx="7248">
                  <c:v>2.0867459999999967</c:v>
                </c:pt>
                <c:pt idx="7249">
                  <c:v>1.8169909999999998</c:v>
                </c:pt>
                <c:pt idx="7250">
                  <c:v>1.8145720000000001</c:v>
                </c:pt>
                <c:pt idx="7251">
                  <c:v>1.9901780000000062</c:v>
                </c:pt>
                <c:pt idx="7252">
                  <c:v>2.0589849999999998</c:v>
                </c:pt>
                <c:pt idx="7253">
                  <c:v>2.0156809999999967</c:v>
                </c:pt>
                <c:pt idx="7254">
                  <c:v>2.0161910000000001</c:v>
                </c:pt>
                <c:pt idx="7255">
                  <c:v>2.246801</c:v>
                </c:pt>
                <c:pt idx="7256">
                  <c:v>2.400496</c:v>
                </c:pt>
                <c:pt idx="7257">
                  <c:v>2.3432309999999998</c:v>
                </c:pt>
                <c:pt idx="7258">
                  <c:v>2.7966279999999997</c:v>
                </c:pt>
                <c:pt idx="7259">
                  <c:v>3.0945179999999999</c:v>
                </c:pt>
                <c:pt idx="7260">
                  <c:v>2.6874790000000002</c:v>
                </c:pt>
                <c:pt idx="7261">
                  <c:v>2.8568829999999692</c:v>
                </c:pt>
                <c:pt idx="7262">
                  <c:v>2.6971320000000012</c:v>
                </c:pt>
                <c:pt idx="7263">
                  <c:v>3.0194049999999977</c:v>
                </c:pt>
                <c:pt idx="7264">
                  <c:v>2.9144359999999967</c:v>
                </c:pt>
                <c:pt idx="7265">
                  <c:v>3.3589779999999987</c:v>
                </c:pt>
                <c:pt idx="7266">
                  <c:v>4.2862320000000134</c:v>
                </c:pt>
                <c:pt idx="7267">
                  <c:v>5.9530370000000001</c:v>
                </c:pt>
                <c:pt idx="7268">
                  <c:v>8.6131799999999998</c:v>
                </c:pt>
                <c:pt idx="7269">
                  <c:v>4.8208069999999745</c:v>
                </c:pt>
                <c:pt idx="7270">
                  <c:v>2.6341869999999998</c:v>
                </c:pt>
                <c:pt idx="7271">
                  <c:v>2.3159119999999978</c:v>
                </c:pt>
                <c:pt idx="7272">
                  <c:v>2.5566429999999682</c:v>
                </c:pt>
                <c:pt idx="7273">
                  <c:v>2.3730949999999997</c:v>
                </c:pt>
                <c:pt idx="7274">
                  <c:v>2.0111629999999967</c:v>
                </c:pt>
                <c:pt idx="7275">
                  <c:v>2.1074899999999999</c:v>
                </c:pt>
                <c:pt idx="7276">
                  <c:v>2.2629049999999999</c:v>
                </c:pt>
                <c:pt idx="7277">
                  <c:v>2.3521749999999977</c:v>
                </c:pt>
                <c:pt idx="7278">
                  <c:v>2.610128</c:v>
                </c:pt>
                <c:pt idx="7279">
                  <c:v>3.12982</c:v>
                </c:pt>
                <c:pt idx="7280">
                  <c:v>3.429182</c:v>
                </c:pt>
                <c:pt idx="7281">
                  <c:v>3.4799569999999829</c:v>
                </c:pt>
                <c:pt idx="7282">
                  <c:v>3.170496</c:v>
                </c:pt>
                <c:pt idx="7283">
                  <c:v>3.1651020000000001</c:v>
                </c:pt>
                <c:pt idx="7284">
                  <c:v>2.7932670000000002</c:v>
                </c:pt>
                <c:pt idx="7285">
                  <c:v>2.917691</c:v>
                </c:pt>
                <c:pt idx="7286">
                  <c:v>3.2687569999999999</c:v>
                </c:pt>
                <c:pt idx="7287">
                  <c:v>3.0305469999999977</c:v>
                </c:pt>
                <c:pt idx="7288">
                  <c:v>2.7590629999999967</c:v>
                </c:pt>
                <c:pt idx="7289">
                  <c:v>3.1073370000000287</c:v>
                </c:pt>
                <c:pt idx="7290">
                  <c:v>3.9634119999999999</c:v>
                </c:pt>
                <c:pt idx="7291">
                  <c:v>2.9517739999999977</c:v>
                </c:pt>
                <c:pt idx="7292">
                  <c:v>2.9530589999999779</c:v>
                </c:pt>
                <c:pt idx="7293">
                  <c:v>3.0675460000000001</c:v>
                </c:pt>
                <c:pt idx="7294">
                  <c:v>2.746461</c:v>
                </c:pt>
                <c:pt idx="7295">
                  <c:v>3.0696849999999998</c:v>
                </c:pt>
                <c:pt idx="7296">
                  <c:v>3.2201540000000173</c:v>
                </c:pt>
                <c:pt idx="7297">
                  <c:v>3.0353669999999977</c:v>
                </c:pt>
                <c:pt idx="7298">
                  <c:v>2.9520199999999779</c:v>
                </c:pt>
                <c:pt idx="7299">
                  <c:v>2.8987159999999967</c:v>
                </c:pt>
                <c:pt idx="7300">
                  <c:v>3.061347</c:v>
                </c:pt>
                <c:pt idx="7301">
                  <c:v>2.9623710000000001</c:v>
                </c:pt>
                <c:pt idx="7302">
                  <c:v>2.9246289999999977</c:v>
                </c:pt>
                <c:pt idx="7303">
                  <c:v>3.2872290000000164</c:v>
                </c:pt>
                <c:pt idx="7304">
                  <c:v>3.3449300000000002</c:v>
                </c:pt>
                <c:pt idx="7305">
                  <c:v>3.2773200000000204</c:v>
                </c:pt>
                <c:pt idx="7306">
                  <c:v>3.3503759999999967</c:v>
                </c:pt>
                <c:pt idx="7307">
                  <c:v>3.5177149999999999</c:v>
                </c:pt>
                <c:pt idx="7308">
                  <c:v>3.9012099999999967</c:v>
                </c:pt>
                <c:pt idx="7309">
                  <c:v>3.709355</c:v>
                </c:pt>
                <c:pt idx="7310">
                  <c:v>3.9838260000000001</c:v>
                </c:pt>
                <c:pt idx="7311">
                  <c:v>3.8625819999999997</c:v>
                </c:pt>
                <c:pt idx="7312">
                  <c:v>3.6763340000000002</c:v>
                </c:pt>
                <c:pt idx="7313">
                  <c:v>3.6763089999999967</c:v>
                </c:pt>
                <c:pt idx="7314">
                  <c:v>3.8757639999999967</c:v>
                </c:pt>
                <c:pt idx="7315">
                  <c:v>4.136336</c:v>
                </c:pt>
                <c:pt idx="7316">
                  <c:v>3.1285040000000164</c:v>
                </c:pt>
                <c:pt idx="7317">
                  <c:v>3.3797359999999967</c:v>
                </c:pt>
                <c:pt idx="7318">
                  <c:v>3.2166299999999977</c:v>
                </c:pt>
                <c:pt idx="7319">
                  <c:v>2.3431519999999999</c:v>
                </c:pt>
                <c:pt idx="7320">
                  <c:v>2.483479</c:v>
                </c:pt>
                <c:pt idx="7321">
                  <c:v>2.213206</c:v>
                </c:pt>
                <c:pt idx="7322">
                  <c:v>2.1239750000000002</c:v>
                </c:pt>
                <c:pt idx="7323">
                  <c:v>2.0728189999999755</c:v>
                </c:pt>
                <c:pt idx="7324">
                  <c:v>2.29481</c:v>
                </c:pt>
                <c:pt idx="7325">
                  <c:v>1.8871629999999999</c:v>
                </c:pt>
                <c:pt idx="7326">
                  <c:v>2.3355349999999997</c:v>
                </c:pt>
                <c:pt idx="7327">
                  <c:v>2.397478999999981</c:v>
                </c:pt>
                <c:pt idx="7328">
                  <c:v>2.5049000000000001</c:v>
                </c:pt>
                <c:pt idx="7329">
                  <c:v>2.8699749999999997</c:v>
                </c:pt>
                <c:pt idx="7330">
                  <c:v>2.4194579999999775</c:v>
                </c:pt>
                <c:pt idx="7331">
                  <c:v>2.5639270000000205</c:v>
                </c:pt>
                <c:pt idx="7332">
                  <c:v>2.5462699999999967</c:v>
                </c:pt>
                <c:pt idx="7333">
                  <c:v>2.4196619999999927</c:v>
                </c:pt>
                <c:pt idx="7334">
                  <c:v>2.2246130000000002</c:v>
                </c:pt>
                <c:pt idx="7335">
                  <c:v>2.3277459999999977</c:v>
                </c:pt>
                <c:pt idx="7336">
                  <c:v>2.070471</c:v>
                </c:pt>
                <c:pt idx="7337">
                  <c:v>1.9911470000000062</c:v>
                </c:pt>
                <c:pt idx="7338">
                  <c:v>2.2882120000000001</c:v>
                </c:pt>
                <c:pt idx="7339">
                  <c:v>2.542567</c:v>
                </c:pt>
                <c:pt idx="7340">
                  <c:v>2.4759989999999967</c:v>
                </c:pt>
                <c:pt idx="7341">
                  <c:v>2.1726319999999997</c:v>
                </c:pt>
                <c:pt idx="7342">
                  <c:v>2.4810439999999967</c:v>
                </c:pt>
                <c:pt idx="7343">
                  <c:v>3.9436049999999998</c:v>
                </c:pt>
                <c:pt idx="7344">
                  <c:v>4.2850380000000001</c:v>
                </c:pt>
                <c:pt idx="7345">
                  <c:v>3.9869429999999788</c:v>
                </c:pt>
                <c:pt idx="7346">
                  <c:v>4.5700940000000001</c:v>
                </c:pt>
                <c:pt idx="7347">
                  <c:v>4.2620379999999845</c:v>
                </c:pt>
                <c:pt idx="7348">
                  <c:v>4.5561660000000002</c:v>
                </c:pt>
                <c:pt idx="7349">
                  <c:v>4.4102990000000384</c:v>
                </c:pt>
                <c:pt idx="7350">
                  <c:v>4.579291000000044</c:v>
                </c:pt>
                <c:pt idx="7351">
                  <c:v>5.0638389999999855</c:v>
                </c:pt>
                <c:pt idx="7352">
                  <c:v>5.1310849999999855</c:v>
                </c:pt>
                <c:pt idx="7353">
                  <c:v>4.4300440000000014</c:v>
                </c:pt>
                <c:pt idx="7354">
                  <c:v>4.8496329999999999</c:v>
                </c:pt>
                <c:pt idx="7355">
                  <c:v>4.1007569999999856</c:v>
                </c:pt>
                <c:pt idx="7356">
                  <c:v>4.113702</c:v>
                </c:pt>
                <c:pt idx="7357">
                  <c:v>3.844525</c:v>
                </c:pt>
                <c:pt idx="7358">
                  <c:v>3.8569709999999819</c:v>
                </c:pt>
                <c:pt idx="7359">
                  <c:v>4.1144359999999436</c:v>
                </c:pt>
                <c:pt idx="7360">
                  <c:v>4.0345219999999955</c:v>
                </c:pt>
                <c:pt idx="7361">
                  <c:v>4.5028480000000002</c:v>
                </c:pt>
                <c:pt idx="7362">
                  <c:v>4.3568660000000001</c:v>
                </c:pt>
                <c:pt idx="7363">
                  <c:v>4.6167759999999856</c:v>
                </c:pt>
                <c:pt idx="7364">
                  <c:v>4.3742789999999996</c:v>
                </c:pt>
                <c:pt idx="7365">
                  <c:v>4.3763810000000003</c:v>
                </c:pt>
                <c:pt idx="7366">
                  <c:v>4.6329769999999755</c:v>
                </c:pt>
                <c:pt idx="7367">
                  <c:v>4.3865970000000001</c:v>
                </c:pt>
                <c:pt idx="7368">
                  <c:v>4.4478960000000001</c:v>
                </c:pt>
                <c:pt idx="7369">
                  <c:v>4.2909809999999755</c:v>
                </c:pt>
                <c:pt idx="7370">
                  <c:v>4.2790420000000458</c:v>
                </c:pt>
                <c:pt idx="7371">
                  <c:v>3.794225</c:v>
                </c:pt>
                <c:pt idx="7372">
                  <c:v>4.0294670000000004</c:v>
                </c:pt>
                <c:pt idx="7373">
                  <c:v>3.854914</c:v>
                </c:pt>
                <c:pt idx="7374">
                  <c:v>5.1194769999999945</c:v>
                </c:pt>
                <c:pt idx="7375">
                  <c:v>5.5017500000000004</c:v>
                </c:pt>
                <c:pt idx="7376">
                  <c:v>5.3485519999999855</c:v>
                </c:pt>
                <c:pt idx="7377">
                  <c:v>4.9591010000000004</c:v>
                </c:pt>
                <c:pt idx="7378">
                  <c:v>5.1594119999999855</c:v>
                </c:pt>
                <c:pt idx="7379">
                  <c:v>4.9756410000000448</c:v>
                </c:pt>
                <c:pt idx="7380">
                  <c:v>4.7165189999999955</c:v>
                </c:pt>
                <c:pt idx="7381">
                  <c:v>4.4256409999999997</c:v>
                </c:pt>
                <c:pt idx="7382">
                  <c:v>4.509385</c:v>
                </c:pt>
                <c:pt idx="7383">
                  <c:v>4.3285459999999745</c:v>
                </c:pt>
                <c:pt idx="7384">
                  <c:v>4.1791749999999945</c:v>
                </c:pt>
                <c:pt idx="7385">
                  <c:v>4.1051549999999581</c:v>
                </c:pt>
                <c:pt idx="7386">
                  <c:v>4.8864549999999856</c:v>
                </c:pt>
                <c:pt idx="7387">
                  <c:v>5.090033</c:v>
                </c:pt>
                <c:pt idx="7388">
                  <c:v>5.6447430000000001</c:v>
                </c:pt>
                <c:pt idx="7389">
                  <c:v>5.3477969999999955</c:v>
                </c:pt>
                <c:pt idx="7390">
                  <c:v>4.4255759999999755</c:v>
                </c:pt>
                <c:pt idx="7391">
                  <c:v>3.6860399999999998</c:v>
                </c:pt>
                <c:pt idx="7392">
                  <c:v>3.7277640000000205</c:v>
                </c:pt>
                <c:pt idx="7393">
                  <c:v>3.8300399999999977</c:v>
                </c:pt>
                <c:pt idx="7394">
                  <c:v>3.7295479999999999</c:v>
                </c:pt>
                <c:pt idx="7395">
                  <c:v>3.4171670000000001</c:v>
                </c:pt>
                <c:pt idx="7396">
                  <c:v>3.3398659999999669</c:v>
                </c:pt>
                <c:pt idx="7397">
                  <c:v>3.6676380000000002</c:v>
                </c:pt>
                <c:pt idx="7398">
                  <c:v>3.6936679999999997</c:v>
                </c:pt>
                <c:pt idx="7399">
                  <c:v>4.2315139999999998</c:v>
                </c:pt>
                <c:pt idx="7400">
                  <c:v>4.7036210000000134</c:v>
                </c:pt>
                <c:pt idx="7401">
                  <c:v>4.1734479999999996</c:v>
                </c:pt>
                <c:pt idx="7402">
                  <c:v>4.422688</c:v>
                </c:pt>
                <c:pt idx="7403">
                  <c:v>3.8499089999999967</c:v>
                </c:pt>
                <c:pt idx="7404">
                  <c:v>4.0896660000000411</c:v>
                </c:pt>
                <c:pt idx="7405">
                  <c:v>3.9120689999999692</c:v>
                </c:pt>
                <c:pt idx="7406">
                  <c:v>3.8589429999999769</c:v>
                </c:pt>
                <c:pt idx="7407">
                  <c:v>3.8288469999999779</c:v>
                </c:pt>
                <c:pt idx="7408">
                  <c:v>3.9641069999999998</c:v>
                </c:pt>
                <c:pt idx="7409">
                  <c:v>4.1429699999999965</c:v>
                </c:pt>
                <c:pt idx="7410">
                  <c:v>4.6038629999999996</c:v>
                </c:pt>
                <c:pt idx="7411">
                  <c:v>4.0396840000000003</c:v>
                </c:pt>
                <c:pt idx="7412">
                  <c:v>4.3275789999999645</c:v>
                </c:pt>
                <c:pt idx="7413">
                  <c:v>4.6022670000000003</c:v>
                </c:pt>
                <c:pt idx="7414">
                  <c:v>4.2142939999999998</c:v>
                </c:pt>
                <c:pt idx="7415">
                  <c:v>4.3959079999999755</c:v>
                </c:pt>
                <c:pt idx="7416">
                  <c:v>3.8032079999999997</c:v>
                </c:pt>
                <c:pt idx="7417">
                  <c:v>3.8830689999999977</c:v>
                </c:pt>
                <c:pt idx="7418">
                  <c:v>3.5746379999999998</c:v>
                </c:pt>
                <c:pt idx="7419">
                  <c:v>3.4115340000000001</c:v>
                </c:pt>
                <c:pt idx="7420">
                  <c:v>3.5127059999999779</c:v>
                </c:pt>
                <c:pt idx="7421">
                  <c:v>1.6880800000000098</c:v>
                </c:pt>
                <c:pt idx="7422">
                  <c:v>3.3695589999999829</c:v>
                </c:pt>
                <c:pt idx="7423">
                  <c:v>3.9371149999999999</c:v>
                </c:pt>
                <c:pt idx="7424">
                  <c:v>3.7845190000000177</c:v>
                </c:pt>
                <c:pt idx="7425">
                  <c:v>3.6217389999999998</c:v>
                </c:pt>
                <c:pt idx="7426">
                  <c:v>4.2092010000000384</c:v>
                </c:pt>
                <c:pt idx="7427">
                  <c:v>4.5291309999999845</c:v>
                </c:pt>
                <c:pt idx="7428">
                  <c:v>3.6843680000000001</c:v>
                </c:pt>
                <c:pt idx="7429">
                  <c:v>4.0930939999999998</c:v>
                </c:pt>
                <c:pt idx="7430">
                  <c:v>4.4169790000000004</c:v>
                </c:pt>
                <c:pt idx="7431">
                  <c:v>4.7036870000000004</c:v>
                </c:pt>
                <c:pt idx="7432">
                  <c:v>4.0994869999999946</c:v>
                </c:pt>
                <c:pt idx="7433">
                  <c:v>4.4110860000000001</c:v>
                </c:pt>
                <c:pt idx="7434">
                  <c:v>3.9891009999999998</c:v>
                </c:pt>
                <c:pt idx="7435">
                  <c:v>4.1895299999999995</c:v>
                </c:pt>
                <c:pt idx="7436">
                  <c:v>4.5431530000000002</c:v>
                </c:pt>
                <c:pt idx="7437">
                  <c:v>3.9408319999999999</c:v>
                </c:pt>
                <c:pt idx="7438">
                  <c:v>5.2186380000000003</c:v>
                </c:pt>
                <c:pt idx="7439">
                  <c:v>4.8293790000000003</c:v>
                </c:pt>
                <c:pt idx="7440">
                  <c:v>4.9890869999999996</c:v>
                </c:pt>
                <c:pt idx="7441">
                  <c:v>4.1608959999999655</c:v>
                </c:pt>
                <c:pt idx="7442">
                  <c:v>4.1723239999999997</c:v>
                </c:pt>
                <c:pt idx="7443">
                  <c:v>4.3345659999999855</c:v>
                </c:pt>
                <c:pt idx="7444">
                  <c:v>4.3051009999999845</c:v>
                </c:pt>
                <c:pt idx="7445">
                  <c:v>3.6289410000000002</c:v>
                </c:pt>
                <c:pt idx="7446">
                  <c:v>3.9611519999999998</c:v>
                </c:pt>
                <c:pt idx="7447">
                  <c:v>6.9421619999999997</c:v>
                </c:pt>
                <c:pt idx="7448">
                  <c:v>8.2916579999999982</c:v>
                </c:pt>
                <c:pt idx="7449">
                  <c:v>8.2269579999999998</c:v>
                </c:pt>
                <c:pt idx="7450">
                  <c:v>5.7756480000000421</c:v>
                </c:pt>
                <c:pt idx="7451">
                  <c:v>4.6939249999999655</c:v>
                </c:pt>
                <c:pt idx="7452">
                  <c:v>3.9203220000000001</c:v>
                </c:pt>
                <c:pt idx="7453">
                  <c:v>3.8714539999999755</c:v>
                </c:pt>
                <c:pt idx="7454">
                  <c:v>4.2133770000000004</c:v>
                </c:pt>
                <c:pt idx="7455">
                  <c:v>3.968054</c:v>
                </c:pt>
                <c:pt idx="7456">
                  <c:v>4.0093399999999999</c:v>
                </c:pt>
                <c:pt idx="7457">
                  <c:v>4.6700270000000002</c:v>
                </c:pt>
                <c:pt idx="7458">
                  <c:v>5.2132759999999996</c:v>
                </c:pt>
                <c:pt idx="7459">
                  <c:v>6.6497590000000004</c:v>
                </c:pt>
                <c:pt idx="7460">
                  <c:v>10.091530000000002</c:v>
                </c:pt>
                <c:pt idx="7461">
                  <c:v>9.7310599999999994</c:v>
                </c:pt>
                <c:pt idx="7462">
                  <c:v>9.9203509999999984</c:v>
                </c:pt>
                <c:pt idx="7463">
                  <c:v>3.7111510000000001</c:v>
                </c:pt>
                <c:pt idx="7464">
                  <c:v>2.67632</c:v>
                </c:pt>
                <c:pt idx="7465">
                  <c:v>3.6953320000000001</c:v>
                </c:pt>
                <c:pt idx="7466">
                  <c:v>3.1040199999999998</c:v>
                </c:pt>
                <c:pt idx="7467">
                  <c:v>2.6683640000000164</c:v>
                </c:pt>
                <c:pt idx="7468">
                  <c:v>2.191487</c:v>
                </c:pt>
                <c:pt idx="7469">
                  <c:v>2.3989489999999765</c:v>
                </c:pt>
                <c:pt idx="7470">
                  <c:v>2.5700310000000002</c:v>
                </c:pt>
                <c:pt idx="7471">
                  <c:v>2.5595669999999977</c:v>
                </c:pt>
                <c:pt idx="7472">
                  <c:v>2.7581479999999998</c:v>
                </c:pt>
                <c:pt idx="7473">
                  <c:v>2.4618459999999764</c:v>
                </c:pt>
                <c:pt idx="7474">
                  <c:v>2.2938860000000001</c:v>
                </c:pt>
                <c:pt idx="7475">
                  <c:v>2.4129449999999775</c:v>
                </c:pt>
                <c:pt idx="7476">
                  <c:v>2.7261510000000002</c:v>
                </c:pt>
                <c:pt idx="7477">
                  <c:v>2.801199</c:v>
                </c:pt>
                <c:pt idx="7478">
                  <c:v>2.811388999999981</c:v>
                </c:pt>
                <c:pt idx="7479">
                  <c:v>2.6226279999999997</c:v>
                </c:pt>
                <c:pt idx="7480">
                  <c:v>2.4354559999999692</c:v>
                </c:pt>
                <c:pt idx="7481">
                  <c:v>2.4044249999999998</c:v>
                </c:pt>
                <c:pt idx="7482">
                  <c:v>2.5015179999999999</c:v>
                </c:pt>
                <c:pt idx="7483">
                  <c:v>2.5364519999999811</c:v>
                </c:pt>
                <c:pt idx="7484">
                  <c:v>2.568419</c:v>
                </c:pt>
                <c:pt idx="7485">
                  <c:v>2.2402270000000177</c:v>
                </c:pt>
                <c:pt idx="7486">
                  <c:v>2.5237820000000002</c:v>
                </c:pt>
                <c:pt idx="7487">
                  <c:v>3.9044649999999987</c:v>
                </c:pt>
                <c:pt idx="7488">
                  <c:v>3.7435740000000242</c:v>
                </c:pt>
                <c:pt idx="7489">
                  <c:v>4.1416240000000002</c:v>
                </c:pt>
                <c:pt idx="7490">
                  <c:v>4.2668049999999855</c:v>
                </c:pt>
                <c:pt idx="7491">
                  <c:v>4.1744549999999645</c:v>
                </c:pt>
                <c:pt idx="7492">
                  <c:v>4.0523660000000001</c:v>
                </c:pt>
                <c:pt idx="7493">
                  <c:v>4.3145639999999945</c:v>
                </c:pt>
                <c:pt idx="7494">
                  <c:v>4.1307669999999996</c:v>
                </c:pt>
                <c:pt idx="7495">
                  <c:v>3.774988</c:v>
                </c:pt>
                <c:pt idx="7496">
                  <c:v>3.949001</c:v>
                </c:pt>
                <c:pt idx="7497">
                  <c:v>4.0695309999999845</c:v>
                </c:pt>
                <c:pt idx="7498">
                  <c:v>4.4336720000000494</c:v>
                </c:pt>
                <c:pt idx="7499">
                  <c:v>4.3900799999999975</c:v>
                </c:pt>
                <c:pt idx="7500">
                  <c:v>3.6274270000000164</c:v>
                </c:pt>
                <c:pt idx="7501">
                  <c:v>3.9564339999999967</c:v>
                </c:pt>
                <c:pt idx="7502">
                  <c:v>3.8611409999999977</c:v>
                </c:pt>
                <c:pt idx="7503">
                  <c:v>3.7523939999999998</c:v>
                </c:pt>
                <c:pt idx="7504">
                  <c:v>4.0380520000000004</c:v>
                </c:pt>
                <c:pt idx="7505">
                  <c:v>4.1422739999999996</c:v>
                </c:pt>
                <c:pt idx="7506">
                  <c:v>3.8574019999999987</c:v>
                </c:pt>
                <c:pt idx="7507">
                  <c:v>3.8207059999999977</c:v>
                </c:pt>
                <c:pt idx="7508">
                  <c:v>3.9966269999999819</c:v>
                </c:pt>
                <c:pt idx="7509">
                  <c:v>3.9609839999999998</c:v>
                </c:pt>
                <c:pt idx="7510">
                  <c:v>3.795105</c:v>
                </c:pt>
                <c:pt idx="7511">
                  <c:v>4.0859480000000001</c:v>
                </c:pt>
                <c:pt idx="7512">
                  <c:v>4.5211069999999856</c:v>
                </c:pt>
                <c:pt idx="7513">
                  <c:v>4.4797280000000512</c:v>
                </c:pt>
                <c:pt idx="7514">
                  <c:v>4.1610269999999945</c:v>
                </c:pt>
                <c:pt idx="7515">
                  <c:v>3.9050459999999769</c:v>
                </c:pt>
                <c:pt idx="7516">
                  <c:v>3.8804519999999987</c:v>
                </c:pt>
                <c:pt idx="7517">
                  <c:v>4.0341459999999945</c:v>
                </c:pt>
                <c:pt idx="7518">
                  <c:v>4.0512560000000004</c:v>
                </c:pt>
                <c:pt idx="7519">
                  <c:v>5.5796190000000134</c:v>
                </c:pt>
                <c:pt idx="7520">
                  <c:v>7.6502359999999845</c:v>
                </c:pt>
                <c:pt idx="7521">
                  <c:v>5.2380199999999997</c:v>
                </c:pt>
                <c:pt idx="7522">
                  <c:v>5.8048009999999755</c:v>
                </c:pt>
                <c:pt idx="7523">
                  <c:v>4.834873</c:v>
                </c:pt>
                <c:pt idx="7524">
                  <c:v>4.8322380000000003</c:v>
                </c:pt>
                <c:pt idx="7525">
                  <c:v>5.0256730000000003</c:v>
                </c:pt>
                <c:pt idx="7526">
                  <c:v>4.9532189999999998</c:v>
                </c:pt>
                <c:pt idx="7527">
                  <c:v>5.3188749999999745</c:v>
                </c:pt>
                <c:pt idx="7528">
                  <c:v>5.2648529999999845</c:v>
                </c:pt>
                <c:pt idx="7529">
                  <c:v>4.4522950000000003</c:v>
                </c:pt>
                <c:pt idx="7530">
                  <c:v>4.7160839999999995</c:v>
                </c:pt>
                <c:pt idx="7531">
                  <c:v>5.0105159999999609</c:v>
                </c:pt>
                <c:pt idx="7532">
                  <c:v>4.8067060000000001</c:v>
                </c:pt>
                <c:pt idx="7533">
                  <c:v>4.5519569999999945</c:v>
                </c:pt>
                <c:pt idx="7534">
                  <c:v>5.8247849999999399</c:v>
                </c:pt>
                <c:pt idx="7535">
                  <c:v>5.5705970000000002</c:v>
                </c:pt>
                <c:pt idx="7536">
                  <c:v>3.8409990000000001</c:v>
                </c:pt>
                <c:pt idx="7537">
                  <c:v>3.8739840000000001</c:v>
                </c:pt>
                <c:pt idx="7538">
                  <c:v>3.9699439999999977</c:v>
                </c:pt>
                <c:pt idx="7539">
                  <c:v>3.6782189999999977</c:v>
                </c:pt>
                <c:pt idx="7540">
                  <c:v>3.4867110000000001</c:v>
                </c:pt>
                <c:pt idx="7541">
                  <c:v>3.5244279999999999</c:v>
                </c:pt>
                <c:pt idx="7542">
                  <c:v>3.9395659999999784</c:v>
                </c:pt>
                <c:pt idx="7543">
                  <c:v>4.1750389999999955</c:v>
                </c:pt>
                <c:pt idx="7544">
                  <c:v>4.2921430000000003</c:v>
                </c:pt>
                <c:pt idx="7545">
                  <c:v>4.4524239999999997</c:v>
                </c:pt>
                <c:pt idx="7546">
                  <c:v>4.2076799999999999</c:v>
                </c:pt>
                <c:pt idx="7547">
                  <c:v>4.2462740000000014</c:v>
                </c:pt>
                <c:pt idx="7548">
                  <c:v>4.3342479999999997</c:v>
                </c:pt>
                <c:pt idx="7549">
                  <c:v>4.3888400000000001</c:v>
                </c:pt>
                <c:pt idx="7550">
                  <c:v>3.9221439999999967</c:v>
                </c:pt>
                <c:pt idx="7551">
                  <c:v>4.3294559999999755</c:v>
                </c:pt>
                <c:pt idx="7552">
                  <c:v>4.2084270000000004</c:v>
                </c:pt>
                <c:pt idx="7553">
                  <c:v>4.3854379999999855</c:v>
                </c:pt>
                <c:pt idx="7554">
                  <c:v>3.9278940000000002</c:v>
                </c:pt>
                <c:pt idx="7555">
                  <c:v>3.9644049999999997</c:v>
                </c:pt>
                <c:pt idx="7556">
                  <c:v>3.7971189999999999</c:v>
                </c:pt>
                <c:pt idx="7557">
                  <c:v>3.7914289999999977</c:v>
                </c:pt>
                <c:pt idx="7558">
                  <c:v>3.8670390000000001</c:v>
                </c:pt>
                <c:pt idx="7559">
                  <c:v>3.6205229999999999</c:v>
                </c:pt>
                <c:pt idx="7560">
                  <c:v>3.3115529999999755</c:v>
                </c:pt>
                <c:pt idx="7561">
                  <c:v>3.3693749999999998</c:v>
                </c:pt>
                <c:pt idx="7562">
                  <c:v>3.6162949999999987</c:v>
                </c:pt>
                <c:pt idx="7563">
                  <c:v>3.8162689999999642</c:v>
                </c:pt>
                <c:pt idx="7564">
                  <c:v>3.8437510000000001</c:v>
                </c:pt>
                <c:pt idx="7565">
                  <c:v>3.5133230000000002</c:v>
                </c:pt>
                <c:pt idx="7566">
                  <c:v>3.874377</c:v>
                </c:pt>
                <c:pt idx="7567">
                  <c:v>4.5599189999999945</c:v>
                </c:pt>
                <c:pt idx="7568">
                  <c:v>5.1466130000000003</c:v>
                </c:pt>
                <c:pt idx="7569">
                  <c:v>4.5235659999999855</c:v>
                </c:pt>
                <c:pt idx="7570">
                  <c:v>4.6487990000000003</c:v>
                </c:pt>
                <c:pt idx="7571">
                  <c:v>4.7133779999999996</c:v>
                </c:pt>
                <c:pt idx="7572">
                  <c:v>5.1379229999999945</c:v>
                </c:pt>
                <c:pt idx="7573">
                  <c:v>4.6997489999999997</c:v>
                </c:pt>
                <c:pt idx="7574">
                  <c:v>4.7729429999999997</c:v>
                </c:pt>
                <c:pt idx="7575">
                  <c:v>5.6985319999999655</c:v>
                </c:pt>
                <c:pt idx="7576">
                  <c:v>4.619618</c:v>
                </c:pt>
                <c:pt idx="7577">
                  <c:v>4.4359219999999997</c:v>
                </c:pt>
                <c:pt idx="7578">
                  <c:v>3.9334919999999998</c:v>
                </c:pt>
                <c:pt idx="7579">
                  <c:v>3.7942100000000001</c:v>
                </c:pt>
                <c:pt idx="7580">
                  <c:v>3.7440389999999999</c:v>
                </c:pt>
                <c:pt idx="7581">
                  <c:v>3.9266639999999819</c:v>
                </c:pt>
                <c:pt idx="7582">
                  <c:v>4.2031450000000001</c:v>
                </c:pt>
                <c:pt idx="7583">
                  <c:v>2.900156</c:v>
                </c:pt>
                <c:pt idx="7584">
                  <c:v>2.7104489999999779</c:v>
                </c:pt>
                <c:pt idx="7585">
                  <c:v>2.4791099999999977</c:v>
                </c:pt>
                <c:pt idx="7586">
                  <c:v>2.7158979999999997</c:v>
                </c:pt>
                <c:pt idx="7587">
                  <c:v>2.655926</c:v>
                </c:pt>
                <c:pt idx="7588">
                  <c:v>2.8450699999999967</c:v>
                </c:pt>
                <c:pt idx="7589">
                  <c:v>2.9742279999999988</c:v>
                </c:pt>
                <c:pt idx="7590">
                  <c:v>2.7493020000000001</c:v>
                </c:pt>
                <c:pt idx="7591">
                  <c:v>3.1739280000000001</c:v>
                </c:pt>
                <c:pt idx="7592">
                  <c:v>2.9862629999999779</c:v>
                </c:pt>
                <c:pt idx="7593">
                  <c:v>3.4371939999999999</c:v>
                </c:pt>
                <c:pt idx="7594">
                  <c:v>3.8436159999999977</c:v>
                </c:pt>
                <c:pt idx="7595">
                  <c:v>4.048851</c:v>
                </c:pt>
                <c:pt idx="7596">
                  <c:v>3.729085</c:v>
                </c:pt>
                <c:pt idx="7597">
                  <c:v>3.982526</c:v>
                </c:pt>
                <c:pt idx="7598">
                  <c:v>3.4963649999999977</c:v>
                </c:pt>
                <c:pt idx="7599">
                  <c:v>3.3756059999999692</c:v>
                </c:pt>
                <c:pt idx="7600">
                  <c:v>3.4123279999999987</c:v>
                </c:pt>
                <c:pt idx="7601">
                  <c:v>3.3142989999999779</c:v>
                </c:pt>
                <c:pt idx="7602">
                  <c:v>3.2720759999999967</c:v>
                </c:pt>
                <c:pt idx="7603">
                  <c:v>3.3546139999999967</c:v>
                </c:pt>
                <c:pt idx="7604">
                  <c:v>3.4081839999999999</c:v>
                </c:pt>
                <c:pt idx="7605">
                  <c:v>3.5869149999999999</c:v>
                </c:pt>
                <c:pt idx="7606">
                  <c:v>3.448556</c:v>
                </c:pt>
                <c:pt idx="7607">
                  <c:v>3.9727819999999987</c:v>
                </c:pt>
                <c:pt idx="7608">
                  <c:v>4.3089799999999965</c:v>
                </c:pt>
                <c:pt idx="7609">
                  <c:v>4.1984449999999756</c:v>
                </c:pt>
                <c:pt idx="7610">
                  <c:v>4.1123899999999765</c:v>
                </c:pt>
                <c:pt idx="7611">
                  <c:v>4.3672389999999846</c:v>
                </c:pt>
                <c:pt idx="7612">
                  <c:v>4.245495</c:v>
                </c:pt>
                <c:pt idx="7613">
                  <c:v>4.0958189999999846</c:v>
                </c:pt>
                <c:pt idx="7614">
                  <c:v>4.1162219999999996</c:v>
                </c:pt>
                <c:pt idx="7615">
                  <c:v>3.9951659999999967</c:v>
                </c:pt>
                <c:pt idx="7616">
                  <c:v>3.4807990000000002</c:v>
                </c:pt>
                <c:pt idx="7617">
                  <c:v>3.8664699999999779</c:v>
                </c:pt>
                <c:pt idx="7618">
                  <c:v>3.737492</c:v>
                </c:pt>
                <c:pt idx="7619">
                  <c:v>3.8201139999999998</c:v>
                </c:pt>
                <c:pt idx="7620">
                  <c:v>4.3968239999999996</c:v>
                </c:pt>
                <c:pt idx="7621">
                  <c:v>4.4133290000000134</c:v>
                </c:pt>
                <c:pt idx="7622">
                  <c:v>3.9190499999999733</c:v>
                </c:pt>
                <c:pt idx="7623">
                  <c:v>4.1339699999999997</c:v>
                </c:pt>
                <c:pt idx="7624">
                  <c:v>4.3026239999999998</c:v>
                </c:pt>
                <c:pt idx="7625">
                  <c:v>4.0620819999999656</c:v>
                </c:pt>
                <c:pt idx="7626">
                  <c:v>3.9447510000000001</c:v>
                </c:pt>
                <c:pt idx="7627">
                  <c:v>3.9702459999999737</c:v>
                </c:pt>
                <c:pt idx="7628">
                  <c:v>3.7147809999999999</c:v>
                </c:pt>
                <c:pt idx="7629">
                  <c:v>3.7492570000000001</c:v>
                </c:pt>
                <c:pt idx="7630">
                  <c:v>3.6697270000000173</c:v>
                </c:pt>
                <c:pt idx="7631">
                  <c:v>1.9566850000000062</c:v>
                </c:pt>
                <c:pt idx="7632">
                  <c:v>2.0727999999999978</c:v>
                </c:pt>
                <c:pt idx="7633">
                  <c:v>1.800959</c:v>
                </c:pt>
                <c:pt idx="7634">
                  <c:v>2.0108179999999987</c:v>
                </c:pt>
                <c:pt idx="7635">
                  <c:v>1.6995800000000001</c:v>
                </c:pt>
                <c:pt idx="7636">
                  <c:v>1.639235</c:v>
                </c:pt>
                <c:pt idx="7637">
                  <c:v>1.7161039999999999</c:v>
                </c:pt>
                <c:pt idx="7638">
                  <c:v>1.7316870000000026</c:v>
                </c:pt>
                <c:pt idx="7639">
                  <c:v>1.6200939999999999</c:v>
                </c:pt>
                <c:pt idx="7640">
                  <c:v>1.878571</c:v>
                </c:pt>
                <c:pt idx="7641">
                  <c:v>1.854473</c:v>
                </c:pt>
                <c:pt idx="7642">
                  <c:v>2.0618479999999977</c:v>
                </c:pt>
                <c:pt idx="7643">
                  <c:v>2.0830299999999999</c:v>
                </c:pt>
                <c:pt idx="7644">
                  <c:v>1.8224959999999999</c:v>
                </c:pt>
                <c:pt idx="7645">
                  <c:v>2.0742449999999977</c:v>
                </c:pt>
                <c:pt idx="7646">
                  <c:v>1.6320840000000001</c:v>
                </c:pt>
                <c:pt idx="7647">
                  <c:v>1.6572830000000001</c:v>
                </c:pt>
                <c:pt idx="7648">
                  <c:v>1.9442840000000001</c:v>
                </c:pt>
                <c:pt idx="7649">
                  <c:v>1.8678129999999999</c:v>
                </c:pt>
                <c:pt idx="7650">
                  <c:v>1.8774789999999999</c:v>
                </c:pt>
                <c:pt idx="7651">
                  <c:v>1.7246020000000024</c:v>
                </c:pt>
                <c:pt idx="7652">
                  <c:v>1.9068830000000001</c:v>
                </c:pt>
                <c:pt idx="7653">
                  <c:v>2.0458310000000002</c:v>
                </c:pt>
                <c:pt idx="7654">
                  <c:v>2.1605390000000186</c:v>
                </c:pt>
                <c:pt idx="7655">
                  <c:v>3.3336629999999778</c:v>
                </c:pt>
                <c:pt idx="7656">
                  <c:v>3.8915599999999793</c:v>
                </c:pt>
                <c:pt idx="7657">
                  <c:v>3.9429489999999778</c:v>
                </c:pt>
                <c:pt idx="7658">
                  <c:v>3.5931259999999998</c:v>
                </c:pt>
                <c:pt idx="7659">
                  <c:v>3.8875519999999999</c:v>
                </c:pt>
                <c:pt idx="7660">
                  <c:v>3.83711</c:v>
                </c:pt>
                <c:pt idx="7661">
                  <c:v>4.0266120000000001</c:v>
                </c:pt>
                <c:pt idx="7662">
                  <c:v>3.828373</c:v>
                </c:pt>
                <c:pt idx="7663">
                  <c:v>3.8648889999999967</c:v>
                </c:pt>
                <c:pt idx="7664">
                  <c:v>3.613953</c:v>
                </c:pt>
                <c:pt idx="7665">
                  <c:v>4.1595969999999856</c:v>
                </c:pt>
                <c:pt idx="7666">
                  <c:v>4.0779839999999945</c:v>
                </c:pt>
                <c:pt idx="7667">
                  <c:v>3.711573</c:v>
                </c:pt>
                <c:pt idx="7668">
                  <c:v>4.1400629999999996</c:v>
                </c:pt>
                <c:pt idx="7669">
                  <c:v>3.4408149999999997</c:v>
                </c:pt>
                <c:pt idx="7670">
                  <c:v>3.4887160000000002</c:v>
                </c:pt>
                <c:pt idx="7671">
                  <c:v>4.138528</c:v>
                </c:pt>
                <c:pt idx="7672">
                  <c:v>3.7706279999999999</c:v>
                </c:pt>
                <c:pt idx="7673">
                  <c:v>3.7888929999999998</c:v>
                </c:pt>
                <c:pt idx="7674">
                  <c:v>3.4070549999999997</c:v>
                </c:pt>
                <c:pt idx="7675">
                  <c:v>3.6993179999999999</c:v>
                </c:pt>
                <c:pt idx="7676">
                  <c:v>3.8723049999999977</c:v>
                </c:pt>
                <c:pt idx="7677">
                  <c:v>3.7447960000000204</c:v>
                </c:pt>
                <c:pt idx="7678">
                  <c:v>3.7565390000000001</c:v>
                </c:pt>
                <c:pt idx="7679">
                  <c:v>2.7564529999999778</c:v>
                </c:pt>
                <c:pt idx="7680">
                  <c:v>2.0338879999999997</c:v>
                </c:pt>
                <c:pt idx="7681">
                  <c:v>1.9465580000000062</c:v>
                </c:pt>
                <c:pt idx="7682">
                  <c:v>2.0853380000000001</c:v>
                </c:pt>
                <c:pt idx="7683">
                  <c:v>1.7300650000000024</c:v>
                </c:pt>
                <c:pt idx="7684">
                  <c:v>1.601138</c:v>
                </c:pt>
                <c:pt idx="7685">
                  <c:v>1.8096739999999998</c:v>
                </c:pt>
                <c:pt idx="7686">
                  <c:v>2.0847769999999999</c:v>
                </c:pt>
                <c:pt idx="7687">
                  <c:v>2.1914279999999997</c:v>
                </c:pt>
                <c:pt idx="7688">
                  <c:v>2.4435950000000002</c:v>
                </c:pt>
                <c:pt idx="7689">
                  <c:v>2.86795</c:v>
                </c:pt>
                <c:pt idx="7690">
                  <c:v>3.2073680000000002</c:v>
                </c:pt>
                <c:pt idx="7691">
                  <c:v>4.4710800000000024</c:v>
                </c:pt>
                <c:pt idx="7692">
                  <c:v>3.2296819999999999</c:v>
                </c:pt>
                <c:pt idx="7693">
                  <c:v>3.0351079999999997</c:v>
                </c:pt>
                <c:pt idx="7694">
                  <c:v>2.8776519999999977</c:v>
                </c:pt>
                <c:pt idx="7695">
                  <c:v>3.0466329999999977</c:v>
                </c:pt>
                <c:pt idx="7696">
                  <c:v>3.159335</c:v>
                </c:pt>
                <c:pt idx="7697">
                  <c:v>2.8863289999999977</c:v>
                </c:pt>
                <c:pt idx="7698">
                  <c:v>2.4891000000000001</c:v>
                </c:pt>
                <c:pt idx="7699">
                  <c:v>2.1651400000000001</c:v>
                </c:pt>
                <c:pt idx="7700">
                  <c:v>2.3504589999999692</c:v>
                </c:pt>
                <c:pt idx="7701">
                  <c:v>2.3960289999999755</c:v>
                </c:pt>
                <c:pt idx="7702">
                  <c:v>2.4664189999999819</c:v>
                </c:pt>
                <c:pt idx="7703">
                  <c:v>2.5283850000000001</c:v>
                </c:pt>
                <c:pt idx="7704">
                  <c:v>2.0469240000000002</c:v>
                </c:pt>
                <c:pt idx="7705">
                  <c:v>2.0970070000000001</c:v>
                </c:pt>
                <c:pt idx="7706">
                  <c:v>2.0520869999999967</c:v>
                </c:pt>
                <c:pt idx="7707">
                  <c:v>1.989608</c:v>
                </c:pt>
                <c:pt idx="7708">
                  <c:v>1.9815119999999975</c:v>
                </c:pt>
                <c:pt idx="7709">
                  <c:v>2.2241210000000287</c:v>
                </c:pt>
                <c:pt idx="7710">
                  <c:v>1.8979279999999998</c:v>
                </c:pt>
                <c:pt idx="7711">
                  <c:v>2.185632</c:v>
                </c:pt>
                <c:pt idx="7712">
                  <c:v>2.2271160000000205</c:v>
                </c:pt>
                <c:pt idx="7713">
                  <c:v>2.4968999999999779</c:v>
                </c:pt>
                <c:pt idx="7714">
                  <c:v>2.5158319999999987</c:v>
                </c:pt>
                <c:pt idx="7715">
                  <c:v>2.9292479999999967</c:v>
                </c:pt>
                <c:pt idx="7716">
                  <c:v>2.7350149999999998</c:v>
                </c:pt>
                <c:pt idx="7717">
                  <c:v>2.4709110000000001</c:v>
                </c:pt>
                <c:pt idx="7718">
                  <c:v>2.926984</c:v>
                </c:pt>
                <c:pt idx="7719">
                  <c:v>2.962596</c:v>
                </c:pt>
                <c:pt idx="7720">
                  <c:v>3.2783959999999999</c:v>
                </c:pt>
                <c:pt idx="7721">
                  <c:v>2.6691569999999998</c:v>
                </c:pt>
                <c:pt idx="7722">
                  <c:v>2.00996</c:v>
                </c:pt>
                <c:pt idx="7723">
                  <c:v>2.1603439999999998</c:v>
                </c:pt>
                <c:pt idx="7724">
                  <c:v>1.912296</c:v>
                </c:pt>
                <c:pt idx="7725">
                  <c:v>1.9034180000000001</c:v>
                </c:pt>
                <c:pt idx="7726">
                  <c:v>1.894209</c:v>
                </c:pt>
                <c:pt idx="7727">
                  <c:v>3.7513559999999977</c:v>
                </c:pt>
                <c:pt idx="7728">
                  <c:v>3.9998329999999829</c:v>
                </c:pt>
                <c:pt idx="7729">
                  <c:v>3.9927439999999779</c:v>
                </c:pt>
                <c:pt idx="7730">
                  <c:v>3.808192</c:v>
                </c:pt>
                <c:pt idx="7731">
                  <c:v>3.8516399999999824</c:v>
                </c:pt>
                <c:pt idx="7732">
                  <c:v>4.189756</c:v>
                </c:pt>
                <c:pt idx="7733">
                  <c:v>3.8591729999999829</c:v>
                </c:pt>
                <c:pt idx="7734">
                  <c:v>4.1685419999999755</c:v>
                </c:pt>
                <c:pt idx="7735">
                  <c:v>4.4053750000000003</c:v>
                </c:pt>
                <c:pt idx="7736">
                  <c:v>4.7283809999999855</c:v>
                </c:pt>
                <c:pt idx="7737">
                  <c:v>4.8307460000000004</c:v>
                </c:pt>
                <c:pt idx="7738">
                  <c:v>4.9623039999999996</c:v>
                </c:pt>
                <c:pt idx="7739">
                  <c:v>4.6070809999999645</c:v>
                </c:pt>
                <c:pt idx="7740">
                  <c:v>5.3585259999999755</c:v>
                </c:pt>
                <c:pt idx="7741">
                  <c:v>5.2249829999999591</c:v>
                </c:pt>
                <c:pt idx="7742">
                  <c:v>4.8780320000000001</c:v>
                </c:pt>
                <c:pt idx="7743">
                  <c:v>4.6474639999999985</c:v>
                </c:pt>
                <c:pt idx="7744">
                  <c:v>4.9236760000000004</c:v>
                </c:pt>
                <c:pt idx="7745">
                  <c:v>4.8196019999999997</c:v>
                </c:pt>
                <c:pt idx="7746">
                  <c:v>4.6838559999999845</c:v>
                </c:pt>
                <c:pt idx="7747">
                  <c:v>4.3045919999999755</c:v>
                </c:pt>
                <c:pt idx="7748">
                  <c:v>3.9790619999999977</c:v>
                </c:pt>
                <c:pt idx="7749">
                  <c:v>3.9147249999999998</c:v>
                </c:pt>
                <c:pt idx="7750">
                  <c:v>3.7574200000000002</c:v>
                </c:pt>
                <c:pt idx="7751">
                  <c:v>3.7109510000000001</c:v>
                </c:pt>
                <c:pt idx="7752">
                  <c:v>3.5696699999999977</c:v>
                </c:pt>
                <c:pt idx="7753">
                  <c:v>3.5590389999999967</c:v>
                </c:pt>
                <c:pt idx="7754">
                  <c:v>3.2409720000000002</c:v>
                </c:pt>
                <c:pt idx="7755">
                  <c:v>3.504972</c:v>
                </c:pt>
                <c:pt idx="7756">
                  <c:v>3.4899619999999998</c:v>
                </c:pt>
                <c:pt idx="7757">
                  <c:v>3.5554229999999967</c:v>
                </c:pt>
                <c:pt idx="7758">
                  <c:v>3.4330970000000001</c:v>
                </c:pt>
                <c:pt idx="7759">
                  <c:v>3.9759899999999977</c:v>
                </c:pt>
                <c:pt idx="7760">
                  <c:v>4.7495200000000004</c:v>
                </c:pt>
                <c:pt idx="7761">
                  <c:v>3.9372889999999967</c:v>
                </c:pt>
                <c:pt idx="7762">
                  <c:v>4.7041599999999955</c:v>
                </c:pt>
                <c:pt idx="7763">
                  <c:v>4.5245029999999655</c:v>
                </c:pt>
                <c:pt idx="7764">
                  <c:v>4.7676559999999855</c:v>
                </c:pt>
                <c:pt idx="7765">
                  <c:v>4.9850120000000002</c:v>
                </c:pt>
                <c:pt idx="7766">
                  <c:v>4.8718209999999997</c:v>
                </c:pt>
                <c:pt idx="7767">
                  <c:v>4.0154509999999846</c:v>
                </c:pt>
                <c:pt idx="7768">
                  <c:v>4.8760719999999997</c:v>
                </c:pt>
                <c:pt idx="7769">
                  <c:v>4.7000500000000001</c:v>
                </c:pt>
                <c:pt idx="7770">
                  <c:v>4.8885779999999945</c:v>
                </c:pt>
                <c:pt idx="7771">
                  <c:v>5.5276109999999745</c:v>
                </c:pt>
                <c:pt idx="7772">
                  <c:v>5.0114960000000002</c:v>
                </c:pt>
                <c:pt idx="7773">
                  <c:v>4.4037990000000411</c:v>
                </c:pt>
                <c:pt idx="7774">
                  <c:v>4.1495410000000001</c:v>
                </c:pt>
                <c:pt idx="7775">
                  <c:v>4.3013969999999997</c:v>
                </c:pt>
                <c:pt idx="7776">
                  <c:v>3.8228449999999774</c:v>
                </c:pt>
                <c:pt idx="7777">
                  <c:v>4.0191229999999996</c:v>
                </c:pt>
                <c:pt idx="7778">
                  <c:v>3.8511639999999967</c:v>
                </c:pt>
                <c:pt idx="7779">
                  <c:v>3.7506619999999997</c:v>
                </c:pt>
                <c:pt idx="7780">
                  <c:v>4.2304230000000134</c:v>
                </c:pt>
                <c:pt idx="7781">
                  <c:v>3.5799799999999977</c:v>
                </c:pt>
                <c:pt idx="7782">
                  <c:v>3.9341110000000001</c:v>
                </c:pt>
                <c:pt idx="7783">
                  <c:v>4.0138999999999996</c:v>
                </c:pt>
                <c:pt idx="7784">
                  <c:v>4.4282649999999997</c:v>
                </c:pt>
                <c:pt idx="7785">
                  <c:v>4.9770570000000003</c:v>
                </c:pt>
                <c:pt idx="7786">
                  <c:v>5.3200769999999755</c:v>
                </c:pt>
                <c:pt idx="7787">
                  <c:v>6.3344349999999645</c:v>
                </c:pt>
                <c:pt idx="7788">
                  <c:v>6.9129249999999756</c:v>
                </c:pt>
                <c:pt idx="7789">
                  <c:v>5.6486720000000004</c:v>
                </c:pt>
                <c:pt idx="7790">
                  <c:v>5.6381949999999845</c:v>
                </c:pt>
                <c:pt idx="7791">
                  <c:v>5.3364820000000002</c:v>
                </c:pt>
                <c:pt idx="7792">
                  <c:v>5.1210719999999945</c:v>
                </c:pt>
                <c:pt idx="7793">
                  <c:v>4.551183</c:v>
                </c:pt>
                <c:pt idx="7794">
                  <c:v>4.2893359999999996</c:v>
                </c:pt>
                <c:pt idx="7795">
                  <c:v>3.5056979999999998</c:v>
                </c:pt>
                <c:pt idx="7796">
                  <c:v>4.0063510000000004</c:v>
                </c:pt>
                <c:pt idx="7797">
                  <c:v>3.6720049999999977</c:v>
                </c:pt>
                <c:pt idx="7798">
                  <c:v>3.86253</c:v>
                </c:pt>
                <c:pt idx="7799">
                  <c:v>1.54094</c:v>
                </c:pt>
                <c:pt idx="7800">
                  <c:v>1.3928259999999999</c:v>
                </c:pt>
                <c:pt idx="7801">
                  <c:v>0.98747259999999426</c:v>
                </c:pt>
                <c:pt idx="7802">
                  <c:v>1.1150609999999999</c:v>
                </c:pt>
                <c:pt idx="7803">
                  <c:v>1.0425800000000001</c:v>
                </c:pt>
                <c:pt idx="7804">
                  <c:v>1.0243359999999999</c:v>
                </c:pt>
                <c:pt idx="7805">
                  <c:v>1.3720180000000077</c:v>
                </c:pt>
                <c:pt idx="7806">
                  <c:v>1.4356069999999905</c:v>
                </c:pt>
                <c:pt idx="7807">
                  <c:v>1.9441630000000001</c:v>
                </c:pt>
                <c:pt idx="7808">
                  <c:v>2.2319479999999987</c:v>
                </c:pt>
                <c:pt idx="7809">
                  <c:v>2.2937840000000205</c:v>
                </c:pt>
                <c:pt idx="7810">
                  <c:v>2.0189010000000001</c:v>
                </c:pt>
                <c:pt idx="7811">
                  <c:v>2.2858559999999977</c:v>
                </c:pt>
                <c:pt idx="7812">
                  <c:v>1.9918329999999975</c:v>
                </c:pt>
                <c:pt idx="7813">
                  <c:v>2.2859409999999998</c:v>
                </c:pt>
                <c:pt idx="7814">
                  <c:v>2.3045819999999999</c:v>
                </c:pt>
                <c:pt idx="7815">
                  <c:v>1.7730389999999998</c:v>
                </c:pt>
                <c:pt idx="7816">
                  <c:v>2.0051809999999999</c:v>
                </c:pt>
                <c:pt idx="7817">
                  <c:v>1.9281560000000058</c:v>
                </c:pt>
                <c:pt idx="7818">
                  <c:v>2.1752459999999769</c:v>
                </c:pt>
                <c:pt idx="7819">
                  <c:v>2.0097860000000001</c:v>
                </c:pt>
                <c:pt idx="7820">
                  <c:v>1.8782220000000001</c:v>
                </c:pt>
                <c:pt idx="7821">
                  <c:v>2.0109059999999968</c:v>
                </c:pt>
                <c:pt idx="7822">
                  <c:v>1.7918669999999934</c:v>
                </c:pt>
                <c:pt idx="7823">
                  <c:v>2.280459</c:v>
                </c:pt>
                <c:pt idx="7824">
                  <c:v>1.9046909999999972</c:v>
                </c:pt>
                <c:pt idx="7825">
                  <c:v>2.5178859999999967</c:v>
                </c:pt>
                <c:pt idx="7826">
                  <c:v>2.3396199999999778</c:v>
                </c:pt>
                <c:pt idx="7827">
                  <c:v>2.093772</c:v>
                </c:pt>
                <c:pt idx="7828">
                  <c:v>1.7039979999999941</c:v>
                </c:pt>
                <c:pt idx="7829">
                  <c:v>2.008715</c:v>
                </c:pt>
                <c:pt idx="7830">
                  <c:v>2.2398459999999765</c:v>
                </c:pt>
                <c:pt idx="7831">
                  <c:v>2.244869</c:v>
                </c:pt>
                <c:pt idx="7832">
                  <c:v>2.5675820000000011</c:v>
                </c:pt>
                <c:pt idx="7833">
                  <c:v>2.7656339999999999</c:v>
                </c:pt>
                <c:pt idx="7834">
                  <c:v>3.3911129999999967</c:v>
                </c:pt>
                <c:pt idx="7835">
                  <c:v>3.4447739999999998</c:v>
                </c:pt>
                <c:pt idx="7836">
                  <c:v>3.7475800000000219</c:v>
                </c:pt>
                <c:pt idx="7837">
                  <c:v>3.3470710000000001</c:v>
                </c:pt>
                <c:pt idx="7838">
                  <c:v>2.9435910000000205</c:v>
                </c:pt>
                <c:pt idx="7839">
                  <c:v>3.0542749999999987</c:v>
                </c:pt>
                <c:pt idx="7840">
                  <c:v>2.6911339999999999</c:v>
                </c:pt>
                <c:pt idx="7841">
                  <c:v>2.9396739999999779</c:v>
                </c:pt>
                <c:pt idx="7842">
                  <c:v>2.8900979999999987</c:v>
                </c:pt>
                <c:pt idx="7843">
                  <c:v>2.8116539999999692</c:v>
                </c:pt>
                <c:pt idx="7844">
                  <c:v>2.8703419999999977</c:v>
                </c:pt>
                <c:pt idx="7845">
                  <c:v>2.6861959999999998</c:v>
                </c:pt>
                <c:pt idx="7846">
                  <c:v>2.0819700000000001</c:v>
                </c:pt>
                <c:pt idx="7847">
                  <c:v>1.8406570000000086</c:v>
                </c:pt>
                <c:pt idx="7848">
                  <c:v>2.407915</c:v>
                </c:pt>
                <c:pt idx="7849">
                  <c:v>2.6737910000000205</c:v>
                </c:pt>
                <c:pt idx="7850">
                  <c:v>2.0214519999999987</c:v>
                </c:pt>
                <c:pt idx="7851">
                  <c:v>2.0905459999999967</c:v>
                </c:pt>
                <c:pt idx="7852">
                  <c:v>1.986928</c:v>
                </c:pt>
                <c:pt idx="7853">
                  <c:v>2.1710469999999829</c:v>
                </c:pt>
                <c:pt idx="7854">
                  <c:v>1.9574170000000053</c:v>
                </c:pt>
                <c:pt idx="7855">
                  <c:v>2.6565429999999779</c:v>
                </c:pt>
                <c:pt idx="7856">
                  <c:v>2.6139600000000001</c:v>
                </c:pt>
                <c:pt idx="7857">
                  <c:v>3.0968019999999967</c:v>
                </c:pt>
                <c:pt idx="7858">
                  <c:v>3.6926169999999967</c:v>
                </c:pt>
                <c:pt idx="7859">
                  <c:v>3.4214869999999977</c:v>
                </c:pt>
                <c:pt idx="7860">
                  <c:v>3.1769759999999967</c:v>
                </c:pt>
                <c:pt idx="7861">
                  <c:v>2.9705779999999997</c:v>
                </c:pt>
                <c:pt idx="7862">
                  <c:v>3.0055589999999968</c:v>
                </c:pt>
                <c:pt idx="7863">
                  <c:v>4.1131449999999745</c:v>
                </c:pt>
                <c:pt idx="7864">
                  <c:v>3.0761099999999977</c:v>
                </c:pt>
                <c:pt idx="7865">
                  <c:v>2.2064449999999987</c:v>
                </c:pt>
                <c:pt idx="7866">
                  <c:v>1.9318099999999958</c:v>
                </c:pt>
                <c:pt idx="7867">
                  <c:v>2.5524149999999977</c:v>
                </c:pt>
                <c:pt idx="7868">
                  <c:v>1.1906460000000001</c:v>
                </c:pt>
                <c:pt idx="7869">
                  <c:v>1.3678219999999905</c:v>
                </c:pt>
                <c:pt idx="7870">
                  <c:v>2.9530970000000001</c:v>
                </c:pt>
                <c:pt idx="7871">
                  <c:v>2.7292770000000002</c:v>
                </c:pt>
                <c:pt idx="7872">
                  <c:v>3.3721049999999977</c:v>
                </c:pt>
                <c:pt idx="7873">
                  <c:v>4.8811710000000001</c:v>
                </c:pt>
                <c:pt idx="7874">
                  <c:v>3.60161</c:v>
                </c:pt>
                <c:pt idx="7875">
                  <c:v>4.7352189999999998</c:v>
                </c:pt>
                <c:pt idx="7876">
                  <c:v>4.9086860000000003</c:v>
                </c:pt>
                <c:pt idx="7877">
                  <c:v>4.3394180000000002</c:v>
                </c:pt>
                <c:pt idx="7878">
                  <c:v>3.8558339999999967</c:v>
                </c:pt>
                <c:pt idx="7879">
                  <c:v>3.2921659999999977</c:v>
                </c:pt>
                <c:pt idx="7880">
                  <c:v>3.4671460000000001</c:v>
                </c:pt>
                <c:pt idx="7881">
                  <c:v>4.695621</c:v>
                </c:pt>
                <c:pt idx="7882">
                  <c:v>4.6940019999999745</c:v>
                </c:pt>
                <c:pt idx="7883">
                  <c:v>5.2649969999999655</c:v>
                </c:pt>
                <c:pt idx="7884">
                  <c:v>6.4546609999999998</c:v>
                </c:pt>
                <c:pt idx="7885">
                  <c:v>4.5493420000000393</c:v>
                </c:pt>
                <c:pt idx="7886">
                  <c:v>6.1861199999999945</c:v>
                </c:pt>
                <c:pt idx="7887">
                  <c:v>4.3363269999999998</c:v>
                </c:pt>
                <c:pt idx="7888">
                  <c:v>4.8765139999999985</c:v>
                </c:pt>
                <c:pt idx="7889">
                  <c:v>5.5680039999999975</c:v>
                </c:pt>
                <c:pt idx="7890">
                  <c:v>4.4019290000000124</c:v>
                </c:pt>
                <c:pt idx="7891">
                  <c:v>5.5453390000000002</c:v>
                </c:pt>
                <c:pt idx="7892">
                  <c:v>3.6354119999999988</c:v>
                </c:pt>
                <c:pt idx="7893">
                  <c:v>4.329828</c:v>
                </c:pt>
                <c:pt idx="7894">
                  <c:v>4.7430019999999997</c:v>
                </c:pt>
                <c:pt idx="7895">
                  <c:v>3.8881479999999997</c:v>
                </c:pt>
                <c:pt idx="7896">
                  <c:v>3.2187299999999999</c:v>
                </c:pt>
                <c:pt idx="7897">
                  <c:v>3.0690179999999998</c:v>
                </c:pt>
                <c:pt idx="7898">
                  <c:v>2.9331140000000002</c:v>
                </c:pt>
                <c:pt idx="7899">
                  <c:v>2.2784779999999998</c:v>
                </c:pt>
                <c:pt idx="7900">
                  <c:v>1.893942</c:v>
                </c:pt>
                <c:pt idx="7901">
                  <c:v>1.6899029999999999</c:v>
                </c:pt>
                <c:pt idx="7902">
                  <c:v>1.6940760000000001</c:v>
                </c:pt>
                <c:pt idx="7903">
                  <c:v>2.176167</c:v>
                </c:pt>
                <c:pt idx="7904">
                  <c:v>3.329386</c:v>
                </c:pt>
                <c:pt idx="7905">
                  <c:v>3.811242999999966</c:v>
                </c:pt>
                <c:pt idx="7906">
                  <c:v>5.648962</c:v>
                </c:pt>
                <c:pt idx="7907">
                  <c:v>5.2094969999999998</c:v>
                </c:pt>
                <c:pt idx="7908">
                  <c:v>6.8655479999999756</c:v>
                </c:pt>
                <c:pt idx="7909">
                  <c:v>4.8742330000000003</c:v>
                </c:pt>
                <c:pt idx="7910">
                  <c:v>3.538084</c:v>
                </c:pt>
                <c:pt idx="7911">
                  <c:v>2.9575640000000001</c:v>
                </c:pt>
                <c:pt idx="7912">
                  <c:v>3.3004379999999998</c:v>
                </c:pt>
                <c:pt idx="7913">
                  <c:v>3.5133779999999999</c:v>
                </c:pt>
                <c:pt idx="7914">
                  <c:v>4.0614699999999999</c:v>
                </c:pt>
                <c:pt idx="7915">
                  <c:v>3.8913669999999967</c:v>
                </c:pt>
                <c:pt idx="7916">
                  <c:v>3.6585589999999977</c:v>
                </c:pt>
                <c:pt idx="7917">
                  <c:v>3.2389600000000001</c:v>
                </c:pt>
                <c:pt idx="7918">
                  <c:v>3.6129899999999977</c:v>
                </c:pt>
                <c:pt idx="7919">
                  <c:v>4.6391260000000001</c:v>
                </c:pt>
                <c:pt idx="7920">
                  <c:v>4.6311080000000002</c:v>
                </c:pt>
                <c:pt idx="7921">
                  <c:v>4.5190910000000004</c:v>
                </c:pt>
                <c:pt idx="7922">
                  <c:v>4.2646339999999965</c:v>
                </c:pt>
                <c:pt idx="7923">
                  <c:v>3.8174199999999967</c:v>
                </c:pt>
                <c:pt idx="7924">
                  <c:v>3.9363849999999987</c:v>
                </c:pt>
                <c:pt idx="7925">
                  <c:v>4.3139690000000002</c:v>
                </c:pt>
                <c:pt idx="7926">
                  <c:v>4.2108369999999855</c:v>
                </c:pt>
                <c:pt idx="7927">
                  <c:v>3.9995399999999997</c:v>
                </c:pt>
                <c:pt idx="7928">
                  <c:v>3.9316209999999967</c:v>
                </c:pt>
                <c:pt idx="7929">
                  <c:v>3.7671570000000205</c:v>
                </c:pt>
                <c:pt idx="7930">
                  <c:v>5.179629000000042</c:v>
                </c:pt>
                <c:pt idx="7931">
                  <c:v>4.7941869999999609</c:v>
                </c:pt>
                <c:pt idx="7932">
                  <c:v>4.3724990000000004</c:v>
                </c:pt>
                <c:pt idx="7933">
                  <c:v>4.9648109999999646</c:v>
                </c:pt>
                <c:pt idx="7934">
                  <c:v>3.5086779999999997</c:v>
                </c:pt>
                <c:pt idx="7935">
                  <c:v>4.197749</c:v>
                </c:pt>
                <c:pt idx="7936">
                  <c:v>4.3294759999999846</c:v>
                </c:pt>
                <c:pt idx="7937">
                  <c:v>6.3245799999999655</c:v>
                </c:pt>
                <c:pt idx="7938">
                  <c:v>4.6705309999999765</c:v>
                </c:pt>
                <c:pt idx="7939">
                  <c:v>4.0059039999999975</c:v>
                </c:pt>
                <c:pt idx="7940">
                  <c:v>4.2127720000000002</c:v>
                </c:pt>
                <c:pt idx="7941">
                  <c:v>3.7182759999999977</c:v>
                </c:pt>
                <c:pt idx="7942">
                  <c:v>3.9080049999999997</c:v>
                </c:pt>
                <c:pt idx="7943">
                  <c:v>3.9821439999999977</c:v>
                </c:pt>
                <c:pt idx="7944">
                  <c:v>4.0551349999999591</c:v>
                </c:pt>
                <c:pt idx="7945">
                  <c:v>3.833304</c:v>
                </c:pt>
                <c:pt idx="7946">
                  <c:v>3.367915</c:v>
                </c:pt>
                <c:pt idx="7947">
                  <c:v>3.1656059999999977</c:v>
                </c:pt>
                <c:pt idx="7948">
                  <c:v>3.2644250000000001</c:v>
                </c:pt>
                <c:pt idx="7949">
                  <c:v>3.3321549999999927</c:v>
                </c:pt>
                <c:pt idx="7950">
                  <c:v>3.1527279999999998</c:v>
                </c:pt>
                <c:pt idx="7951">
                  <c:v>3.1451359999999999</c:v>
                </c:pt>
                <c:pt idx="7952">
                  <c:v>3.5771609999999998</c:v>
                </c:pt>
                <c:pt idx="7953">
                  <c:v>3.2767689999999967</c:v>
                </c:pt>
                <c:pt idx="7954">
                  <c:v>4.1721279999999945</c:v>
                </c:pt>
                <c:pt idx="7955">
                  <c:v>4.0870220000000002</c:v>
                </c:pt>
                <c:pt idx="7956">
                  <c:v>3.7126519999999967</c:v>
                </c:pt>
                <c:pt idx="7957">
                  <c:v>4.1525859999999399</c:v>
                </c:pt>
                <c:pt idx="7958">
                  <c:v>4.2827669999999998</c:v>
                </c:pt>
                <c:pt idx="7959">
                  <c:v>4.3030670000000004</c:v>
                </c:pt>
                <c:pt idx="7960">
                  <c:v>3.957544</c:v>
                </c:pt>
                <c:pt idx="7961">
                  <c:v>4.0884369999999945</c:v>
                </c:pt>
                <c:pt idx="7962">
                  <c:v>3.7062249999999999</c:v>
                </c:pt>
                <c:pt idx="7963">
                  <c:v>4.1591529999999945</c:v>
                </c:pt>
                <c:pt idx="7964">
                  <c:v>3.0203540000000002</c:v>
                </c:pt>
                <c:pt idx="7965">
                  <c:v>3.2555299999999998</c:v>
                </c:pt>
                <c:pt idx="7966">
                  <c:v>3.0070199999999998</c:v>
                </c:pt>
                <c:pt idx="7985">
                  <c:v>3.3539289999999977</c:v>
                </c:pt>
                <c:pt idx="7986">
                  <c:v>3.737212</c:v>
                </c:pt>
                <c:pt idx="7987">
                  <c:v>2.2983359999999999</c:v>
                </c:pt>
                <c:pt idx="7988">
                  <c:v>3.3294259999999967</c:v>
                </c:pt>
                <c:pt idx="7989">
                  <c:v>3.2390279999999998</c:v>
                </c:pt>
                <c:pt idx="7990">
                  <c:v>2.920525</c:v>
                </c:pt>
                <c:pt idx="7991">
                  <c:v>3.6158899999999967</c:v>
                </c:pt>
                <c:pt idx="7992">
                  <c:v>4.0497620000000421</c:v>
                </c:pt>
                <c:pt idx="7993">
                  <c:v>4.2387779999999999</c:v>
                </c:pt>
                <c:pt idx="7994">
                  <c:v>3.9944519999999977</c:v>
                </c:pt>
                <c:pt idx="7995">
                  <c:v>3.9079570000000001</c:v>
                </c:pt>
                <c:pt idx="7996">
                  <c:v>3.9266379999999987</c:v>
                </c:pt>
                <c:pt idx="7997">
                  <c:v>4.0313059999999998</c:v>
                </c:pt>
                <c:pt idx="7998">
                  <c:v>3.8875130000000002</c:v>
                </c:pt>
                <c:pt idx="7999">
                  <c:v>4.1482159999999855</c:v>
                </c:pt>
                <c:pt idx="8000">
                  <c:v>4.2423039999999999</c:v>
                </c:pt>
                <c:pt idx="8001">
                  <c:v>3.9369129999999779</c:v>
                </c:pt>
                <c:pt idx="8002">
                  <c:v>4.1364939999999999</c:v>
                </c:pt>
                <c:pt idx="8003">
                  <c:v>4.1353809999999855</c:v>
                </c:pt>
                <c:pt idx="8004">
                  <c:v>4.5043930000000003</c:v>
                </c:pt>
                <c:pt idx="8005">
                  <c:v>4.4850130000000004</c:v>
                </c:pt>
                <c:pt idx="8006">
                  <c:v>4.5235319999999755</c:v>
                </c:pt>
                <c:pt idx="8007">
                  <c:v>4.3754330000000001</c:v>
                </c:pt>
                <c:pt idx="8008">
                  <c:v>4.2096140000000002</c:v>
                </c:pt>
                <c:pt idx="8009">
                  <c:v>4.1496709999999997</c:v>
                </c:pt>
                <c:pt idx="8010">
                  <c:v>3.8501099999999977</c:v>
                </c:pt>
                <c:pt idx="8011">
                  <c:v>4.2024499999999998</c:v>
                </c:pt>
                <c:pt idx="8012">
                  <c:v>4.1076069999999945</c:v>
                </c:pt>
                <c:pt idx="8013">
                  <c:v>3.9852089999999967</c:v>
                </c:pt>
                <c:pt idx="8014">
                  <c:v>4.3196060000000003</c:v>
                </c:pt>
                <c:pt idx="8015">
                  <c:v>3.8712509999999765</c:v>
                </c:pt>
                <c:pt idx="8016">
                  <c:v>2.9623779999999997</c:v>
                </c:pt>
                <c:pt idx="8017">
                  <c:v>2.5005739999999999</c:v>
                </c:pt>
                <c:pt idx="8018">
                  <c:v>1.9463570000000103</c:v>
                </c:pt>
                <c:pt idx="8019">
                  <c:v>2.6825559999999977</c:v>
                </c:pt>
                <c:pt idx="8020">
                  <c:v>3.5053730000000001</c:v>
                </c:pt>
                <c:pt idx="8021">
                  <c:v>3.6088</c:v>
                </c:pt>
                <c:pt idx="8022">
                  <c:v>3.8155189999999779</c:v>
                </c:pt>
                <c:pt idx="8023">
                  <c:v>4.4616940000000014</c:v>
                </c:pt>
                <c:pt idx="8024">
                  <c:v>5.6397769999999996</c:v>
                </c:pt>
                <c:pt idx="8025">
                  <c:v>4.9793420000000603</c:v>
                </c:pt>
                <c:pt idx="8026">
                  <c:v>3.0735070000000002</c:v>
                </c:pt>
                <c:pt idx="8027">
                  <c:v>3.523892</c:v>
                </c:pt>
                <c:pt idx="8028">
                  <c:v>3.582214</c:v>
                </c:pt>
                <c:pt idx="8029">
                  <c:v>3.7840929999999999</c:v>
                </c:pt>
                <c:pt idx="8030">
                  <c:v>3.6210089999999977</c:v>
                </c:pt>
                <c:pt idx="8031">
                  <c:v>3.4895960000000001</c:v>
                </c:pt>
                <c:pt idx="8032">
                  <c:v>3.4240559999999967</c:v>
                </c:pt>
                <c:pt idx="8033">
                  <c:v>3.4161319999999997</c:v>
                </c:pt>
                <c:pt idx="8034">
                  <c:v>3.4891839999999998</c:v>
                </c:pt>
                <c:pt idx="8050">
                  <c:v>4.5677589999999855</c:v>
                </c:pt>
                <c:pt idx="8051">
                  <c:v>4.3040899999999755</c:v>
                </c:pt>
                <c:pt idx="8052">
                  <c:v>4.2625719999999845</c:v>
                </c:pt>
                <c:pt idx="8053">
                  <c:v>4.3674669999999765</c:v>
                </c:pt>
                <c:pt idx="8054">
                  <c:v>4.1451389999999755</c:v>
                </c:pt>
                <c:pt idx="8055">
                  <c:v>4.4851179999999955</c:v>
                </c:pt>
                <c:pt idx="8056">
                  <c:v>4.2751960000000002</c:v>
                </c:pt>
                <c:pt idx="8057">
                  <c:v>4.3354699999999999</c:v>
                </c:pt>
                <c:pt idx="8058">
                  <c:v>4.4157430000000124</c:v>
                </c:pt>
                <c:pt idx="8059">
                  <c:v>4.1344249999999745</c:v>
                </c:pt>
                <c:pt idx="8060">
                  <c:v>4.0943539999999965</c:v>
                </c:pt>
                <c:pt idx="8061">
                  <c:v>4.1892930000000383</c:v>
                </c:pt>
                <c:pt idx="8062">
                  <c:v>4.0469939999999998</c:v>
                </c:pt>
                <c:pt idx="8063">
                  <c:v>3.8237320000000001</c:v>
                </c:pt>
                <c:pt idx="8064">
                  <c:v>3.4720729999999755</c:v>
                </c:pt>
                <c:pt idx="8065">
                  <c:v>3.3064189999999765</c:v>
                </c:pt>
                <c:pt idx="8066">
                  <c:v>3.0839620000000001</c:v>
                </c:pt>
                <c:pt idx="8067">
                  <c:v>3.3330109999999977</c:v>
                </c:pt>
                <c:pt idx="8068">
                  <c:v>3.3520849999999967</c:v>
                </c:pt>
                <c:pt idx="8069">
                  <c:v>2.9551999999999987</c:v>
                </c:pt>
                <c:pt idx="8070">
                  <c:v>2.9724509999999755</c:v>
                </c:pt>
                <c:pt idx="8071">
                  <c:v>3.1378910000000002</c:v>
                </c:pt>
                <c:pt idx="8072">
                  <c:v>3.0126569999999733</c:v>
                </c:pt>
                <c:pt idx="8073">
                  <c:v>3.304583</c:v>
                </c:pt>
                <c:pt idx="8074">
                  <c:v>3.5478770000000002</c:v>
                </c:pt>
                <c:pt idx="8075">
                  <c:v>3.533782</c:v>
                </c:pt>
                <c:pt idx="8076">
                  <c:v>4.043037</c:v>
                </c:pt>
                <c:pt idx="8077">
                  <c:v>3.2677370000000296</c:v>
                </c:pt>
                <c:pt idx="8078">
                  <c:v>3.4313549999999977</c:v>
                </c:pt>
                <c:pt idx="8079">
                  <c:v>3.1087280000000002</c:v>
                </c:pt>
                <c:pt idx="8080">
                  <c:v>3.6075290000000186</c:v>
                </c:pt>
                <c:pt idx="8081">
                  <c:v>3.2962929999999977</c:v>
                </c:pt>
                <c:pt idx="8082">
                  <c:v>3.1435620000000002</c:v>
                </c:pt>
                <c:pt idx="8083">
                  <c:v>3.3357379999999988</c:v>
                </c:pt>
                <c:pt idx="8084">
                  <c:v>3.2814079999999999</c:v>
                </c:pt>
                <c:pt idx="8085">
                  <c:v>3.3786219999999987</c:v>
                </c:pt>
                <c:pt idx="8086">
                  <c:v>3.3654959999999967</c:v>
                </c:pt>
                <c:pt idx="8087">
                  <c:v>3.7476280000000002</c:v>
                </c:pt>
                <c:pt idx="8088">
                  <c:v>3.7765409999999977</c:v>
                </c:pt>
                <c:pt idx="8089">
                  <c:v>3.7725459999999829</c:v>
                </c:pt>
                <c:pt idx="8090">
                  <c:v>3.8998409999999692</c:v>
                </c:pt>
                <c:pt idx="8091">
                  <c:v>3.7679659999999999</c:v>
                </c:pt>
                <c:pt idx="8092">
                  <c:v>3.7464559999999967</c:v>
                </c:pt>
                <c:pt idx="8093">
                  <c:v>3.483962</c:v>
                </c:pt>
                <c:pt idx="8094">
                  <c:v>3.7695210000000219</c:v>
                </c:pt>
                <c:pt idx="8095">
                  <c:v>3.8421959999999977</c:v>
                </c:pt>
                <c:pt idx="8096">
                  <c:v>3.6444510000000001</c:v>
                </c:pt>
                <c:pt idx="8097">
                  <c:v>3.7071050000000012</c:v>
                </c:pt>
                <c:pt idx="8098">
                  <c:v>3.8047479999999987</c:v>
                </c:pt>
                <c:pt idx="8099">
                  <c:v>3.6138170000000001</c:v>
                </c:pt>
                <c:pt idx="8100">
                  <c:v>3.8393439999999779</c:v>
                </c:pt>
                <c:pt idx="8101">
                  <c:v>3.8463859999999968</c:v>
                </c:pt>
                <c:pt idx="8102">
                  <c:v>3.5301579999999997</c:v>
                </c:pt>
                <c:pt idx="8103">
                  <c:v>3.8724359999999765</c:v>
                </c:pt>
                <c:pt idx="8104">
                  <c:v>3.814727</c:v>
                </c:pt>
                <c:pt idx="8105">
                  <c:v>3.8327539999999765</c:v>
                </c:pt>
                <c:pt idx="8106">
                  <c:v>4.1310630000000383</c:v>
                </c:pt>
                <c:pt idx="8107">
                  <c:v>3.4416689999999779</c:v>
                </c:pt>
                <c:pt idx="8108">
                  <c:v>3.7119439999999977</c:v>
                </c:pt>
                <c:pt idx="8109">
                  <c:v>3.5877960000000177</c:v>
                </c:pt>
                <c:pt idx="8110">
                  <c:v>3.7642270000000191</c:v>
                </c:pt>
                <c:pt idx="8111">
                  <c:v>4.2751139999999985</c:v>
                </c:pt>
                <c:pt idx="8112">
                  <c:v>4.1896300000000002</c:v>
                </c:pt>
                <c:pt idx="8113">
                  <c:v>4.1870979999999856</c:v>
                </c:pt>
                <c:pt idx="8114">
                  <c:v>4.2447780000000002</c:v>
                </c:pt>
                <c:pt idx="8115">
                  <c:v>4.0603579999999955</c:v>
                </c:pt>
                <c:pt idx="8116">
                  <c:v>4.2963690000000421</c:v>
                </c:pt>
                <c:pt idx="8117">
                  <c:v>3.9095360000000001</c:v>
                </c:pt>
                <c:pt idx="8118">
                  <c:v>4.2400919999999998</c:v>
                </c:pt>
                <c:pt idx="8119">
                  <c:v>4.2374299999999998</c:v>
                </c:pt>
                <c:pt idx="8120">
                  <c:v>4.2075659999999955</c:v>
                </c:pt>
                <c:pt idx="8121">
                  <c:v>4.5633739999999996</c:v>
                </c:pt>
                <c:pt idx="8122">
                  <c:v>4.7017720000000134</c:v>
                </c:pt>
                <c:pt idx="8123">
                  <c:v>5.1658079999999655</c:v>
                </c:pt>
                <c:pt idx="8124">
                  <c:v>5.2618929999999997</c:v>
                </c:pt>
                <c:pt idx="8125">
                  <c:v>5.5065289999999996</c:v>
                </c:pt>
                <c:pt idx="8126">
                  <c:v>4.5351619999999997</c:v>
                </c:pt>
                <c:pt idx="8127">
                  <c:v>5.0220179999999655</c:v>
                </c:pt>
                <c:pt idx="8128">
                  <c:v>4.7841159999999645</c:v>
                </c:pt>
                <c:pt idx="8129">
                  <c:v>4.8375949999999746</c:v>
                </c:pt>
                <c:pt idx="8130">
                  <c:v>4.5312470000000475</c:v>
                </c:pt>
                <c:pt idx="8131">
                  <c:v>4.9757790000000384</c:v>
                </c:pt>
                <c:pt idx="8132">
                  <c:v>4.424366</c:v>
                </c:pt>
                <c:pt idx="8133">
                  <c:v>4.719989</c:v>
                </c:pt>
                <c:pt idx="8134">
                  <c:v>4.3189149999999454</c:v>
                </c:pt>
                <c:pt idx="8135">
                  <c:v>3.982138</c:v>
                </c:pt>
                <c:pt idx="8136">
                  <c:v>3.3745569999999967</c:v>
                </c:pt>
                <c:pt idx="8137">
                  <c:v>3.8004489999999755</c:v>
                </c:pt>
                <c:pt idx="8138">
                  <c:v>3.784278</c:v>
                </c:pt>
                <c:pt idx="8139">
                  <c:v>4.0057539999999996</c:v>
                </c:pt>
                <c:pt idx="8140">
                  <c:v>3.9431920000000011</c:v>
                </c:pt>
                <c:pt idx="8141">
                  <c:v>4.2126729999999997</c:v>
                </c:pt>
                <c:pt idx="8142">
                  <c:v>4.122934999999929</c:v>
                </c:pt>
                <c:pt idx="8143">
                  <c:v>4.2813309999999998</c:v>
                </c:pt>
                <c:pt idx="8144">
                  <c:v>4.5251019999999755</c:v>
                </c:pt>
                <c:pt idx="8145">
                  <c:v>4.0013100000000001</c:v>
                </c:pt>
                <c:pt idx="8146">
                  <c:v>4.1231859999999454</c:v>
                </c:pt>
                <c:pt idx="8147">
                  <c:v>3.9726289999999755</c:v>
                </c:pt>
                <c:pt idx="8148">
                  <c:v>3.9770879999999997</c:v>
                </c:pt>
                <c:pt idx="8149">
                  <c:v>3.7975599999999998</c:v>
                </c:pt>
                <c:pt idx="8150">
                  <c:v>3.2188310000000002</c:v>
                </c:pt>
                <c:pt idx="8151">
                  <c:v>3.7838509999999999</c:v>
                </c:pt>
                <c:pt idx="8152">
                  <c:v>3.9742249999999997</c:v>
                </c:pt>
                <c:pt idx="8153">
                  <c:v>3.6776599999999977</c:v>
                </c:pt>
                <c:pt idx="8154">
                  <c:v>3.9563159999999828</c:v>
                </c:pt>
                <c:pt idx="8155">
                  <c:v>4.0863440000000004</c:v>
                </c:pt>
                <c:pt idx="8156">
                  <c:v>3.9919999999999987</c:v>
                </c:pt>
                <c:pt idx="8157">
                  <c:v>3.6032240000000177</c:v>
                </c:pt>
                <c:pt idx="8158">
                  <c:v>4.0229309999999545</c:v>
                </c:pt>
                <c:pt idx="8159">
                  <c:v>4.1477579999999845</c:v>
                </c:pt>
                <c:pt idx="8160">
                  <c:v>3.6326969999999967</c:v>
                </c:pt>
                <c:pt idx="8161">
                  <c:v>4.0180429999999996</c:v>
                </c:pt>
                <c:pt idx="8162">
                  <c:v>3.8865949999999998</c:v>
                </c:pt>
                <c:pt idx="8163">
                  <c:v>3.7625600000000001</c:v>
                </c:pt>
                <c:pt idx="8164">
                  <c:v>3.6372610000000001</c:v>
                </c:pt>
                <c:pt idx="8165">
                  <c:v>3.4669789999999967</c:v>
                </c:pt>
                <c:pt idx="8166">
                  <c:v>3.4689930000000002</c:v>
                </c:pt>
                <c:pt idx="8167">
                  <c:v>3.685883</c:v>
                </c:pt>
                <c:pt idx="8168">
                  <c:v>3.3526639999999692</c:v>
                </c:pt>
                <c:pt idx="8169">
                  <c:v>3.5036130000000001</c:v>
                </c:pt>
                <c:pt idx="8170">
                  <c:v>3.4499459999999829</c:v>
                </c:pt>
                <c:pt idx="8171">
                  <c:v>3.3096999999999968</c:v>
                </c:pt>
                <c:pt idx="8172">
                  <c:v>3.9504259999999967</c:v>
                </c:pt>
                <c:pt idx="8173">
                  <c:v>3.4209640000000001</c:v>
                </c:pt>
                <c:pt idx="8174">
                  <c:v>3.7027429999999977</c:v>
                </c:pt>
                <c:pt idx="8175">
                  <c:v>3.4812910000000001</c:v>
                </c:pt>
                <c:pt idx="8176">
                  <c:v>3.5687389999999999</c:v>
                </c:pt>
                <c:pt idx="8177">
                  <c:v>3.3691819999999999</c:v>
                </c:pt>
                <c:pt idx="8178">
                  <c:v>3.3808389999999977</c:v>
                </c:pt>
                <c:pt idx="8179">
                  <c:v>3.6569589999999779</c:v>
                </c:pt>
                <c:pt idx="8180">
                  <c:v>3.4109579999999977</c:v>
                </c:pt>
                <c:pt idx="8181">
                  <c:v>3.1763759999999968</c:v>
                </c:pt>
                <c:pt idx="8182">
                  <c:v>3.5869390000000001</c:v>
                </c:pt>
                <c:pt idx="8183">
                  <c:v>3.8382279999999978</c:v>
                </c:pt>
                <c:pt idx="8184">
                  <c:v>3.5358919999999987</c:v>
                </c:pt>
                <c:pt idx="8185">
                  <c:v>3.5789409999999977</c:v>
                </c:pt>
                <c:pt idx="8186">
                  <c:v>3.4380499999999778</c:v>
                </c:pt>
                <c:pt idx="8187">
                  <c:v>3.4580679999999977</c:v>
                </c:pt>
                <c:pt idx="8188">
                  <c:v>3.6995279999999999</c:v>
                </c:pt>
                <c:pt idx="8189">
                  <c:v>3.41717</c:v>
                </c:pt>
                <c:pt idx="8190">
                  <c:v>3.5897459999999977</c:v>
                </c:pt>
                <c:pt idx="8191">
                  <c:v>3.7095069999999999</c:v>
                </c:pt>
                <c:pt idx="8192">
                  <c:v>4.0500189999999945</c:v>
                </c:pt>
                <c:pt idx="8193">
                  <c:v>4.4877609999999999</c:v>
                </c:pt>
                <c:pt idx="8194">
                  <c:v>4.6755449999999845</c:v>
                </c:pt>
                <c:pt idx="8195">
                  <c:v>5.1233109999999655</c:v>
                </c:pt>
                <c:pt idx="8196">
                  <c:v>5.0942730000000003</c:v>
                </c:pt>
                <c:pt idx="8197">
                  <c:v>4.8003859999999845</c:v>
                </c:pt>
                <c:pt idx="8198">
                  <c:v>4.5225839999999655</c:v>
                </c:pt>
                <c:pt idx="8199">
                  <c:v>4.4407030000000134</c:v>
                </c:pt>
                <c:pt idx="8200">
                  <c:v>4.5395560000000001</c:v>
                </c:pt>
                <c:pt idx="8201">
                  <c:v>4.2837139999999998</c:v>
                </c:pt>
                <c:pt idx="8202">
                  <c:v>3.6296649999999997</c:v>
                </c:pt>
                <c:pt idx="8203">
                  <c:v>4.053331</c:v>
                </c:pt>
                <c:pt idx="8204">
                  <c:v>3.5737899999999998</c:v>
                </c:pt>
                <c:pt idx="8205">
                  <c:v>3.4017949999999999</c:v>
                </c:pt>
                <c:pt idx="8206">
                  <c:v>3.4880059999999977</c:v>
                </c:pt>
                <c:pt idx="8207">
                  <c:v>3.6941009999999999</c:v>
                </c:pt>
                <c:pt idx="8208">
                  <c:v>3.9210439999999829</c:v>
                </c:pt>
                <c:pt idx="8209">
                  <c:v>4.0747369999999945</c:v>
                </c:pt>
                <c:pt idx="8210">
                  <c:v>3.8606609999999977</c:v>
                </c:pt>
                <c:pt idx="8211">
                  <c:v>3.8310779999999967</c:v>
                </c:pt>
                <c:pt idx="8212">
                  <c:v>4.0174469999999856</c:v>
                </c:pt>
                <c:pt idx="8213">
                  <c:v>4.0882700000000014</c:v>
                </c:pt>
                <c:pt idx="8214">
                  <c:v>4.1918470000000001</c:v>
                </c:pt>
                <c:pt idx="8215">
                  <c:v>3.896137</c:v>
                </c:pt>
                <c:pt idx="8216">
                  <c:v>4.12324</c:v>
                </c:pt>
                <c:pt idx="8217">
                  <c:v>4.0878019999999955</c:v>
                </c:pt>
                <c:pt idx="8218">
                  <c:v>4.4044309999999856</c:v>
                </c:pt>
                <c:pt idx="8219">
                  <c:v>4.4479319999999865</c:v>
                </c:pt>
                <c:pt idx="8220">
                  <c:v>4.2514240000000001</c:v>
                </c:pt>
                <c:pt idx="8221">
                  <c:v>4.5396290000000503</c:v>
                </c:pt>
                <c:pt idx="8222">
                  <c:v>4.1813919999999998</c:v>
                </c:pt>
                <c:pt idx="8223">
                  <c:v>4.0255189999999645</c:v>
                </c:pt>
                <c:pt idx="8224">
                  <c:v>4.0250469999999945</c:v>
                </c:pt>
                <c:pt idx="8225">
                  <c:v>4.0364269999999998</c:v>
                </c:pt>
                <c:pt idx="8226">
                  <c:v>3.999608999999976</c:v>
                </c:pt>
                <c:pt idx="8227">
                  <c:v>4.0648709999999655</c:v>
                </c:pt>
                <c:pt idx="8228">
                  <c:v>3.8749409999999829</c:v>
                </c:pt>
                <c:pt idx="8229">
                  <c:v>3.8983509999999977</c:v>
                </c:pt>
                <c:pt idx="8230">
                  <c:v>3.9286140000000001</c:v>
                </c:pt>
                <c:pt idx="8231">
                  <c:v>3.6495099999999998</c:v>
                </c:pt>
                <c:pt idx="8232">
                  <c:v>3.56595</c:v>
                </c:pt>
                <c:pt idx="8233">
                  <c:v>3.6239810000000219</c:v>
                </c:pt>
                <c:pt idx="8234">
                  <c:v>3.6571720000000001</c:v>
                </c:pt>
                <c:pt idx="8235">
                  <c:v>3.7037529999999999</c:v>
                </c:pt>
                <c:pt idx="8236">
                  <c:v>3.383283</c:v>
                </c:pt>
                <c:pt idx="8237">
                  <c:v>3.3464099999999779</c:v>
                </c:pt>
                <c:pt idx="8238">
                  <c:v>3.4681649999999999</c:v>
                </c:pt>
                <c:pt idx="8239">
                  <c:v>3.6764549999999967</c:v>
                </c:pt>
                <c:pt idx="8240">
                  <c:v>4.1433749999999945</c:v>
                </c:pt>
                <c:pt idx="8241">
                  <c:v>4.6393060000000004</c:v>
                </c:pt>
                <c:pt idx="8242">
                  <c:v>5.236639000000042</c:v>
                </c:pt>
                <c:pt idx="8243">
                  <c:v>4.6563569999999945</c:v>
                </c:pt>
                <c:pt idx="8244">
                  <c:v>4.2775099999999995</c:v>
                </c:pt>
                <c:pt idx="8245">
                  <c:v>4.035431</c:v>
                </c:pt>
                <c:pt idx="8246">
                  <c:v>4.1346959999999955</c:v>
                </c:pt>
                <c:pt idx="8247">
                  <c:v>4.1255049999999418</c:v>
                </c:pt>
                <c:pt idx="8248">
                  <c:v>4.3793720000000134</c:v>
                </c:pt>
                <c:pt idx="8249">
                  <c:v>4.4334460000000124</c:v>
                </c:pt>
                <c:pt idx="8250">
                  <c:v>4.3275009999999545</c:v>
                </c:pt>
                <c:pt idx="8251">
                  <c:v>3.769825</c:v>
                </c:pt>
                <c:pt idx="8252">
                  <c:v>3.7922619999999987</c:v>
                </c:pt>
                <c:pt idx="8253">
                  <c:v>3.5644469999999977</c:v>
                </c:pt>
                <c:pt idx="8254">
                  <c:v>3.7217380000000002</c:v>
                </c:pt>
                <c:pt idx="8255">
                  <c:v>3.9979800000000001</c:v>
                </c:pt>
                <c:pt idx="8256">
                  <c:v>4.100301</c:v>
                </c:pt>
                <c:pt idx="8257">
                  <c:v>4.0739200000000002</c:v>
                </c:pt>
                <c:pt idx="8258">
                  <c:v>4.4677930000000003</c:v>
                </c:pt>
                <c:pt idx="8259">
                  <c:v>4.9255099999999965</c:v>
                </c:pt>
                <c:pt idx="8260">
                  <c:v>4.716316</c:v>
                </c:pt>
                <c:pt idx="8261">
                  <c:v>4.5838320000000001</c:v>
                </c:pt>
                <c:pt idx="8262">
                  <c:v>4.5257930000000002</c:v>
                </c:pt>
                <c:pt idx="8263">
                  <c:v>4.9702750000000124</c:v>
                </c:pt>
                <c:pt idx="8264">
                  <c:v>5.1043649999999845</c:v>
                </c:pt>
                <c:pt idx="8265">
                  <c:v>5.1184119999999655</c:v>
                </c:pt>
                <c:pt idx="8266">
                  <c:v>5.4121829999999855</c:v>
                </c:pt>
                <c:pt idx="8267">
                  <c:v>5.5416379999999998</c:v>
                </c:pt>
                <c:pt idx="8268">
                  <c:v>5.2278509999999745</c:v>
                </c:pt>
                <c:pt idx="8269">
                  <c:v>5.2889819999999945</c:v>
                </c:pt>
                <c:pt idx="8270">
                  <c:v>5.3319720000000004</c:v>
                </c:pt>
                <c:pt idx="8271">
                  <c:v>4.9257249999999955</c:v>
                </c:pt>
                <c:pt idx="8272">
                  <c:v>4.9067000000000034</c:v>
                </c:pt>
                <c:pt idx="8273">
                  <c:v>4.6559469999999745</c:v>
                </c:pt>
                <c:pt idx="8274">
                  <c:v>4.2904520000000002</c:v>
                </c:pt>
                <c:pt idx="8275">
                  <c:v>4.2690020000000004</c:v>
                </c:pt>
                <c:pt idx="8276">
                  <c:v>4.1002879999999955</c:v>
                </c:pt>
                <c:pt idx="8277">
                  <c:v>4.3265649999999845</c:v>
                </c:pt>
                <c:pt idx="8278">
                  <c:v>4.3101059999999745</c:v>
                </c:pt>
                <c:pt idx="8279">
                  <c:v>3.8522119999999824</c:v>
                </c:pt>
                <c:pt idx="8280">
                  <c:v>3.9099270000000002</c:v>
                </c:pt>
                <c:pt idx="8281">
                  <c:v>3.6735180000000001</c:v>
                </c:pt>
                <c:pt idx="8282">
                  <c:v>3.8743810000000001</c:v>
                </c:pt>
                <c:pt idx="8283">
                  <c:v>3.9357619999999987</c:v>
                </c:pt>
                <c:pt idx="8284">
                  <c:v>4.1929689999999855</c:v>
                </c:pt>
                <c:pt idx="8285">
                  <c:v>4.1362319999999997</c:v>
                </c:pt>
                <c:pt idx="8286">
                  <c:v>3.944261</c:v>
                </c:pt>
                <c:pt idx="8287">
                  <c:v>4.4083870000000003</c:v>
                </c:pt>
                <c:pt idx="8288">
                  <c:v>5.4381320000000004</c:v>
                </c:pt>
                <c:pt idx="8289">
                  <c:v>5.5410519999999996</c:v>
                </c:pt>
                <c:pt idx="8290">
                  <c:v>6.4399069999999998</c:v>
                </c:pt>
                <c:pt idx="8291">
                  <c:v>7.1042990000000001</c:v>
                </c:pt>
                <c:pt idx="8292">
                  <c:v>6.8936830000000002</c:v>
                </c:pt>
                <c:pt idx="8293">
                  <c:v>7.3765369999999955</c:v>
                </c:pt>
                <c:pt idx="8294">
                  <c:v>6.5738380000000003</c:v>
                </c:pt>
                <c:pt idx="8295">
                  <c:v>5.8507509999999945</c:v>
                </c:pt>
                <c:pt idx="8296">
                  <c:v>6.4666430000000421</c:v>
                </c:pt>
                <c:pt idx="8297">
                  <c:v>5.9537519999999997</c:v>
                </c:pt>
                <c:pt idx="8298">
                  <c:v>6.5776180000000002</c:v>
                </c:pt>
                <c:pt idx="8299">
                  <c:v>5.4814230000000439</c:v>
                </c:pt>
                <c:pt idx="8300">
                  <c:v>6.076314</c:v>
                </c:pt>
                <c:pt idx="8301">
                  <c:v>5.5490979999999999</c:v>
                </c:pt>
                <c:pt idx="8302">
                  <c:v>5.9734440000000024</c:v>
                </c:pt>
                <c:pt idx="8303">
                  <c:v>4.0411440000000001</c:v>
                </c:pt>
                <c:pt idx="8304">
                  <c:v>3.5706319999999998</c:v>
                </c:pt>
                <c:pt idx="8305">
                  <c:v>3.8619279999999998</c:v>
                </c:pt>
                <c:pt idx="8306">
                  <c:v>3.6845850000000002</c:v>
                </c:pt>
                <c:pt idx="8307">
                  <c:v>3.509083</c:v>
                </c:pt>
                <c:pt idx="8308">
                  <c:v>3.131043999999982</c:v>
                </c:pt>
                <c:pt idx="8309">
                  <c:v>3.0148109999999977</c:v>
                </c:pt>
                <c:pt idx="8310">
                  <c:v>3.4032339999999999</c:v>
                </c:pt>
                <c:pt idx="8311">
                  <c:v>3.3949669999999967</c:v>
                </c:pt>
                <c:pt idx="8312">
                  <c:v>4.0058619999999996</c:v>
                </c:pt>
                <c:pt idx="8313">
                  <c:v>4.5253019999999955</c:v>
                </c:pt>
                <c:pt idx="8314">
                  <c:v>4.2115309999999955</c:v>
                </c:pt>
                <c:pt idx="8315">
                  <c:v>4.2036660000000134</c:v>
                </c:pt>
                <c:pt idx="8316">
                  <c:v>4.4827649999999997</c:v>
                </c:pt>
                <c:pt idx="8317">
                  <c:v>4.6285149999999327</c:v>
                </c:pt>
                <c:pt idx="8318">
                  <c:v>4.8206230000000003</c:v>
                </c:pt>
                <c:pt idx="8319">
                  <c:v>4.8665319999999745</c:v>
                </c:pt>
                <c:pt idx="8320">
                  <c:v>4.6327559999999846</c:v>
                </c:pt>
                <c:pt idx="8321">
                  <c:v>4.1735519999999955</c:v>
                </c:pt>
                <c:pt idx="8322">
                  <c:v>3.9023340000000002</c:v>
                </c:pt>
                <c:pt idx="8323">
                  <c:v>3.8826469999999755</c:v>
                </c:pt>
                <c:pt idx="8324">
                  <c:v>3.5162309999999977</c:v>
                </c:pt>
                <c:pt idx="8325">
                  <c:v>3.2553519999999998</c:v>
                </c:pt>
                <c:pt idx="8326">
                  <c:v>3.357294</c:v>
                </c:pt>
                <c:pt idx="8327">
                  <c:v>3.706744</c:v>
                </c:pt>
                <c:pt idx="8328">
                  <c:v>3.5527489999999737</c:v>
                </c:pt>
                <c:pt idx="8329">
                  <c:v>3.484108</c:v>
                </c:pt>
                <c:pt idx="8330">
                  <c:v>3.6164679999999967</c:v>
                </c:pt>
                <c:pt idx="8331">
                  <c:v>3.5128079999999811</c:v>
                </c:pt>
                <c:pt idx="8332">
                  <c:v>3.6825860000000001</c:v>
                </c:pt>
                <c:pt idx="8333">
                  <c:v>3.9541599999999977</c:v>
                </c:pt>
                <c:pt idx="8334">
                  <c:v>3.8825919999999998</c:v>
                </c:pt>
                <c:pt idx="8335">
                  <c:v>4.2438650000000004</c:v>
                </c:pt>
                <c:pt idx="8336">
                  <c:v>4.3020209999999945</c:v>
                </c:pt>
                <c:pt idx="8337">
                  <c:v>5.0079559999999645</c:v>
                </c:pt>
                <c:pt idx="8338">
                  <c:v>4.6083220000000003</c:v>
                </c:pt>
                <c:pt idx="8339">
                  <c:v>5.1231069999999646</c:v>
                </c:pt>
                <c:pt idx="8340">
                  <c:v>5.5459349999999645</c:v>
                </c:pt>
                <c:pt idx="8341">
                  <c:v>4.5972920000000004</c:v>
                </c:pt>
                <c:pt idx="8342">
                  <c:v>4.0719659999999998</c:v>
                </c:pt>
                <c:pt idx="8343">
                  <c:v>4.0399669999999999</c:v>
                </c:pt>
                <c:pt idx="8344">
                  <c:v>3.8855479999999987</c:v>
                </c:pt>
                <c:pt idx="8345">
                  <c:v>4.0090779999999997</c:v>
                </c:pt>
                <c:pt idx="8346">
                  <c:v>4.0655729999999846</c:v>
                </c:pt>
                <c:pt idx="8347">
                  <c:v>4.1272129999999745</c:v>
                </c:pt>
                <c:pt idx="8348">
                  <c:v>3.9242669999999977</c:v>
                </c:pt>
                <c:pt idx="8349">
                  <c:v>3.9606840000000001</c:v>
                </c:pt>
                <c:pt idx="8350">
                  <c:v>4.5622999999999996</c:v>
                </c:pt>
                <c:pt idx="8351">
                  <c:v>3.5108919999999997</c:v>
                </c:pt>
                <c:pt idx="8352">
                  <c:v>3.1998159999999967</c:v>
                </c:pt>
                <c:pt idx="8353">
                  <c:v>3.1051890000000002</c:v>
                </c:pt>
                <c:pt idx="8354">
                  <c:v>3.3717199999999967</c:v>
                </c:pt>
                <c:pt idx="8355">
                  <c:v>3.5162489999999669</c:v>
                </c:pt>
                <c:pt idx="8356">
                  <c:v>3.6504289999999977</c:v>
                </c:pt>
                <c:pt idx="8357">
                  <c:v>3.58622</c:v>
                </c:pt>
                <c:pt idx="8358">
                  <c:v>3.7380629999999977</c:v>
                </c:pt>
                <c:pt idx="8359">
                  <c:v>4.4416169999999999</c:v>
                </c:pt>
                <c:pt idx="8360">
                  <c:v>5.9368740000000004</c:v>
                </c:pt>
                <c:pt idx="8361">
                  <c:v>5.3916550000000001</c:v>
                </c:pt>
                <c:pt idx="8362">
                  <c:v>4.9791960000000124</c:v>
                </c:pt>
                <c:pt idx="8363">
                  <c:v>5.1560009999999945</c:v>
                </c:pt>
                <c:pt idx="8364">
                  <c:v>4.9339630000000421</c:v>
                </c:pt>
                <c:pt idx="8365">
                  <c:v>4.917465</c:v>
                </c:pt>
                <c:pt idx="8366">
                  <c:v>4.9852490000000493</c:v>
                </c:pt>
                <c:pt idx="8367">
                  <c:v>4.4679319999999745</c:v>
                </c:pt>
                <c:pt idx="8368">
                  <c:v>4.8485829999999845</c:v>
                </c:pt>
                <c:pt idx="8369">
                  <c:v>5.0382110000000004</c:v>
                </c:pt>
                <c:pt idx="8370">
                  <c:v>4.2058689999999999</c:v>
                </c:pt>
                <c:pt idx="8371">
                  <c:v>4.1832549999999955</c:v>
                </c:pt>
                <c:pt idx="8372">
                  <c:v>4.005325</c:v>
                </c:pt>
                <c:pt idx="8373">
                  <c:v>3.6421809999999999</c:v>
                </c:pt>
                <c:pt idx="8374">
                  <c:v>3.8400819999999998</c:v>
                </c:pt>
                <c:pt idx="8375">
                  <c:v>4.0718249999999996</c:v>
                </c:pt>
                <c:pt idx="8376">
                  <c:v>4.565741</c:v>
                </c:pt>
                <c:pt idx="8377">
                  <c:v>4.1058459999999855</c:v>
                </c:pt>
                <c:pt idx="8378">
                  <c:v>3.9558369999999967</c:v>
                </c:pt>
                <c:pt idx="8379">
                  <c:v>3.8119799999999819</c:v>
                </c:pt>
                <c:pt idx="8380">
                  <c:v>4.0018620000000134</c:v>
                </c:pt>
                <c:pt idx="8381">
                  <c:v>3.7222469999999968</c:v>
                </c:pt>
                <c:pt idx="8382">
                  <c:v>4.5270139999999746</c:v>
                </c:pt>
                <c:pt idx="8383">
                  <c:v>4.5706759999999997</c:v>
                </c:pt>
                <c:pt idx="8384">
                  <c:v>5.6917809999999855</c:v>
                </c:pt>
                <c:pt idx="8385">
                  <c:v>5.9164669999999999</c:v>
                </c:pt>
                <c:pt idx="8386">
                  <c:v>5.8545519999999645</c:v>
                </c:pt>
                <c:pt idx="8387">
                  <c:v>6.3723890000000001</c:v>
                </c:pt>
                <c:pt idx="8388">
                  <c:v>6.8149769999999545</c:v>
                </c:pt>
                <c:pt idx="8389">
                  <c:v>6.1443939999999975</c:v>
                </c:pt>
                <c:pt idx="8390">
                  <c:v>5.3020559999999755</c:v>
                </c:pt>
                <c:pt idx="8391">
                  <c:v>5.0753469999999998</c:v>
                </c:pt>
                <c:pt idx="8392">
                  <c:v>5.3208989999999945</c:v>
                </c:pt>
                <c:pt idx="8393">
                  <c:v>4.6517790000000003</c:v>
                </c:pt>
                <c:pt idx="8394">
                  <c:v>4.5192759999999996</c:v>
                </c:pt>
                <c:pt idx="8395">
                  <c:v>4.4279739999999945</c:v>
                </c:pt>
                <c:pt idx="8396">
                  <c:v>4.498964</c:v>
                </c:pt>
                <c:pt idx="8397">
                  <c:v>4.6855599999999855</c:v>
                </c:pt>
                <c:pt idx="8398">
                  <c:v>4.0553699999999999</c:v>
                </c:pt>
                <c:pt idx="8399">
                  <c:v>3.2962379999999998</c:v>
                </c:pt>
                <c:pt idx="8400">
                  <c:v>3.0723579999999977</c:v>
                </c:pt>
                <c:pt idx="8401">
                  <c:v>3.4796259999999779</c:v>
                </c:pt>
                <c:pt idx="8402">
                  <c:v>3.4263489999999779</c:v>
                </c:pt>
                <c:pt idx="8403">
                  <c:v>3.3679830000000002</c:v>
                </c:pt>
                <c:pt idx="8404">
                  <c:v>3.5527819999999997</c:v>
                </c:pt>
                <c:pt idx="8405">
                  <c:v>3.1175899999999999</c:v>
                </c:pt>
                <c:pt idx="8406">
                  <c:v>5.1408309999999755</c:v>
                </c:pt>
                <c:pt idx="8407">
                  <c:v>4.2524129999999865</c:v>
                </c:pt>
                <c:pt idx="8408">
                  <c:v>4.4890869999999996</c:v>
                </c:pt>
                <c:pt idx="8409">
                  <c:v>5.3126629999999997</c:v>
                </c:pt>
                <c:pt idx="8410">
                  <c:v>5.3530159999999745</c:v>
                </c:pt>
                <c:pt idx="8411">
                  <c:v>5.2636909999999997</c:v>
                </c:pt>
                <c:pt idx="8412">
                  <c:v>5.074446</c:v>
                </c:pt>
                <c:pt idx="8413">
                  <c:v>4.2475739999999975</c:v>
                </c:pt>
                <c:pt idx="8414">
                  <c:v>3.7405469999999998</c:v>
                </c:pt>
                <c:pt idx="8415">
                  <c:v>3.7189920000000001</c:v>
                </c:pt>
                <c:pt idx="8416">
                  <c:v>3.7384019999999998</c:v>
                </c:pt>
                <c:pt idx="8417">
                  <c:v>3.6321949999999998</c:v>
                </c:pt>
                <c:pt idx="8418">
                  <c:v>3.0826159999999967</c:v>
                </c:pt>
                <c:pt idx="8419">
                  <c:v>3.9710989999999819</c:v>
                </c:pt>
                <c:pt idx="8420">
                  <c:v>5.5903510000000001</c:v>
                </c:pt>
                <c:pt idx="8421">
                  <c:v>3.9784869999999977</c:v>
                </c:pt>
                <c:pt idx="8422">
                  <c:v>4.8454189999999855</c:v>
                </c:pt>
                <c:pt idx="8423">
                  <c:v>2.9019949999999999</c:v>
                </c:pt>
                <c:pt idx="8424">
                  <c:v>2.8495439999999967</c:v>
                </c:pt>
                <c:pt idx="8425">
                  <c:v>2.5042360000000001</c:v>
                </c:pt>
                <c:pt idx="8426">
                  <c:v>2.9947439999999967</c:v>
                </c:pt>
                <c:pt idx="8427">
                  <c:v>2.7099240000000204</c:v>
                </c:pt>
                <c:pt idx="8428">
                  <c:v>2.7366099999999967</c:v>
                </c:pt>
                <c:pt idx="8429">
                  <c:v>2.6901380000000001</c:v>
                </c:pt>
                <c:pt idx="8430">
                  <c:v>3.3094459999999692</c:v>
                </c:pt>
                <c:pt idx="8431">
                  <c:v>4.3077579999999855</c:v>
                </c:pt>
                <c:pt idx="8432">
                  <c:v>4.8112440000000003</c:v>
                </c:pt>
                <c:pt idx="8433">
                  <c:v>5.0056469999999997</c:v>
                </c:pt>
                <c:pt idx="8434">
                  <c:v>4.5890589999999998</c:v>
                </c:pt>
                <c:pt idx="8435">
                  <c:v>3.9699619999999998</c:v>
                </c:pt>
                <c:pt idx="8436">
                  <c:v>3.8924509999999692</c:v>
                </c:pt>
                <c:pt idx="8437">
                  <c:v>3.6016330000000001</c:v>
                </c:pt>
                <c:pt idx="8438">
                  <c:v>3.2171530000000002</c:v>
                </c:pt>
                <c:pt idx="8439">
                  <c:v>3.3691779999999998</c:v>
                </c:pt>
                <c:pt idx="8440">
                  <c:v>3.6792799999999977</c:v>
                </c:pt>
                <c:pt idx="8441">
                  <c:v>3.5865749999999998</c:v>
                </c:pt>
                <c:pt idx="8442">
                  <c:v>3.1572209999999998</c:v>
                </c:pt>
                <c:pt idx="8443">
                  <c:v>3.0277449999999999</c:v>
                </c:pt>
                <c:pt idx="8444">
                  <c:v>2.9951789999999967</c:v>
                </c:pt>
                <c:pt idx="8445">
                  <c:v>3.017871</c:v>
                </c:pt>
                <c:pt idx="8446">
                  <c:v>2.9630809999999999</c:v>
                </c:pt>
                <c:pt idx="8447">
                  <c:v>3.666185</c:v>
                </c:pt>
                <c:pt idx="8448">
                  <c:v>3.6016529999999967</c:v>
                </c:pt>
                <c:pt idx="8449">
                  <c:v>3.6280350000000001</c:v>
                </c:pt>
                <c:pt idx="8450">
                  <c:v>3.8353919999999997</c:v>
                </c:pt>
                <c:pt idx="8451">
                  <c:v>3.621572</c:v>
                </c:pt>
                <c:pt idx="8452">
                  <c:v>4.5068609999999998</c:v>
                </c:pt>
                <c:pt idx="8453">
                  <c:v>3.4156849999999968</c:v>
                </c:pt>
                <c:pt idx="8454">
                  <c:v>3.9660629999999779</c:v>
                </c:pt>
                <c:pt idx="8455">
                  <c:v>5.3372039999999998</c:v>
                </c:pt>
                <c:pt idx="8456">
                  <c:v>6.3336020000000124</c:v>
                </c:pt>
                <c:pt idx="8457">
                  <c:v>6.285177</c:v>
                </c:pt>
                <c:pt idx="8458">
                  <c:v>6.9440460000000002</c:v>
                </c:pt>
                <c:pt idx="8459">
                  <c:v>5.0012359999999996</c:v>
                </c:pt>
                <c:pt idx="8460">
                  <c:v>5.6052549999999846</c:v>
                </c:pt>
                <c:pt idx="8461">
                  <c:v>4.6882720000000004</c:v>
                </c:pt>
                <c:pt idx="8462">
                  <c:v>4.0835879999999865</c:v>
                </c:pt>
                <c:pt idx="8463">
                  <c:v>4.1320499999999996</c:v>
                </c:pt>
                <c:pt idx="8464">
                  <c:v>4.2000640000000002</c:v>
                </c:pt>
                <c:pt idx="8465">
                  <c:v>4.2190130000000003</c:v>
                </c:pt>
                <c:pt idx="8466">
                  <c:v>4.1076509999999855</c:v>
                </c:pt>
                <c:pt idx="8467">
                  <c:v>3.8504219999999987</c:v>
                </c:pt>
                <c:pt idx="8468">
                  <c:v>3.7244389999999998</c:v>
                </c:pt>
                <c:pt idx="8469">
                  <c:v>4.0824149999999655</c:v>
                </c:pt>
                <c:pt idx="8470">
                  <c:v>4.4379629999999999</c:v>
                </c:pt>
                <c:pt idx="8471">
                  <c:v>3.6176849999999998</c:v>
                </c:pt>
                <c:pt idx="8472">
                  <c:v>3.530932</c:v>
                </c:pt>
                <c:pt idx="8473">
                  <c:v>3.4867240000000002</c:v>
                </c:pt>
                <c:pt idx="8474">
                  <c:v>2.5120729999999765</c:v>
                </c:pt>
                <c:pt idx="8475">
                  <c:v>3.2209200000000204</c:v>
                </c:pt>
                <c:pt idx="8476">
                  <c:v>2.7008359999999998</c:v>
                </c:pt>
                <c:pt idx="8477">
                  <c:v>3.320757</c:v>
                </c:pt>
                <c:pt idx="8478">
                  <c:v>4.5922419999999997</c:v>
                </c:pt>
                <c:pt idx="8479">
                  <c:v>6.4909210000000002</c:v>
                </c:pt>
                <c:pt idx="8480">
                  <c:v>8.0100360000000048</c:v>
                </c:pt>
                <c:pt idx="8481">
                  <c:v>8.8706700000000005</c:v>
                </c:pt>
                <c:pt idx="8482">
                  <c:v>5.5942439999999998</c:v>
                </c:pt>
                <c:pt idx="8483">
                  <c:v>4.9916890000000134</c:v>
                </c:pt>
                <c:pt idx="8484">
                  <c:v>4.1918379999999855</c:v>
                </c:pt>
                <c:pt idx="8485">
                  <c:v>3.4544889999999819</c:v>
                </c:pt>
                <c:pt idx="8486">
                  <c:v>3.6976239999999998</c:v>
                </c:pt>
                <c:pt idx="8487">
                  <c:v>3.1815639999999998</c:v>
                </c:pt>
                <c:pt idx="8488">
                  <c:v>2.837561</c:v>
                </c:pt>
                <c:pt idx="8489">
                  <c:v>3.2453539999999998</c:v>
                </c:pt>
                <c:pt idx="8490">
                  <c:v>2.7287059999999999</c:v>
                </c:pt>
                <c:pt idx="8491">
                  <c:v>2.5027819999999998</c:v>
                </c:pt>
                <c:pt idx="8492">
                  <c:v>2.6455220000000002</c:v>
                </c:pt>
                <c:pt idx="8493">
                  <c:v>2.7990089999999967</c:v>
                </c:pt>
                <c:pt idx="8494">
                  <c:v>3.1813449999999999</c:v>
                </c:pt>
                <c:pt idx="8495">
                  <c:v>3.7920549999999977</c:v>
                </c:pt>
                <c:pt idx="8496">
                  <c:v>3.2960279999999997</c:v>
                </c:pt>
                <c:pt idx="8497">
                  <c:v>3.1326839999999967</c:v>
                </c:pt>
                <c:pt idx="8498">
                  <c:v>3.3150179999999967</c:v>
                </c:pt>
                <c:pt idx="8499">
                  <c:v>3.352892999999971</c:v>
                </c:pt>
                <c:pt idx="8500">
                  <c:v>3.2037220000000164</c:v>
                </c:pt>
                <c:pt idx="8501">
                  <c:v>3.7071880000000164</c:v>
                </c:pt>
                <c:pt idx="8502">
                  <c:v>3.596123</c:v>
                </c:pt>
                <c:pt idx="8503">
                  <c:v>3.5051079999999999</c:v>
                </c:pt>
                <c:pt idx="8504">
                  <c:v>3.3702999999999967</c:v>
                </c:pt>
                <c:pt idx="8505">
                  <c:v>3.4764289999999765</c:v>
                </c:pt>
                <c:pt idx="8506">
                  <c:v>4.5534299999999996</c:v>
                </c:pt>
                <c:pt idx="8507">
                  <c:v>4.1740949999999755</c:v>
                </c:pt>
                <c:pt idx="8508">
                  <c:v>4.0760509999999996</c:v>
                </c:pt>
                <c:pt idx="8509">
                  <c:v>4.7391170000000002</c:v>
                </c:pt>
                <c:pt idx="8510">
                  <c:v>4.4761360000000003</c:v>
                </c:pt>
                <c:pt idx="8511">
                  <c:v>4.9070580000000001</c:v>
                </c:pt>
                <c:pt idx="8512">
                  <c:v>5.0319680000000124</c:v>
                </c:pt>
                <c:pt idx="8513">
                  <c:v>4.2315600000000124</c:v>
                </c:pt>
                <c:pt idx="8514">
                  <c:v>3.7881520000000002</c:v>
                </c:pt>
                <c:pt idx="8515">
                  <c:v>3.9224069999999829</c:v>
                </c:pt>
                <c:pt idx="8516">
                  <c:v>3.6767539999999967</c:v>
                </c:pt>
                <c:pt idx="8517">
                  <c:v>4.2841159999999645</c:v>
                </c:pt>
                <c:pt idx="8518">
                  <c:v>3.7361610000000001</c:v>
                </c:pt>
                <c:pt idx="8519">
                  <c:v>4.3420199999999856</c:v>
                </c:pt>
                <c:pt idx="8520">
                  <c:v>4.6327869999999765</c:v>
                </c:pt>
                <c:pt idx="8521">
                  <c:v>4.8242179999999655</c:v>
                </c:pt>
                <c:pt idx="8522">
                  <c:v>4.5875739999999965</c:v>
                </c:pt>
                <c:pt idx="8523">
                  <c:v>5.1704270000000001</c:v>
                </c:pt>
                <c:pt idx="8524">
                  <c:v>4.8737190000000004</c:v>
                </c:pt>
                <c:pt idx="8525">
                  <c:v>4.7980830000000001</c:v>
                </c:pt>
                <c:pt idx="8526">
                  <c:v>4.2972359999999945</c:v>
                </c:pt>
                <c:pt idx="8527">
                  <c:v>5.4413480000000494</c:v>
                </c:pt>
                <c:pt idx="8528">
                  <c:v>5.2792740000000133</c:v>
                </c:pt>
                <c:pt idx="8529">
                  <c:v>5.9888170000000001</c:v>
                </c:pt>
                <c:pt idx="8530">
                  <c:v>5.0483359999999955</c:v>
                </c:pt>
                <c:pt idx="8531">
                  <c:v>4.4849069999999855</c:v>
                </c:pt>
                <c:pt idx="8532">
                  <c:v>4.6475479999999845</c:v>
                </c:pt>
                <c:pt idx="8533">
                  <c:v>4.8365049999999945</c:v>
                </c:pt>
                <c:pt idx="8534">
                  <c:v>4.4981489999999997</c:v>
                </c:pt>
                <c:pt idx="8535">
                  <c:v>4.329758</c:v>
                </c:pt>
                <c:pt idx="8536">
                  <c:v>4.56435499999996</c:v>
                </c:pt>
                <c:pt idx="8537">
                  <c:v>4.8880509999999955</c:v>
                </c:pt>
                <c:pt idx="8538">
                  <c:v>3.9281259999999998</c:v>
                </c:pt>
                <c:pt idx="8539">
                  <c:v>4.3962079999999997</c:v>
                </c:pt>
                <c:pt idx="8540">
                  <c:v>3.9049960000000001</c:v>
                </c:pt>
                <c:pt idx="8541">
                  <c:v>4.3108809999999655</c:v>
                </c:pt>
                <c:pt idx="8542">
                  <c:v>3.8806759999999967</c:v>
                </c:pt>
                <c:pt idx="8543">
                  <c:v>4.735919</c:v>
                </c:pt>
                <c:pt idx="8544">
                  <c:v>5.0880320000000001</c:v>
                </c:pt>
                <c:pt idx="8545">
                  <c:v>4.9263130000000004</c:v>
                </c:pt>
                <c:pt idx="8546">
                  <c:v>4.6274999999999755</c:v>
                </c:pt>
                <c:pt idx="8547">
                  <c:v>4.0766179999999999</c:v>
                </c:pt>
                <c:pt idx="8548">
                  <c:v>4.3969069999999855</c:v>
                </c:pt>
                <c:pt idx="8549">
                  <c:v>4.4149099999999946</c:v>
                </c:pt>
                <c:pt idx="8550">
                  <c:v>4.3037369999999955</c:v>
                </c:pt>
                <c:pt idx="8551">
                  <c:v>4.4436390000000134</c:v>
                </c:pt>
                <c:pt idx="8552">
                  <c:v>4.5916899999999998</c:v>
                </c:pt>
                <c:pt idx="8553">
                  <c:v>4.4645779999999755</c:v>
                </c:pt>
                <c:pt idx="8554">
                  <c:v>4.9594030000000124</c:v>
                </c:pt>
                <c:pt idx="8555">
                  <c:v>5.2400570000000002</c:v>
                </c:pt>
                <c:pt idx="8556">
                  <c:v>6.5135909999999955</c:v>
                </c:pt>
                <c:pt idx="8557">
                  <c:v>5.7855799999999995</c:v>
                </c:pt>
                <c:pt idx="8558">
                  <c:v>5.3070719999999945</c:v>
                </c:pt>
                <c:pt idx="8559">
                  <c:v>4.6246299999999945</c:v>
                </c:pt>
                <c:pt idx="8560">
                  <c:v>4.8963989999999997</c:v>
                </c:pt>
                <c:pt idx="8561">
                  <c:v>4.8160159999999745</c:v>
                </c:pt>
                <c:pt idx="8562">
                  <c:v>4.5412290000000448</c:v>
                </c:pt>
                <c:pt idx="8563">
                  <c:v>4.2346579999999996</c:v>
                </c:pt>
                <c:pt idx="8564">
                  <c:v>4.4440030000000004</c:v>
                </c:pt>
                <c:pt idx="8565">
                  <c:v>4.4349119999999855</c:v>
                </c:pt>
                <c:pt idx="8566">
                  <c:v>4.5847769999999946</c:v>
                </c:pt>
                <c:pt idx="8567">
                  <c:v>4.6618809999999655</c:v>
                </c:pt>
                <c:pt idx="8568">
                  <c:v>4.8717940000000004</c:v>
                </c:pt>
                <c:pt idx="8569">
                  <c:v>4.8290389999999945</c:v>
                </c:pt>
                <c:pt idx="8570">
                  <c:v>4.6200019999999755</c:v>
                </c:pt>
                <c:pt idx="8571">
                  <c:v>4.5697839999999985</c:v>
                </c:pt>
                <c:pt idx="8572">
                  <c:v>4.4324250000000003</c:v>
                </c:pt>
                <c:pt idx="8573">
                  <c:v>4.5157739999999995</c:v>
                </c:pt>
                <c:pt idx="8574">
                  <c:v>4.262302</c:v>
                </c:pt>
                <c:pt idx="8575">
                  <c:v>4.3883549999999945</c:v>
                </c:pt>
                <c:pt idx="8576">
                  <c:v>4.4681430000000004</c:v>
                </c:pt>
                <c:pt idx="8577">
                  <c:v>4.7330399999999999</c:v>
                </c:pt>
                <c:pt idx="8578">
                  <c:v>5.2675179999999591</c:v>
                </c:pt>
                <c:pt idx="8579">
                  <c:v>5.2712390000000457</c:v>
                </c:pt>
                <c:pt idx="8580">
                  <c:v>5.6557869999999655</c:v>
                </c:pt>
                <c:pt idx="8581">
                  <c:v>5.3065790000000002</c:v>
                </c:pt>
                <c:pt idx="8582">
                  <c:v>5.5121939999999965</c:v>
                </c:pt>
                <c:pt idx="8583">
                  <c:v>5.0930229999999996</c:v>
                </c:pt>
                <c:pt idx="8584">
                  <c:v>4.5484</c:v>
                </c:pt>
                <c:pt idx="8585">
                  <c:v>4.5014830000000003</c:v>
                </c:pt>
                <c:pt idx="8586">
                  <c:v>4.4361519999999999</c:v>
                </c:pt>
                <c:pt idx="8587">
                  <c:v>4.610379</c:v>
                </c:pt>
                <c:pt idx="8588">
                  <c:v>5.0709099999999996</c:v>
                </c:pt>
                <c:pt idx="8589">
                  <c:v>5.8177469999999945</c:v>
                </c:pt>
                <c:pt idx="8590">
                  <c:v>6.2069139999999985</c:v>
                </c:pt>
                <c:pt idx="8591">
                  <c:v>3.9562489999999628</c:v>
                </c:pt>
                <c:pt idx="8592">
                  <c:v>3.4299170000000001</c:v>
                </c:pt>
                <c:pt idx="8593">
                  <c:v>3.2501760000000002</c:v>
                </c:pt>
                <c:pt idx="8594">
                  <c:v>3.3909089999999829</c:v>
                </c:pt>
                <c:pt idx="8595">
                  <c:v>3.4037090000000001</c:v>
                </c:pt>
                <c:pt idx="8596">
                  <c:v>3.5723459999999769</c:v>
                </c:pt>
                <c:pt idx="8597">
                  <c:v>3.4505569999999977</c:v>
                </c:pt>
                <c:pt idx="8598">
                  <c:v>3.3317839999999967</c:v>
                </c:pt>
                <c:pt idx="8599">
                  <c:v>3.6231960000000205</c:v>
                </c:pt>
                <c:pt idx="8600">
                  <c:v>3.7224219999999999</c:v>
                </c:pt>
                <c:pt idx="8601">
                  <c:v>3.3073329999999999</c:v>
                </c:pt>
                <c:pt idx="8602">
                  <c:v>3.5820819999999998</c:v>
                </c:pt>
                <c:pt idx="8603">
                  <c:v>3.5593140000000001</c:v>
                </c:pt>
                <c:pt idx="8604">
                  <c:v>4.0263689999999999</c:v>
                </c:pt>
                <c:pt idx="8605">
                  <c:v>3.771916</c:v>
                </c:pt>
                <c:pt idx="8606">
                  <c:v>3.7928589999999764</c:v>
                </c:pt>
                <c:pt idx="8607">
                  <c:v>3.2270620000000001</c:v>
                </c:pt>
                <c:pt idx="8608">
                  <c:v>3.2387359999999998</c:v>
                </c:pt>
                <c:pt idx="8609">
                  <c:v>3.020464</c:v>
                </c:pt>
                <c:pt idx="8610">
                  <c:v>3.4920949999999977</c:v>
                </c:pt>
                <c:pt idx="8611">
                  <c:v>6.5963310000000002</c:v>
                </c:pt>
                <c:pt idx="8612">
                  <c:v>5.248481</c:v>
                </c:pt>
                <c:pt idx="8613">
                  <c:v>4.9815779999999998</c:v>
                </c:pt>
                <c:pt idx="8614">
                  <c:v>4.1526539999999965</c:v>
                </c:pt>
                <c:pt idx="8615">
                  <c:v>3.6853350000000002</c:v>
                </c:pt>
                <c:pt idx="8616">
                  <c:v>3.0973940000000177</c:v>
                </c:pt>
                <c:pt idx="8617">
                  <c:v>3.1700519999999988</c:v>
                </c:pt>
                <c:pt idx="8618">
                  <c:v>3.3009819999999999</c:v>
                </c:pt>
                <c:pt idx="8619">
                  <c:v>3.0247570000000001</c:v>
                </c:pt>
                <c:pt idx="8620">
                  <c:v>2.927191000000021</c:v>
                </c:pt>
                <c:pt idx="8621">
                  <c:v>2.908061</c:v>
                </c:pt>
                <c:pt idx="8622">
                  <c:v>3.0902859999999968</c:v>
                </c:pt>
                <c:pt idx="8623">
                  <c:v>3.157959</c:v>
                </c:pt>
                <c:pt idx="8624">
                  <c:v>3.235376</c:v>
                </c:pt>
                <c:pt idx="8625">
                  <c:v>3.0478649999999998</c:v>
                </c:pt>
                <c:pt idx="8626">
                  <c:v>3.0110119999999987</c:v>
                </c:pt>
                <c:pt idx="8627">
                  <c:v>3.2627899999999999</c:v>
                </c:pt>
                <c:pt idx="8628">
                  <c:v>2.886727</c:v>
                </c:pt>
                <c:pt idx="8629">
                  <c:v>2.9749279999999998</c:v>
                </c:pt>
                <c:pt idx="8630">
                  <c:v>2.8995529999999778</c:v>
                </c:pt>
                <c:pt idx="8631">
                  <c:v>2.7922819999999997</c:v>
                </c:pt>
                <c:pt idx="8632">
                  <c:v>2.7935880000000002</c:v>
                </c:pt>
                <c:pt idx="8633">
                  <c:v>2.9107469999999829</c:v>
                </c:pt>
                <c:pt idx="8634">
                  <c:v>2.7500459999999967</c:v>
                </c:pt>
                <c:pt idx="8635">
                  <c:v>2.7791229999999998</c:v>
                </c:pt>
                <c:pt idx="8636">
                  <c:v>2.6984710000000001</c:v>
                </c:pt>
                <c:pt idx="8637">
                  <c:v>2.6569919999999998</c:v>
                </c:pt>
                <c:pt idx="8638">
                  <c:v>2.8959039999999967</c:v>
                </c:pt>
                <c:pt idx="8639">
                  <c:v>3.6569979999999997</c:v>
                </c:pt>
                <c:pt idx="8640">
                  <c:v>3.7532649999999999</c:v>
                </c:pt>
                <c:pt idx="8641">
                  <c:v>4.0917539999999999</c:v>
                </c:pt>
                <c:pt idx="8642">
                  <c:v>4.0274959999999655</c:v>
                </c:pt>
                <c:pt idx="8643">
                  <c:v>4.1146959999999755</c:v>
                </c:pt>
                <c:pt idx="8644">
                  <c:v>3.73671</c:v>
                </c:pt>
                <c:pt idx="8645">
                  <c:v>4.3146459999999855</c:v>
                </c:pt>
                <c:pt idx="8646">
                  <c:v>3.5783670000000001</c:v>
                </c:pt>
                <c:pt idx="8647">
                  <c:v>5.710591</c:v>
                </c:pt>
                <c:pt idx="8648">
                  <c:v>5.2826550000000001</c:v>
                </c:pt>
                <c:pt idx="8649">
                  <c:v>5.0703250000000004</c:v>
                </c:pt>
                <c:pt idx="8650">
                  <c:v>5.6442459999999945</c:v>
                </c:pt>
                <c:pt idx="8651">
                  <c:v>5.2248609999999855</c:v>
                </c:pt>
                <c:pt idx="8652">
                  <c:v>5.0237790000000002</c:v>
                </c:pt>
                <c:pt idx="8653">
                  <c:v>4.5988660000000001</c:v>
                </c:pt>
                <c:pt idx="8654">
                  <c:v>3.7562919999999997</c:v>
                </c:pt>
                <c:pt idx="8655">
                  <c:v>4.7160089999999997</c:v>
                </c:pt>
                <c:pt idx="8656">
                  <c:v>4.4828590000000004</c:v>
                </c:pt>
                <c:pt idx="8657">
                  <c:v>4.2169610000000004</c:v>
                </c:pt>
                <c:pt idx="8658">
                  <c:v>4.2314780000000134</c:v>
                </c:pt>
                <c:pt idx="8659">
                  <c:v>4.3599799999999975</c:v>
                </c:pt>
                <c:pt idx="8660">
                  <c:v>4.6163610000000004</c:v>
                </c:pt>
                <c:pt idx="8661">
                  <c:v>4.3712290000000475</c:v>
                </c:pt>
                <c:pt idx="8662">
                  <c:v>5.0677579999999756</c:v>
                </c:pt>
                <c:pt idx="8663">
                  <c:v>4.0024549999999746</c:v>
                </c:pt>
                <c:pt idx="8664">
                  <c:v>4.536348000000042</c:v>
                </c:pt>
                <c:pt idx="8665">
                  <c:v>5.2218799999999996</c:v>
                </c:pt>
                <c:pt idx="8666">
                  <c:v>4.5079509999999745</c:v>
                </c:pt>
                <c:pt idx="8667">
                  <c:v>3.907267</c:v>
                </c:pt>
                <c:pt idx="8668">
                  <c:v>4.6959579999999645</c:v>
                </c:pt>
                <c:pt idx="8669">
                  <c:v>5.0574019999999855</c:v>
                </c:pt>
                <c:pt idx="8670">
                  <c:v>5.0004859999999756</c:v>
                </c:pt>
                <c:pt idx="8671">
                  <c:v>5.193492</c:v>
                </c:pt>
                <c:pt idx="8672">
                  <c:v>4.5892049999999998</c:v>
                </c:pt>
                <c:pt idx="8673">
                  <c:v>5.4691559999999955</c:v>
                </c:pt>
                <c:pt idx="8674">
                  <c:v>4.7479099999999965</c:v>
                </c:pt>
                <c:pt idx="8675">
                  <c:v>4.862628</c:v>
                </c:pt>
                <c:pt idx="8676">
                  <c:v>4.8424739999999975</c:v>
                </c:pt>
                <c:pt idx="8677">
                  <c:v>4.6353080000000002</c:v>
                </c:pt>
                <c:pt idx="8678">
                  <c:v>4.8354059999999945</c:v>
                </c:pt>
                <c:pt idx="8679">
                  <c:v>4.5631199999999845</c:v>
                </c:pt>
                <c:pt idx="8680">
                  <c:v>5.3051309999999745</c:v>
                </c:pt>
                <c:pt idx="8681">
                  <c:v>4.1263189999999845</c:v>
                </c:pt>
                <c:pt idx="8682">
                  <c:v>5.0645679999999755</c:v>
                </c:pt>
                <c:pt idx="8683">
                  <c:v>3.94597</c:v>
                </c:pt>
                <c:pt idx="8684">
                  <c:v>5.1865030000000001</c:v>
                </c:pt>
                <c:pt idx="8685">
                  <c:v>5.3379809999999646</c:v>
                </c:pt>
                <c:pt idx="8686">
                  <c:v>5.0672869999999746</c:v>
                </c:pt>
                <c:pt idx="8687">
                  <c:v>4.6965479999999955</c:v>
                </c:pt>
                <c:pt idx="8688">
                  <c:v>5.3822330000000003</c:v>
                </c:pt>
                <c:pt idx="8689">
                  <c:v>4.8937410000000003</c:v>
                </c:pt>
                <c:pt idx="8690">
                  <c:v>4.7210539999999996</c:v>
                </c:pt>
                <c:pt idx="8691">
                  <c:v>6.9032030000000448</c:v>
                </c:pt>
                <c:pt idx="8692">
                  <c:v>6.4509920000000003</c:v>
                </c:pt>
                <c:pt idx="8693">
                  <c:v>4.4436690000000558</c:v>
                </c:pt>
                <c:pt idx="8694">
                  <c:v>3.9642360000000001</c:v>
                </c:pt>
                <c:pt idx="8695">
                  <c:v>4.3137439999999998</c:v>
                </c:pt>
                <c:pt idx="8696">
                  <c:v>4.3570519999999755</c:v>
                </c:pt>
                <c:pt idx="8697">
                  <c:v>6.1067640000000001</c:v>
                </c:pt>
                <c:pt idx="8698">
                  <c:v>5.8658249999999645</c:v>
                </c:pt>
                <c:pt idx="8699">
                  <c:v>6.7707199999999998</c:v>
                </c:pt>
                <c:pt idx="8700">
                  <c:v>7.1146599999999856</c:v>
                </c:pt>
                <c:pt idx="8701">
                  <c:v>7.0105149999999545</c:v>
                </c:pt>
                <c:pt idx="8702">
                  <c:v>6.3812540000000002</c:v>
                </c:pt>
                <c:pt idx="8703">
                  <c:v>4.9873900000000004</c:v>
                </c:pt>
                <c:pt idx="8704">
                  <c:v>4.3524929999999955</c:v>
                </c:pt>
                <c:pt idx="8705">
                  <c:v>3.3370849999999987</c:v>
                </c:pt>
                <c:pt idx="8706">
                  <c:v>3.796494</c:v>
                </c:pt>
                <c:pt idx="8707">
                  <c:v>3.7712619999999997</c:v>
                </c:pt>
                <c:pt idx="8708">
                  <c:v>4.0020210000000001</c:v>
                </c:pt>
                <c:pt idx="8709">
                  <c:v>4.1554690000000001</c:v>
                </c:pt>
                <c:pt idx="8710">
                  <c:v>4.0899630000000124</c:v>
                </c:pt>
                <c:pt idx="8711">
                  <c:v>3.4833350000000012</c:v>
                </c:pt>
                <c:pt idx="8712">
                  <c:v>3.0968219999999977</c:v>
                </c:pt>
                <c:pt idx="8713">
                  <c:v>2.9246940000000001</c:v>
                </c:pt>
                <c:pt idx="8714">
                  <c:v>2.5157559999999779</c:v>
                </c:pt>
                <c:pt idx="8715">
                  <c:v>2.4259079999999997</c:v>
                </c:pt>
                <c:pt idx="8716">
                  <c:v>2.6334179999999998</c:v>
                </c:pt>
                <c:pt idx="8717">
                  <c:v>2.8323549999999824</c:v>
                </c:pt>
                <c:pt idx="8718">
                  <c:v>3.6477780000000002</c:v>
                </c:pt>
                <c:pt idx="8719">
                  <c:v>3.7839489999999998</c:v>
                </c:pt>
                <c:pt idx="8720">
                  <c:v>4.0868320000000002</c:v>
                </c:pt>
                <c:pt idx="8721">
                  <c:v>4.7088729999999996</c:v>
                </c:pt>
                <c:pt idx="8722">
                  <c:v>4.5849389999999755</c:v>
                </c:pt>
                <c:pt idx="8723">
                  <c:v>4.6862370000000002</c:v>
                </c:pt>
                <c:pt idx="8724">
                  <c:v>3.6319319999999999</c:v>
                </c:pt>
                <c:pt idx="8725">
                  <c:v>3.9893200000000002</c:v>
                </c:pt>
                <c:pt idx="8726">
                  <c:v>3.98488</c:v>
                </c:pt>
                <c:pt idx="8727">
                  <c:v>3.4022199999999967</c:v>
                </c:pt>
                <c:pt idx="8728">
                  <c:v>3.2786419999999987</c:v>
                </c:pt>
                <c:pt idx="8729">
                  <c:v>5.537445</c:v>
                </c:pt>
                <c:pt idx="8730">
                  <c:v>4.7434099999999999</c:v>
                </c:pt>
                <c:pt idx="8731">
                  <c:v>5.2390390000000124</c:v>
                </c:pt>
                <c:pt idx="8732">
                  <c:v>6.3105029999999855</c:v>
                </c:pt>
                <c:pt idx="8733">
                  <c:v>5.356827</c:v>
                </c:pt>
                <c:pt idx="8734">
                  <c:v>5.0953090000000003</c:v>
                </c:pt>
                <c:pt idx="8735">
                  <c:v>4.4270719999999955</c:v>
                </c:pt>
                <c:pt idx="8736">
                  <c:v>4.7500109999999856</c:v>
                </c:pt>
                <c:pt idx="8737">
                  <c:v>4.5688389999999846</c:v>
                </c:pt>
                <c:pt idx="8738">
                  <c:v>5.021865</c:v>
                </c:pt>
                <c:pt idx="8739">
                  <c:v>5.2000390000000003</c:v>
                </c:pt>
                <c:pt idx="8740">
                  <c:v>4.8581089999999945</c:v>
                </c:pt>
                <c:pt idx="8741">
                  <c:v>4.3236230000000004</c:v>
                </c:pt>
                <c:pt idx="8742">
                  <c:v>3.1502729999999977</c:v>
                </c:pt>
                <c:pt idx="8743">
                  <c:v>3.2691499999999998</c:v>
                </c:pt>
                <c:pt idx="8744">
                  <c:v>3.5908229999999977</c:v>
                </c:pt>
                <c:pt idx="8745">
                  <c:v>3.6378870000000001</c:v>
                </c:pt>
                <c:pt idx="8746">
                  <c:v>3.5938110000000001</c:v>
                </c:pt>
                <c:pt idx="8747">
                  <c:v>3.5872799999999998</c:v>
                </c:pt>
                <c:pt idx="8748">
                  <c:v>4.3097190000000003</c:v>
                </c:pt>
                <c:pt idx="8749">
                  <c:v>4.1395989999999996</c:v>
                </c:pt>
                <c:pt idx="8750">
                  <c:v>3.6401380000000012</c:v>
                </c:pt>
                <c:pt idx="8751">
                  <c:v>3.787649</c:v>
                </c:pt>
                <c:pt idx="8752">
                  <c:v>3.6819160000000002</c:v>
                </c:pt>
                <c:pt idx="8753">
                  <c:v>3.787658</c:v>
                </c:pt>
                <c:pt idx="8754">
                  <c:v>4.073228000000042</c:v>
                </c:pt>
                <c:pt idx="8755">
                  <c:v>4.0920349999999655</c:v>
                </c:pt>
                <c:pt idx="8756">
                  <c:v>4.1787470000000004</c:v>
                </c:pt>
                <c:pt idx="8757">
                  <c:v>3.8851749999999998</c:v>
                </c:pt>
                <c:pt idx="8758">
                  <c:v>3.6032869999999999</c:v>
                </c:pt>
                <c:pt idx="8759">
                  <c:v>3.762356</c:v>
                </c:pt>
              </c:numCache>
            </c:numRef>
          </c:val>
        </c:ser>
        <c:marker val="1"/>
        <c:axId val="135335936"/>
        <c:axId val="135337472"/>
      </c:lineChart>
      <c:catAx>
        <c:axId val="135335936"/>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ro-RO"/>
          </a:p>
        </c:txPr>
        <c:crossAx val="135337472"/>
        <c:crosses val="autoZero"/>
        <c:auto val="1"/>
        <c:lblAlgn val="ctr"/>
        <c:lblOffset val="100"/>
        <c:tickLblSkip val="2"/>
        <c:tickMarkSkip val="1"/>
      </c:catAx>
      <c:valAx>
        <c:axId val="135337472"/>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o-RO"/>
          </a:p>
        </c:txPr>
        <c:crossAx val="135335936"/>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101E-2"/>
          <c:y val="0.90677966101694918"/>
          <c:w val="0.98552223371251257"/>
          <c:h val="8.1355932203390227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ro-RO"/>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ro-RO"/>
  <c:chart>
    <c:plotArea>
      <c:layout/>
      <c:lineChart>
        <c:grouping val="standard"/>
        <c:ser>
          <c:idx val="0"/>
          <c:order val="0"/>
          <c:tx>
            <c:strRef>
              <c:f>'2014'!$J$26</c:f>
              <c:strCache>
                <c:ptCount val="1"/>
                <c:pt idx="0">
                  <c:v>PM10 grv(µg/m3)</c:v>
                </c:pt>
              </c:strCache>
            </c:strRef>
          </c:tx>
          <c:marker>
            <c:symbol val="none"/>
          </c:marker>
          <c:cat>
            <c:strRef>
              <c:f>'2014'!$I$27:$I$31</c:f>
              <c:strCache>
                <c:ptCount val="5"/>
                <c:pt idx="0">
                  <c:v>2010''</c:v>
                </c:pt>
                <c:pt idx="1">
                  <c:v>2011"</c:v>
                </c:pt>
                <c:pt idx="2">
                  <c:v>2012"</c:v>
                </c:pt>
                <c:pt idx="3">
                  <c:v>2013"</c:v>
                </c:pt>
                <c:pt idx="4">
                  <c:v>2014"</c:v>
                </c:pt>
              </c:strCache>
            </c:strRef>
          </c:cat>
          <c:val>
            <c:numRef>
              <c:f>'2014'!$J$27:$J$31</c:f>
              <c:numCache>
                <c:formatCode>General</c:formatCode>
                <c:ptCount val="5"/>
                <c:pt idx="0">
                  <c:v>43.1</c:v>
                </c:pt>
                <c:pt idx="1">
                  <c:v>47.3</c:v>
                </c:pt>
                <c:pt idx="2">
                  <c:v>34.9</c:v>
                </c:pt>
                <c:pt idx="3">
                  <c:v>33.800000000000004</c:v>
                </c:pt>
                <c:pt idx="4">
                  <c:v>33.9</c:v>
                </c:pt>
              </c:numCache>
            </c:numRef>
          </c:val>
        </c:ser>
        <c:ser>
          <c:idx val="1"/>
          <c:order val="1"/>
          <c:tx>
            <c:strRef>
              <c:f>'2014'!$K$26</c:f>
              <c:strCache>
                <c:ptCount val="1"/>
                <c:pt idx="0">
                  <c:v>VL(µg/m3)</c:v>
                </c:pt>
              </c:strCache>
            </c:strRef>
          </c:tx>
          <c:marker>
            <c:symbol val="none"/>
          </c:marker>
          <c:cat>
            <c:strRef>
              <c:f>'2014'!$I$27:$I$31</c:f>
              <c:strCache>
                <c:ptCount val="5"/>
                <c:pt idx="0">
                  <c:v>2010''</c:v>
                </c:pt>
                <c:pt idx="1">
                  <c:v>2011"</c:v>
                </c:pt>
                <c:pt idx="2">
                  <c:v>2012"</c:v>
                </c:pt>
                <c:pt idx="3">
                  <c:v>2013"</c:v>
                </c:pt>
                <c:pt idx="4">
                  <c:v>2014"</c:v>
                </c:pt>
              </c:strCache>
            </c:strRef>
          </c:cat>
          <c:val>
            <c:numRef>
              <c:f>'2014'!$K$27:$K$31</c:f>
              <c:numCache>
                <c:formatCode>General</c:formatCode>
                <c:ptCount val="5"/>
                <c:pt idx="0">
                  <c:v>40</c:v>
                </c:pt>
                <c:pt idx="1">
                  <c:v>40</c:v>
                </c:pt>
                <c:pt idx="2">
                  <c:v>40</c:v>
                </c:pt>
                <c:pt idx="3">
                  <c:v>40</c:v>
                </c:pt>
                <c:pt idx="4">
                  <c:v>40</c:v>
                </c:pt>
              </c:numCache>
            </c:numRef>
          </c:val>
        </c:ser>
        <c:marker val="1"/>
        <c:axId val="136489216"/>
        <c:axId val="136499200"/>
      </c:lineChart>
      <c:catAx>
        <c:axId val="136489216"/>
        <c:scaling>
          <c:orientation val="minMax"/>
        </c:scaling>
        <c:axPos val="b"/>
        <c:tickLblPos val="nextTo"/>
        <c:crossAx val="136499200"/>
        <c:crosses val="autoZero"/>
        <c:auto val="1"/>
        <c:lblAlgn val="ctr"/>
        <c:lblOffset val="100"/>
      </c:catAx>
      <c:valAx>
        <c:axId val="136499200"/>
        <c:scaling>
          <c:orientation val="minMax"/>
        </c:scaling>
        <c:axPos val="l"/>
        <c:majorGridlines/>
        <c:numFmt formatCode="General" sourceLinked="1"/>
        <c:tickLblPos val="nextTo"/>
        <c:crossAx val="136489216"/>
        <c:crosses val="autoZero"/>
        <c:crossBetween val="between"/>
      </c:valAx>
    </c:plotArea>
    <c:legend>
      <c:legendPos val="r"/>
    </c:legend>
    <c:plotVisOnly val="1"/>
  </c:chart>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o-RO"/>
  <c:style val="8"/>
  <c:chart>
    <c:title>
      <c:spPr>
        <a:noFill/>
        <a:ln w="20071">
          <a:noFill/>
        </a:ln>
      </c:spPr>
    </c:title>
    <c:plotArea>
      <c:layout>
        <c:manualLayout>
          <c:layoutTarget val="inner"/>
          <c:xMode val="edge"/>
          <c:yMode val="edge"/>
          <c:x val="0.13785557986870878"/>
          <c:y val="0.20599250936329591"/>
          <c:w val="0.83150984682713369"/>
          <c:h val="0.67041198501872667"/>
        </c:manualLayout>
      </c:layout>
      <c:barChart>
        <c:barDir val="col"/>
        <c:grouping val="clustered"/>
        <c:ser>
          <c:idx val="0"/>
          <c:order val="0"/>
          <c:tx>
            <c:strRef>
              <c:f>Sheet1!$B$1</c:f>
              <c:strCache>
                <c:ptCount val="1"/>
                <c:pt idx="0">
                  <c:v>Suprafaţa  desecată (ha)</c:v>
                </c:pt>
              </c:strCache>
            </c:strRef>
          </c:tx>
          <c:spPr>
            <a:solidFill>
              <a:srgbClr val="9999FF"/>
            </a:solidFill>
            <a:ln w="10035">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110654</c:v>
                </c:pt>
                <c:pt idx="1">
                  <c:v>115558</c:v>
                </c:pt>
                <c:pt idx="2">
                  <c:v>115541</c:v>
                </c:pt>
                <c:pt idx="3">
                  <c:v>115534</c:v>
                </c:pt>
                <c:pt idx="4">
                  <c:v>115534</c:v>
                </c:pt>
              </c:numCache>
            </c:numRef>
          </c:val>
        </c:ser>
        <c:axId val="165136256"/>
        <c:axId val="165137792"/>
      </c:barChart>
      <c:catAx>
        <c:axId val="165136256"/>
        <c:scaling>
          <c:orientation val="minMax"/>
        </c:scaling>
        <c:axPos val="b"/>
        <c:numFmt formatCode="General" sourceLinked="1"/>
        <c:tickLblPos val="nextTo"/>
        <c:crossAx val="165137792"/>
        <c:crosses val="autoZero"/>
        <c:auto val="1"/>
        <c:lblAlgn val="ctr"/>
        <c:lblOffset val="100"/>
      </c:catAx>
      <c:valAx>
        <c:axId val="165137792"/>
        <c:scaling>
          <c:orientation val="minMax"/>
        </c:scaling>
        <c:axPos val="l"/>
        <c:majorGridlines/>
        <c:numFmt formatCode="General" sourceLinked="1"/>
        <c:tickLblPos val="nextTo"/>
        <c:crossAx val="165136256"/>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97" b="1" i="0" u="none" strike="noStrike" baseline="0">
                <a:solidFill>
                  <a:srgbClr val="000000"/>
                </a:solidFill>
                <a:latin typeface="Calibri"/>
                <a:ea typeface="Calibri"/>
                <a:cs typeface="Calibri"/>
              </a:defRPr>
            </a:pPr>
            <a:r>
              <a:rPr lang="vi-VN"/>
              <a:t>Suprafaţa cultivată în agricultura ecologică în raport cu  suprafaţa cultivată în judeţul Buzău ( ha)</a:t>
            </a:r>
          </a:p>
        </c:rich>
      </c:tx>
      <c:layout>
        <c:manualLayout>
          <c:xMode val="edge"/>
          <c:yMode val="edge"/>
          <c:x val="0.28457797144289065"/>
          <c:y val="0"/>
        </c:manualLayout>
      </c:layou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0.13969335604770036"/>
          <c:y val="0.1813953488372097"/>
          <c:w val="0.52299829642248818"/>
          <c:h val="0.51627906976744109"/>
        </c:manualLayout>
      </c:layout>
      <c:bar3DChart>
        <c:barDir val="col"/>
        <c:grouping val="standard"/>
        <c:ser>
          <c:idx val="1"/>
          <c:order val="0"/>
          <c:tx>
            <c:strRef>
              <c:f>Sheet1!$B$1</c:f>
              <c:strCache>
                <c:ptCount val="1"/>
                <c:pt idx="0">
                  <c:v>Suprafaţa cultivată în agricultura ecologică </c:v>
                </c:pt>
              </c:strCache>
            </c:strRef>
          </c:tx>
          <c:spPr>
            <a:solidFill>
              <a:srgbClr val="993366"/>
            </a:solidFill>
            <a:ln w="1267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85.240000000000023</c:v>
                </c:pt>
                <c:pt idx="1">
                  <c:v>26.330000000000005</c:v>
                </c:pt>
                <c:pt idx="2">
                  <c:v>523.66</c:v>
                </c:pt>
                <c:pt idx="3">
                  <c:v>626.11</c:v>
                </c:pt>
                <c:pt idx="4">
                  <c:v>604.11</c:v>
                </c:pt>
              </c:numCache>
            </c:numRef>
          </c:val>
        </c:ser>
        <c:ser>
          <c:idx val="2"/>
          <c:order val="1"/>
          <c:tx>
            <c:strRef>
              <c:f>Sheet1!$C$1</c:f>
              <c:strCache>
                <c:ptCount val="1"/>
                <c:pt idx="0">
                  <c:v>Suprafaţa cultivată în judeţul Buzău</c:v>
                </c:pt>
              </c:strCache>
            </c:strRef>
          </c:tx>
          <c:spPr>
            <a:solidFill>
              <a:srgbClr val="33CCCC"/>
            </a:solidFill>
            <a:ln w="1267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401822</c:v>
                </c:pt>
                <c:pt idx="1">
                  <c:v>396198</c:v>
                </c:pt>
                <c:pt idx="2">
                  <c:v>394861</c:v>
                </c:pt>
                <c:pt idx="3">
                  <c:v>394706</c:v>
                </c:pt>
                <c:pt idx="4">
                  <c:v>394466</c:v>
                </c:pt>
              </c:numCache>
            </c:numRef>
          </c:val>
        </c:ser>
        <c:shape val="box"/>
        <c:axId val="166732928"/>
        <c:axId val="166734464"/>
        <c:axId val="166605696"/>
      </c:bar3DChart>
      <c:catAx>
        <c:axId val="166732928"/>
        <c:scaling>
          <c:orientation val="minMax"/>
        </c:scaling>
        <c:axPos val="b"/>
        <c:numFmt formatCode="General" sourceLinked="1"/>
        <c:tickLblPos val="low"/>
        <c:crossAx val="166734464"/>
        <c:crosses val="autoZero"/>
        <c:auto val="1"/>
        <c:lblAlgn val="ctr"/>
        <c:lblOffset val="100"/>
      </c:catAx>
      <c:valAx>
        <c:axId val="166734464"/>
        <c:scaling>
          <c:orientation val="minMax"/>
        </c:scaling>
        <c:axPos val="l"/>
        <c:majorGridlines/>
        <c:numFmt formatCode="General" sourceLinked="1"/>
        <c:tickLblPos val="nextTo"/>
        <c:crossAx val="166732928"/>
        <c:crosses val="autoZero"/>
        <c:crossBetween val="between"/>
      </c:valAx>
      <c:serAx>
        <c:axId val="166605696"/>
        <c:scaling>
          <c:orientation val="minMax"/>
        </c:scaling>
        <c:axPos val="b"/>
        <c:numFmt formatCode="General" sourceLinked="1"/>
        <c:tickLblPos val="low"/>
        <c:spPr>
          <a:ln w="3168">
            <a:solidFill>
              <a:srgbClr val="000000"/>
            </a:solidFill>
            <a:prstDash val="solid"/>
          </a:ln>
        </c:spPr>
        <c:txPr>
          <a:bodyPr rot="0" vert="horz"/>
          <a:lstStyle/>
          <a:p>
            <a:pPr>
              <a:defRPr sz="998" b="0" i="0" u="none" strike="noStrike" baseline="0">
                <a:solidFill>
                  <a:srgbClr val="000000"/>
                </a:solidFill>
                <a:latin typeface="Calibri"/>
                <a:ea typeface="Calibri"/>
                <a:cs typeface="Calibri"/>
              </a:defRPr>
            </a:pPr>
            <a:endParaRPr lang="ro-RO"/>
          </a:p>
        </c:txPr>
        <c:crossAx val="166734464"/>
        <c:crosses val="autoZero"/>
        <c:tickLblSkip val="4"/>
        <c:tickMarkSkip val="1"/>
      </c:serAx>
      <c:spPr>
        <a:noFill/>
        <a:ln w="25340">
          <a:noFill/>
        </a:ln>
      </c:spPr>
    </c:plotArea>
    <c:legend>
      <c:legendPos val="b"/>
      <c:layout>
        <c:manualLayout>
          <c:xMode val="edge"/>
          <c:yMode val="edge"/>
          <c:x val="3.9182282793867131E-2"/>
          <c:y val="0.86976744186046506"/>
          <c:w val="0.81601362862010263"/>
          <c:h val="0.11162790697674418"/>
        </c:manualLayout>
      </c:layout>
      <c:spPr>
        <a:solidFill>
          <a:srgbClr val="FFFFFF"/>
        </a:solidFill>
        <a:ln w="3168">
          <a:solidFill>
            <a:srgbClr val="000000"/>
          </a:solidFill>
          <a:prstDash val="solid"/>
        </a:ln>
      </c:spPr>
      <c:txPr>
        <a:bodyPr/>
        <a:lstStyle/>
        <a:p>
          <a:pPr>
            <a:defRPr sz="918" b="0" i="0" u="none" strike="noStrike" baseline="0">
              <a:solidFill>
                <a:srgbClr val="000000"/>
              </a:solidFill>
              <a:latin typeface="Calibri"/>
              <a:ea typeface="Calibri"/>
              <a:cs typeface="Calibri"/>
            </a:defRPr>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997" b="1" i="0" u="none" strike="noStrike" baseline="0">
                <a:solidFill>
                  <a:srgbClr val="000000"/>
                </a:solidFill>
                <a:latin typeface="Arial"/>
                <a:ea typeface="Arial"/>
                <a:cs typeface="Arial"/>
              </a:defRPr>
            </a:pPr>
            <a:r>
              <a:rPr lang="vi-VN"/>
              <a:t>Ponderea suprafeţei destinate agriculturii ecologice în raport cu suprafaţa totală utilizată în agricultură în judeţul Buzău  (%)</a:t>
            </a:r>
          </a:p>
        </c:rich>
      </c:tx>
      <c:layout>
        <c:manualLayout>
          <c:xMode val="edge"/>
          <c:yMode val="edge"/>
          <c:x val="0.28457797144289065"/>
          <c:y val="0"/>
        </c:manualLayout>
      </c:layou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9.272727272727288E-2"/>
          <c:y val="0.19724770642201844"/>
          <c:w val="0.56000000000000005"/>
          <c:h val="0.67431192660550576"/>
        </c:manualLayout>
      </c:layout>
      <c:bar3DChart>
        <c:barDir val="col"/>
        <c:grouping val="standard"/>
        <c:ser>
          <c:idx val="1"/>
          <c:order val="0"/>
          <c:tx>
            <c:strRef>
              <c:f>Sheet1!$B$1</c:f>
              <c:strCache>
                <c:ptCount val="1"/>
                <c:pt idx="0">
                  <c:v>Ponderea suprafaţei cultivate în agricultura ecologică faţă de suprafaţa totală</c:v>
                </c:pt>
              </c:strCache>
            </c:strRef>
          </c:tx>
          <c:spPr>
            <a:solidFill>
              <a:srgbClr val="993366"/>
            </a:solidFill>
            <a:ln w="12666">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2.0000000000000011E-2</c:v>
                </c:pt>
                <c:pt idx="1">
                  <c:v>1.0000000000000005E-2</c:v>
                </c:pt>
                <c:pt idx="2">
                  <c:v>0.13</c:v>
                </c:pt>
                <c:pt idx="3">
                  <c:v>0.16</c:v>
                </c:pt>
                <c:pt idx="4">
                  <c:v>0.15000000000000016</c:v>
                </c:pt>
              </c:numCache>
            </c:numRef>
          </c:val>
        </c:ser>
        <c:shape val="box"/>
        <c:axId val="166879232"/>
        <c:axId val="166880768"/>
        <c:axId val="166607488"/>
      </c:bar3DChart>
      <c:catAx>
        <c:axId val="166879232"/>
        <c:scaling>
          <c:orientation val="minMax"/>
        </c:scaling>
        <c:axPos val="b"/>
        <c:numFmt formatCode="General" sourceLinked="1"/>
        <c:tickLblPos val="low"/>
        <c:crossAx val="166880768"/>
        <c:crosses val="autoZero"/>
        <c:auto val="1"/>
        <c:lblAlgn val="ctr"/>
        <c:lblOffset val="100"/>
      </c:catAx>
      <c:valAx>
        <c:axId val="166880768"/>
        <c:scaling>
          <c:orientation val="minMax"/>
        </c:scaling>
        <c:axPos val="l"/>
        <c:majorGridlines/>
        <c:title>
          <c:tx>
            <c:rich>
              <a:bodyPr rot="0" vert="horz"/>
              <a:lstStyle/>
              <a:p>
                <a:pPr algn="ctr">
                  <a:defRPr sz="997" b="1" i="0" u="none" strike="noStrike" baseline="0">
                    <a:solidFill>
                      <a:srgbClr val="000000"/>
                    </a:solidFill>
                    <a:latin typeface="Calibri"/>
                    <a:ea typeface="Calibri"/>
                    <a:cs typeface="Calibri"/>
                  </a:defRPr>
                </a:pPr>
                <a:r>
                  <a:rPr lang="ro-RO"/>
                  <a:t>%</a:t>
                </a:r>
              </a:p>
            </c:rich>
          </c:tx>
          <c:layout>
            <c:manualLayout>
              <c:xMode val="edge"/>
              <c:yMode val="edge"/>
              <c:x val="0.1"/>
              <c:y val="0.44954128440366975"/>
            </c:manualLayout>
          </c:layout>
          <c:spPr>
            <a:noFill/>
            <a:ln w="25331">
              <a:noFill/>
            </a:ln>
          </c:spPr>
        </c:title>
        <c:numFmt formatCode="General" sourceLinked="1"/>
        <c:tickLblPos val="nextTo"/>
        <c:crossAx val="166879232"/>
        <c:crosses val="autoZero"/>
        <c:crossBetween val="between"/>
      </c:valAx>
      <c:serAx>
        <c:axId val="166607488"/>
        <c:scaling>
          <c:orientation val="minMax"/>
        </c:scaling>
        <c:axPos val="b"/>
        <c:numFmt formatCode="General" sourceLinked="1"/>
        <c:tickLblPos val="low"/>
        <c:spPr>
          <a:ln w="3166">
            <a:solidFill>
              <a:srgbClr val="000000"/>
            </a:solidFill>
            <a:prstDash val="solid"/>
          </a:ln>
        </c:spPr>
        <c:txPr>
          <a:bodyPr rot="0" vert="horz"/>
          <a:lstStyle/>
          <a:p>
            <a:pPr>
              <a:defRPr sz="997" b="0" i="0" u="none" strike="noStrike" baseline="0">
                <a:solidFill>
                  <a:srgbClr val="000000"/>
                </a:solidFill>
                <a:latin typeface="Calibri"/>
                <a:ea typeface="Calibri"/>
                <a:cs typeface="Calibri"/>
              </a:defRPr>
            </a:pPr>
            <a:endParaRPr lang="ro-RO"/>
          </a:p>
        </c:txPr>
        <c:crossAx val="166880768"/>
        <c:crosses val="autoZero"/>
        <c:tickLblSkip val="4"/>
        <c:tickMarkSkip val="1"/>
      </c:serAx>
      <c:spPr>
        <a:noFill/>
        <a:ln w="25331">
          <a:noFill/>
        </a:ln>
      </c:spPr>
    </c:plotArea>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54" b="1" i="0" u="none" strike="noStrike" baseline="0">
                <a:solidFill>
                  <a:srgbClr val="000000"/>
                </a:solidFill>
                <a:latin typeface="Arial"/>
                <a:ea typeface="Arial"/>
                <a:cs typeface="Arial"/>
              </a:defRPr>
            </a:pPr>
            <a:r>
              <a:rPr lang="vi-VN" sz="1054" b="1" i="0" u="none" strike="noStrike" baseline="0">
                <a:solidFill>
                  <a:srgbClr val="000000"/>
                </a:solidFill>
                <a:latin typeface="Arial"/>
                <a:cs typeface="Arial"/>
              </a:rPr>
              <a:t>Repartiția terenurilor agricole pe </a:t>
            </a:r>
            <a:r>
              <a:rPr lang="vi-VN" sz="1054" b="1" i="0" u="none" strike="noStrike" baseline="0">
                <a:solidFill>
                  <a:srgbClr val="000000"/>
                </a:solidFill>
              </a:rPr>
              <a:t>categorii</a:t>
            </a:r>
            <a:r>
              <a:rPr lang="vi-VN" sz="1054" b="1" i="0" u="none" strike="noStrike" baseline="0">
                <a:solidFill>
                  <a:srgbClr val="000000"/>
                </a:solidFill>
                <a:latin typeface="Arial"/>
                <a:cs typeface="Arial"/>
              </a:rPr>
              <a:t> de folosință  2014</a:t>
            </a:r>
          </a:p>
        </c:rich>
      </c:tx>
      <c:layout>
        <c:manualLayout>
          <c:xMode val="edge"/>
          <c:yMode val="edge"/>
          <c:x val="0"/>
          <c:y val="0"/>
        </c:manualLayout>
      </c:layout>
      <c:spPr>
        <a:noFill/>
        <a:ln w="22301">
          <a:noFill/>
        </a:ln>
      </c:spPr>
    </c:title>
    <c:view3D>
      <c:rotX val="30"/>
      <c:perspective val="30"/>
    </c:view3D>
    <c:plotArea>
      <c:layout>
        <c:manualLayout>
          <c:layoutTarget val="inner"/>
          <c:xMode val="edge"/>
          <c:yMode val="edge"/>
          <c:x val="0.23374340949033429"/>
          <c:y val="0.16975308641975309"/>
          <c:w val="0.56063268892794282"/>
          <c:h val="0.61728395061728392"/>
        </c:manualLayout>
      </c:layout>
      <c:pie3DChart>
        <c:varyColors val="1"/>
        <c:ser>
          <c:idx val="0"/>
          <c:order val="0"/>
          <c:tx>
            <c:strRef>
              <c:f>Sheet1!$B$1</c:f>
              <c:strCache>
                <c:ptCount val="1"/>
                <c:pt idx="0">
                  <c:v>Repartiția terenurilor agricole pe tipuri de folosință</c:v>
                </c:pt>
              </c:strCache>
            </c:strRef>
          </c:tx>
          <c:explosion val="25"/>
          <c:dPt>
            <c:idx val="0"/>
            <c:explosion val="0"/>
          </c:dPt>
          <c:dPt>
            <c:idx val="1"/>
            <c:explosion val="15"/>
          </c:dPt>
          <c:dLbls>
            <c:dLbl>
              <c:idx val="0"/>
              <c:layout>
                <c:manualLayout>
                  <c:x val="-4.2019903762029763E-2"/>
                  <c:y val="7.6193288338957735E-2"/>
                </c:manualLayout>
              </c:layout>
              <c:tx>
                <c:rich>
                  <a:bodyPr/>
                  <a:lstStyle/>
                  <a:p>
                    <a:pPr>
                      <a:defRPr sz="878" b="0" i="0" u="none" strike="noStrike" baseline="0">
                        <a:solidFill>
                          <a:srgbClr val="000000"/>
                        </a:solidFill>
                        <a:latin typeface="Calibri"/>
                        <a:ea typeface="Calibri"/>
                        <a:cs typeface="Calibri"/>
                      </a:defRPr>
                    </a:pPr>
                    <a:r>
                      <a:rPr lang="ro-RO"/>
                      <a:t>64,49%</a:t>
                    </a:r>
                  </a:p>
                </c:rich>
              </c:tx>
              <c:spPr>
                <a:noFill/>
                <a:ln w="22301">
                  <a:noFill/>
                </a:ln>
              </c:spPr>
              <c:dLblPos val="bestFit"/>
            </c:dLbl>
            <c:dLbl>
              <c:idx val="1"/>
              <c:layout>
                <c:manualLayout>
                  <c:x val="8.7673155438903489E-3"/>
                  <c:y val="-8.743813273340828E-2"/>
                </c:manualLayout>
              </c:layout>
              <c:tx>
                <c:rich>
                  <a:bodyPr/>
                  <a:lstStyle/>
                  <a:p>
                    <a:pPr>
                      <a:defRPr sz="878" b="0" i="0" u="none" strike="noStrike" baseline="0">
                        <a:solidFill>
                          <a:srgbClr val="000000"/>
                        </a:solidFill>
                        <a:latin typeface="Calibri"/>
                        <a:ea typeface="Calibri"/>
                        <a:cs typeface="Calibri"/>
                      </a:defRPr>
                    </a:pPr>
                    <a:r>
                      <a:rPr lang="ro-RO"/>
                      <a:t>22,19%</a:t>
                    </a:r>
                  </a:p>
                </c:rich>
              </c:tx>
              <c:spPr>
                <a:noFill/>
                <a:ln w="22301">
                  <a:noFill/>
                </a:ln>
              </c:spPr>
              <c:dLblPos val="bestFit"/>
            </c:dLbl>
            <c:dLbl>
              <c:idx val="2"/>
              <c:layout>
                <c:manualLayout>
                  <c:x val="-2.2445592738407811E-2"/>
                  <c:y val="-3.2719347581552601E-2"/>
                </c:manualLayout>
              </c:layout>
              <c:tx>
                <c:rich>
                  <a:bodyPr/>
                  <a:lstStyle/>
                  <a:p>
                    <a:pPr>
                      <a:defRPr sz="878" b="0" i="0" u="none" strike="noStrike" baseline="0">
                        <a:solidFill>
                          <a:srgbClr val="000000"/>
                        </a:solidFill>
                        <a:latin typeface="Calibri"/>
                        <a:ea typeface="Calibri"/>
                        <a:cs typeface="Calibri"/>
                      </a:defRPr>
                    </a:pPr>
                    <a:r>
                      <a:rPr lang="ro-RO"/>
                      <a:t>7,33%</a:t>
                    </a:r>
                  </a:p>
                </c:rich>
              </c:tx>
              <c:spPr>
                <a:noFill/>
                <a:ln w="22301">
                  <a:noFill/>
                </a:ln>
              </c:spPr>
              <c:dLblPos val="bestFit"/>
            </c:dLbl>
            <c:dLbl>
              <c:idx val="3"/>
              <c:layout>
                <c:manualLayout>
                  <c:x val="-4.7951297754447687E-3"/>
                  <c:y val="-2.3230846144231976E-2"/>
                </c:manualLayout>
              </c:layout>
              <c:tx>
                <c:rich>
                  <a:bodyPr/>
                  <a:lstStyle/>
                  <a:p>
                    <a:pPr>
                      <a:defRPr sz="878" b="0" i="0" u="none" strike="noStrike" baseline="0">
                        <a:solidFill>
                          <a:srgbClr val="000000"/>
                        </a:solidFill>
                        <a:latin typeface="Calibri"/>
                        <a:ea typeface="Calibri"/>
                        <a:cs typeface="Calibri"/>
                      </a:defRPr>
                    </a:pPr>
                    <a:r>
                      <a:rPr lang="ro-RO"/>
                      <a:t>3,44%</a:t>
                    </a:r>
                  </a:p>
                </c:rich>
              </c:tx>
              <c:spPr>
                <a:noFill/>
                <a:ln w="22301">
                  <a:noFill/>
                </a:ln>
              </c:spPr>
              <c:dLblPos val="bestFit"/>
            </c:dLbl>
            <c:dLbl>
              <c:idx val="4"/>
              <c:layout>
                <c:manualLayout>
                  <c:x val="1.7390365266841675E-2"/>
                  <c:y val="-2.7866204224472012E-2"/>
                </c:manualLayout>
              </c:layout>
              <c:tx>
                <c:rich>
                  <a:bodyPr/>
                  <a:lstStyle/>
                  <a:p>
                    <a:pPr>
                      <a:defRPr sz="878" b="0" i="0" u="none" strike="noStrike" baseline="0">
                        <a:solidFill>
                          <a:srgbClr val="000000"/>
                        </a:solidFill>
                        <a:latin typeface="Calibri"/>
                        <a:ea typeface="Calibri"/>
                        <a:cs typeface="Calibri"/>
                      </a:defRPr>
                    </a:pPr>
                    <a:r>
                      <a:rPr lang="ro-RO"/>
                      <a:t>2,55%</a:t>
                    </a:r>
                  </a:p>
                </c:rich>
              </c:tx>
              <c:spPr>
                <a:noFill/>
                <a:ln w="22301">
                  <a:noFill/>
                </a:ln>
              </c:spPr>
              <c:dLblPos val="bestFit"/>
            </c:dLbl>
            <c:delete val="1"/>
          </c:dLbls>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64.489999999999995</c:v>
                </c:pt>
                <c:pt idx="1">
                  <c:v>22.55</c:v>
                </c:pt>
                <c:pt idx="2">
                  <c:v>7.33</c:v>
                </c:pt>
                <c:pt idx="3">
                  <c:v>3.44</c:v>
                </c:pt>
                <c:pt idx="4">
                  <c:v>2.19</c:v>
                </c:pt>
              </c:numCache>
            </c:numRef>
          </c:val>
        </c:ser>
        <c:ser>
          <c:idx val="1"/>
          <c:order val="1"/>
          <c:tx>
            <c:strRef>
              <c:f>Sheet1!$C$1</c:f>
              <c:strCache>
                <c:ptCount val="1"/>
                <c:pt idx="0">
                  <c:v>%</c:v>
                </c:pt>
              </c:strCache>
            </c:strRef>
          </c:tx>
          <c:explosion val="25"/>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64.489999999999995</c:v>
                </c:pt>
                <c:pt idx="1">
                  <c:v>22.55</c:v>
                </c:pt>
                <c:pt idx="2">
                  <c:v>7.33</c:v>
                </c:pt>
                <c:pt idx="3">
                  <c:v>3.44</c:v>
                </c:pt>
                <c:pt idx="4">
                  <c:v>2.19</c:v>
                </c:pt>
              </c:numCache>
            </c:numRef>
          </c:val>
        </c:ser>
      </c:pie3DChart>
      <c:spPr>
        <a:noFill/>
        <a:ln w="22301">
          <a:noFill/>
        </a:ln>
      </c:spPr>
    </c:plotArea>
    <c:legend>
      <c:legendPos val="r"/>
      <c:layout>
        <c:manualLayout>
          <c:xMode val="edge"/>
          <c:yMode val="edge"/>
          <c:x val="2.4604569420035152E-2"/>
          <c:y val="0.78395061728395132"/>
          <c:w val="0.96485061511423564"/>
          <c:h val="0.17592592592592593"/>
        </c:manualLayout>
      </c:layout>
      <c:spPr>
        <a:noFill/>
      </c:spPr>
    </c:legend>
    <c:plotVisOnly val="1"/>
    <c:dispBlanksAs val="zero"/>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998" b="1" i="0" u="none" strike="noStrike" baseline="0">
                <a:solidFill>
                  <a:srgbClr val="000000"/>
                </a:solidFill>
                <a:latin typeface="Arial"/>
                <a:ea typeface="Arial"/>
                <a:cs typeface="Arial"/>
              </a:defRPr>
            </a:pPr>
            <a:r>
              <a:rPr lang="ro-RO"/>
              <a:t>Repartiţia terenurilor agricole pe categorii de folosinţe</a:t>
            </a:r>
          </a:p>
        </c:rich>
      </c:tx>
      <c:overlay val="1"/>
      <c:spPr>
        <a:noFill/>
        <a:ln w="25360">
          <a:noFill/>
        </a:ln>
      </c:spPr>
    </c:title>
    <c:plotArea>
      <c:layout>
        <c:manualLayout>
          <c:layoutTarget val="inner"/>
          <c:xMode val="edge"/>
          <c:yMode val="edge"/>
          <c:x val="9.7637795275590564E-2"/>
          <c:y val="7.5757575757575774E-2"/>
          <c:w val="0.78897637795275521"/>
          <c:h val="0.75757575757575835"/>
        </c:manualLayout>
      </c:layout>
      <c:barChart>
        <c:barDir val="col"/>
        <c:grouping val="clustered"/>
        <c:ser>
          <c:idx val="0"/>
          <c:order val="0"/>
          <c:tx>
            <c:strRef>
              <c:f>Sheet1!$B$1</c:f>
              <c:strCache>
                <c:ptCount val="1"/>
                <c:pt idx="0">
                  <c:v>2005</c:v>
                </c:pt>
              </c:strCache>
            </c:strRef>
          </c:tx>
          <c:cat>
            <c:strRef>
              <c:f>Sheet1!$A$2:$A$6</c:f>
              <c:strCache>
                <c:ptCount val="5"/>
                <c:pt idx="0">
                  <c:v>Arabil</c:v>
                </c:pt>
                <c:pt idx="1">
                  <c:v>Păşuni</c:v>
                </c:pt>
                <c:pt idx="2">
                  <c:v>Fâneţe şi pajişti </c:v>
                </c:pt>
                <c:pt idx="3">
                  <c:v>Vii</c:v>
                </c:pt>
                <c:pt idx="4">
                  <c:v>Livezi</c:v>
                </c:pt>
              </c:strCache>
            </c:strRef>
          </c:cat>
          <c:val>
            <c:numRef>
              <c:f>Sheet1!$B$2:$B$6</c:f>
              <c:numCache>
                <c:formatCode>General</c:formatCode>
                <c:ptCount val="5"/>
                <c:pt idx="0">
                  <c:v>257673</c:v>
                </c:pt>
                <c:pt idx="1">
                  <c:v>89235</c:v>
                </c:pt>
                <c:pt idx="2">
                  <c:v>29269</c:v>
                </c:pt>
                <c:pt idx="3">
                  <c:v>15247</c:v>
                </c:pt>
                <c:pt idx="4">
                  <c:v>10716</c:v>
                </c:pt>
              </c:numCache>
            </c:numRef>
          </c:val>
        </c:ser>
        <c:ser>
          <c:idx val="1"/>
          <c:order val="1"/>
          <c:tx>
            <c:strRef>
              <c:f>Sheet1!$C$1</c:f>
              <c:strCache>
                <c:ptCount val="1"/>
                <c:pt idx="0">
                  <c:v>2006</c:v>
                </c:pt>
              </c:strCache>
            </c:strRef>
          </c:tx>
          <c:cat>
            <c:strRef>
              <c:f>Sheet1!$A$2:$A$6</c:f>
              <c:strCache>
                <c:ptCount val="5"/>
                <c:pt idx="0">
                  <c:v>Arabil</c:v>
                </c:pt>
                <c:pt idx="1">
                  <c:v>Păşuni</c:v>
                </c:pt>
                <c:pt idx="2">
                  <c:v>Fâneţe şi pajişti </c:v>
                </c:pt>
                <c:pt idx="3">
                  <c:v>Vii</c:v>
                </c:pt>
                <c:pt idx="4">
                  <c:v>Livezi</c:v>
                </c:pt>
              </c:strCache>
            </c:strRef>
          </c:cat>
          <c:val>
            <c:numRef>
              <c:f>Sheet1!$C$2:$C$6</c:f>
              <c:numCache>
                <c:formatCode>General</c:formatCode>
                <c:ptCount val="5"/>
                <c:pt idx="0">
                  <c:v>257698</c:v>
                </c:pt>
                <c:pt idx="1">
                  <c:v>89179</c:v>
                </c:pt>
                <c:pt idx="2">
                  <c:v>28564</c:v>
                </c:pt>
                <c:pt idx="3">
                  <c:v>15713</c:v>
                </c:pt>
                <c:pt idx="4">
                  <c:v>10968</c:v>
                </c:pt>
              </c:numCache>
            </c:numRef>
          </c:val>
        </c:ser>
        <c:ser>
          <c:idx val="2"/>
          <c:order val="2"/>
          <c:tx>
            <c:strRef>
              <c:f>Sheet1!$D$1</c:f>
              <c:strCache>
                <c:ptCount val="1"/>
                <c:pt idx="0">
                  <c:v>2007</c:v>
                </c:pt>
              </c:strCache>
            </c:strRef>
          </c:tx>
          <c:cat>
            <c:strRef>
              <c:f>Sheet1!$A$2:$A$6</c:f>
              <c:strCache>
                <c:ptCount val="5"/>
                <c:pt idx="0">
                  <c:v>Arabil</c:v>
                </c:pt>
                <c:pt idx="1">
                  <c:v>Păşuni</c:v>
                </c:pt>
                <c:pt idx="2">
                  <c:v>Fâneţe şi pajişti </c:v>
                </c:pt>
                <c:pt idx="3">
                  <c:v>Vii</c:v>
                </c:pt>
                <c:pt idx="4">
                  <c:v>Livezi</c:v>
                </c:pt>
              </c:strCache>
            </c:strRef>
          </c:cat>
          <c:val>
            <c:numRef>
              <c:f>Sheet1!$D$2:$D$6</c:f>
              <c:numCache>
                <c:formatCode>General</c:formatCode>
                <c:ptCount val="5"/>
                <c:pt idx="0">
                  <c:v>257740</c:v>
                </c:pt>
                <c:pt idx="1">
                  <c:v>89172</c:v>
                </c:pt>
                <c:pt idx="2">
                  <c:v>28735</c:v>
                </c:pt>
                <c:pt idx="3">
                  <c:v>15444</c:v>
                </c:pt>
                <c:pt idx="4">
                  <c:v>10978</c:v>
                </c:pt>
              </c:numCache>
            </c:numRef>
          </c:val>
        </c:ser>
        <c:ser>
          <c:idx val="3"/>
          <c:order val="3"/>
          <c:tx>
            <c:strRef>
              <c:f>Sheet1!$E$1</c:f>
              <c:strCache>
                <c:ptCount val="1"/>
                <c:pt idx="0">
                  <c:v>2008</c:v>
                </c:pt>
              </c:strCache>
            </c:strRef>
          </c:tx>
          <c:cat>
            <c:strRef>
              <c:f>Sheet1!$A$2:$A$6</c:f>
              <c:strCache>
                <c:ptCount val="5"/>
                <c:pt idx="0">
                  <c:v>Arabil</c:v>
                </c:pt>
                <c:pt idx="1">
                  <c:v>Păşuni</c:v>
                </c:pt>
                <c:pt idx="2">
                  <c:v>Fâneţe şi pajişti </c:v>
                </c:pt>
                <c:pt idx="3">
                  <c:v>Vii</c:v>
                </c:pt>
                <c:pt idx="4">
                  <c:v>Livezi</c:v>
                </c:pt>
              </c:strCache>
            </c:strRef>
          </c:cat>
          <c:val>
            <c:numRef>
              <c:f>Sheet1!$E$2:$E$6</c:f>
              <c:numCache>
                <c:formatCode>General</c:formatCode>
                <c:ptCount val="5"/>
                <c:pt idx="0">
                  <c:v>257749</c:v>
                </c:pt>
                <c:pt idx="1">
                  <c:v>89161</c:v>
                </c:pt>
                <c:pt idx="2">
                  <c:v>28746</c:v>
                </c:pt>
                <c:pt idx="3">
                  <c:v>15435</c:v>
                </c:pt>
                <c:pt idx="4">
                  <c:v>10978</c:v>
                </c:pt>
              </c:numCache>
            </c:numRef>
          </c:val>
        </c:ser>
        <c:ser>
          <c:idx val="4"/>
          <c:order val="4"/>
          <c:tx>
            <c:strRef>
              <c:f>Sheet1!$F$1</c:f>
              <c:strCache>
                <c:ptCount val="1"/>
                <c:pt idx="0">
                  <c:v>2009</c:v>
                </c:pt>
              </c:strCache>
            </c:strRef>
          </c:tx>
          <c:cat>
            <c:strRef>
              <c:f>Sheet1!$A$2:$A$6</c:f>
              <c:strCache>
                <c:ptCount val="5"/>
                <c:pt idx="0">
                  <c:v>Arabil</c:v>
                </c:pt>
                <c:pt idx="1">
                  <c:v>Păşuni</c:v>
                </c:pt>
                <c:pt idx="2">
                  <c:v>Fâneţe şi pajişti </c:v>
                </c:pt>
                <c:pt idx="3">
                  <c:v>Vii</c:v>
                </c:pt>
                <c:pt idx="4">
                  <c:v>Livezi</c:v>
                </c:pt>
              </c:strCache>
            </c:strRef>
          </c:cat>
          <c:val>
            <c:numRef>
              <c:f>Sheet1!$F$2:$F$6</c:f>
              <c:numCache>
                <c:formatCode>General</c:formatCode>
                <c:ptCount val="5"/>
                <c:pt idx="0">
                  <c:v>258671</c:v>
                </c:pt>
                <c:pt idx="1">
                  <c:v>89045</c:v>
                </c:pt>
                <c:pt idx="2">
                  <c:v>28746</c:v>
                </c:pt>
                <c:pt idx="3">
                  <c:v>14670</c:v>
                </c:pt>
                <c:pt idx="4">
                  <c:v>10880</c:v>
                </c:pt>
              </c:numCache>
            </c:numRef>
          </c:val>
        </c:ser>
        <c:ser>
          <c:idx val="5"/>
          <c:order val="5"/>
          <c:tx>
            <c:strRef>
              <c:f>Sheet1!$G$1</c:f>
              <c:strCache>
                <c:ptCount val="1"/>
                <c:pt idx="0">
                  <c:v>2010</c:v>
                </c:pt>
              </c:strCache>
            </c:strRef>
          </c:tx>
          <c:cat>
            <c:strRef>
              <c:f>Sheet1!$A$2:$A$6</c:f>
              <c:strCache>
                <c:ptCount val="5"/>
                <c:pt idx="0">
                  <c:v>Arabil</c:v>
                </c:pt>
                <c:pt idx="1">
                  <c:v>Păşuni</c:v>
                </c:pt>
                <c:pt idx="2">
                  <c:v>Fâneţe şi pajişti </c:v>
                </c:pt>
                <c:pt idx="3">
                  <c:v>Vii</c:v>
                </c:pt>
                <c:pt idx="4">
                  <c:v>Livezi</c:v>
                </c:pt>
              </c:strCache>
            </c:strRef>
          </c:cat>
          <c:val>
            <c:numRef>
              <c:f>Sheet1!$G$2:$G$6</c:f>
              <c:numCache>
                <c:formatCode>General</c:formatCode>
                <c:ptCount val="5"/>
                <c:pt idx="0">
                  <c:v>258671</c:v>
                </c:pt>
                <c:pt idx="1">
                  <c:v>89045</c:v>
                </c:pt>
                <c:pt idx="2">
                  <c:v>28746</c:v>
                </c:pt>
                <c:pt idx="3">
                  <c:v>14595</c:v>
                </c:pt>
                <c:pt idx="4">
                  <c:v>10838</c:v>
                </c:pt>
              </c:numCache>
            </c:numRef>
          </c:val>
        </c:ser>
        <c:ser>
          <c:idx val="6"/>
          <c:order val="6"/>
          <c:tx>
            <c:strRef>
              <c:f>Sheet1!$H$1</c:f>
              <c:strCache>
                <c:ptCount val="1"/>
                <c:pt idx="0">
                  <c:v>2011</c:v>
                </c:pt>
              </c:strCache>
            </c:strRef>
          </c:tx>
          <c:cat>
            <c:strRef>
              <c:f>Sheet1!$A$2:$A$6</c:f>
              <c:strCache>
                <c:ptCount val="5"/>
                <c:pt idx="0">
                  <c:v>Arabil</c:v>
                </c:pt>
                <c:pt idx="1">
                  <c:v>Păşuni</c:v>
                </c:pt>
                <c:pt idx="2">
                  <c:v>Fâneţe şi pajişti </c:v>
                </c:pt>
                <c:pt idx="3">
                  <c:v>Vii</c:v>
                </c:pt>
                <c:pt idx="4">
                  <c:v>Livezi</c:v>
                </c:pt>
              </c:strCache>
            </c:strRef>
          </c:cat>
          <c:val>
            <c:numRef>
              <c:f>Sheet1!$H$2:$H$6</c:f>
              <c:numCache>
                <c:formatCode>General</c:formatCode>
                <c:ptCount val="5"/>
                <c:pt idx="0">
                  <c:v>257554</c:v>
                </c:pt>
                <c:pt idx="1">
                  <c:v>89044</c:v>
                </c:pt>
                <c:pt idx="2">
                  <c:v>28746</c:v>
                </c:pt>
                <c:pt idx="3">
                  <c:v>13649</c:v>
                </c:pt>
                <c:pt idx="4" formatCode="#,##0">
                  <c:v>8129</c:v>
                </c:pt>
              </c:numCache>
            </c:numRef>
          </c:val>
        </c:ser>
        <c:ser>
          <c:idx val="7"/>
          <c:order val="7"/>
          <c:tx>
            <c:strRef>
              <c:f>Sheet1!$I$1</c:f>
              <c:strCache>
                <c:ptCount val="1"/>
                <c:pt idx="0">
                  <c:v>2012</c:v>
                </c:pt>
              </c:strCache>
            </c:strRef>
          </c:tx>
          <c:cat>
            <c:strRef>
              <c:f>Sheet1!$A$2:$A$6</c:f>
              <c:strCache>
                <c:ptCount val="5"/>
                <c:pt idx="0">
                  <c:v>Arabil</c:v>
                </c:pt>
                <c:pt idx="1">
                  <c:v>Păşuni</c:v>
                </c:pt>
                <c:pt idx="2">
                  <c:v>Fâneţe şi pajişti </c:v>
                </c:pt>
                <c:pt idx="3">
                  <c:v>Vii</c:v>
                </c:pt>
                <c:pt idx="4">
                  <c:v>Livezi</c:v>
                </c:pt>
              </c:strCache>
            </c:strRef>
          </c:cat>
          <c:val>
            <c:numRef>
              <c:f>Sheet1!$I$2:$I$6</c:f>
              <c:numCache>
                <c:formatCode>General</c:formatCode>
                <c:ptCount val="5"/>
                <c:pt idx="0">
                  <c:v>258671</c:v>
                </c:pt>
                <c:pt idx="1">
                  <c:v>89045</c:v>
                </c:pt>
                <c:pt idx="2">
                  <c:v>28746</c:v>
                </c:pt>
                <c:pt idx="3">
                  <c:v>13649</c:v>
                </c:pt>
                <c:pt idx="4">
                  <c:v>8700</c:v>
                </c:pt>
              </c:numCache>
            </c:numRef>
          </c:val>
        </c:ser>
        <c:ser>
          <c:idx val="8"/>
          <c:order val="8"/>
          <c:tx>
            <c:strRef>
              <c:f>Sheet1!$J$1</c:f>
              <c:strCache>
                <c:ptCount val="1"/>
                <c:pt idx="0">
                  <c:v>2013</c:v>
                </c:pt>
              </c:strCache>
            </c:strRef>
          </c:tx>
          <c:cat>
            <c:strRef>
              <c:f>Sheet1!$A$2:$A$6</c:f>
              <c:strCache>
                <c:ptCount val="5"/>
                <c:pt idx="0">
                  <c:v>Arabil</c:v>
                </c:pt>
                <c:pt idx="1">
                  <c:v>Păşuni</c:v>
                </c:pt>
                <c:pt idx="2">
                  <c:v>Fâneţe şi pajişti </c:v>
                </c:pt>
                <c:pt idx="3">
                  <c:v>Vii</c:v>
                </c:pt>
                <c:pt idx="4">
                  <c:v>Livezi</c:v>
                </c:pt>
              </c:strCache>
            </c:strRef>
          </c:cat>
          <c:val>
            <c:numRef>
              <c:f>Sheet1!$J$2:$J$6</c:f>
              <c:numCache>
                <c:formatCode>General</c:formatCode>
                <c:ptCount val="5"/>
                <c:pt idx="0">
                  <c:v>256326</c:v>
                </c:pt>
                <c:pt idx="1">
                  <c:v>89045</c:v>
                </c:pt>
                <c:pt idx="2">
                  <c:v>28746</c:v>
                </c:pt>
                <c:pt idx="3">
                  <c:v>13649</c:v>
                </c:pt>
                <c:pt idx="4">
                  <c:v>8700</c:v>
                </c:pt>
              </c:numCache>
            </c:numRef>
          </c:val>
        </c:ser>
        <c:ser>
          <c:idx val="9"/>
          <c:order val="9"/>
          <c:tx>
            <c:strRef>
              <c:f>Sheet1!$K$1</c:f>
              <c:strCache>
                <c:ptCount val="1"/>
                <c:pt idx="0">
                  <c:v>2014</c:v>
                </c:pt>
              </c:strCache>
            </c:strRef>
          </c:tx>
          <c:spPr>
            <a:solidFill>
              <a:srgbClr val="FF00FF"/>
            </a:solidFill>
            <a:ln w="12680">
              <a:solidFill>
                <a:srgbClr val="000000"/>
              </a:solidFill>
              <a:prstDash val="solid"/>
            </a:ln>
          </c:spPr>
          <c:cat>
            <c:strRef>
              <c:f>Sheet1!$A$2:$A$6</c:f>
              <c:strCache>
                <c:ptCount val="5"/>
                <c:pt idx="0">
                  <c:v>Arabil</c:v>
                </c:pt>
                <c:pt idx="1">
                  <c:v>Păşuni</c:v>
                </c:pt>
                <c:pt idx="2">
                  <c:v>Fâneţe şi pajişti </c:v>
                </c:pt>
                <c:pt idx="3">
                  <c:v>Vii</c:v>
                </c:pt>
                <c:pt idx="4">
                  <c:v>Livezi</c:v>
                </c:pt>
              </c:strCache>
            </c:strRef>
          </c:cat>
          <c:val>
            <c:numRef>
              <c:f>Sheet1!$K$2:$K$6</c:f>
              <c:numCache>
                <c:formatCode>General</c:formatCode>
                <c:ptCount val="5"/>
                <c:pt idx="0">
                  <c:v>256067</c:v>
                </c:pt>
                <c:pt idx="1">
                  <c:v>89525</c:v>
                </c:pt>
                <c:pt idx="2">
                  <c:v>29121</c:v>
                </c:pt>
                <c:pt idx="3">
                  <c:v>13649</c:v>
                </c:pt>
                <c:pt idx="4">
                  <c:v>8692</c:v>
                </c:pt>
              </c:numCache>
            </c:numRef>
          </c:val>
        </c:ser>
        <c:axId val="167175296"/>
        <c:axId val="167176832"/>
      </c:barChart>
      <c:catAx>
        <c:axId val="167175296"/>
        <c:scaling>
          <c:orientation val="minMax"/>
        </c:scaling>
        <c:axPos val="b"/>
        <c:numFmt formatCode="General" sourceLinked="1"/>
        <c:tickLblPos val="nextTo"/>
        <c:crossAx val="167176832"/>
        <c:crosses val="autoZero"/>
        <c:auto val="1"/>
        <c:lblAlgn val="ctr"/>
        <c:lblOffset val="100"/>
      </c:catAx>
      <c:valAx>
        <c:axId val="167176832"/>
        <c:scaling>
          <c:orientation val="minMax"/>
        </c:scaling>
        <c:axPos val="l"/>
        <c:majorGridlines/>
        <c:numFmt formatCode="General" sourceLinked="1"/>
        <c:tickLblPos val="nextTo"/>
        <c:crossAx val="167175296"/>
        <c:crosses val="autoZero"/>
        <c:crossBetween val="between"/>
      </c:valAx>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a:ln>
          <a:solidFill>
            <a:schemeClr val="accent6">
              <a:lumMod val="50000"/>
            </a:schemeClr>
          </a:solidFill>
        </a:ln>
      </c:spPr>
    </c:plotArea>
    <c:legend>
      <c:legendPos val="r"/>
    </c:legend>
    <c:plotVisOnly val="1"/>
    <c:dispBlanksAs val="gap"/>
  </c:chart>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343" b="1" i="0" u="none" strike="noStrike" baseline="0">
                <a:solidFill>
                  <a:srgbClr val="000000"/>
                </a:solidFill>
                <a:latin typeface="Calibri"/>
                <a:ea typeface="Calibri"/>
                <a:cs typeface="Calibri"/>
              </a:defRPr>
            </a:pPr>
            <a:r>
              <a:rPr lang="vi-VN"/>
              <a:t>Repartiția terenurilor pe categorii de folosință  2013 (%)</a:t>
            </a:r>
          </a:p>
        </c:rich>
      </c:tx>
      <c:layout>
        <c:manualLayout>
          <c:xMode val="edge"/>
          <c:yMode val="edge"/>
          <c:x val="0.15009041591320071"/>
          <c:y val="2.0066889632107E-2"/>
        </c:manualLayout>
      </c:layout>
      <c:spPr>
        <a:noFill/>
        <a:ln w="28422">
          <a:noFill/>
        </a:ln>
      </c:spPr>
    </c:title>
    <c:view3D>
      <c:rotX val="30"/>
      <c:perspective val="30"/>
    </c:view3D>
    <c:plotArea>
      <c:layout>
        <c:manualLayout>
          <c:layoutTarget val="inner"/>
          <c:xMode val="edge"/>
          <c:yMode val="edge"/>
          <c:x val="0.23688969258589537"/>
          <c:y val="0.18394648829431476"/>
          <c:w val="0.40687160940325534"/>
          <c:h val="0.47157190635451546"/>
        </c:manualLayout>
      </c:layout>
      <c:pie3DChart>
        <c:varyColors val="1"/>
        <c:ser>
          <c:idx val="1"/>
          <c:order val="0"/>
          <c:tx>
            <c:strRef>
              <c:f>Sheet1!$C$1</c:f>
              <c:strCache>
                <c:ptCount val="1"/>
                <c:pt idx="0">
                  <c:v>%</c:v>
                </c:pt>
              </c:strCache>
            </c:strRef>
          </c:tx>
          <c:spPr>
            <a:solidFill>
              <a:srgbClr val="993366"/>
            </a:solidFill>
            <a:ln w="14211">
              <a:solidFill>
                <a:srgbClr val="000000"/>
              </a:solidFill>
              <a:prstDash val="solid"/>
            </a:ln>
          </c:spPr>
          <c:explosion val="25"/>
          <c:dPt>
            <c:idx val="0"/>
            <c:spPr/>
          </c:dPt>
          <c:dPt>
            <c:idx val="1"/>
            <c:spPr/>
          </c:dPt>
          <c:dPt>
            <c:idx val="2"/>
            <c:spPr/>
          </c:dPt>
          <c:dPt>
            <c:idx val="3"/>
            <c:spPr/>
          </c:dPt>
          <c:dPt>
            <c:idx val="4"/>
            <c:spPr/>
          </c:dPt>
          <c:dPt>
            <c:idx val="5"/>
            <c:spPr>
              <a:solidFill>
                <a:srgbClr val="FF8080"/>
              </a:solidFill>
              <a:ln w="14211">
                <a:solidFill>
                  <a:srgbClr val="000000"/>
                </a:solidFill>
                <a:prstDash val="solid"/>
              </a:ln>
            </c:spPr>
          </c:dPt>
          <c:dPt>
            <c:idx val="6"/>
            <c:spPr>
              <a:solidFill>
                <a:srgbClr val="0066CC"/>
              </a:solidFill>
              <a:ln w="14211">
                <a:solidFill>
                  <a:srgbClr val="000000"/>
                </a:solidFill>
                <a:prstDash val="solid"/>
              </a:ln>
            </c:spPr>
          </c:dPt>
          <c:dPt>
            <c:idx val="7"/>
            <c:spPr>
              <a:solidFill>
                <a:srgbClr val="CCCCFF"/>
              </a:solidFill>
              <a:ln w="14211">
                <a:solidFill>
                  <a:srgbClr val="000000"/>
                </a:solidFill>
                <a:prstDash val="solid"/>
              </a:ln>
            </c:spPr>
          </c:dPt>
          <c:dPt>
            <c:idx val="8"/>
            <c:spPr>
              <a:solidFill>
                <a:srgbClr val="000080"/>
              </a:solidFill>
              <a:ln w="14211">
                <a:solidFill>
                  <a:srgbClr val="000000"/>
                </a:solidFill>
                <a:prstDash val="solid"/>
              </a:ln>
            </c:spPr>
          </c:dPt>
          <c:dPt>
            <c:idx val="9"/>
            <c:spPr>
              <a:solidFill>
                <a:srgbClr val="FF00FF"/>
              </a:solidFill>
              <a:ln w="14211">
                <a:solidFill>
                  <a:srgbClr val="000000"/>
                </a:solidFill>
                <a:prstDash val="solid"/>
              </a:ln>
            </c:spPr>
          </c:dPt>
          <c:dLbls>
            <c:dLbl>
              <c:idx val="6"/>
              <c:tx>
                <c:rich>
                  <a:bodyPr/>
                  <a:lstStyle/>
                  <a:p>
                    <a:pPr>
                      <a:defRPr sz="1007" b="0" i="0" u="none" strike="noStrike" baseline="0">
                        <a:solidFill>
                          <a:srgbClr val="000000"/>
                        </a:solidFill>
                        <a:latin typeface="Calibri"/>
                        <a:ea typeface="Calibri"/>
                        <a:cs typeface="Calibri"/>
                      </a:defRPr>
                    </a:pPr>
                    <a:r>
                      <a:rPr lang="ro-RO"/>
                      <a:t>1,81</a:t>
                    </a:r>
                  </a:p>
                </c:rich>
              </c:tx>
              <c:spPr>
                <a:noFill/>
                <a:ln w="28422">
                  <a:noFill/>
                </a:ln>
              </c:spPr>
            </c:dLbl>
            <c:dLbl>
              <c:idx val="7"/>
              <c:tx>
                <c:rich>
                  <a:bodyPr/>
                  <a:lstStyle/>
                  <a:p>
                    <a:pPr>
                      <a:defRPr sz="1007" b="0" i="0" u="none" strike="noStrike" baseline="0">
                        <a:solidFill>
                          <a:srgbClr val="000000"/>
                        </a:solidFill>
                        <a:latin typeface="Calibri"/>
                        <a:ea typeface="Calibri"/>
                        <a:cs typeface="Calibri"/>
                      </a:defRPr>
                    </a:pPr>
                    <a:r>
                      <a:rPr lang="ro-RO"/>
                      <a:t>2,68</a:t>
                    </a:r>
                  </a:p>
                </c:rich>
              </c:tx>
              <c:spPr>
                <a:noFill/>
                <a:ln w="28422">
                  <a:noFill/>
                </a:ln>
              </c:spPr>
            </c:dLbl>
            <c:spPr>
              <a:noFill/>
              <a:ln w="28422">
                <a:noFill/>
              </a:ln>
            </c:spPr>
            <c:txPr>
              <a:bodyPr/>
              <a:lstStyle/>
              <a:p>
                <a:pPr>
                  <a:defRPr sz="1119" b="0" i="0" u="none" strike="noStrike" baseline="0">
                    <a:solidFill>
                      <a:srgbClr val="000000"/>
                    </a:solidFill>
                    <a:latin typeface="Calibri"/>
                    <a:ea typeface="Calibri"/>
                    <a:cs typeface="Calibri"/>
                  </a:defRPr>
                </a:pPr>
                <a:endParaRPr lang="ro-RO"/>
              </a:p>
            </c:txPr>
            <c:showVal val="1"/>
            <c:showLeaderLines val="1"/>
          </c:dLbls>
          <c:cat>
            <c:strRef>
              <c:f>Sheet1!$A$2:$A$11</c:f>
              <c:strCache>
                <c:ptCount val="10"/>
                <c:pt idx="0">
                  <c:v>Teren arabil </c:v>
                </c:pt>
                <c:pt idx="1">
                  <c:v>Păşuni </c:v>
                </c:pt>
                <c:pt idx="2">
                  <c:v>Fâneţe </c:v>
                </c:pt>
                <c:pt idx="3">
                  <c:v>Vii şi pepiniere viticole </c:v>
                </c:pt>
                <c:pt idx="4">
                  <c:v>Livezi şi pepiniere pomicole </c:v>
                </c:pt>
                <c:pt idx="5">
                  <c:v>Păduri şi altă vegetaţie forestieră</c:v>
                </c:pt>
                <c:pt idx="6">
                  <c:v>Ape şi bălţi </c:v>
                </c:pt>
                <c:pt idx="7">
                  <c:v>Construcţii </c:v>
                </c:pt>
                <c:pt idx="8">
                  <c:v>Căi de comunicaţii şi căi ferate </c:v>
                </c:pt>
                <c:pt idx="9">
                  <c:v>Terenuri degradate şi neproductive </c:v>
                </c:pt>
              </c:strCache>
            </c:strRef>
          </c:cat>
          <c:val>
            <c:numRef>
              <c:f>Sheet1!$C$2:$C$11</c:f>
              <c:numCache>
                <c:formatCode>0.00</c:formatCode>
                <c:ptCount val="10"/>
                <c:pt idx="0">
                  <c:v>42.49</c:v>
                </c:pt>
                <c:pt idx="1">
                  <c:v>14.67</c:v>
                </c:pt>
                <c:pt idx="2">
                  <c:v>4.78</c:v>
                </c:pt>
                <c:pt idx="3">
                  <c:v>2.3699999999999997</c:v>
                </c:pt>
                <c:pt idx="4">
                  <c:v>1.7</c:v>
                </c:pt>
                <c:pt idx="5">
                  <c:v>26.64</c:v>
                </c:pt>
                <c:pt idx="6">
                  <c:v>1.81</c:v>
                </c:pt>
                <c:pt idx="7">
                  <c:v>2.68</c:v>
                </c:pt>
                <c:pt idx="8">
                  <c:v>1.45</c:v>
                </c:pt>
                <c:pt idx="9">
                  <c:v>1.41</c:v>
                </c:pt>
              </c:numCache>
            </c:numRef>
          </c:val>
        </c:ser>
        <c:dLbls>
          <c:showVal val="1"/>
        </c:dLbls>
      </c:pie3DChart>
      <c:spPr>
        <a:noFill/>
        <a:ln w="28422">
          <a:noFill/>
        </a:ln>
      </c:spPr>
    </c:plotArea>
    <c:legend>
      <c:legendPos val="b"/>
      <c:layout>
        <c:manualLayout>
          <c:xMode val="edge"/>
          <c:yMode val="edge"/>
          <c:x val="9.0415913200723331E-3"/>
          <c:y val="0.70234113712374646"/>
          <c:w val="0.88065099457504525"/>
          <c:h val="0.30100334448160526"/>
        </c:manualLayout>
      </c:layout>
      <c:spPr>
        <a:noFill/>
      </c:spPr>
    </c:legend>
    <c:plotVisOnly val="1"/>
    <c:dispBlanksAs val="zero"/>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15" b="1" i="0" u="none" strike="noStrike" baseline="0">
                <a:solidFill>
                  <a:srgbClr val="000000"/>
                </a:solidFill>
                <a:latin typeface="Calibri"/>
                <a:ea typeface="Calibri"/>
                <a:cs typeface="Calibri"/>
              </a:defRPr>
            </a:pPr>
            <a:r>
              <a:rPr lang="vi-VN"/>
              <a:t>Schimbări în acoperirea/utilizarea terenurilor în judeţul Buzău, în perioada 2010 - 2013 (ha)</a:t>
            </a:r>
          </a:p>
        </c:rich>
      </c:tx>
      <c:layout>
        <c:manualLayout>
          <c:xMode val="edge"/>
          <c:yMode val="edge"/>
          <c:x val="0.10369068541300541"/>
          <c:y val="2.0477815699658748E-2"/>
        </c:manualLayout>
      </c:layout>
      <c:spPr>
        <a:noFill/>
        <a:ln w="21486">
          <a:noFill/>
        </a:ln>
      </c:spPr>
    </c:title>
    <c:plotArea>
      <c:layout>
        <c:manualLayout>
          <c:layoutTarget val="inner"/>
          <c:xMode val="edge"/>
          <c:yMode val="edge"/>
          <c:x val="0.12478031634446395"/>
          <c:y val="0.20477815699658702"/>
          <c:w val="0.82425307557117822"/>
          <c:h val="0.48464163822525597"/>
        </c:manualLayout>
      </c:layout>
      <c:barChart>
        <c:barDir val="col"/>
        <c:grouping val="clustered"/>
        <c:ser>
          <c:idx val="0"/>
          <c:order val="0"/>
          <c:tx>
            <c:strRef>
              <c:f>Sheet1!$A$2</c:f>
              <c:strCache>
                <c:ptCount val="1"/>
                <c:pt idx="0">
                  <c:v>Teren arabil </c:v>
                </c:pt>
              </c:strCache>
            </c:strRef>
          </c:tx>
          <c:spPr>
            <a:solidFill>
              <a:srgbClr val="9999FF"/>
            </a:solidFill>
            <a:ln w="10743">
              <a:solidFill>
                <a:srgbClr val="000000"/>
              </a:solidFill>
              <a:prstDash val="solid"/>
            </a:ln>
          </c:spPr>
          <c:dPt>
            <c:idx val="0"/>
            <c:spPr/>
          </c:dPt>
          <c:dPt>
            <c:idx val="1"/>
            <c:spPr/>
          </c:dPt>
          <c:dPt>
            <c:idx val="2"/>
            <c:spPr/>
          </c:dPt>
          <c:dPt>
            <c:idx val="3"/>
            <c:spPr/>
          </c:dPt>
          <c:dPt>
            <c:idx val="4"/>
            <c:spPr/>
          </c:dPt>
          <c:cat>
            <c:strRef>
              <c:f>Sheet1!$A$1</c:f>
              <c:strCache>
                <c:ptCount val="1"/>
                <c:pt idx="0">
                  <c:v>Tip folosință</c:v>
                </c:pt>
              </c:strCache>
            </c:strRef>
          </c:cat>
          <c:val>
            <c:numRef>
              <c:f>Sheet1!$B$2</c:f>
              <c:numCache>
                <c:formatCode>General</c:formatCode>
                <c:ptCount val="1"/>
                <c:pt idx="0">
                  <c:v>997</c:v>
                </c:pt>
              </c:numCache>
            </c:numRef>
          </c:val>
        </c:ser>
        <c:ser>
          <c:idx val="1"/>
          <c:order val="1"/>
          <c:tx>
            <c:strRef>
              <c:f>Sheet1!$A$3</c:f>
              <c:strCache>
                <c:ptCount val="1"/>
                <c:pt idx="0">
                  <c:v>Păşuni </c:v>
                </c:pt>
              </c:strCache>
            </c:strRef>
          </c:tx>
          <c:spPr>
            <a:solidFill>
              <a:srgbClr val="993366"/>
            </a:solidFill>
            <a:ln w="10743">
              <a:solidFill>
                <a:srgbClr val="000000"/>
              </a:solidFill>
              <a:prstDash val="solid"/>
            </a:ln>
          </c:spPr>
          <c:cat>
            <c:strRef>
              <c:f>Sheet1!$A$1</c:f>
              <c:strCache>
                <c:ptCount val="1"/>
                <c:pt idx="0">
                  <c:v>Tip folosință</c:v>
                </c:pt>
              </c:strCache>
            </c:strRef>
          </c:cat>
          <c:val>
            <c:numRef>
              <c:f>Sheet1!$B$3</c:f>
              <c:numCache>
                <c:formatCode>General</c:formatCode>
                <c:ptCount val="1"/>
                <c:pt idx="0">
                  <c:v>639</c:v>
                </c:pt>
              </c:numCache>
            </c:numRef>
          </c:val>
        </c:ser>
        <c:ser>
          <c:idx val="2"/>
          <c:order val="2"/>
          <c:tx>
            <c:strRef>
              <c:f>Sheet1!$A$4</c:f>
              <c:strCache>
                <c:ptCount val="1"/>
                <c:pt idx="0">
                  <c:v>Fâneţe </c:v>
                </c:pt>
              </c:strCache>
            </c:strRef>
          </c:tx>
          <c:spPr>
            <a:solidFill>
              <a:srgbClr val="FFFFCC"/>
            </a:solidFill>
            <a:ln w="10743">
              <a:solidFill>
                <a:srgbClr val="000000"/>
              </a:solidFill>
              <a:prstDash val="solid"/>
            </a:ln>
          </c:spPr>
          <c:cat>
            <c:strRef>
              <c:f>Sheet1!$A$1</c:f>
              <c:strCache>
                <c:ptCount val="1"/>
                <c:pt idx="0">
                  <c:v>Tip folosință</c:v>
                </c:pt>
              </c:strCache>
            </c:strRef>
          </c:cat>
          <c:val>
            <c:numRef>
              <c:f>Sheet1!$B$4</c:f>
              <c:numCache>
                <c:formatCode>General</c:formatCode>
                <c:ptCount val="1"/>
                <c:pt idx="0">
                  <c:v>481</c:v>
                </c:pt>
              </c:numCache>
            </c:numRef>
          </c:val>
        </c:ser>
        <c:ser>
          <c:idx val="3"/>
          <c:order val="3"/>
          <c:tx>
            <c:strRef>
              <c:f>Sheet1!$A$5</c:f>
              <c:strCache>
                <c:ptCount val="1"/>
                <c:pt idx="0">
                  <c:v>Vii şi pepiniere viticole </c:v>
                </c:pt>
              </c:strCache>
            </c:strRef>
          </c:tx>
          <c:spPr>
            <a:solidFill>
              <a:srgbClr val="CCFFFF"/>
            </a:solidFill>
            <a:ln w="10743">
              <a:solidFill>
                <a:srgbClr val="000000"/>
              </a:solidFill>
              <a:prstDash val="solid"/>
            </a:ln>
          </c:spPr>
          <c:cat>
            <c:strRef>
              <c:f>Sheet1!$A$1</c:f>
              <c:strCache>
                <c:ptCount val="1"/>
                <c:pt idx="0">
                  <c:v>Tip folosință</c:v>
                </c:pt>
              </c:strCache>
            </c:strRef>
          </c:cat>
          <c:val>
            <c:numRef>
              <c:f>Sheet1!$B$5</c:f>
              <c:numCache>
                <c:formatCode>General</c:formatCode>
                <c:ptCount val="1"/>
                <c:pt idx="0">
                  <c:v>278</c:v>
                </c:pt>
              </c:numCache>
            </c:numRef>
          </c:val>
        </c:ser>
        <c:ser>
          <c:idx val="4"/>
          <c:order val="4"/>
          <c:tx>
            <c:strRef>
              <c:f>Sheet1!$A$6</c:f>
              <c:strCache>
                <c:ptCount val="1"/>
                <c:pt idx="0">
                  <c:v>Livezi </c:v>
                </c:pt>
              </c:strCache>
            </c:strRef>
          </c:tx>
          <c:spPr>
            <a:solidFill>
              <a:srgbClr val="660066"/>
            </a:solidFill>
            <a:ln w="10743">
              <a:solidFill>
                <a:srgbClr val="000000"/>
              </a:solidFill>
              <a:prstDash val="solid"/>
            </a:ln>
          </c:spPr>
          <c:cat>
            <c:strRef>
              <c:f>Sheet1!$A$1</c:f>
              <c:strCache>
                <c:ptCount val="1"/>
                <c:pt idx="0">
                  <c:v>Tip folosință</c:v>
                </c:pt>
              </c:strCache>
            </c:strRef>
          </c:cat>
          <c:val>
            <c:numRef>
              <c:f>Sheet1!$B$6</c:f>
              <c:numCache>
                <c:formatCode>General</c:formatCode>
                <c:ptCount val="1"/>
                <c:pt idx="0">
                  <c:v>-46</c:v>
                </c:pt>
              </c:numCache>
            </c:numRef>
          </c:val>
        </c:ser>
        <c:ser>
          <c:idx val="5"/>
          <c:order val="5"/>
          <c:tx>
            <c:strRef>
              <c:f>Sheet1!$A$7</c:f>
              <c:strCache>
                <c:ptCount val="1"/>
                <c:pt idx="0">
                  <c:v>Păduri </c:v>
                </c:pt>
              </c:strCache>
            </c:strRef>
          </c:tx>
          <c:spPr>
            <a:solidFill>
              <a:srgbClr val="FF8080"/>
            </a:solidFill>
            <a:ln w="10743">
              <a:solidFill>
                <a:srgbClr val="000000"/>
              </a:solidFill>
              <a:prstDash val="solid"/>
            </a:ln>
          </c:spPr>
          <c:cat>
            <c:strRef>
              <c:f>Sheet1!$A$1</c:f>
              <c:strCache>
                <c:ptCount val="1"/>
                <c:pt idx="0">
                  <c:v>Tip folosință</c:v>
                </c:pt>
              </c:strCache>
            </c:strRef>
          </c:cat>
          <c:val>
            <c:numRef>
              <c:f>Sheet1!$B$7</c:f>
              <c:numCache>
                <c:formatCode>General</c:formatCode>
                <c:ptCount val="1"/>
                <c:pt idx="0">
                  <c:v>-1384</c:v>
                </c:pt>
              </c:numCache>
            </c:numRef>
          </c:val>
        </c:ser>
        <c:ser>
          <c:idx val="6"/>
          <c:order val="6"/>
          <c:tx>
            <c:strRef>
              <c:f>Sheet1!$A$8</c:f>
              <c:strCache>
                <c:ptCount val="1"/>
                <c:pt idx="0">
                  <c:v>Ape şi bălţi </c:v>
                </c:pt>
              </c:strCache>
            </c:strRef>
          </c:tx>
          <c:spPr>
            <a:solidFill>
              <a:srgbClr val="0066CC"/>
            </a:solidFill>
            <a:ln w="10743">
              <a:solidFill>
                <a:srgbClr val="000000"/>
              </a:solidFill>
              <a:prstDash val="solid"/>
            </a:ln>
          </c:spPr>
          <c:cat>
            <c:strRef>
              <c:f>Sheet1!$A$1</c:f>
              <c:strCache>
                <c:ptCount val="1"/>
                <c:pt idx="0">
                  <c:v>Tip folosință</c:v>
                </c:pt>
              </c:strCache>
            </c:strRef>
          </c:cat>
          <c:val>
            <c:numRef>
              <c:f>Sheet1!$B$8</c:f>
              <c:numCache>
                <c:formatCode>General</c:formatCode>
                <c:ptCount val="1"/>
                <c:pt idx="0">
                  <c:v>-377</c:v>
                </c:pt>
              </c:numCache>
            </c:numRef>
          </c:val>
        </c:ser>
        <c:ser>
          <c:idx val="7"/>
          <c:order val="7"/>
          <c:tx>
            <c:strRef>
              <c:f>Sheet1!$A$9</c:f>
              <c:strCache>
                <c:ptCount val="1"/>
                <c:pt idx="0">
                  <c:v>Construcţii </c:v>
                </c:pt>
              </c:strCache>
            </c:strRef>
          </c:tx>
          <c:spPr>
            <a:solidFill>
              <a:srgbClr val="CCCCFF"/>
            </a:solidFill>
            <a:ln w="10743">
              <a:solidFill>
                <a:srgbClr val="000000"/>
              </a:solidFill>
              <a:prstDash val="solid"/>
            </a:ln>
          </c:spPr>
          <c:cat>
            <c:strRef>
              <c:f>Sheet1!$A$1</c:f>
              <c:strCache>
                <c:ptCount val="1"/>
                <c:pt idx="0">
                  <c:v>Tip folosință</c:v>
                </c:pt>
              </c:strCache>
            </c:strRef>
          </c:cat>
          <c:val>
            <c:numRef>
              <c:f>Sheet1!$B$9</c:f>
              <c:numCache>
                <c:formatCode>General</c:formatCode>
                <c:ptCount val="1"/>
                <c:pt idx="0">
                  <c:v>446</c:v>
                </c:pt>
              </c:numCache>
            </c:numRef>
          </c:val>
        </c:ser>
        <c:ser>
          <c:idx val="8"/>
          <c:order val="8"/>
          <c:tx>
            <c:strRef>
              <c:f>Sheet1!$A$10</c:f>
              <c:strCache>
                <c:ptCount val="1"/>
                <c:pt idx="0">
                  <c:v>Căi de comunicaţii şi căi ferate </c:v>
                </c:pt>
              </c:strCache>
            </c:strRef>
          </c:tx>
          <c:spPr>
            <a:solidFill>
              <a:srgbClr val="33CCCC"/>
            </a:solidFill>
            <a:ln w="10743">
              <a:solidFill>
                <a:srgbClr val="000000"/>
              </a:solidFill>
              <a:prstDash val="solid"/>
            </a:ln>
          </c:spPr>
          <c:cat>
            <c:strRef>
              <c:f>Sheet1!$A$1</c:f>
              <c:strCache>
                <c:ptCount val="1"/>
                <c:pt idx="0">
                  <c:v>Tip folosință</c:v>
                </c:pt>
              </c:strCache>
            </c:strRef>
          </c:cat>
          <c:val>
            <c:numRef>
              <c:f>Sheet1!$B$10</c:f>
              <c:numCache>
                <c:formatCode>General</c:formatCode>
                <c:ptCount val="1"/>
                <c:pt idx="0">
                  <c:v>-56</c:v>
                </c:pt>
              </c:numCache>
            </c:numRef>
          </c:val>
        </c:ser>
        <c:ser>
          <c:idx val="9"/>
          <c:order val="9"/>
          <c:tx>
            <c:strRef>
              <c:f>Sheet1!$A$11</c:f>
              <c:strCache>
                <c:ptCount val="1"/>
                <c:pt idx="0">
                  <c:v>Terenuri degradate şi neproductive </c:v>
                </c:pt>
              </c:strCache>
            </c:strRef>
          </c:tx>
          <c:spPr>
            <a:solidFill>
              <a:srgbClr val="FF00FF"/>
            </a:solidFill>
            <a:ln w="10743">
              <a:solidFill>
                <a:srgbClr val="000000"/>
              </a:solidFill>
              <a:prstDash val="solid"/>
            </a:ln>
          </c:spPr>
          <c:cat>
            <c:strRef>
              <c:f>Sheet1!$A$1</c:f>
              <c:strCache>
                <c:ptCount val="1"/>
                <c:pt idx="0">
                  <c:v>Tip folosință</c:v>
                </c:pt>
              </c:strCache>
            </c:strRef>
          </c:cat>
          <c:val>
            <c:numRef>
              <c:f>Sheet1!$B$11</c:f>
              <c:numCache>
                <c:formatCode>General</c:formatCode>
                <c:ptCount val="1"/>
                <c:pt idx="0">
                  <c:v>374</c:v>
                </c:pt>
              </c:numCache>
            </c:numRef>
          </c:val>
        </c:ser>
        <c:axId val="167391232"/>
        <c:axId val="167392768"/>
      </c:barChart>
      <c:catAx>
        <c:axId val="167391232"/>
        <c:scaling>
          <c:orientation val="minMax"/>
        </c:scaling>
        <c:axPos val="b"/>
        <c:numFmt formatCode="0.00" sourceLinked="0"/>
        <c:tickLblPos val="nextTo"/>
        <c:spPr>
          <a:ln w="2686">
            <a:solidFill>
              <a:srgbClr val="000000"/>
            </a:solidFill>
            <a:prstDash val="solid"/>
          </a:ln>
        </c:spPr>
        <c:txPr>
          <a:bodyPr rot="0" vert="horz"/>
          <a:lstStyle/>
          <a:p>
            <a:pPr>
              <a:defRPr sz="846" b="0" i="0" u="none" strike="noStrike" baseline="0">
                <a:solidFill>
                  <a:srgbClr val="000000"/>
                </a:solidFill>
                <a:latin typeface="Calibri"/>
                <a:ea typeface="Calibri"/>
                <a:cs typeface="Calibri"/>
              </a:defRPr>
            </a:pPr>
            <a:endParaRPr lang="ro-RO"/>
          </a:p>
        </c:txPr>
        <c:crossAx val="167392768"/>
        <c:crosses val="autoZero"/>
        <c:auto val="1"/>
        <c:lblAlgn val="ctr"/>
        <c:lblOffset val="100"/>
        <c:tickLblSkip val="1"/>
        <c:tickMarkSkip val="1"/>
      </c:catAx>
      <c:valAx>
        <c:axId val="167392768"/>
        <c:scaling>
          <c:orientation val="minMax"/>
        </c:scaling>
        <c:axPos val="l"/>
        <c:numFmt formatCode="General" sourceLinked="1"/>
        <c:tickLblPos val="nextTo"/>
        <c:spPr>
          <a:ln w="2686">
            <a:solidFill>
              <a:srgbClr val="000000"/>
            </a:solidFill>
            <a:prstDash val="solid"/>
          </a:ln>
        </c:spPr>
        <c:txPr>
          <a:bodyPr rot="0" vert="horz"/>
          <a:lstStyle/>
          <a:p>
            <a:pPr>
              <a:defRPr sz="846" b="0" i="0" u="none" strike="noStrike" baseline="0">
                <a:solidFill>
                  <a:srgbClr val="000000"/>
                </a:solidFill>
                <a:latin typeface="Calibri"/>
                <a:ea typeface="Calibri"/>
                <a:cs typeface="Calibri"/>
              </a:defRPr>
            </a:pPr>
            <a:endParaRPr lang="ro-RO"/>
          </a:p>
        </c:txPr>
        <c:crossAx val="167391232"/>
        <c:crosses val="autoZero"/>
        <c:crossBetween val="between"/>
      </c:valAx>
      <c:spPr>
        <a:noFill/>
        <a:ln w="21486">
          <a:noFill/>
        </a:ln>
      </c:spPr>
    </c:plotArea>
    <c:legend>
      <c:legendPos val="b"/>
      <c:layout>
        <c:manualLayout>
          <c:xMode val="edge"/>
          <c:yMode val="edge"/>
          <c:x val="1.9332161687170498E-2"/>
          <c:y val="0.75426621160409635"/>
          <c:w val="0.96836555360281262"/>
          <c:h val="0.23549488054607545"/>
        </c:manualLayout>
      </c:layout>
      <c:spPr>
        <a:solidFill>
          <a:srgbClr val="FFFFFF"/>
        </a:solidFill>
        <a:ln w="2686">
          <a:solidFill>
            <a:srgbClr val="000000"/>
          </a:solidFill>
          <a:prstDash val="solid"/>
        </a:ln>
      </c:spPr>
      <c:txPr>
        <a:bodyPr/>
        <a:lstStyle/>
        <a:p>
          <a:pPr>
            <a:defRPr sz="778"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44" b="1" i="0" u="none" strike="noStrike" baseline="0">
                <a:solidFill>
                  <a:srgbClr val="000000"/>
                </a:solidFill>
                <a:latin typeface="Calibri"/>
                <a:ea typeface="Calibri"/>
                <a:cs typeface="Calibri"/>
              </a:defRPr>
            </a:pPr>
            <a:r>
              <a:rPr lang="vi-VN"/>
              <a:t>Schimbări în acoperirea/utilizarea terenurilor în judeţul Buzău,  
% din anul 2010 </a:t>
            </a:r>
          </a:p>
        </c:rich>
      </c:tx>
      <c:layout>
        <c:manualLayout>
          <c:xMode val="edge"/>
          <c:yMode val="edge"/>
          <c:x val="0.1652021089630932"/>
          <c:y val="1.3840830449827023E-2"/>
        </c:manualLayout>
      </c:layout>
      <c:spPr>
        <a:noFill/>
        <a:ln w="26329">
          <a:noFill/>
        </a:ln>
      </c:spPr>
    </c:title>
    <c:plotArea>
      <c:layout>
        <c:manualLayout>
          <c:layoutTarget val="inner"/>
          <c:xMode val="edge"/>
          <c:yMode val="edge"/>
          <c:x val="8.7873462214411252E-2"/>
          <c:y val="0.20415224913494809"/>
          <c:w val="0.86115992970122957"/>
          <c:h val="0.48096885813148788"/>
        </c:manualLayout>
      </c:layout>
      <c:barChart>
        <c:barDir val="col"/>
        <c:grouping val="clustered"/>
        <c:ser>
          <c:idx val="0"/>
          <c:order val="0"/>
          <c:tx>
            <c:strRef>
              <c:f>Sheet1!$A$2</c:f>
              <c:strCache>
                <c:ptCount val="1"/>
                <c:pt idx="0">
                  <c:v>Teren arabil </c:v>
                </c:pt>
              </c:strCache>
            </c:strRef>
          </c:tx>
          <c:spPr>
            <a:solidFill>
              <a:srgbClr val="9999FF"/>
            </a:solidFill>
            <a:ln w="13164">
              <a:solidFill>
                <a:srgbClr val="000000"/>
              </a:solidFill>
              <a:prstDash val="solid"/>
            </a:ln>
          </c:spPr>
          <c:dPt>
            <c:idx val="0"/>
            <c:spPr/>
          </c:dPt>
          <c:dPt>
            <c:idx val="1"/>
            <c:spPr/>
          </c:dPt>
          <c:dPt>
            <c:idx val="2"/>
            <c:spPr/>
          </c:dPt>
          <c:dPt>
            <c:idx val="3"/>
            <c:spPr/>
          </c:dPt>
          <c:dPt>
            <c:idx val="4"/>
            <c:spPr/>
          </c:dPt>
          <c:cat>
            <c:strRef>
              <c:f>Sheet1!$A$1</c:f>
              <c:strCache>
                <c:ptCount val="1"/>
                <c:pt idx="0">
                  <c:v>Tip folosință</c:v>
                </c:pt>
              </c:strCache>
            </c:strRef>
          </c:cat>
          <c:val>
            <c:numRef>
              <c:f>Sheet1!$B$2</c:f>
              <c:numCache>
                <c:formatCode>General</c:formatCode>
                <c:ptCount val="1"/>
                <c:pt idx="0">
                  <c:v>0.25</c:v>
                </c:pt>
              </c:numCache>
            </c:numRef>
          </c:val>
        </c:ser>
        <c:ser>
          <c:idx val="1"/>
          <c:order val="1"/>
          <c:tx>
            <c:strRef>
              <c:f>Sheet1!$A$3</c:f>
              <c:strCache>
                <c:ptCount val="1"/>
                <c:pt idx="0">
                  <c:v>Păşuni </c:v>
                </c:pt>
              </c:strCache>
            </c:strRef>
          </c:tx>
          <c:spPr>
            <a:solidFill>
              <a:srgbClr val="993366"/>
            </a:solidFill>
            <a:ln w="13164">
              <a:solidFill>
                <a:srgbClr val="000000"/>
              </a:solidFill>
              <a:prstDash val="solid"/>
            </a:ln>
          </c:spPr>
          <c:cat>
            <c:strRef>
              <c:f>Sheet1!$A$1</c:f>
              <c:strCache>
                <c:ptCount val="1"/>
                <c:pt idx="0">
                  <c:v>Tip folosință</c:v>
                </c:pt>
              </c:strCache>
            </c:strRef>
          </c:cat>
          <c:val>
            <c:numRef>
              <c:f>Sheet1!$B$3</c:f>
              <c:numCache>
                <c:formatCode>General</c:formatCode>
                <c:ptCount val="1"/>
                <c:pt idx="0">
                  <c:v>0.54</c:v>
                </c:pt>
              </c:numCache>
            </c:numRef>
          </c:val>
        </c:ser>
        <c:ser>
          <c:idx val="2"/>
          <c:order val="2"/>
          <c:tx>
            <c:strRef>
              <c:f>Sheet1!$A$4</c:f>
              <c:strCache>
                <c:ptCount val="1"/>
                <c:pt idx="0">
                  <c:v>Fâneţe </c:v>
                </c:pt>
              </c:strCache>
            </c:strRef>
          </c:tx>
          <c:spPr>
            <a:solidFill>
              <a:srgbClr val="FFFFCC"/>
            </a:solidFill>
            <a:ln w="13164">
              <a:solidFill>
                <a:srgbClr val="000000"/>
              </a:solidFill>
              <a:prstDash val="solid"/>
            </a:ln>
          </c:spPr>
          <c:cat>
            <c:strRef>
              <c:f>Sheet1!$A$1</c:f>
              <c:strCache>
                <c:ptCount val="1"/>
                <c:pt idx="0">
                  <c:v>Tip folosință</c:v>
                </c:pt>
              </c:strCache>
            </c:strRef>
          </c:cat>
          <c:val>
            <c:numRef>
              <c:f>Sheet1!$B$4</c:f>
              <c:numCache>
                <c:formatCode>General</c:formatCode>
                <c:ptCount val="1"/>
                <c:pt idx="0">
                  <c:v>0.96000000000000063</c:v>
                </c:pt>
              </c:numCache>
            </c:numRef>
          </c:val>
        </c:ser>
        <c:ser>
          <c:idx val="3"/>
          <c:order val="3"/>
          <c:tx>
            <c:strRef>
              <c:f>Sheet1!$A$5</c:f>
              <c:strCache>
                <c:ptCount val="1"/>
                <c:pt idx="0">
                  <c:v>Vii şi pepiniere viticole </c:v>
                </c:pt>
              </c:strCache>
            </c:strRef>
          </c:tx>
          <c:spPr>
            <a:solidFill>
              <a:srgbClr val="CCFFFF"/>
            </a:solidFill>
            <a:ln w="13164">
              <a:solidFill>
                <a:srgbClr val="000000"/>
              </a:solidFill>
              <a:prstDash val="solid"/>
            </a:ln>
          </c:spPr>
          <c:cat>
            <c:strRef>
              <c:f>Sheet1!$A$1</c:f>
              <c:strCache>
                <c:ptCount val="1"/>
                <c:pt idx="0">
                  <c:v>Tip folosință</c:v>
                </c:pt>
              </c:strCache>
            </c:strRef>
          </c:cat>
          <c:val>
            <c:numRef>
              <c:f>Sheet1!$B$5</c:f>
              <c:numCache>
                <c:formatCode>General</c:formatCode>
                <c:ptCount val="1"/>
                <c:pt idx="0">
                  <c:v>-0.3200000000000004</c:v>
                </c:pt>
              </c:numCache>
            </c:numRef>
          </c:val>
        </c:ser>
        <c:ser>
          <c:idx val="4"/>
          <c:order val="4"/>
          <c:tx>
            <c:strRef>
              <c:f>Sheet1!$A$6</c:f>
              <c:strCache>
                <c:ptCount val="1"/>
                <c:pt idx="0">
                  <c:v>Livezi </c:v>
                </c:pt>
              </c:strCache>
            </c:strRef>
          </c:tx>
          <c:spPr>
            <a:solidFill>
              <a:srgbClr val="660066"/>
            </a:solidFill>
            <a:ln w="13164">
              <a:solidFill>
                <a:srgbClr val="000000"/>
              </a:solidFill>
              <a:prstDash val="solid"/>
            </a:ln>
          </c:spPr>
          <c:cat>
            <c:strRef>
              <c:f>Sheet1!$A$1</c:f>
              <c:strCache>
                <c:ptCount val="1"/>
                <c:pt idx="0">
                  <c:v>Tip folosință</c:v>
                </c:pt>
              </c:strCache>
            </c:strRef>
          </c:cat>
          <c:val>
            <c:numRef>
              <c:f>Sheet1!$B$6</c:f>
              <c:numCache>
                <c:formatCode>General</c:formatCode>
                <c:ptCount val="1"/>
                <c:pt idx="0">
                  <c:v>-3.3099999999999987</c:v>
                </c:pt>
              </c:numCache>
            </c:numRef>
          </c:val>
        </c:ser>
        <c:ser>
          <c:idx val="5"/>
          <c:order val="5"/>
          <c:tx>
            <c:strRef>
              <c:f>Sheet1!$A$7</c:f>
              <c:strCache>
                <c:ptCount val="1"/>
                <c:pt idx="0">
                  <c:v>Păduri </c:v>
                </c:pt>
              </c:strCache>
            </c:strRef>
          </c:tx>
          <c:spPr>
            <a:solidFill>
              <a:srgbClr val="FF8080"/>
            </a:solidFill>
            <a:ln w="13164">
              <a:solidFill>
                <a:srgbClr val="000000"/>
              </a:solidFill>
              <a:prstDash val="solid"/>
            </a:ln>
          </c:spPr>
          <c:cat>
            <c:strRef>
              <c:f>Sheet1!$A$1</c:f>
              <c:strCache>
                <c:ptCount val="1"/>
                <c:pt idx="0">
                  <c:v>Tip folosință</c:v>
                </c:pt>
              </c:strCache>
            </c:strRef>
          </c:cat>
          <c:val>
            <c:numRef>
              <c:f>Sheet1!$B$7</c:f>
              <c:numCache>
                <c:formatCode>General</c:formatCode>
                <c:ptCount val="1"/>
                <c:pt idx="0">
                  <c:v>-0.84000000000000064</c:v>
                </c:pt>
              </c:numCache>
            </c:numRef>
          </c:val>
        </c:ser>
        <c:ser>
          <c:idx val="6"/>
          <c:order val="6"/>
          <c:tx>
            <c:strRef>
              <c:f>Sheet1!$A$8</c:f>
              <c:strCache>
                <c:ptCount val="1"/>
                <c:pt idx="0">
                  <c:v>Ape şi bălţi </c:v>
                </c:pt>
              </c:strCache>
            </c:strRef>
          </c:tx>
          <c:spPr>
            <a:solidFill>
              <a:srgbClr val="0066CC"/>
            </a:solidFill>
            <a:ln w="13164">
              <a:solidFill>
                <a:srgbClr val="000000"/>
              </a:solidFill>
              <a:prstDash val="solid"/>
            </a:ln>
          </c:spPr>
          <c:cat>
            <c:strRef>
              <c:f>Sheet1!$A$1</c:f>
              <c:strCache>
                <c:ptCount val="1"/>
                <c:pt idx="0">
                  <c:v>Tip folosință</c:v>
                </c:pt>
              </c:strCache>
            </c:strRef>
          </c:cat>
          <c:val>
            <c:numRef>
              <c:f>Sheet1!$B$8</c:f>
              <c:numCache>
                <c:formatCode>General</c:formatCode>
                <c:ptCount val="1"/>
                <c:pt idx="0">
                  <c:v>-3.3</c:v>
                </c:pt>
              </c:numCache>
            </c:numRef>
          </c:val>
        </c:ser>
        <c:ser>
          <c:idx val="7"/>
          <c:order val="7"/>
          <c:tx>
            <c:strRef>
              <c:f>Sheet1!$A$9</c:f>
              <c:strCache>
                <c:ptCount val="1"/>
                <c:pt idx="0">
                  <c:v>Construcţii </c:v>
                </c:pt>
              </c:strCache>
            </c:strRef>
          </c:tx>
          <c:spPr>
            <a:solidFill>
              <a:srgbClr val="CCCCFF"/>
            </a:solidFill>
            <a:ln w="13164">
              <a:solidFill>
                <a:srgbClr val="000000"/>
              </a:solidFill>
              <a:prstDash val="solid"/>
            </a:ln>
          </c:spPr>
          <c:cat>
            <c:strRef>
              <c:f>Sheet1!$A$1</c:f>
              <c:strCache>
                <c:ptCount val="1"/>
                <c:pt idx="0">
                  <c:v>Tip folosință</c:v>
                </c:pt>
              </c:strCache>
            </c:strRef>
          </c:cat>
          <c:val>
            <c:numRef>
              <c:f>Sheet1!$B$9</c:f>
              <c:numCache>
                <c:formatCode>General</c:formatCode>
                <c:ptCount val="1"/>
                <c:pt idx="0">
                  <c:v>2.8</c:v>
                </c:pt>
              </c:numCache>
            </c:numRef>
          </c:val>
        </c:ser>
        <c:ser>
          <c:idx val="8"/>
          <c:order val="8"/>
          <c:tx>
            <c:strRef>
              <c:f>Sheet1!$A$10</c:f>
              <c:strCache>
                <c:ptCount val="1"/>
                <c:pt idx="0">
                  <c:v>Căi de comunicaţii şi căi ferate </c:v>
                </c:pt>
              </c:strCache>
            </c:strRef>
          </c:tx>
          <c:spPr>
            <a:solidFill>
              <a:srgbClr val="33CCCC"/>
            </a:solidFill>
            <a:ln w="13164">
              <a:solidFill>
                <a:srgbClr val="000000"/>
              </a:solidFill>
              <a:prstDash val="solid"/>
            </a:ln>
          </c:spPr>
          <c:cat>
            <c:strRef>
              <c:f>Sheet1!$A$1</c:f>
              <c:strCache>
                <c:ptCount val="1"/>
                <c:pt idx="0">
                  <c:v>Tip folosință</c:v>
                </c:pt>
              </c:strCache>
            </c:strRef>
          </c:cat>
          <c:val>
            <c:numRef>
              <c:f>Sheet1!$B$10</c:f>
              <c:numCache>
                <c:formatCode>General</c:formatCode>
                <c:ptCount val="1"/>
                <c:pt idx="0">
                  <c:v>-0.63000000000000078</c:v>
                </c:pt>
              </c:numCache>
            </c:numRef>
          </c:val>
        </c:ser>
        <c:ser>
          <c:idx val="9"/>
          <c:order val="9"/>
          <c:tx>
            <c:strRef>
              <c:f>Sheet1!$A$11</c:f>
              <c:strCache>
                <c:ptCount val="1"/>
                <c:pt idx="0">
                  <c:v>Terenuri degradate şi neproductive </c:v>
                </c:pt>
              </c:strCache>
            </c:strRef>
          </c:tx>
          <c:spPr>
            <a:solidFill>
              <a:srgbClr val="FF00FF"/>
            </a:solidFill>
            <a:ln w="13164">
              <a:solidFill>
                <a:srgbClr val="000000"/>
              </a:solidFill>
              <a:prstDash val="solid"/>
            </a:ln>
          </c:spPr>
          <c:cat>
            <c:strRef>
              <c:f>Sheet1!$A$1</c:f>
              <c:strCache>
                <c:ptCount val="1"/>
                <c:pt idx="0">
                  <c:v>Tip folosință</c:v>
                </c:pt>
              </c:strCache>
            </c:strRef>
          </c:cat>
          <c:val>
            <c:numRef>
              <c:f>Sheet1!$B$11</c:f>
              <c:numCache>
                <c:formatCode>General</c:formatCode>
                <c:ptCount val="1"/>
                <c:pt idx="0">
                  <c:v>4.55</c:v>
                </c:pt>
              </c:numCache>
            </c:numRef>
          </c:val>
        </c:ser>
        <c:axId val="168069376"/>
        <c:axId val="168091648"/>
      </c:barChart>
      <c:catAx>
        <c:axId val="168069376"/>
        <c:scaling>
          <c:orientation val="minMax"/>
        </c:scaling>
        <c:axPos val="b"/>
        <c:numFmt formatCode="0.00" sourceLinked="0"/>
        <c:tickLblPos val="nextTo"/>
        <c:spPr>
          <a:ln w="3291">
            <a:solidFill>
              <a:srgbClr val="000000"/>
            </a:solidFill>
            <a:prstDash val="solid"/>
          </a:ln>
        </c:spPr>
        <c:txPr>
          <a:bodyPr rot="0" vert="horz"/>
          <a:lstStyle/>
          <a:p>
            <a:pPr>
              <a:defRPr sz="1037" b="0" i="0" u="none" strike="noStrike" baseline="0">
                <a:solidFill>
                  <a:srgbClr val="000000"/>
                </a:solidFill>
                <a:latin typeface="Calibri"/>
                <a:ea typeface="Calibri"/>
                <a:cs typeface="Calibri"/>
              </a:defRPr>
            </a:pPr>
            <a:endParaRPr lang="ro-RO"/>
          </a:p>
        </c:txPr>
        <c:crossAx val="168091648"/>
        <c:crosses val="autoZero"/>
        <c:auto val="1"/>
        <c:lblAlgn val="ctr"/>
        <c:lblOffset val="100"/>
        <c:tickLblSkip val="1"/>
        <c:tickMarkSkip val="1"/>
      </c:catAx>
      <c:valAx>
        <c:axId val="168091648"/>
        <c:scaling>
          <c:orientation val="minMax"/>
        </c:scaling>
        <c:axPos val="l"/>
        <c:numFmt formatCode="General" sourceLinked="1"/>
        <c:tickLblPos val="nextTo"/>
        <c:spPr>
          <a:ln w="3291">
            <a:solidFill>
              <a:srgbClr val="000000"/>
            </a:solidFill>
            <a:prstDash val="solid"/>
          </a:ln>
        </c:spPr>
        <c:txPr>
          <a:bodyPr rot="0" vert="horz"/>
          <a:lstStyle/>
          <a:p>
            <a:pPr>
              <a:defRPr sz="1037" b="0" i="0" u="none" strike="noStrike" baseline="0">
                <a:solidFill>
                  <a:srgbClr val="000000"/>
                </a:solidFill>
                <a:latin typeface="Calibri"/>
                <a:ea typeface="Calibri"/>
                <a:cs typeface="Calibri"/>
              </a:defRPr>
            </a:pPr>
            <a:endParaRPr lang="ro-RO"/>
          </a:p>
        </c:txPr>
        <c:crossAx val="168069376"/>
        <c:crosses val="autoZero"/>
        <c:crossBetween val="between"/>
      </c:valAx>
      <c:spPr>
        <a:noFill/>
        <a:ln w="26329">
          <a:noFill/>
        </a:ln>
      </c:spPr>
    </c:plotArea>
    <c:legend>
      <c:legendPos val="b"/>
      <c:layout>
        <c:manualLayout>
          <c:xMode val="edge"/>
          <c:yMode val="edge"/>
          <c:x val="1.9332161687170498E-2"/>
          <c:y val="0.75086505190311503"/>
          <c:w val="0.96836555360281262"/>
          <c:h val="0.23875432525951557"/>
        </c:manualLayout>
      </c:layout>
      <c:spPr>
        <a:solidFill>
          <a:srgbClr val="FFFFFF"/>
        </a:solidFill>
        <a:ln w="3291">
          <a:solidFill>
            <a:srgbClr val="000000"/>
          </a:solidFill>
          <a:prstDash val="solid"/>
        </a:ln>
      </c:spPr>
      <c:txPr>
        <a:bodyPr/>
        <a:lstStyle/>
        <a:p>
          <a:pPr>
            <a:defRPr sz="954"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207" b="1" i="0" u="none" strike="noStrike" baseline="0">
                <a:solidFill>
                  <a:srgbClr val="000000"/>
                </a:solidFill>
                <a:latin typeface="Arial"/>
                <a:ea typeface="Arial"/>
                <a:cs typeface="Arial"/>
              </a:defRPr>
            </a:pPr>
            <a:r>
              <a:rPr lang="vi-VN"/>
              <a:t>Evoluția populaţiei  judeţului Buzău în perioada 2010-2014</a:t>
            </a:r>
          </a:p>
        </c:rich>
      </c:tx>
      <c:layout>
        <c:manualLayout>
          <c:xMode val="edge"/>
          <c:yMode val="edge"/>
          <c:x val="0.12912603991329397"/>
          <c:y val="0"/>
        </c:manualLayout>
      </c:layout>
      <c:spPr>
        <a:noFill/>
        <a:ln w="40863">
          <a:noFill/>
        </a:ln>
      </c:spPr>
    </c:title>
    <c:plotArea>
      <c:layout>
        <c:manualLayout>
          <c:layoutTarget val="inner"/>
          <c:xMode val="edge"/>
          <c:yMode val="edge"/>
          <c:x val="0.19636363636363635"/>
          <c:y val="0.32450331125827864"/>
          <c:w val="0.7454545454545457"/>
          <c:h val="0.45695364238410596"/>
        </c:manualLayout>
      </c:layout>
      <c:lineChart>
        <c:grouping val="standard"/>
        <c:ser>
          <c:idx val="0"/>
          <c:order val="0"/>
          <c:tx>
            <c:strRef>
              <c:f>Sheet1!$B$1</c:f>
              <c:strCache>
                <c:ptCount val="1"/>
                <c:pt idx="0">
                  <c:v>Series 1</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497418</c:v>
                </c:pt>
                <c:pt idx="1">
                  <c:v>494172</c:v>
                </c:pt>
                <c:pt idx="2">
                  <c:v>491376</c:v>
                </c:pt>
                <c:pt idx="3">
                  <c:v>488108</c:v>
                </c:pt>
                <c:pt idx="4">
                  <c:v>484524</c:v>
                </c:pt>
              </c:numCache>
            </c:numRef>
          </c:val>
        </c:ser>
        <c:marker val="1"/>
        <c:axId val="167775616"/>
        <c:axId val="167822464"/>
      </c:lineChart>
      <c:catAx>
        <c:axId val="167775616"/>
        <c:scaling>
          <c:orientation val="minMax"/>
        </c:scaling>
        <c:axPos val="b"/>
        <c:numFmt formatCode="General" sourceLinked="1"/>
        <c:tickLblPos val="nextTo"/>
        <c:txPr>
          <a:bodyPr rot="-5400000" vert="horz"/>
          <a:lstStyle/>
          <a:p>
            <a:pPr>
              <a:defRPr sz="1287" b="0" i="0" u="none" strike="noStrike" baseline="0">
                <a:solidFill>
                  <a:srgbClr val="000000"/>
                </a:solidFill>
                <a:latin typeface="Calibri"/>
                <a:ea typeface="Calibri"/>
                <a:cs typeface="Calibri"/>
              </a:defRPr>
            </a:pPr>
            <a:endParaRPr lang="ro-RO"/>
          </a:p>
        </c:txPr>
        <c:crossAx val="167822464"/>
        <c:crosses val="autoZero"/>
        <c:auto val="1"/>
        <c:lblAlgn val="ctr"/>
        <c:lblOffset val="100"/>
      </c:catAx>
      <c:valAx>
        <c:axId val="167822464"/>
        <c:scaling>
          <c:orientation val="minMax"/>
        </c:scaling>
        <c:axPos val="l"/>
        <c:majorGridlines/>
        <c:numFmt formatCode="General" sourceLinked="1"/>
        <c:tickLblPos val="nextTo"/>
        <c:txPr>
          <a:bodyPr rot="0" vert="horz"/>
          <a:lstStyle/>
          <a:p>
            <a:pPr>
              <a:defRPr sz="1287" b="0" i="0" u="none" strike="noStrike" baseline="0">
                <a:solidFill>
                  <a:srgbClr val="000000"/>
                </a:solidFill>
                <a:latin typeface="Calibri"/>
                <a:ea typeface="Calibri"/>
                <a:cs typeface="Calibri"/>
              </a:defRPr>
            </a:pPr>
            <a:endParaRPr lang="ro-RO"/>
          </a:p>
        </c:txPr>
        <c:crossAx val="167775616"/>
        <c:crosses val="autoZero"/>
        <c:crossBetween val="between"/>
      </c:valAx>
      <c:spPr>
        <a:noFill/>
        <a:ln w="40863">
          <a:noFill/>
        </a:ln>
      </c:spPr>
    </c:plotArea>
    <c:plotVisOnly val="1"/>
    <c:dispBlanksAs val="gap"/>
  </c:chart>
  <c:spPr>
    <a:gradFill rotWithShape="0">
      <a:gsLst>
        <a:gs pos="0">
          <a:srgbClr val="FBEAC7"/>
        </a:gs>
        <a:gs pos="17999">
          <a:srgbClr val="FEE7F2"/>
        </a:gs>
        <a:gs pos="36000">
          <a:srgbClr val="FAC77D"/>
        </a:gs>
        <a:gs pos="61000">
          <a:srgbClr val="FBA97D"/>
        </a:gs>
        <a:gs pos="82001">
          <a:srgbClr val="FBD49C"/>
        </a:gs>
        <a:gs pos="100000">
          <a:srgbClr val="FEE7F2"/>
        </a:gs>
      </a:gsLst>
      <a:lin ang="5400000"/>
    </a:gradFill>
    <a:ln w="5108">
      <a:solidFill>
        <a:srgbClr val="808080"/>
      </a:solidFill>
      <a:prstDash val="solid"/>
    </a:ln>
  </c:spPr>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43" b="1" i="0" u="none" strike="noStrike" baseline="0">
                <a:solidFill>
                  <a:srgbClr val="000000"/>
                </a:solidFill>
                <a:latin typeface="Calibri"/>
                <a:ea typeface="Calibri"/>
                <a:cs typeface="Calibri"/>
              </a:defRPr>
            </a:pPr>
            <a:r>
              <a:rPr lang="vi-VN"/>
              <a:t>Modificarea populaţiei urbane din judeţul Buzău şi principalele localităţi, în perioada 2008-2010</a:t>
            </a:r>
          </a:p>
        </c:rich>
      </c:tx>
      <c:layout>
        <c:manualLayout>
          <c:xMode val="edge"/>
          <c:yMode val="edge"/>
          <c:x val="0.16520218657588476"/>
          <c:y val="1.3840695180127028E-2"/>
        </c:manualLayout>
      </c:layout>
      <c:spPr>
        <a:noFill/>
        <a:ln w="26320">
          <a:noFill/>
        </a:ln>
      </c:spPr>
    </c:title>
    <c:plotArea>
      <c:layout>
        <c:manualLayout>
          <c:layoutTarget val="inner"/>
          <c:xMode val="edge"/>
          <c:yMode val="edge"/>
          <c:x val="0.11599297012302293"/>
          <c:y val="0.20761245674740514"/>
          <c:w val="0.8330404217926185"/>
          <c:h val="0.51557093425605538"/>
        </c:manualLayout>
      </c:layout>
      <c:barChart>
        <c:barDir val="col"/>
        <c:grouping val="clustered"/>
        <c:ser>
          <c:idx val="0"/>
          <c:order val="0"/>
          <c:tx>
            <c:strRef>
              <c:f>Sheet1!$A$2</c:f>
              <c:strCache>
                <c:ptCount val="1"/>
                <c:pt idx="0">
                  <c:v>Municipiul Buzău</c:v>
                </c:pt>
              </c:strCache>
            </c:strRef>
          </c:tx>
          <c:spPr>
            <a:solidFill>
              <a:srgbClr val="9999FF"/>
            </a:solidFill>
            <a:ln w="13160">
              <a:solidFill>
                <a:srgbClr val="000000"/>
              </a:solidFill>
              <a:prstDash val="solid"/>
            </a:ln>
          </c:spPr>
          <c:dPt>
            <c:idx val="0"/>
            <c:spPr/>
          </c:dPt>
          <c:dPt>
            <c:idx val="1"/>
            <c:spPr/>
          </c:dPt>
          <c:dPt>
            <c:idx val="2"/>
            <c:spPr/>
          </c:dPt>
          <c:dPt>
            <c:idx val="3"/>
            <c:spPr/>
          </c:dPt>
          <c:dPt>
            <c:idx val="4"/>
            <c:spPr/>
          </c:dPt>
          <c:cat>
            <c:strRef>
              <c:f>Sheet1!$A$1</c:f>
              <c:strCache>
                <c:ptCount val="1"/>
                <c:pt idx="0">
                  <c:v>Oraş</c:v>
                </c:pt>
              </c:strCache>
            </c:strRef>
          </c:cat>
          <c:val>
            <c:numRef>
              <c:f>Sheet1!$B$2</c:f>
              <c:numCache>
                <c:formatCode>General</c:formatCode>
                <c:ptCount val="1"/>
                <c:pt idx="0">
                  <c:v>-55.1</c:v>
                </c:pt>
              </c:numCache>
            </c:numRef>
          </c:val>
        </c:ser>
        <c:ser>
          <c:idx val="1"/>
          <c:order val="1"/>
          <c:tx>
            <c:strRef>
              <c:f>Sheet1!$A$3</c:f>
              <c:strCache>
                <c:ptCount val="1"/>
                <c:pt idx="0">
                  <c:v>Municipiul Rîmnicu Sărat</c:v>
                </c:pt>
              </c:strCache>
            </c:strRef>
          </c:tx>
          <c:spPr>
            <a:solidFill>
              <a:srgbClr val="993366"/>
            </a:solidFill>
            <a:ln w="13160">
              <a:solidFill>
                <a:srgbClr val="000000"/>
              </a:solidFill>
              <a:prstDash val="solid"/>
            </a:ln>
          </c:spPr>
          <c:cat>
            <c:strRef>
              <c:f>Sheet1!$A$1</c:f>
              <c:strCache>
                <c:ptCount val="1"/>
                <c:pt idx="0">
                  <c:v>Oraş</c:v>
                </c:pt>
              </c:strCache>
            </c:strRef>
          </c:cat>
          <c:val>
            <c:numRef>
              <c:f>Sheet1!$B$3</c:f>
              <c:numCache>
                <c:formatCode>General</c:formatCode>
                <c:ptCount val="1"/>
                <c:pt idx="0">
                  <c:v>-12.5</c:v>
                </c:pt>
              </c:numCache>
            </c:numRef>
          </c:val>
        </c:ser>
        <c:ser>
          <c:idx val="2"/>
          <c:order val="2"/>
          <c:tx>
            <c:strRef>
              <c:f>Sheet1!$A$4</c:f>
              <c:strCache>
                <c:ptCount val="1"/>
                <c:pt idx="0">
                  <c:v>Oraș Nehoiu</c:v>
                </c:pt>
              </c:strCache>
            </c:strRef>
          </c:tx>
          <c:spPr>
            <a:solidFill>
              <a:srgbClr val="FFFFCC"/>
            </a:solidFill>
            <a:ln w="13160">
              <a:solidFill>
                <a:srgbClr val="000000"/>
              </a:solidFill>
              <a:prstDash val="solid"/>
            </a:ln>
          </c:spPr>
          <c:cat>
            <c:strRef>
              <c:f>Sheet1!$A$1</c:f>
              <c:strCache>
                <c:ptCount val="1"/>
                <c:pt idx="0">
                  <c:v>Oraş</c:v>
                </c:pt>
              </c:strCache>
            </c:strRef>
          </c:cat>
          <c:val>
            <c:numRef>
              <c:f>Sheet1!$B$4</c:f>
              <c:numCache>
                <c:formatCode>General</c:formatCode>
                <c:ptCount val="1"/>
                <c:pt idx="0">
                  <c:v>-3.6</c:v>
                </c:pt>
              </c:numCache>
            </c:numRef>
          </c:val>
        </c:ser>
        <c:ser>
          <c:idx val="3"/>
          <c:order val="3"/>
          <c:tx>
            <c:strRef>
              <c:f>Sheet1!$A$5</c:f>
              <c:strCache>
                <c:ptCount val="1"/>
                <c:pt idx="0">
                  <c:v>Oraș Pătârlagele</c:v>
                </c:pt>
              </c:strCache>
            </c:strRef>
          </c:tx>
          <c:spPr>
            <a:solidFill>
              <a:srgbClr val="CCFFFF"/>
            </a:solidFill>
            <a:ln w="13160">
              <a:solidFill>
                <a:srgbClr val="000000"/>
              </a:solidFill>
              <a:prstDash val="solid"/>
            </a:ln>
          </c:spPr>
          <c:cat>
            <c:strRef>
              <c:f>Sheet1!$A$1</c:f>
              <c:strCache>
                <c:ptCount val="1"/>
                <c:pt idx="0">
                  <c:v>Oraş</c:v>
                </c:pt>
              </c:strCache>
            </c:strRef>
          </c:cat>
          <c:val>
            <c:numRef>
              <c:f>Sheet1!$B$5</c:f>
              <c:numCache>
                <c:formatCode>General</c:formatCode>
                <c:ptCount val="1"/>
                <c:pt idx="0">
                  <c:v>-2.5</c:v>
                </c:pt>
              </c:numCache>
            </c:numRef>
          </c:val>
        </c:ser>
        <c:ser>
          <c:idx val="4"/>
          <c:order val="4"/>
          <c:tx>
            <c:strRef>
              <c:f>Sheet1!$A$6</c:f>
              <c:strCache>
                <c:ptCount val="1"/>
                <c:pt idx="0">
                  <c:v>Oraș Pogoanele</c:v>
                </c:pt>
              </c:strCache>
            </c:strRef>
          </c:tx>
          <c:spPr>
            <a:solidFill>
              <a:srgbClr val="660066"/>
            </a:solidFill>
            <a:ln w="13160">
              <a:solidFill>
                <a:srgbClr val="000000"/>
              </a:solidFill>
              <a:prstDash val="solid"/>
            </a:ln>
          </c:spPr>
          <c:cat>
            <c:strRef>
              <c:f>Sheet1!$A$1</c:f>
              <c:strCache>
                <c:ptCount val="1"/>
                <c:pt idx="0">
                  <c:v>Oraş</c:v>
                </c:pt>
              </c:strCache>
            </c:strRef>
          </c:cat>
          <c:val>
            <c:numRef>
              <c:f>Sheet1!$B$6</c:f>
              <c:numCache>
                <c:formatCode>General</c:formatCode>
                <c:ptCount val="1"/>
                <c:pt idx="0">
                  <c:v>-2.2999999999999998</c:v>
                </c:pt>
              </c:numCache>
            </c:numRef>
          </c:val>
        </c:ser>
        <c:ser>
          <c:idx val="5"/>
          <c:order val="5"/>
          <c:tx>
            <c:strRef>
              <c:f>Sheet1!$A$7</c:f>
              <c:strCache>
                <c:ptCount val="1"/>
                <c:pt idx="0">
                  <c:v>Judeţul Buzău </c:v>
                </c:pt>
              </c:strCache>
            </c:strRef>
          </c:tx>
          <c:spPr>
            <a:solidFill>
              <a:srgbClr val="FF8080"/>
            </a:solidFill>
            <a:ln w="13160">
              <a:solidFill>
                <a:srgbClr val="000000"/>
              </a:solidFill>
              <a:prstDash val="solid"/>
            </a:ln>
          </c:spPr>
          <c:cat>
            <c:strRef>
              <c:f>Sheet1!$A$1</c:f>
              <c:strCache>
                <c:ptCount val="1"/>
                <c:pt idx="0">
                  <c:v>Oraş</c:v>
                </c:pt>
              </c:strCache>
            </c:strRef>
          </c:cat>
          <c:val>
            <c:numRef>
              <c:f>Sheet1!$B$7</c:f>
              <c:numCache>
                <c:formatCode>General</c:formatCode>
                <c:ptCount val="1"/>
                <c:pt idx="0">
                  <c:v>-2.1</c:v>
                </c:pt>
              </c:numCache>
            </c:numRef>
          </c:val>
        </c:ser>
        <c:axId val="167913728"/>
        <c:axId val="167923712"/>
      </c:barChart>
      <c:catAx>
        <c:axId val="167913728"/>
        <c:scaling>
          <c:orientation val="minMax"/>
        </c:scaling>
        <c:axPos val="b"/>
        <c:numFmt formatCode="0.00" sourceLinked="0"/>
        <c:tickLblPos val="nextTo"/>
        <c:spPr>
          <a:ln w="3290">
            <a:solidFill>
              <a:srgbClr val="000000"/>
            </a:solidFill>
            <a:prstDash val="solid"/>
          </a:ln>
        </c:spPr>
        <c:txPr>
          <a:bodyPr rot="0" vert="horz"/>
          <a:lstStyle/>
          <a:p>
            <a:pPr>
              <a:defRPr sz="1036" b="0" i="0" u="none" strike="noStrike" baseline="0">
                <a:solidFill>
                  <a:srgbClr val="000000"/>
                </a:solidFill>
                <a:latin typeface="Calibri"/>
                <a:ea typeface="Calibri"/>
                <a:cs typeface="Calibri"/>
              </a:defRPr>
            </a:pPr>
            <a:endParaRPr lang="ro-RO"/>
          </a:p>
        </c:txPr>
        <c:crossAx val="167923712"/>
        <c:crosses val="autoZero"/>
        <c:auto val="1"/>
        <c:lblAlgn val="ctr"/>
        <c:lblOffset val="100"/>
        <c:tickLblSkip val="1"/>
        <c:tickMarkSkip val="1"/>
      </c:catAx>
      <c:valAx>
        <c:axId val="167923712"/>
        <c:scaling>
          <c:orientation val="minMax"/>
        </c:scaling>
        <c:axPos val="l"/>
        <c:title>
          <c:tx>
            <c:rich>
              <a:bodyPr/>
              <a:lstStyle/>
              <a:p>
                <a:pPr>
                  <a:defRPr sz="1036" b="1" i="0" u="none" strike="noStrike" baseline="0">
                    <a:solidFill>
                      <a:srgbClr val="000000"/>
                    </a:solidFill>
                    <a:latin typeface="Calibri"/>
                    <a:ea typeface="Calibri"/>
                    <a:cs typeface="Calibri"/>
                  </a:defRPr>
                </a:pPr>
                <a:r>
                  <a:rPr lang="ro-RO"/>
                  <a:t>loc./Kmp</a:t>
                </a:r>
              </a:p>
            </c:rich>
          </c:tx>
          <c:layout>
            <c:manualLayout>
              <c:xMode val="edge"/>
              <c:yMode val="edge"/>
              <c:x val="2.1089695879401328E-2"/>
              <c:y val="0.37024209291424315"/>
            </c:manualLayout>
          </c:layout>
          <c:spPr>
            <a:noFill/>
            <a:ln w="26320">
              <a:noFill/>
            </a:ln>
          </c:spPr>
        </c:title>
        <c:numFmt formatCode="General" sourceLinked="1"/>
        <c:tickLblPos val="nextTo"/>
        <c:spPr>
          <a:ln w="3290">
            <a:solidFill>
              <a:srgbClr val="000000"/>
            </a:solidFill>
            <a:prstDash val="solid"/>
          </a:ln>
        </c:spPr>
        <c:txPr>
          <a:bodyPr rot="0" vert="horz"/>
          <a:lstStyle/>
          <a:p>
            <a:pPr>
              <a:defRPr sz="1036" b="0" i="0" u="none" strike="noStrike" baseline="0">
                <a:solidFill>
                  <a:srgbClr val="000000"/>
                </a:solidFill>
                <a:latin typeface="Calibri"/>
                <a:ea typeface="Calibri"/>
                <a:cs typeface="Calibri"/>
              </a:defRPr>
            </a:pPr>
            <a:endParaRPr lang="ro-RO"/>
          </a:p>
        </c:txPr>
        <c:crossAx val="167913728"/>
        <c:crosses val="autoZero"/>
        <c:crossBetween val="between"/>
      </c:valAx>
      <c:spPr>
        <a:noFill/>
        <a:ln w="26320">
          <a:noFill/>
        </a:ln>
      </c:spPr>
    </c:plotArea>
    <c:legend>
      <c:legendPos val="r"/>
      <c:layout>
        <c:manualLayout>
          <c:xMode val="edge"/>
          <c:yMode val="edge"/>
          <c:x val="3.7037037037037056E-2"/>
          <c:y val="0.78767123287671326"/>
          <c:w val="0.7319223985890656"/>
          <c:h val="0.19863013698630141"/>
        </c:manualLayout>
      </c:layout>
      <c:spPr>
        <a:solidFill>
          <a:srgbClr val="FFFFFF"/>
        </a:solidFill>
        <a:ln w="3290">
          <a:solidFill>
            <a:srgbClr val="000000"/>
          </a:solidFill>
          <a:prstDash val="solid"/>
        </a:ln>
      </c:spPr>
      <c:txPr>
        <a:bodyPr/>
        <a:lstStyle/>
        <a:p>
          <a:pPr>
            <a:defRPr sz="953"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Sheet1!$C$47</c:f>
              <c:strCache>
                <c:ptCount val="1"/>
                <c:pt idx="0">
                  <c:v>PM2,5 aut(µg/m3)</c:v>
                </c:pt>
              </c:strCache>
            </c:strRef>
          </c:tx>
          <c:marker>
            <c:symbol val="none"/>
          </c:marker>
          <c:cat>
            <c:strRef>
              <c:f>Sheet1!$B$48:$B$54</c:f>
              <c:strCache>
                <c:ptCount val="7"/>
                <c:pt idx="0">
                  <c:v>2008"</c:v>
                </c:pt>
                <c:pt idx="1">
                  <c:v>2009"</c:v>
                </c:pt>
                <c:pt idx="2">
                  <c:v>2010"</c:v>
                </c:pt>
                <c:pt idx="3">
                  <c:v>2011"</c:v>
                </c:pt>
                <c:pt idx="4">
                  <c:v>2012"</c:v>
                </c:pt>
                <c:pt idx="5">
                  <c:v>2013"</c:v>
                </c:pt>
                <c:pt idx="6">
                  <c:v>2014"</c:v>
                </c:pt>
              </c:strCache>
            </c:strRef>
          </c:cat>
          <c:val>
            <c:numRef>
              <c:f>Sheet1!$C$48:$C$54</c:f>
              <c:numCache>
                <c:formatCode>General</c:formatCode>
                <c:ptCount val="7"/>
                <c:pt idx="1">
                  <c:v>10</c:v>
                </c:pt>
                <c:pt idx="2">
                  <c:v>13</c:v>
                </c:pt>
              </c:numCache>
            </c:numRef>
          </c:val>
        </c:ser>
        <c:ser>
          <c:idx val="1"/>
          <c:order val="1"/>
          <c:tx>
            <c:strRef>
              <c:f>Sheet1!$D$47</c:f>
              <c:strCache>
                <c:ptCount val="1"/>
                <c:pt idx="0">
                  <c:v>PM2,5 grv(µg/m3)</c:v>
                </c:pt>
              </c:strCache>
            </c:strRef>
          </c:tx>
          <c:marker>
            <c:symbol val="none"/>
          </c:marker>
          <c:cat>
            <c:strRef>
              <c:f>Sheet1!$B$48:$B$54</c:f>
              <c:strCache>
                <c:ptCount val="7"/>
                <c:pt idx="0">
                  <c:v>2008"</c:v>
                </c:pt>
                <c:pt idx="1">
                  <c:v>2009"</c:v>
                </c:pt>
                <c:pt idx="2">
                  <c:v>2010"</c:v>
                </c:pt>
                <c:pt idx="3">
                  <c:v>2011"</c:v>
                </c:pt>
                <c:pt idx="4">
                  <c:v>2012"</c:v>
                </c:pt>
                <c:pt idx="5">
                  <c:v>2013"</c:v>
                </c:pt>
                <c:pt idx="6">
                  <c:v>2014"</c:v>
                </c:pt>
              </c:strCache>
            </c:strRef>
          </c:cat>
          <c:val>
            <c:numRef>
              <c:f>Sheet1!$D$48:$D$54</c:f>
              <c:numCache>
                <c:formatCode>General</c:formatCode>
                <c:ptCount val="7"/>
                <c:pt idx="1">
                  <c:v>13</c:v>
                </c:pt>
                <c:pt idx="2">
                  <c:v>15</c:v>
                </c:pt>
                <c:pt idx="4">
                  <c:v>28</c:v>
                </c:pt>
              </c:numCache>
            </c:numRef>
          </c:val>
        </c:ser>
        <c:ser>
          <c:idx val="2"/>
          <c:order val="2"/>
          <c:tx>
            <c:strRef>
              <c:f>Sheet1!$E$47</c:f>
              <c:strCache>
                <c:ptCount val="1"/>
                <c:pt idx="0">
                  <c:v>VL PM2,5(µg/m3)</c:v>
                </c:pt>
              </c:strCache>
            </c:strRef>
          </c:tx>
          <c:marker>
            <c:symbol val="none"/>
          </c:marker>
          <c:cat>
            <c:strRef>
              <c:f>Sheet1!$B$48:$B$54</c:f>
              <c:strCache>
                <c:ptCount val="7"/>
                <c:pt idx="0">
                  <c:v>2008"</c:v>
                </c:pt>
                <c:pt idx="1">
                  <c:v>2009"</c:v>
                </c:pt>
                <c:pt idx="2">
                  <c:v>2010"</c:v>
                </c:pt>
                <c:pt idx="3">
                  <c:v>2011"</c:v>
                </c:pt>
                <c:pt idx="4">
                  <c:v>2012"</c:v>
                </c:pt>
                <c:pt idx="5">
                  <c:v>2013"</c:v>
                </c:pt>
                <c:pt idx="6">
                  <c:v>2014"</c:v>
                </c:pt>
              </c:strCache>
            </c:strRef>
          </c:cat>
          <c:val>
            <c:numRef>
              <c:f>Sheet1!$E$48:$E$54</c:f>
              <c:numCache>
                <c:formatCode>General</c:formatCode>
                <c:ptCount val="7"/>
                <c:pt idx="3">
                  <c:v>30</c:v>
                </c:pt>
                <c:pt idx="4">
                  <c:v>28.72</c:v>
                </c:pt>
                <c:pt idx="5">
                  <c:v>27.5</c:v>
                </c:pt>
                <c:pt idx="6">
                  <c:v>26.25</c:v>
                </c:pt>
              </c:numCache>
            </c:numRef>
          </c:val>
        </c:ser>
        <c:marker val="1"/>
        <c:axId val="159412992"/>
        <c:axId val="159414528"/>
      </c:lineChart>
      <c:catAx>
        <c:axId val="159412992"/>
        <c:scaling>
          <c:orientation val="minMax"/>
        </c:scaling>
        <c:axPos val="b"/>
        <c:tickLblPos val="nextTo"/>
        <c:crossAx val="159414528"/>
        <c:crosses val="autoZero"/>
        <c:auto val="1"/>
        <c:lblAlgn val="ctr"/>
        <c:lblOffset val="100"/>
      </c:catAx>
      <c:valAx>
        <c:axId val="159414528"/>
        <c:scaling>
          <c:orientation val="minMax"/>
        </c:scaling>
        <c:axPos val="l"/>
        <c:majorGridlines/>
        <c:numFmt formatCode="General" sourceLinked="1"/>
        <c:tickLblPos val="nextTo"/>
        <c:crossAx val="159412992"/>
        <c:crosses val="autoZero"/>
        <c:crossBetween val="between"/>
      </c:valAx>
    </c:plotArea>
    <c:legend>
      <c:legendPos val="r"/>
    </c:legend>
    <c:plotVisOnly val="1"/>
  </c:chart>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43" b="1" i="0" u="none" strike="noStrike" baseline="0">
                <a:solidFill>
                  <a:srgbClr val="000000"/>
                </a:solidFill>
                <a:latin typeface="Calibri"/>
                <a:ea typeface="Calibri"/>
                <a:cs typeface="Calibri"/>
              </a:defRPr>
            </a:pPr>
            <a:r>
              <a:rPr lang="vi-VN"/>
              <a:t>Modificarea populaţiei urbane din judeţul Buzău şi principalele localităţi, ca % din anul 2010</a:t>
            </a:r>
          </a:p>
        </c:rich>
      </c:tx>
      <c:layout>
        <c:manualLayout>
          <c:xMode val="edge"/>
          <c:yMode val="edge"/>
          <c:x val="0.16520205373532831"/>
          <c:y val="1.3840769903762052E-2"/>
        </c:manualLayout>
      </c:layout>
      <c:spPr>
        <a:noFill/>
        <a:ln w="26304">
          <a:noFill/>
        </a:ln>
      </c:spPr>
    </c:title>
    <c:plotArea>
      <c:layout>
        <c:manualLayout>
          <c:layoutTarget val="inner"/>
          <c:xMode val="edge"/>
          <c:yMode val="edge"/>
          <c:x val="0.12126537785588763"/>
          <c:y val="0.20761245674740514"/>
          <c:w val="0.82776801405975464"/>
          <c:h val="0.51557093425605538"/>
        </c:manualLayout>
      </c:layout>
      <c:barChart>
        <c:barDir val="col"/>
        <c:grouping val="clustered"/>
        <c:ser>
          <c:idx val="0"/>
          <c:order val="0"/>
          <c:tx>
            <c:strRef>
              <c:f>Sheet1!$A$2</c:f>
              <c:strCache>
                <c:ptCount val="1"/>
                <c:pt idx="0">
                  <c:v>Municipiul Buzău</c:v>
                </c:pt>
              </c:strCache>
            </c:strRef>
          </c:tx>
          <c:spPr>
            <a:solidFill>
              <a:srgbClr val="9999FF"/>
            </a:solidFill>
            <a:ln w="13152">
              <a:solidFill>
                <a:srgbClr val="000000"/>
              </a:solidFill>
              <a:prstDash val="solid"/>
            </a:ln>
          </c:spPr>
          <c:dPt>
            <c:idx val="0"/>
            <c:spPr/>
          </c:dPt>
          <c:dPt>
            <c:idx val="1"/>
            <c:spPr/>
          </c:dPt>
          <c:dPt>
            <c:idx val="2"/>
            <c:spPr/>
          </c:dPt>
          <c:dPt>
            <c:idx val="3"/>
            <c:spPr/>
          </c:dPt>
          <c:dPt>
            <c:idx val="4"/>
            <c:spPr/>
          </c:dPt>
          <c:cat>
            <c:strRef>
              <c:f>Sheet1!$A$1</c:f>
              <c:strCache>
                <c:ptCount val="1"/>
                <c:pt idx="0">
                  <c:v>Oraş</c:v>
                </c:pt>
              </c:strCache>
            </c:strRef>
          </c:cat>
          <c:val>
            <c:numRef>
              <c:f>Sheet1!$B$2</c:f>
              <c:numCache>
                <c:formatCode>General</c:formatCode>
                <c:ptCount val="1"/>
                <c:pt idx="0">
                  <c:v>-3.16</c:v>
                </c:pt>
              </c:numCache>
            </c:numRef>
          </c:val>
        </c:ser>
        <c:ser>
          <c:idx val="1"/>
          <c:order val="1"/>
          <c:tx>
            <c:strRef>
              <c:f>Sheet1!$A$3</c:f>
              <c:strCache>
                <c:ptCount val="1"/>
                <c:pt idx="0">
                  <c:v>Municipiul Rîmnicu Sărat</c:v>
                </c:pt>
              </c:strCache>
            </c:strRef>
          </c:tx>
          <c:spPr>
            <a:solidFill>
              <a:srgbClr val="993366"/>
            </a:solidFill>
            <a:ln w="13152">
              <a:solidFill>
                <a:srgbClr val="000000"/>
              </a:solidFill>
              <a:prstDash val="solid"/>
            </a:ln>
          </c:spPr>
          <c:cat>
            <c:strRef>
              <c:f>Sheet1!$A$1</c:f>
              <c:strCache>
                <c:ptCount val="1"/>
                <c:pt idx="0">
                  <c:v>Oraş</c:v>
                </c:pt>
              </c:strCache>
            </c:strRef>
          </c:cat>
          <c:val>
            <c:numRef>
              <c:f>Sheet1!$B$3</c:f>
              <c:numCache>
                <c:formatCode>General</c:formatCode>
                <c:ptCount val="1"/>
                <c:pt idx="0">
                  <c:v>-1.56</c:v>
                </c:pt>
              </c:numCache>
            </c:numRef>
          </c:val>
        </c:ser>
        <c:ser>
          <c:idx val="2"/>
          <c:order val="2"/>
          <c:tx>
            <c:strRef>
              <c:f>Sheet1!$A$4</c:f>
              <c:strCache>
                <c:ptCount val="1"/>
                <c:pt idx="0">
                  <c:v>Oraș Nehoiu</c:v>
                </c:pt>
              </c:strCache>
            </c:strRef>
          </c:tx>
          <c:spPr>
            <a:solidFill>
              <a:srgbClr val="FFFFCC"/>
            </a:solidFill>
            <a:ln w="13152">
              <a:solidFill>
                <a:srgbClr val="000000"/>
              </a:solidFill>
              <a:prstDash val="solid"/>
            </a:ln>
          </c:spPr>
          <c:cat>
            <c:strRef>
              <c:f>Sheet1!$A$1</c:f>
              <c:strCache>
                <c:ptCount val="1"/>
                <c:pt idx="0">
                  <c:v>Oraş</c:v>
                </c:pt>
              </c:strCache>
            </c:strRef>
          </c:cat>
          <c:val>
            <c:numRef>
              <c:f>Sheet1!$B$4</c:f>
              <c:numCache>
                <c:formatCode>General</c:formatCode>
                <c:ptCount val="1"/>
                <c:pt idx="0">
                  <c:v>-3.44</c:v>
                </c:pt>
              </c:numCache>
            </c:numRef>
          </c:val>
        </c:ser>
        <c:ser>
          <c:idx val="3"/>
          <c:order val="3"/>
          <c:tx>
            <c:strRef>
              <c:f>Sheet1!$A$5</c:f>
              <c:strCache>
                <c:ptCount val="1"/>
                <c:pt idx="0">
                  <c:v>Oraș Pătârlagele</c:v>
                </c:pt>
              </c:strCache>
            </c:strRef>
          </c:tx>
          <c:spPr>
            <a:solidFill>
              <a:srgbClr val="CCFFFF"/>
            </a:solidFill>
            <a:ln w="13152">
              <a:solidFill>
                <a:srgbClr val="000000"/>
              </a:solidFill>
              <a:prstDash val="solid"/>
            </a:ln>
          </c:spPr>
          <c:cat>
            <c:strRef>
              <c:f>Sheet1!$A$1</c:f>
              <c:strCache>
                <c:ptCount val="1"/>
                <c:pt idx="0">
                  <c:v>Oraş</c:v>
                </c:pt>
              </c:strCache>
            </c:strRef>
          </c:cat>
          <c:val>
            <c:numRef>
              <c:f>Sheet1!$B$5</c:f>
              <c:numCache>
                <c:formatCode>General</c:formatCode>
                <c:ptCount val="1"/>
                <c:pt idx="0">
                  <c:v>-2.46</c:v>
                </c:pt>
              </c:numCache>
            </c:numRef>
          </c:val>
        </c:ser>
        <c:ser>
          <c:idx val="4"/>
          <c:order val="4"/>
          <c:tx>
            <c:strRef>
              <c:f>Sheet1!$A$6</c:f>
              <c:strCache>
                <c:ptCount val="1"/>
                <c:pt idx="0">
                  <c:v>Oraș Pogoanele</c:v>
                </c:pt>
              </c:strCache>
            </c:strRef>
          </c:tx>
          <c:spPr>
            <a:solidFill>
              <a:srgbClr val="660066"/>
            </a:solidFill>
            <a:ln w="13152">
              <a:solidFill>
                <a:srgbClr val="000000"/>
              </a:solidFill>
              <a:prstDash val="solid"/>
            </a:ln>
          </c:spPr>
          <c:cat>
            <c:strRef>
              <c:f>Sheet1!$A$1</c:f>
              <c:strCache>
                <c:ptCount val="1"/>
                <c:pt idx="0">
                  <c:v>Oraş</c:v>
                </c:pt>
              </c:strCache>
            </c:strRef>
          </c:cat>
          <c:val>
            <c:numRef>
              <c:f>Sheet1!$B$6</c:f>
              <c:numCache>
                <c:formatCode>General</c:formatCode>
                <c:ptCount val="1"/>
                <c:pt idx="0">
                  <c:v>-3.58</c:v>
                </c:pt>
              </c:numCache>
            </c:numRef>
          </c:val>
        </c:ser>
        <c:ser>
          <c:idx val="5"/>
          <c:order val="5"/>
          <c:tx>
            <c:strRef>
              <c:f>Sheet1!$A$7</c:f>
              <c:strCache>
                <c:ptCount val="1"/>
                <c:pt idx="0">
                  <c:v>Judeţul Buzău </c:v>
                </c:pt>
              </c:strCache>
            </c:strRef>
          </c:tx>
          <c:spPr>
            <a:solidFill>
              <a:srgbClr val="FF8080"/>
            </a:solidFill>
            <a:ln w="13152">
              <a:solidFill>
                <a:srgbClr val="000000"/>
              </a:solidFill>
              <a:prstDash val="solid"/>
            </a:ln>
          </c:spPr>
          <c:cat>
            <c:strRef>
              <c:f>Sheet1!$A$1</c:f>
              <c:strCache>
                <c:ptCount val="1"/>
                <c:pt idx="0">
                  <c:v>Oraş</c:v>
                </c:pt>
              </c:strCache>
            </c:strRef>
          </c:cat>
          <c:val>
            <c:numRef>
              <c:f>Sheet1!$B$7</c:f>
              <c:numCache>
                <c:formatCode>General</c:formatCode>
                <c:ptCount val="1"/>
                <c:pt idx="0">
                  <c:v>-2.58</c:v>
                </c:pt>
              </c:numCache>
            </c:numRef>
          </c:val>
        </c:ser>
        <c:axId val="168269696"/>
        <c:axId val="168271232"/>
      </c:barChart>
      <c:catAx>
        <c:axId val="168269696"/>
        <c:scaling>
          <c:orientation val="minMax"/>
        </c:scaling>
        <c:axPos val="b"/>
        <c:numFmt formatCode="0.00" sourceLinked="0"/>
        <c:tickLblPos val="nextTo"/>
        <c:spPr>
          <a:ln w="3288">
            <a:solidFill>
              <a:srgbClr val="000000"/>
            </a:solidFill>
            <a:prstDash val="solid"/>
          </a:ln>
        </c:spPr>
        <c:txPr>
          <a:bodyPr rot="0" vert="horz"/>
          <a:lstStyle/>
          <a:p>
            <a:pPr>
              <a:defRPr sz="1036" b="0" i="0" u="none" strike="noStrike" baseline="0">
                <a:solidFill>
                  <a:srgbClr val="000000"/>
                </a:solidFill>
                <a:latin typeface="Calibri"/>
                <a:ea typeface="Calibri"/>
                <a:cs typeface="Calibri"/>
              </a:defRPr>
            </a:pPr>
            <a:endParaRPr lang="ro-RO"/>
          </a:p>
        </c:txPr>
        <c:crossAx val="168271232"/>
        <c:crosses val="autoZero"/>
        <c:auto val="1"/>
        <c:lblAlgn val="ctr"/>
        <c:lblOffset val="100"/>
        <c:tickLblSkip val="1"/>
        <c:tickMarkSkip val="1"/>
      </c:catAx>
      <c:valAx>
        <c:axId val="168271232"/>
        <c:scaling>
          <c:orientation val="minMax"/>
        </c:scaling>
        <c:axPos val="l"/>
        <c:title>
          <c:tx>
            <c:rich>
              <a:bodyPr/>
              <a:lstStyle/>
              <a:p>
                <a:pPr>
                  <a:defRPr sz="1036" b="1" i="0" u="none" strike="noStrike" baseline="0">
                    <a:solidFill>
                      <a:srgbClr val="000000"/>
                    </a:solidFill>
                    <a:latin typeface="Calibri"/>
                    <a:ea typeface="Calibri"/>
                    <a:cs typeface="Calibri"/>
                  </a:defRPr>
                </a:pPr>
                <a:r>
                  <a:rPr lang="ro-RO"/>
                  <a:t>%</a:t>
                </a:r>
              </a:p>
            </c:rich>
          </c:tx>
          <c:layout>
            <c:manualLayout>
              <c:xMode val="edge"/>
              <c:yMode val="edge"/>
              <c:x val="2.1089580871203831E-2"/>
              <c:y val="0.4394463692038505"/>
            </c:manualLayout>
          </c:layout>
          <c:spPr>
            <a:noFill/>
            <a:ln w="26304">
              <a:noFill/>
            </a:ln>
          </c:spPr>
        </c:title>
        <c:numFmt formatCode="General" sourceLinked="1"/>
        <c:tickLblPos val="nextTo"/>
        <c:spPr>
          <a:ln w="3288">
            <a:solidFill>
              <a:srgbClr val="000000"/>
            </a:solidFill>
            <a:prstDash val="solid"/>
          </a:ln>
        </c:spPr>
        <c:txPr>
          <a:bodyPr rot="0" vert="horz"/>
          <a:lstStyle/>
          <a:p>
            <a:pPr>
              <a:defRPr sz="1036" b="0" i="0" u="none" strike="noStrike" baseline="0">
                <a:solidFill>
                  <a:srgbClr val="000000"/>
                </a:solidFill>
                <a:latin typeface="Calibri"/>
                <a:ea typeface="Calibri"/>
                <a:cs typeface="Calibri"/>
              </a:defRPr>
            </a:pPr>
            <a:endParaRPr lang="ro-RO"/>
          </a:p>
        </c:txPr>
        <c:crossAx val="168269696"/>
        <c:crosses val="autoZero"/>
        <c:crossBetween val="between"/>
      </c:valAx>
      <c:spPr>
        <a:noFill/>
        <a:ln w="26304">
          <a:noFill/>
        </a:ln>
      </c:spPr>
    </c:plotArea>
    <c:legend>
      <c:legendPos val="r"/>
      <c:layout>
        <c:manualLayout>
          <c:xMode val="edge"/>
          <c:yMode val="edge"/>
          <c:x val="3.6906854130052721E-2"/>
          <c:y val="0.78451178451178449"/>
          <c:w val="0.73110720562390163"/>
          <c:h val="0.20202020202020204"/>
        </c:manualLayout>
      </c:layout>
      <c:spPr>
        <a:solidFill>
          <a:srgbClr val="FFFFFF"/>
        </a:solidFill>
        <a:ln w="3288">
          <a:solidFill>
            <a:srgbClr val="000000"/>
          </a:solidFill>
          <a:prstDash val="solid"/>
        </a:ln>
      </c:spPr>
      <c:txPr>
        <a:bodyPr/>
        <a:lstStyle/>
        <a:p>
          <a:pPr>
            <a:defRPr sz="953"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09" b="1" i="0" u="none" strike="noStrike" baseline="0">
                <a:solidFill>
                  <a:srgbClr val="000000"/>
                </a:solidFill>
                <a:latin typeface="Calibri"/>
                <a:ea typeface="Calibri"/>
                <a:cs typeface="Calibri"/>
              </a:defRPr>
            </a:pPr>
            <a:r>
              <a:rPr lang="vi-VN"/>
              <a:t>Modificarea populaţiei urbane din judeţul Buzău şi principalele localităţi, ca diferenţă între anii 2014 - 2010</a:t>
            </a:r>
          </a:p>
        </c:rich>
      </c:tx>
      <c:layout>
        <c:manualLayout>
          <c:xMode val="edge"/>
          <c:yMode val="edge"/>
          <c:x val="0.16402116402116401"/>
          <c:y val="1.3698630136986301E-2"/>
        </c:manualLayout>
      </c:layout>
      <c:spPr>
        <a:noFill/>
        <a:ln w="17129">
          <a:noFill/>
        </a:ln>
      </c:spPr>
    </c:title>
    <c:plotArea>
      <c:layout>
        <c:manualLayout>
          <c:layoutTarget val="inner"/>
          <c:xMode val="edge"/>
          <c:yMode val="edge"/>
          <c:x val="0.12169312169312177"/>
          <c:y val="0.20547945205479473"/>
          <c:w val="0.8271604938271605"/>
          <c:h val="0.45205479452054792"/>
        </c:manualLayout>
      </c:layout>
      <c:barChart>
        <c:barDir val="col"/>
        <c:grouping val="clustered"/>
        <c:ser>
          <c:idx val="0"/>
          <c:order val="0"/>
          <c:tx>
            <c:strRef>
              <c:f>Sheet1!$A$2</c:f>
              <c:strCache>
                <c:ptCount val="1"/>
                <c:pt idx="0">
                  <c:v>Municipiul Buzău</c:v>
                </c:pt>
              </c:strCache>
            </c:strRef>
          </c:tx>
          <c:spPr>
            <a:solidFill>
              <a:srgbClr val="9999FF"/>
            </a:solidFill>
            <a:ln w="8565">
              <a:solidFill>
                <a:srgbClr val="000000"/>
              </a:solidFill>
              <a:prstDash val="solid"/>
            </a:ln>
          </c:spPr>
          <c:dPt>
            <c:idx val="0"/>
            <c:spPr/>
          </c:dPt>
          <c:dPt>
            <c:idx val="1"/>
            <c:spPr/>
          </c:dPt>
          <c:dPt>
            <c:idx val="2"/>
            <c:spPr/>
          </c:dPt>
          <c:dPt>
            <c:idx val="3"/>
            <c:spPr/>
          </c:dPt>
          <c:dPt>
            <c:idx val="4"/>
            <c:spPr/>
          </c:dPt>
          <c:cat>
            <c:strRef>
              <c:f>Sheet1!$A$1</c:f>
              <c:strCache>
                <c:ptCount val="1"/>
                <c:pt idx="0">
                  <c:v>Oraş</c:v>
                </c:pt>
              </c:strCache>
            </c:strRef>
          </c:cat>
          <c:val>
            <c:numRef>
              <c:f>Sheet1!$B$2</c:f>
              <c:numCache>
                <c:formatCode>General</c:formatCode>
                <c:ptCount val="1"/>
                <c:pt idx="0">
                  <c:v>84</c:v>
                </c:pt>
              </c:numCache>
            </c:numRef>
          </c:val>
        </c:ser>
        <c:ser>
          <c:idx val="1"/>
          <c:order val="1"/>
          <c:tx>
            <c:strRef>
              <c:f>Sheet1!$A$3</c:f>
              <c:strCache>
                <c:ptCount val="1"/>
                <c:pt idx="0">
                  <c:v>Municipiul Rîmnicu Sărat</c:v>
                </c:pt>
              </c:strCache>
            </c:strRef>
          </c:tx>
          <c:spPr>
            <a:solidFill>
              <a:srgbClr val="993366"/>
            </a:solidFill>
            <a:ln w="8565">
              <a:solidFill>
                <a:srgbClr val="000000"/>
              </a:solidFill>
              <a:prstDash val="solid"/>
            </a:ln>
          </c:spPr>
          <c:cat>
            <c:strRef>
              <c:f>Sheet1!$A$1</c:f>
              <c:strCache>
                <c:ptCount val="1"/>
                <c:pt idx="0">
                  <c:v>Oraş</c:v>
                </c:pt>
              </c:strCache>
            </c:strRef>
          </c:cat>
          <c:val>
            <c:numRef>
              <c:f>Sheet1!$B$3</c:f>
              <c:numCache>
                <c:formatCode>General</c:formatCode>
                <c:ptCount val="1"/>
                <c:pt idx="0">
                  <c:v>0</c:v>
                </c:pt>
              </c:numCache>
            </c:numRef>
          </c:val>
        </c:ser>
        <c:ser>
          <c:idx val="2"/>
          <c:order val="2"/>
          <c:tx>
            <c:strRef>
              <c:f>Sheet1!$A$4</c:f>
              <c:strCache>
                <c:ptCount val="1"/>
                <c:pt idx="0">
                  <c:v>Oraș Nehoiu</c:v>
                </c:pt>
              </c:strCache>
            </c:strRef>
          </c:tx>
          <c:spPr>
            <a:solidFill>
              <a:srgbClr val="FFFFCC"/>
            </a:solidFill>
            <a:ln w="8565">
              <a:solidFill>
                <a:srgbClr val="000000"/>
              </a:solidFill>
              <a:prstDash val="solid"/>
            </a:ln>
          </c:spPr>
          <c:cat>
            <c:strRef>
              <c:f>Sheet1!$A$1</c:f>
              <c:strCache>
                <c:ptCount val="1"/>
                <c:pt idx="0">
                  <c:v>Oraş</c:v>
                </c:pt>
              </c:strCache>
            </c:strRef>
          </c:cat>
          <c:val>
            <c:numRef>
              <c:f>Sheet1!$B$4</c:f>
              <c:numCache>
                <c:formatCode>General</c:formatCode>
                <c:ptCount val="1"/>
                <c:pt idx="0">
                  <c:v>0</c:v>
                </c:pt>
              </c:numCache>
            </c:numRef>
          </c:val>
        </c:ser>
        <c:ser>
          <c:idx val="3"/>
          <c:order val="3"/>
          <c:tx>
            <c:strRef>
              <c:f>Sheet1!$A$5</c:f>
              <c:strCache>
                <c:ptCount val="1"/>
                <c:pt idx="0">
                  <c:v>Oraș Pătârlagele</c:v>
                </c:pt>
              </c:strCache>
            </c:strRef>
          </c:tx>
          <c:spPr>
            <a:solidFill>
              <a:srgbClr val="CCFFFF"/>
            </a:solidFill>
            <a:ln w="8565">
              <a:solidFill>
                <a:srgbClr val="000000"/>
              </a:solidFill>
              <a:prstDash val="solid"/>
            </a:ln>
          </c:spPr>
          <c:cat>
            <c:strRef>
              <c:f>Sheet1!$A$1</c:f>
              <c:strCache>
                <c:ptCount val="1"/>
                <c:pt idx="0">
                  <c:v>Oraş</c:v>
                </c:pt>
              </c:strCache>
            </c:strRef>
          </c:cat>
          <c:val>
            <c:numRef>
              <c:f>Sheet1!$B$5</c:f>
              <c:numCache>
                <c:formatCode>General</c:formatCode>
                <c:ptCount val="1"/>
                <c:pt idx="0">
                  <c:v>0</c:v>
                </c:pt>
              </c:numCache>
            </c:numRef>
          </c:val>
        </c:ser>
        <c:ser>
          <c:idx val="4"/>
          <c:order val="4"/>
          <c:tx>
            <c:strRef>
              <c:f>Sheet1!$A$6</c:f>
              <c:strCache>
                <c:ptCount val="1"/>
                <c:pt idx="0">
                  <c:v>Oraș Pogoanele</c:v>
                </c:pt>
              </c:strCache>
            </c:strRef>
          </c:tx>
          <c:spPr>
            <a:solidFill>
              <a:srgbClr val="660066"/>
            </a:solidFill>
            <a:ln w="8565">
              <a:solidFill>
                <a:srgbClr val="000000"/>
              </a:solidFill>
              <a:prstDash val="solid"/>
            </a:ln>
          </c:spPr>
          <c:cat>
            <c:strRef>
              <c:f>Sheet1!$A$1</c:f>
              <c:strCache>
                <c:ptCount val="1"/>
                <c:pt idx="0">
                  <c:v>Oraş</c:v>
                </c:pt>
              </c:strCache>
            </c:strRef>
          </c:cat>
          <c:val>
            <c:numRef>
              <c:f>Sheet1!$B$6</c:f>
              <c:numCache>
                <c:formatCode>General</c:formatCode>
                <c:ptCount val="1"/>
                <c:pt idx="0">
                  <c:v>0</c:v>
                </c:pt>
              </c:numCache>
            </c:numRef>
          </c:val>
        </c:ser>
        <c:axId val="168157952"/>
        <c:axId val="168159488"/>
      </c:barChart>
      <c:catAx>
        <c:axId val="168157952"/>
        <c:scaling>
          <c:orientation val="minMax"/>
        </c:scaling>
        <c:axPos val="b"/>
        <c:numFmt formatCode="0.00" sourceLinked="0"/>
        <c:tickLblPos val="nextTo"/>
        <c:spPr>
          <a:ln w="2141">
            <a:solidFill>
              <a:srgbClr val="000000"/>
            </a:solidFill>
            <a:prstDash val="solid"/>
          </a:ln>
        </c:spPr>
        <c:txPr>
          <a:bodyPr rot="0" vert="horz"/>
          <a:lstStyle/>
          <a:p>
            <a:pPr>
              <a:defRPr sz="674" b="0" i="0" u="none" strike="noStrike" baseline="0">
                <a:solidFill>
                  <a:srgbClr val="000000"/>
                </a:solidFill>
                <a:latin typeface="Calibri"/>
                <a:ea typeface="Calibri"/>
                <a:cs typeface="Calibri"/>
              </a:defRPr>
            </a:pPr>
            <a:endParaRPr lang="ro-RO"/>
          </a:p>
        </c:txPr>
        <c:crossAx val="168159488"/>
        <c:crosses val="autoZero"/>
        <c:auto val="1"/>
        <c:lblAlgn val="ctr"/>
        <c:lblOffset val="100"/>
        <c:tickLblSkip val="1"/>
        <c:tickMarkSkip val="1"/>
      </c:catAx>
      <c:valAx>
        <c:axId val="168159488"/>
        <c:scaling>
          <c:orientation val="minMax"/>
        </c:scaling>
        <c:axPos val="l"/>
        <c:title>
          <c:tx>
            <c:rich>
              <a:bodyPr/>
              <a:lstStyle/>
              <a:p>
                <a:pPr>
                  <a:defRPr sz="674" b="1" i="0" u="none" strike="noStrike" baseline="0">
                    <a:solidFill>
                      <a:srgbClr val="000000"/>
                    </a:solidFill>
                    <a:latin typeface="Calibri"/>
                    <a:ea typeface="Calibri"/>
                    <a:cs typeface="Calibri"/>
                  </a:defRPr>
                </a:pPr>
                <a:r>
                  <a:rPr lang="ro-RO"/>
                  <a:t>ha</a:t>
                </a:r>
              </a:p>
            </c:rich>
          </c:tx>
          <c:layout>
            <c:manualLayout>
              <c:xMode val="edge"/>
              <c:yMode val="edge"/>
              <c:x val="2.1164021164021166E-2"/>
              <c:y val="0.40068493150684975"/>
            </c:manualLayout>
          </c:layout>
          <c:spPr>
            <a:noFill/>
            <a:ln w="17129">
              <a:noFill/>
            </a:ln>
          </c:spPr>
        </c:title>
        <c:numFmt formatCode="General" sourceLinked="1"/>
        <c:tickLblPos val="nextTo"/>
        <c:spPr>
          <a:ln w="2141">
            <a:solidFill>
              <a:srgbClr val="000000"/>
            </a:solidFill>
            <a:prstDash val="solid"/>
          </a:ln>
        </c:spPr>
        <c:txPr>
          <a:bodyPr rot="0" vert="horz"/>
          <a:lstStyle/>
          <a:p>
            <a:pPr>
              <a:defRPr sz="674" b="0" i="0" u="none" strike="noStrike" baseline="0">
                <a:solidFill>
                  <a:srgbClr val="000000"/>
                </a:solidFill>
                <a:latin typeface="Calibri"/>
                <a:ea typeface="Calibri"/>
                <a:cs typeface="Calibri"/>
              </a:defRPr>
            </a:pPr>
            <a:endParaRPr lang="ro-RO"/>
          </a:p>
        </c:txPr>
        <c:crossAx val="168157952"/>
        <c:crosses val="autoZero"/>
        <c:crossBetween val="between"/>
      </c:valAx>
      <c:spPr>
        <a:noFill/>
        <a:ln w="17129">
          <a:noFill/>
        </a:ln>
      </c:spPr>
    </c:plotArea>
    <c:legend>
      <c:legendPos val="b"/>
      <c:layout>
        <c:manualLayout>
          <c:xMode val="edge"/>
          <c:yMode val="edge"/>
          <c:x val="4.0564373897707291E-2"/>
          <c:y val="0.78767123287671326"/>
          <c:w val="0.7319223985890656"/>
          <c:h val="0.19863013698630141"/>
        </c:manualLayout>
      </c:layout>
      <c:spPr>
        <a:solidFill>
          <a:srgbClr val="FFFFFF"/>
        </a:solidFill>
        <a:ln w="2141">
          <a:solidFill>
            <a:srgbClr val="000000"/>
          </a:solidFill>
          <a:prstDash val="solid"/>
        </a:ln>
      </c:spPr>
      <c:txPr>
        <a:bodyPr/>
        <a:lstStyle/>
        <a:p>
          <a:pPr>
            <a:defRPr sz="620" b="0" i="0" u="none" strike="noStrike" baseline="0">
              <a:solidFill>
                <a:srgbClr val="000000"/>
              </a:solidFill>
              <a:latin typeface="Calibri"/>
              <a:ea typeface="Calibri"/>
              <a:cs typeface="Calibri"/>
            </a:defRPr>
          </a:pPr>
          <a:endParaRPr lang="ro-RO"/>
        </a:p>
      </c:txPr>
    </c:legend>
    <c:plotVisOnly val="1"/>
    <c:dispBlanksAs val="gap"/>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Comparația</a:t>
            </a:r>
            <a:r>
              <a:rPr lang="ro-RO" sz="1000" baseline="0">
                <a:latin typeface="Arial" pitchFamily="34" charset="0"/>
                <a:cs typeface="Arial" pitchFamily="34" charset="0"/>
              </a:rPr>
              <a:t> între evoluția fondului forestier și tăierea masei lemnoase</a:t>
            </a:r>
            <a:endParaRPr lang="ro-RO" sz="1000">
              <a:latin typeface="Arial" pitchFamily="34" charset="0"/>
              <a:cs typeface="Arial" pitchFamily="34" charset="0"/>
            </a:endParaRPr>
          </a:p>
        </c:rich>
      </c:tx>
    </c:title>
    <c:plotArea>
      <c:layout/>
      <c:barChart>
        <c:barDir val="col"/>
        <c:grouping val="clustered"/>
        <c:ser>
          <c:idx val="0"/>
          <c:order val="0"/>
          <c:tx>
            <c:strRef>
              <c:f>Sheet1!$B$1</c:f>
              <c:strCache>
                <c:ptCount val="1"/>
                <c:pt idx="0">
                  <c:v>Evoluția creșterii anuale a fondului forestier (ha)</c:v>
                </c:pt>
              </c:strCache>
            </c:strRef>
          </c:tx>
          <c:dLbls>
            <c:showVal val="1"/>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318</c:v>
                </c:pt>
                <c:pt idx="1">
                  <c:v>156</c:v>
                </c:pt>
                <c:pt idx="2">
                  <c:v>2160</c:v>
                </c:pt>
                <c:pt idx="3">
                  <c:v>-605</c:v>
                </c:pt>
                <c:pt idx="4">
                  <c:v>-947</c:v>
                </c:pt>
              </c:numCache>
            </c:numRef>
          </c:val>
        </c:ser>
        <c:ser>
          <c:idx val="1"/>
          <c:order val="1"/>
          <c:tx>
            <c:strRef>
              <c:f>Sheet1!$C$1</c:f>
              <c:strCache>
                <c:ptCount val="1"/>
                <c:pt idx="0">
                  <c:v>Masă lemnoasă recoltată (mii mc)</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341.6</c:v>
                </c:pt>
                <c:pt idx="1">
                  <c:v>361.6</c:v>
                </c:pt>
                <c:pt idx="2">
                  <c:v>391.1</c:v>
                </c:pt>
                <c:pt idx="3">
                  <c:v>437.3</c:v>
                </c:pt>
                <c:pt idx="4">
                  <c:v>357.2</c:v>
                </c:pt>
              </c:numCache>
            </c:numRef>
          </c:val>
        </c:ser>
        <c:axId val="168388864"/>
        <c:axId val="168423424"/>
      </c:barChart>
      <c:catAx>
        <c:axId val="168388864"/>
        <c:scaling>
          <c:orientation val="minMax"/>
        </c:scaling>
        <c:axPos val="b"/>
        <c:numFmt formatCode="General" sourceLinked="1"/>
        <c:majorTickMark val="none"/>
        <c:tickLblPos val="nextTo"/>
        <c:crossAx val="168423424"/>
        <c:crosses val="autoZero"/>
        <c:auto val="1"/>
        <c:lblAlgn val="ctr"/>
        <c:lblOffset val="100"/>
      </c:catAx>
      <c:valAx>
        <c:axId val="168423424"/>
        <c:scaling>
          <c:orientation val="minMax"/>
        </c:scaling>
        <c:axPos val="l"/>
        <c:majorGridlines/>
        <c:numFmt formatCode="General" sourceLinked="1"/>
        <c:tickLblPos val="nextTo"/>
        <c:crossAx val="168388864"/>
        <c:crosses val="autoZero"/>
        <c:crossBetween val="between"/>
      </c:valAx>
    </c:plotArea>
    <c:legend>
      <c:legendPos val="r"/>
    </c:legend>
    <c:plotVisOnly val="1"/>
  </c:chart>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o-RO"/>
  <c:style val="4"/>
  <c:clrMapOvr bg1="lt1" tx1="dk1" bg2="lt2" tx2="dk2" accent1="accent1" accent2="accent2" accent3="accent3" accent4="accent4" accent5="accent5" accent6="accent6" hlink="hlink" folHlink="folHlink"/>
  <c:chart>
    <c:title>
      <c:tx>
        <c:rich>
          <a:bodyPr/>
          <a:lstStyle/>
          <a:p>
            <a:pPr>
              <a:defRPr/>
            </a:pPr>
            <a:r>
              <a:rPr lang="vi-VN" sz="1200">
                <a:latin typeface="+mn-lt"/>
              </a:rPr>
              <a:t>Suprafață arii naturale protejate</a:t>
            </a:r>
          </a:p>
        </c:rich>
      </c:tx>
    </c:title>
    <c:plotArea>
      <c:layout/>
      <c:areaChart>
        <c:grouping val="standard"/>
        <c:ser>
          <c:idx val="0"/>
          <c:order val="0"/>
          <c:tx>
            <c:strRef>
              <c:f>Sheet1!$B$1</c:f>
              <c:strCache>
                <c:ptCount val="1"/>
                <c:pt idx="0">
                  <c:v>Suprafață arii naturale protejate</c:v>
                </c:pt>
              </c:strCache>
            </c:strRef>
          </c:tx>
          <c:dLbls>
            <c:dLbl>
              <c:idx val="0"/>
              <c:layout>
                <c:manualLayout>
                  <c:x val="3.2407407407407593E-2"/>
                  <c:y val="-5.1587301587301577E-2"/>
                </c:manualLayout>
              </c:layout>
              <c:showVal val="1"/>
            </c:dLbl>
            <c:dLbl>
              <c:idx val="1"/>
              <c:layout>
                <c:manualLayout>
                  <c:x val="0"/>
                  <c:y val="-6.3492063492063502E-2"/>
                </c:manualLayout>
              </c:layout>
              <c:showVal val="1"/>
            </c:dLbl>
            <c:dLbl>
              <c:idx val="2"/>
              <c:layout>
                <c:manualLayout>
                  <c:x val="-9.2592592592593281E-3"/>
                  <c:y val="-0.28571428571428725"/>
                </c:manualLayout>
              </c:layout>
              <c:showVal val="1"/>
            </c:dLbl>
            <c:dLbl>
              <c:idx val="3"/>
              <c:layout>
                <c:manualLayout>
                  <c:x val="0"/>
                  <c:y val="-0.3492063492063493"/>
                </c:manualLayout>
              </c:layout>
              <c:showVal val="1"/>
            </c:dLbl>
            <c:showVal val="1"/>
          </c:dLbls>
          <c:cat>
            <c:numRef>
              <c:f>Sheet1!$A$2:$A$5</c:f>
              <c:numCache>
                <c:formatCode>0</c:formatCode>
                <c:ptCount val="4"/>
                <c:pt idx="0">
                  <c:v>1995</c:v>
                </c:pt>
                <c:pt idx="1">
                  <c:v>2000</c:v>
                </c:pt>
                <c:pt idx="2">
                  <c:v>2008</c:v>
                </c:pt>
                <c:pt idx="3">
                  <c:v>2011</c:v>
                </c:pt>
              </c:numCache>
            </c:numRef>
          </c:cat>
          <c:val>
            <c:numRef>
              <c:f>Sheet1!$B$2:$B$5</c:f>
              <c:numCache>
                <c:formatCode>General</c:formatCode>
                <c:ptCount val="4"/>
                <c:pt idx="0">
                  <c:v>11.42</c:v>
                </c:pt>
                <c:pt idx="1">
                  <c:v>35.620000000000012</c:v>
                </c:pt>
                <c:pt idx="2">
                  <c:v>404.73699999999843</c:v>
                </c:pt>
                <c:pt idx="3">
                  <c:v>512.97619999999949</c:v>
                </c:pt>
              </c:numCache>
            </c:numRef>
          </c:val>
        </c:ser>
        <c:axId val="168521728"/>
        <c:axId val="168523264"/>
      </c:areaChart>
      <c:catAx>
        <c:axId val="168521728"/>
        <c:scaling>
          <c:orientation val="minMax"/>
        </c:scaling>
        <c:axPos val="b"/>
        <c:numFmt formatCode="0" sourceLinked="1"/>
        <c:majorTickMark val="none"/>
        <c:tickLblPos val="nextTo"/>
        <c:crossAx val="168523264"/>
        <c:crosses val="autoZero"/>
        <c:auto val="1"/>
        <c:lblAlgn val="ctr"/>
        <c:lblOffset val="100"/>
      </c:catAx>
      <c:valAx>
        <c:axId val="168523264"/>
        <c:scaling>
          <c:orientation val="minMax"/>
        </c:scaling>
        <c:axPos val="l"/>
        <c:majorGridlines/>
        <c:title>
          <c:tx>
            <c:rich>
              <a:bodyPr/>
              <a:lstStyle/>
              <a:p>
                <a:pPr>
                  <a:defRPr/>
                </a:pPr>
                <a:r>
                  <a:rPr lang="ro-RO">
                    <a:latin typeface="Arial" pitchFamily="34" charset="0"/>
                    <a:cs typeface="Arial" pitchFamily="34" charset="0"/>
                  </a:rPr>
                  <a:t>Km</a:t>
                </a:r>
                <a:r>
                  <a:rPr lang="ro-RO" baseline="30000">
                    <a:latin typeface="Arial" pitchFamily="34" charset="0"/>
                    <a:cs typeface="Arial" pitchFamily="34" charset="0"/>
                  </a:rPr>
                  <a:t>2</a:t>
                </a:r>
                <a:endParaRPr lang="ro-RO">
                  <a:latin typeface="Arial" pitchFamily="34" charset="0"/>
                  <a:cs typeface="Arial" pitchFamily="34" charset="0"/>
                </a:endParaRPr>
              </a:p>
            </c:rich>
          </c:tx>
        </c:title>
        <c:numFmt formatCode="General" sourceLinked="1"/>
        <c:majorTickMark val="none"/>
        <c:tickLblPos val="nextTo"/>
        <c:crossAx val="168521728"/>
        <c:crosses val="autoZero"/>
        <c:crossBetween val="midCat"/>
      </c:valAx>
    </c:plotArea>
    <c:legend>
      <c:legendPos val="r"/>
    </c:legend>
    <c:plotVisOnly val="1"/>
  </c:chart>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Evoluția</a:t>
            </a:r>
            <a:r>
              <a:rPr lang="ro-RO" sz="1000" baseline="0">
                <a:latin typeface="Arial" pitchFamily="34" charset="0"/>
                <a:cs typeface="Arial" pitchFamily="34" charset="0"/>
              </a:rPr>
              <a:t> fondului forestier în județul Buzău</a:t>
            </a:r>
            <a:endParaRPr lang="en-US" sz="1000">
              <a:latin typeface="Arial" pitchFamily="34" charset="0"/>
              <a:cs typeface="Arial" pitchFamily="34" charset="0"/>
            </a:endParaRPr>
          </a:p>
        </c:rich>
      </c:tx>
    </c:title>
    <c:plotArea>
      <c:layout/>
      <c:barChart>
        <c:barDir val="col"/>
        <c:grouping val="clustered"/>
        <c:ser>
          <c:idx val="0"/>
          <c:order val="0"/>
          <c:tx>
            <c:strRef>
              <c:f>Sheet1!$B$1</c:f>
              <c:strCache>
                <c:ptCount val="1"/>
                <c:pt idx="0">
                  <c:v>suprafata</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158502</c:v>
                </c:pt>
                <c:pt idx="1">
                  <c:v>158658</c:v>
                </c:pt>
                <c:pt idx="2">
                  <c:v>160818</c:v>
                </c:pt>
                <c:pt idx="3">
                  <c:v>160216</c:v>
                </c:pt>
                <c:pt idx="4">
                  <c:v>159266</c:v>
                </c:pt>
              </c:numCache>
            </c:numRef>
          </c:val>
        </c:ser>
        <c:axId val="168797696"/>
        <c:axId val="168799616"/>
      </c:barChart>
      <c:catAx>
        <c:axId val="168797696"/>
        <c:scaling>
          <c:orientation val="minMax"/>
        </c:scaling>
        <c:axPos val="b"/>
        <c:title>
          <c:tx>
            <c:rich>
              <a:bodyPr/>
              <a:lstStyle/>
              <a:p>
                <a:pPr>
                  <a:defRPr/>
                </a:pPr>
                <a:r>
                  <a:rPr lang="ro-RO">
                    <a:latin typeface="Arial" pitchFamily="34" charset="0"/>
                    <a:cs typeface="Arial" pitchFamily="34" charset="0"/>
                  </a:rPr>
                  <a:t>Anul</a:t>
                </a:r>
              </a:p>
            </c:rich>
          </c:tx>
        </c:title>
        <c:numFmt formatCode="General" sourceLinked="1"/>
        <c:majorTickMark val="none"/>
        <c:tickLblPos val="nextTo"/>
        <c:crossAx val="168799616"/>
        <c:crosses val="autoZero"/>
        <c:auto val="1"/>
        <c:lblAlgn val="ctr"/>
        <c:lblOffset val="100"/>
      </c:catAx>
      <c:valAx>
        <c:axId val="168799616"/>
        <c:scaling>
          <c:orientation val="minMax"/>
        </c:scaling>
        <c:axPos val="l"/>
        <c:majorGridlines/>
        <c:title>
          <c:tx>
            <c:rich>
              <a:bodyPr/>
              <a:lstStyle/>
              <a:p>
                <a:pPr>
                  <a:defRPr/>
                </a:pPr>
                <a:r>
                  <a:rPr lang="ro-RO">
                    <a:latin typeface="Arial" pitchFamily="34" charset="0"/>
                    <a:cs typeface="Arial" pitchFamily="34" charset="0"/>
                  </a:rPr>
                  <a:t>Hectare</a:t>
                </a:r>
              </a:p>
            </c:rich>
          </c:tx>
        </c:title>
        <c:numFmt formatCode="General" sourceLinked="1"/>
        <c:tickLblPos val="nextTo"/>
        <c:crossAx val="168797696"/>
        <c:crosses val="autoZero"/>
        <c:crossBetween val="between"/>
      </c:valAx>
    </c:plotArea>
    <c:legend>
      <c:legendPos val="r"/>
    </c:legend>
    <c:plotVisOnly val="1"/>
  </c:chart>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o-RO"/>
  <c:style val="5"/>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Evoluția fondului forestier în județul Buzău, ha/locuitor</a:t>
            </a:r>
            <a:endParaRPr lang="en-US" sz="1200">
              <a:latin typeface="Arial" pitchFamily="34" charset="0"/>
              <a:cs typeface="Arial" pitchFamily="34" charset="0"/>
            </a:endParaRPr>
          </a:p>
        </c:rich>
      </c:tx>
      <c:layout>
        <c:manualLayout>
          <c:xMode val="edge"/>
          <c:yMode val="edge"/>
          <c:x val="0.13114009186351705"/>
          <c:y val="9.3567251461988306E-3"/>
        </c:manualLayout>
      </c:layout>
    </c:title>
    <c:plotArea>
      <c:layout/>
      <c:barChart>
        <c:barDir val="col"/>
        <c:grouping val="stacked"/>
        <c:ser>
          <c:idx val="0"/>
          <c:order val="0"/>
          <c:tx>
            <c:strRef>
              <c:f>Sheet1!$B$1</c:f>
              <c:strCache>
                <c:ptCount val="1"/>
                <c:pt idx="0">
                  <c:v>ha/locuitor</c:v>
                </c:pt>
              </c:strCache>
            </c:strRef>
          </c:tx>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0.32000000000000223</c:v>
                </c:pt>
                <c:pt idx="1">
                  <c:v>0.32000000000000223</c:v>
                </c:pt>
                <c:pt idx="2">
                  <c:v>0.33000000000000251</c:v>
                </c:pt>
                <c:pt idx="3">
                  <c:v>0.33000000000000251</c:v>
                </c:pt>
              </c:numCache>
            </c:numRef>
          </c:val>
        </c:ser>
        <c:overlap val="100"/>
        <c:axId val="168807808"/>
        <c:axId val="168653952"/>
      </c:barChart>
      <c:catAx>
        <c:axId val="168807808"/>
        <c:scaling>
          <c:orientation val="minMax"/>
        </c:scaling>
        <c:axPos val="b"/>
        <c:numFmt formatCode="General" sourceLinked="1"/>
        <c:tickLblPos val="nextTo"/>
        <c:crossAx val="168653952"/>
        <c:crosses val="autoZero"/>
        <c:auto val="1"/>
        <c:lblAlgn val="ctr"/>
        <c:lblOffset val="100"/>
      </c:catAx>
      <c:valAx>
        <c:axId val="168653952"/>
        <c:scaling>
          <c:orientation val="minMax"/>
        </c:scaling>
        <c:axPos val="l"/>
        <c:majorGridlines/>
        <c:numFmt formatCode="General" sourceLinked="1"/>
        <c:tickLblPos val="nextTo"/>
        <c:crossAx val="168807808"/>
        <c:crosses val="autoZero"/>
        <c:crossBetween val="between"/>
      </c:valAx>
    </c:plotArea>
    <c:legend>
      <c:legendPos val="r"/>
    </c:legend>
    <c:plotVisOnly val="1"/>
  </c:chart>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o-RO"/>
  <c:style val="4"/>
  <c:clrMapOvr bg1="lt1" tx1="dk1" bg2="lt2" tx2="dk2" accent1="accent1" accent2="accent2" accent3="accent3" accent4="accent4" accent5="accent5" accent6="accent6" hlink="hlink" folHlink="folHlink"/>
  <c:chart>
    <c:title>
      <c:tx>
        <c:rich>
          <a:bodyPr/>
          <a:lstStyle/>
          <a:p>
            <a:pPr>
              <a:defRPr/>
            </a:pPr>
            <a:r>
              <a:rPr lang="vi-VN" sz="1400">
                <a:latin typeface="Arial" pitchFamily="34" charset="0"/>
                <a:cs typeface="Arial" pitchFamily="34" charset="0"/>
              </a:rPr>
              <a:t>Masă lemnoasă recoltată</a:t>
            </a:r>
          </a:p>
        </c:rich>
      </c:tx>
    </c:title>
    <c:plotArea>
      <c:layout/>
      <c:barChart>
        <c:barDir val="col"/>
        <c:grouping val="stacked"/>
        <c:ser>
          <c:idx val="0"/>
          <c:order val="0"/>
          <c:tx>
            <c:strRef>
              <c:f>Sheet1!$B$1</c:f>
              <c:strCache>
                <c:ptCount val="1"/>
                <c:pt idx="0">
                  <c:v>Masă lemnoasă recoltată(mii mc)</c:v>
                </c:pt>
              </c:strCache>
            </c:strRef>
          </c:tx>
          <c:dLbls>
            <c:showVal val="1"/>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341.6</c:v>
                </c:pt>
                <c:pt idx="1">
                  <c:v>361.6</c:v>
                </c:pt>
                <c:pt idx="2">
                  <c:v>391.1</c:v>
                </c:pt>
                <c:pt idx="3">
                  <c:v>437.3</c:v>
                </c:pt>
                <c:pt idx="4">
                  <c:v>357.2</c:v>
                </c:pt>
              </c:numCache>
            </c:numRef>
          </c:val>
        </c:ser>
        <c:overlap val="100"/>
        <c:axId val="168637568"/>
        <c:axId val="168639104"/>
      </c:barChart>
      <c:catAx>
        <c:axId val="168637568"/>
        <c:scaling>
          <c:orientation val="minMax"/>
        </c:scaling>
        <c:axPos val="b"/>
        <c:numFmt formatCode="General" sourceLinked="1"/>
        <c:tickLblPos val="nextTo"/>
        <c:crossAx val="168639104"/>
        <c:crosses val="autoZero"/>
        <c:auto val="1"/>
        <c:lblAlgn val="ctr"/>
        <c:lblOffset val="100"/>
      </c:catAx>
      <c:valAx>
        <c:axId val="168639104"/>
        <c:scaling>
          <c:orientation val="minMax"/>
        </c:scaling>
        <c:axPos val="l"/>
        <c:majorGridlines/>
        <c:numFmt formatCode="General" sourceLinked="1"/>
        <c:tickLblPos val="nextTo"/>
        <c:crossAx val="168637568"/>
        <c:crosses val="autoZero"/>
        <c:crossBetween val="between"/>
      </c:valAx>
    </c:plotArea>
    <c:legend>
      <c:legendPos val="r"/>
    </c:legend>
    <c:plotVisOnly val="1"/>
  </c:chart>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Comparația</a:t>
            </a:r>
            <a:r>
              <a:rPr lang="ro-RO" sz="1000" baseline="0">
                <a:latin typeface="Arial" pitchFamily="34" charset="0"/>
                <a:cs typeface="Arial" pitchFamily="34" charset="0"/>
              </a:rPr>
              <a:t> între evoluția fondului forestier și tăierii masei lemnoase</a:t>
            </a:r>
            <a:endParaRPr lang="ro-RO" sz="1000">
              <a:latin typeface="Arial" pitchFamily="34" charset="0"/>
              <a:cs typeface="Arial" pitchFamily="34" charset="0"/>
            </a:endParaRPr>
          </a:p>
        </c:rich>
      </c:tx>
    </c:title>
    <c:plotArea>
      <c:layout/>
      <c:barChart>
        <c:barDir val="col"/>
        <c:grouping val="clustered"/>
        <c:ser>
          <c:idx val="0"/>
          <c:order val="0"/>
          <c:tx>
            <c:strRef>
              <c:f>Sheet1!$B$1</c:f>
              <c:strCache>
                <c:ptCount val="1"/>
                <c:pt idx="0">
                  <c:v>Evoluția creșterii anuale a fondului forestier (ha)</c:v>
                </c:pt>
              </c:strCache>
            </c:strRef>
          </c:tx>
          <c:dLbls>
            <c:showVal val="1"/>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318</c:v>
                </c:pt>
                <c:pt idx="1">
                  <c:v>156</c:v>
                </c:pt>
                <c:pt idx="2">
                  <c:v>2160</c:v>
                </c:pt>
                <c:pt idx="3">
                  <c:v>-605</c:v>
                </c:pt>
                <c:pt idx="4">
                  <c:v>-947</c:v>
                </c:pt>
              </c:numCache>
            </c:numRef>
          </c:val>
        </c:ser>
        <c:ser>
          <c:idx val="1"/>
          <c:order val="1"/>
          <c:tx>
            <c:strRef>
              <c:f>Sheet1!$C$1</c:f>
              <c:strCache>
                <c:ptCount val="1"/>
                <c:pt idx="0">
                  <c:v>Masă lemnoasă recoltată (mii mc)</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341.6</c:v>
                </c:pt>
                <c:pt idx="1">
                  <c:v>361.6</c:v>
                </c:pt>
                <c:pt idx="2">
                  <c:v>391.1</c:v>
                </c:pt>
                <c:pt idx="3">
                  <c:v>437.3</c:v>
                </c:pt>
                <c:pt idx="4">
                  <c:v>357.2</c:v>
                </c:pt>
              </c:numCache>
            </c:numRef>
          </c:val>
        </c:ser>
        <c:axId val="169041280"/>
        <c:axId val="168895616"/>
      </c:barChart>
      <c:catAx>
        <c:axId val="169041280"/>
        <c:scaling>
          <c:orientation val="minMax"/>
        </c:scaling>
        <c:axPos val="b"/>
        <c:numFmt formatCode="General" sourceLinked="1"/>
        <c:majorTickMark val="none"/>
        <c:tickLblPos val="nextTo"/>
        <c:crossAx val="168895616"/>
        <c:crosses val="autoZero"/>
        <c:auto val="1"/>
        <c:lblAlgn val="ctr"/>
        <c:lblOffset val="100"/>
      </c:catAx>
      <c:valAx>
        <c:axId val="168895616"/>
        <c:scaling>
          <c:orientation val="minMax"/>
        </c:scaling>
        <c:axPos val="l"/>
        <c:majorGridlines/>
        <c:numFmt formatCode="General" sourceLinked="1"/>
        <c:tickLblPos val="nextTo"/>
        <c:crossAx val="169041280"/>
        <c:crosses val="autoZero"/>
        <c:crossBetween val="between"/>
      </c:valAx>
    </c:plotArea>
    <c:legend>
      <c:legendPos val="r"/>
    </c:legend>
    <c:plotVisOnly val="1"/>
  </c:chart>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Ponderea compoziției fondului forestier în județul Buzău</a:t>
            </a:r>
            <a:endParaRPr lang="en-US" sz="1000">
              <a:latin typeface="Arial" pitchFamily="34" charset="0"/>
              <a:cs typeface="Arial" pitchFamily="34" charset="0"/>
            </a:endParaRPr>
          </a:p>
        </c:rich>
      </c:tx>
    </c:title>
    <c:plotArea>
      <c:layout/>
      <c:pieChart>
        <c:varyColors val="1"/>
        <c:ser>
          <c:idx val="0"/>
          <c:order val="0"/>
          <c:tx>
            <c:strRef>
              <c:f>Sheet1!$B$1</c:f>
              <c:strCache>
                <c:ptCount val="1"/>
                <c:pt idx="0">
                  <c:v>Sales</c:v>
                </c:pt>
              </c:strCache>
            </c:strRef>
          </c:tx>
          <c:explosion val="25"/>
          <c:dLbls>
            <c:showVal val="1"/>
            <c:showLeaderLines val="1"/>
          </c:dLbls>
          <c:cat>
            <c:strRef>
              <c:f>Sheet1!$A$2:$A$4</c:f>
              <c:strCache>
                <c:ptCount val="3"/>
                <c:pt idx="0">
                  <c:v> Păduri de rășinoase</c:v>
                </c:pt>
                <c:pt idx="1">
                  <c:v>Păduri de foioase</c:v>
                </c:pt>
                <c:pt idx="2">
                  <c:v>Alte terenuri</c:v>
                </c:pt>
              </c:strCache>
            </c:strRef>
          </c:cat>
          <c:val>
            <c:numRef>
              <c:f>Sheet1!$B$2:$B$4</c:f>
              <c:numCache>
                <c:formatCode>0%</c:formatCode>
                <c:ptCount val="3"/>
                <c:pt idx="0">
                  <c:v>0.30000000000000032</c:v>
                </c:pt>
                <c:pt idx="1">
                  <c:v>0.68</c:v>
                </c:pt>
                <c:pt idx="2">
                  <c:v>2.0000000000000011E-2</c:v>
                </c:pt>
              </c:numCache>
            </c:numRef>
          </c:val>
        </c:ser>
        <c:firstSliceAng val="0"/>
      </c:pieChart>
    </c:plotArea>
    <c:legend>
      <c:legendPos val="r"/>
    </c:legend>
    <c:plotVisOnly val="1"/>
  </c:chart>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vi-VN" sz="1400">
                <a:latin typeface="Arial" pitchFamily="34" charset="0"/>
                <a:cs typeface="Arial" pitchFamily="34" charset="0"/>
              </a:rPr>
              <a:t>Distribuția pădurilor după formele de relief</a:t>
            </a:r>
          </a:p>
        </c:rich>
      </c:tx>
      <c:layout>
        <c:manualLayout>
          <c:xMode val="edge"/>
          <c:yMode val="edge"/>
          <c:x val="0.12728583406240943"/>
          <c:y val="5.7964177072008419E-2"/>
        </c:manualLayout>
      </c:layout>
    </c:title>
    <c:plotArea>
      <c:layout/>
      <c:pieChart>
        <c:varyColors val="1"/>
        <c:ser>
          <c:idx val="0"/>
          <c:order val="0"/>
          <c:tx>
            <c:strRef>
              <c:f>Sheet1!$B$1</c:f>
              <c:strCache>
                <c:ptCount val="1"/>
                <c:pt idx="0">
                  <c:v>Distribuția pădurilor după formele de relief</c:v>
                </c:pt>
              </c:strCache>
            </c:strRef>
          </c:tx>
          <c:explosion val="25"/>
          <c:dLbls>
            <c:showVal val="1"/>
            <c:showLeaderLines val="1"/>
          </c:dLbls>
          <c:cat>
            <c:strRef>
              <c:f>Sheet1!$A$2:$A$4</c:f>
              <c:strCache>
                <c:ptCount val="3"/>
                <c:pt idx="0">
                  <c:v>Munte</c:v>
                </c:pt>
                <c:pt idx="1">
                  <c:v>Deal</c:v>
                </c:pt>
                <c:pt idx="2">
                  <c:v>Campie</c:v>
                </c:pt>
              </c:strCache>
            </c:strRef>
          </c:cat>
          <c:val>
            <c:numRef>
              <c:f>Sheet1!$B$2:$B$4</c:f>
              <c:numCache>
                <c:formatCode>0%</c:formatCode>
                <c:ptCount val="3"/>
                <c:pt idx="0">
                  <c:v>0.64000000000000423</c:v>
                </c:pt>
                <c:pt idx="1">
                  <c:v>0.34</c:v>
                </c:pt>
                <c:pt idx="2">
                  <c:v>2.0000000000000011E-2</c:v>
                </c:pt>
              </c:numCache>
            </c:numRef>
          </c:val>
        </c:ser>
        <c:firstSliceAng val="0"/>
      </c:pieChart>
    </c:plotArea>
    <c:legend>
      <c:legendPos val="r"/>
    </c:legend>
    <c:plotVisOnly val="1"/>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ro-RO"/>
  <c:chart>
    <c:autoTitleDeleted val="1"/>
    <c:plotArea>
      <c:layout/>
      <c:lineChart>
        <c:grouping val="standard"/>
        <c:ser>
          <c:idx val="0"/>
          <c:order val="0"/>
          <c:tx>
            <c:strRef>
              <c:f>Sheet1!$C$69</c:f>
              <c:strCache>
                <c:ptCount val="1"/>
                <c:pt idx="0">
                  <c:v>CO(mg/m3)</c:v>
                </c:pt>
              </c:strCache>
            </c:strRef>
          </c:tx>
          <c:marker>
            <c:symbol val="none"/>
          </c:marker>
          <c:cat>
            <c:strRef>
              <c:f>Sheet1!$B$70:$B$76</c:f>
              <c:strCache>
                <c:ptCount val="7"/>
                <c:pt idx="0">
                  <c:v>2008"</c:v>
                </c:pt>
                <c:pt idx="1">
                  <c:v>2009"</c:v>
                </c:pt>
                <c:pt idx="2">
                  <c:v>2010"</c:v>
                </c:pt>
                <c:pt idx="3">
                  <c:v>2011"</c:v>
                </c:pt>
                <c:pt idx="4">
                  <c:v>2012"</c:v>
                </c:pt>
                <c:pt idx="5">
                  <c:v>2013"</c:v>
                </c:pt>
                <c:pt idx="6">
                  <c:v>2014"</c:v>
                </c:pt>
              </c:strCache>
            </c:strRef>
          </c:cat>
          <c:val>
            <c:numRef>
              <c:f>Sheet1!$C$70:$C$76</c:f>
              <c:numCache>
                <c:formatCode>General</c:formatCode>
                <c:ptCount val="7"/>
                <c:pt idx="0">
                  <c:v>0.24000000000000021</c:v>
                </c:pt>
                <c:pt idx="1">
                  <c:v>0.25</c:v>
                </c:pt>
                <c:pt idx="2">
                  <c:v>0.36000000000000032</c:v>
                </c:pt>
                <c:pt idx="4">
                  <c:v>0.23</c:v>
                </c:pt>
                <c:pt idx="5">
                  <c:v>0.25</c:v>
                </c:pt>
              </c:numCache>
            </c:numRef>
          </c:val>
        </c:ser>
        <c:marker val="1"/>
        <c:axId val="159421952"/>
        <c:axId val="159423488"/>
      </c:lineChart>
      <c:catAx>
        <c:axId val="159421952"/>
        <c:scaling>
          <c:orientation val="minMax"/>
        </c:scaling>
        <c:axPos val="b"/>
        <c:tickLblPos val="nextTo"/>
        <c:crossAx val="159423488"/>
        <c:crosses val="autoZero"/>
        <c:auto val="1"/>
        <c:lblAlgn val="ctr"/>
        <c:lblOffset val="100"/>
      </c:catAx>
      <c:valAx>
        <c:axId val="159423488"/>
        <c:scaling>
          <c:orientation val="minMax"/>
        </c:scaling>
        <c:axPos val="l"/>
        <c:majorGridlines/>
        <c:numFmt formatCode="General" sourceLinked="1"/>
        <c:tickLblPos val="nextTo"/>
        <c:crossAx val="159421952"/>
        <c:crosses val="autoZero"/>
        <c:crossBetween val="between"/>
      </c:valAx>
    </c:plotArea>
    <c:legend>
      <c:legendPos val="r"/>
    </c:legend>
    <c:plotVisOnly val="1"/>
  </c:chart>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Distribuția pădurilor pe specii și grupe de specii</a:t>
            </a:r>
          </a:p>
        </c:rich>
      </c:tx>
    </c:title>
    <c:plotArea>
      <c:layout/>
      <c:pieChart>
        <c:varyColors val="1"/>
        <c:ser>
          <c:idx val="0"/>
          <c:order val="0"/>
          <c:tx>
            <c:strRef>
              <c:f>Sheet1!$B$1</c:f>
              <c:strCache>
                <c:ptCount val="1"/>
                <c:pt idx="0">
                  <c:v>Sales</c:v>
                </c:pt>
              </c:strCache>
            </c:strRef>
          </c:tx>
          <c:explosion val="25"/>
          <c:dLbls>
            <c:showVal val="1"/>
            <c:showLeaderLines val="1"/>
          </c:dLbls>
          <c:cat>
            <c:strRef>
              <c:f>Sheet1!$A$2:$A$7</c:f>
              <c:strCache>
                <c:ptCount val="6"/>
                <c:pt idx="0">
                  <c:v>Molid</c:v>
                </c:pt>
                <c:pt idx="1">
                  <c:v>brad</c:v>
                </c:pt>
                <c:pt idx="2">
                  <c:v>alte rășinoase</c:v>
                </c:pt>
                <c:pt idx="3">
                  <c:v>fag</c:v>
                </c:pt>
                <c:pt idx="4">
                  <c:v>stejar</c:v>
                </c:pt>
                <c:pt idx="5">
                  <c:v>diverse tari</c:v>
                </c:pt>
              </c:strCache>
            </c:strRef>
          </c:cat>
          <c:val>
            <c:numRef>
              <c:f>Sheet1!$B$2:$B$7</c:f>
              <c:numCache>
                <c:formatCode>0.00%</c:formatCode>
                <c:ptCount val="6"/>
                <c:pt idx="0">
                  <c:v>0.15200000000000041</c:v>
                </c:pt>
                <c:pt idx="1">
                  <c:v>8.0300000000000024E-2</c:v>
                </c:pt>
                <c:pt idx="2">
                  <c:v>5.3400000000000003E-2</c:v>
                </c:pt>
                <c:pt idx="3">
                  <c:v>0.41320000000000001</c:v>
                </c:pt>
                <c:pt idx="4">
                  <c:v>0.10979999999999999</c:v>
                </c:pt>
                <c:pt idx="5">
                  <c:v>0.14500000000000021</c:v>
                </c:pt>
              </c:numCache>
            </c:numRef>
          </c:val>
        </c:ser>
        <c:firstSliceAng val="0"/>
      </c:pieChart>
    </c:plotArea>
    <c:legend>
      <c:legendPos val="r"/>
    </c:legend>
    <c:plotVisOnly val="1"/>
  </c:chart>
  <c:externalData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ro-RO" sz="1000">
                <a:latin typeface="Arial" pitchFamily="34" charset="0"/>
                <a:cs typeface="Arial" pitchFamily="34" charset="0"/>
              </a:rPr>
              <a:t>Distribuția pădurii pe tipuri funcționale</a:t>
            </a:r>
            <a:endParaRPr lang="en-US" sz="1000">
              <a:latin typeface="Arial" pitchFamily="34" charset="0"/>
              <a:cs typeface="Arial" pitchFamily="34" charset="0"/>
            </a:endParaRPr>
          </a:p>
        </c:rich>
      </c:tx>
    </c:title>
    <c:view3D>
      <c:rotX val="30"/>
      <c:perspective val="30"/>
    </c:view3D>
    <c:plotArea>
      <c:layout/>
      <c:pie3DChart>
        <c:varyColors val="1"/>
        <c:ser>
          <c:idx val="0"/>
          <c:order val="0"/>
          <c:tx>
            <c:strRef>
              <c:f>Sheet1!$B$1</c:f>
              <c:strCache>
                <c:ptCount val="1"/>
                <c:pt idx="0">
                  <c:v>Sales</c:v>
                </c:pt>
              </c:strCache>
            </c:strRef>
          </c:tx>
          <c:explosion val="25"/>
          <c:dLbls>
            <c:showVal val="1"/>
            <c:showLeaderLines val="1"/>
          </c:dLbls>
          <c:cat>
            <c:strRef>
              <c:f>Sheet1!$A$2:$A$3</c:f>
              <c:strCache>
                <c:ptCount val="2"/>
                <c:pt idx="0">
                  <c:v>tipuri funcționale I-II</c:v>
                </c:pt>
                <c:pt idx="1">
                  <c:v>tipuri funcționale III-VI</c:v>
                </c:pt>
              </c:strCache>
            </c:strRef>
          </c:cat>
          <c:val>
            <c:numRef>
              <c:f>Sheet1!$B$2:$B$3</c:f>
              <c:numCache>
                <c:formatCode>0.00%</c:formatCode>
                <c:ptCount val="2"/>
                <c:pt idx="0">
                  <c:v>0.32900000000000212</c:v>
                </c:pt>
                <c:pt idx="1">
                  <c:v>0.67090000000000471</c:v>
                </c:pt>
              </c:numCache>
            </c:numRef>
          </c:val>
        </c:ser>
      </c:pie3DChart>
    </c:plotArea>
    <c:legend>
      <c:legendPos val="r"/>
    </c:legend>
    <c:plotVisOnly val="1"/>
  </c:chart>
  <c:externalData r:id="rId2"/>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barChart>
        <c:barDir val="bar"/>
        <c:grouping val="clustered"/>
        <c:ser>
          <c:idx val="0"/>
          <c:order val="0"/>
          <c:tx>
            <c:strRef>
              <c:f>Sheet1!$B$1</c:f>
              <c:strCache>
                <c:ptCount val="1"/>
                <c:pt idx="0">
                  <c:v>Regenerare totală</c:v>
                </c:pt>
              </c:strCache>
            </c:strRef>
          </c:tx>
          <c:dLbls>
            <c:showVal val="1"/>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293</c:v>
                </c:pt>
                <c:pt idx="1">
                  <c:v>307</c:v>
                </c:pt>
                <c:pt idx="2">
                  <c:v>316</c:v>
                </c:pt>
                <c:pt idx="3">
                  <c:v>359</c:v>
                </c:pt>
                <c:pt idx="4">
                  <c:v>375</c:v>
                </c:pt>
              </c:numCache>
            </c:numRef>
          </c:val>
        </c:ser>
        <c:ser>
          <c:idx val="1"/>
          <c:order val="1"/>
          <c:tx>
            <c:strRef>
              <c:f>Sheet1!$C$1</c:f>
              <c:strCache>
                <c:ptCount val="1"/>
                <c:pt idx="0">
                  <c:v>Împăduriri</c:v>
                </c:pt>
              </c:strCache>
            </c:strRef>
          </c:tx>
          <c:dLbls>
            <c:showVal val="1"/>
          </c:dLbls>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35</c:v>
                </c:pt>
                <c:pt idx="1">
                  <c:v>26</c:v>
                </c:pt>
                <c:pt idx="2">
                  <c:v>27</c:v>
                </c:pt>
                <c:pt idx="3">
                  <c:v>30</c:v>
                </c:pt>
                <c:pt idx="4">
                  <c:v>35</c:v>
                </c:pt>
              </c:numCache>
            </c:numRef>
          </c:val>
        </c:ser>
        <c:ser>
          <c:idx val="2"/>
          <c:order val="2"/>
          <c:tx>
            <c:strRef>
              <c:f>Sheet1!$D$1</c:f>
              <c:strCache>
                <c:ptCount val="1"/>
                <c:pt idx="0">
                  <c:v>Regenerare naturală</c:v>
                </c:pt>
              </c:strCache>
            </c:strRef>
          </c:tx>
          <c:dLbls>
            <c:showVal val="1"/>
          </c:dLbls>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258</c:v>
                </c:pt>
                <c:pt idx="1">
                  <c:v>281</c:v>
                </c:pt>
                <c:pt idx="2">
                  <c:v>289</c:v>
                </c:pt>
                <c:pt idx="3">
                  <c:v>329</c:v>
                </c:pt>
                <c:pt idx="4">
                  <c:v>340</c:v>
                </c:pt>
              </c:numCache>
            </c:numRef>
          </c:val>
        </c:ser>
        <c:axId val="169153664"/>
        <c:axId val="169155200"/>
      </c:barChart>
      <c:catAx>
        <c:axId val="169153664"/>
        <c:scaling>
          <c:orientation val="minMax"/>
        </c:scaling>
        <c:axPos val="l"/>
        <c:numFmt formatCode="General" sourceLinked="1"/>
        <c:tickLblPos val="nextTo"/>
        <c:crossAx val="169155200"/>
        <c:crosses val="autoZero"/>
        <c:auto val="1"/>
        <c:lblAlgn val="ctr"/>
        <c:lblOffset val="100"/>
      </c:catAx>
      <c:valAx>
        <c:axId val="169155200"/>
        <c:scaling>
          <c:orientation val="minMax"/>
        </c:scaling>
        <c:axPos val="b"/>
        <c:majorGridlines/>
        <c:numFmt formatCode="General" sourceLinked="1"/>
        <c:tickLblPos val="nextTo"/>
        <c:crossAx val="169153664"/>
        <c:crosses val="autoZero"/>
        <c:crossBetween val="between"/>
      </c:valAx>
    </c:plotArea>
    <c:legend>
      <c:legendPos val="r"/>
    </c:legend>
    <c:plotVisOnly val="1"/>
  </c:chart>
  <c:externalData r:id="rId2"/>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barChart>
        <c:barDir val="col"/>
        <c:grouping val="clustered"/>
        <c:ser>
          <c:idx val="0"/>
          <c:order val="0"/>
          <c:tx>
            <c:strRef>
              <c:f>Sheet1!$B$1</c:f>
              <c:strCache>
                <c:ptCount val="1"/>
                <c:pt idx="0">
                  <c:v>Volum masă lemnoasă recoltată din care: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341.6</c:v>
                </c:pt>
                <c:pt idx="1">
                  <c:v>361.6</c:v>
                </c:pt>
                <c:pt idx="2">
                  <c:v>391.1</c:v>
                </c:pt>
                <c:pt idx="3">
                  <c:v>437.3</c:v>
                </c:pt>
                <c:pt idx="4">
                  <c:v>357.2</c:v>
                </c:pt>
              </c:numCache>
            </c:numRef>
          </c:val>
        </c:ser>
        <c:ser>
          <c:idx val="1"/>
          <c:order val="1"/>
          <c:tx>
            <c:strRef>
              <c:f>Sheet1!$C$1</c:f>
              <c:strCache>
                <c:ptCount val="1"/>
                <c:pt idx="0">
                  <c:v>Rășinoase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114.4</c:v>
                </c:pt>
                <c:pt idx="1">
                  <c:v>133.30000000000001</c:v>
                </c:pt>
                <c:pt idx="2">
                  <c:v>101.4</c:v>
                </c:pt>
                <c:pt idx="3">
                  <c:v>175.6</c:v>
                </c:pt>
                <c:pt idx="4">
                  <c:v>155.4</c:v>
                </c:pt>
              </c:numCache>
            </c:numRef>
          </c:val>
        </c:ser>
        <c:ser>
          <c:idx val="2"/>
          <c:order val="2"/>
          <c:tx>
            <c:strRef>
              <c:f>Sheet1!$D$1</c:f>
              <c:strCache>
                <c:ptCount val="1"/>
                <c:pt idx="0">
                  <c:v>Fag</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157.5</c:v>
                </c:pt>
                <c:pt idx="1">
                  <c:v>180.70999999999998</c:v>
                </c:pt>
                <c:pt idx="2">
                  <c:v>141.1</c:v>
                </c:pt>
                <c:pt idx="3">
                  <c:v>170.6</c:v>
                </c:pt>
                <c:pt idx="4">
                  <c:v>167.4</c:v>
                </c:pt>
              </c:numCache>
            </c:numRef>
          </c:val>
        </c:ser>
        <c:ser>
          <c:idx val="3"/>
          <c:order val="3"/>
          <c:tx>
            <c:strRef>
              <c:f>Sheet1!$E$1</c:f>
              <c:strCache>
                <c:ptCount val="1"/>
                <c:pt idx="0">
                  <c:v>Stejar</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20.3</c:v>
                </c:pt>
                <c:pt idx="1">
                  <c:v>20.45</c:v>
                </c:pt>
                <c:pt idx="2">
                  <c:v>10.1</c:v>
                </c:pt>
                <c:pt idx="3">
                  <c:v>16.8</c:v>
                </c:pt>
                <c:pt idx="4">
                  <c:v>12.7</c:v>
                </c:pt>
              </c:numCache>
            </c:numRef>
          </c:val>
        </c:ser>
        <c:ser>
          <c:idx val="4"/>
          <c:order val="4"/>
          <c:tx>
            <c:strRef>
              <c:f>Sheet1!$F$1</c:f>
              <c:strCache>
                <c:ptCount val="1"/>
                <c:pt idx="0">
                  <c:v>Diverse specii tari</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47.6</c:v>
                </c:pt>
                <c:pt idx="1">
                  <c:v>42.82</c:v>
                </c:pt>
                <c:pt idx="2">
                  <c:v>44.5</c:v>
                </c:pt>
                <c:pt idx="3">
                  <c:v>42.5</c:v>
                </c:pt>
                <c:pt idx="4">
                  <c:v>39.5</c:v>
                </c:pt>
              </c:numCache>
            </c:numRef>
          </c:val>
        </c:ser>
        <c:ser>
          <c:idx val="5"/>
          <c:order val="5"/>
          <c:tx>
            <c:strRef>
              <c:f>Sheet1!$G$1</c:f>
              <c:strCache>
                <c:ptCount val="1"/>
                <c:pt idx="0">
                  <c:v>Diverse specii moi</c:v>
                </c:pt>
              </c:strCache>
            </c:strRef>
          </c:tx>
          <c:cat>
            <c:numRef>
              <c:f>Sheet1!$A$2:$A$6</c:f>
              <c:numCache>
                <c:formatCode>General</c:formatCode>
                <c:ptCount val="5"/>
                <c:pt idx="0">
                  <c:v>2010</c:v>
                </c:pt>
                <c:pt idx="1">
                  <c:v>2011</c:v>
                </c:pt>
                <c:pt idx="2">
                  <c:v>2012</c:v>
                </c:pt>
                <c:pt idx="3">
                  <c:v>2013</c:v>
                </c:pt>
                <c:pt idx="4">
                  <c:v>2014</c:v>
                </c:pt>
              </c:numCache>
            </c:numRef>
          </c:cat>
          <c:val>
            <c:numRef>
              <c:f>Sheet1!$G$2:$G$6</c:f>
              <c:numCache>
                <c:formatCode>General</c:formatCode>
                <c:ptCount val="5"/>
                <c:pt idx="0">
                  <c:v>18.7</c:v>
                </c:pt>
                <c:pt idx="1">
                  <c:v>19.32</c:v>
                </c:pt>
                <c:pt idx="2">
                  <c:v>17.399999999999999</c:v>
                </c:pt>
                <c:pt idx="3">
                  <c:v>19.399999999999999</c:v>
                </c:pt>
                <c:pt idx="4">
                  <c:v>18.3</c:v>
                </c:pt>
              </c:numCache>
            </c:numRef>
          </c:val>
        </c:ser>
        <c:axId val="169191296"/>
        <c:axId val="169192832"/>
      </c:barChart>
      <c:catAx>
        <c:axId val="169191296"/>
        <c:scaling>
          <c:orientation val="minMax"/>
        </c:scaling>
        <c:axPos val="b"/>
        <c:numFmt formatCode="General" sourceLinked="1"/>
        <c:tickLblPos val="nextTo"/>
        <c:crossAx val="169192832"/>
        <c:crosses val="autoZero"/>
        <c:auto val="1"/>
        <c:lblAlgn val="ctr"/>
        <c:lblOffset val="100"/>
      </c:catAx>
      <c:valAx>
        <c:axId val="169192832"/>
        <c:scaling>
          <c:orientation val="minMax"/>
        </c:scaling>
        <c:axPos val="l"/>
        <c:majorGridlines/>
        <c:numFmt formatCode="General" sourceLinked="1"/>
        <c:tickLblPos val="nextTo"/>
        <c:crossAx val="169191296"/>
        <c:crosses val="autoZero"/>
        <c:crossBetween val="between"/>
      </c:valAx>
    </c:plotArea>
    <c:legend>
      <c:legendPos val="r"/>
    </c:legend>
    <c:plotVisOnly val="1"/>
  </c:chart>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Structura volumului de masă lemnoasă recoltat pe forme de proprietate</a:t>
            </a:r>
            <a:endParaRPr lang="en-US" sz="1200">
              <a:latin typeface="Arial" pitchFamily="34" charset="0"/>
              <a:cs typeface="Arial" pitchFamily="34" charset="0"/>
            </a:endParaRPr>
          </a:p>
        </c:rich>
      </c:tx>
    </c:title>
    <c:view3D>
      <c:rotX val="30"/>
      <c:perspective val="30"/>
    </c:view3D>
    <c:plotArea>
      <c:layout/>
      <c:pie3DChart>
        <c:varyColors val="1"/>
        <c:ser>
          <c:idx val="0"/>
          <c:order val="0"/>
          <c:tx>
            <c:strRef>
              <c:f>Sheet1!$B$1</c:f>
              <c:strCache>
                <c:ptCount val="1"/>
                <c:pt idx="0">
                  <c:v>Sales</c:v>
                </c:pt>
              </c:strCache>
            </c:strRef>
          </c:tx>
          <c:explosion val="25"/>
          <c:dLbls>
            <c:showVal val="1"/>
            <c:showLeaderLines val="1"/>
          </c:dLbls>
          <c:cat>
            <c:strRef>
              <c:f>Sheet1!$A$2:$A$5</c:f>
              <c:strCache>
                <c:ptCount val="4"/>
                <c:pt idx="0">
                  <c:v>proprietatea publică a statului</c:v>
                </c:pt>
                <c:pt idx="1">
                  <c:v>proprietatea privată a persoanelor fizice și juridice</c:v>
                </c:pt>
                <c:pt idx="2">
                  <c:v>proprietatea publică U.A.T</c:v>
                </c:pt>
                <c:pt idx="3">
                  <c:v>vegetație în afara fondului forestier</c:v>
                </c:pt>
              </c:strCache>
            </c:strRef>
          </c:cat>
          <c:val>
            <c:numRef>
              <c:f>Sheet1!$B$2:$B$5</c:f>
              <c:numCache>
                <c:formatCode>0.00%</c:formatCode>
                <c:ptCount val="4"/>
                <c:pt idx="0">
                  <c:v>0.33030000000000287</c:v>
                </c:pt>
                <c:pt idx="1">
                  <c:v>0.63759999999999994</c:v>
                </c:pt>
                <c:pt idx="2">
                  <c:v>1.7700000000000101E-3</c:v>
                </c:pt>
                <c:pt idx="3">
                  <c:v>3.0100000000000002E-2</c:v>
                </c:pt>
              </c:numCache>
            </c:numRef>
          </c:val>
        </c:ser>
      </c:pie3DChart>
    </c:plotArea>
    <c:legend>
      <c:legendPos val="r"/>
    </c:legend>
    <c:plotVisOnly val="1"/>
  </c:chart>
  <c:externalData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t>Cantităţi</a:t>
            </a:r>
            <a:r>
              <a:rPr lang="ro-RO" sz="1000" baseline="0"/>
              <a:t> de deşeuri generate/colectate în perioada 2008-2012  </a:t>
            </a:r>
            <a:endParaRPr lang="ro-RO" sz="1000"/>
          </a:p>
        </c:rich>
      </c:tx>
    </c:title>
    <c:plotArea>
      <c:layout/>
      <c:barChart>
        <c:barDir val="col"/>
        <c:grouping val="clustered"/>
        <c:ser>
          <c:idx val="0"/>
          <c:order val="0"/>
          <c:tx>
            <c:strRef>
              <c:f>Sheet1!$A$2</c:f>
              <c:strCache>
                <c:ptCount val="1"/>
                <c:pt idx="0">
                  <c:v>generat</c:v>
                </c:pt>
              </c:strCache>
            </c:strRef>
          </c:tx>
          <c:spPr>
            <a:solidFill>
              <a:srgbClr val="9999FF"/>
            </a:solidFill>
            <a:ln w="12699">
              <a:solidFill>
                <a:srgbClr val="000000"/>
              </a:solidFill>
              <a:prstDash val="solid"/>
            </a:ln>
          </c:spPr>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200363.08599999998</c:v>
                </c:pt>
                <c:pt idx="1">
                  <c:v>303602.88699999999</c:v>
                </c:pt>
                <c:pt idx="2">
                  <c:v>203606.682</c:v>
                </c:pt>
                <c:pt idx="3">
                  <c:v>151785.41500000001</c:v>
                </c:pt>
                <c:pt idx="4">
                  <c:v>144868.163</c:v>
                </c:pt>
              </c:numCache>
            </c:numRef>
          </c:val>
        </c:ser>
        <c:ser>
          <c:idx val="1"/>
          <c:order val="1"/>
          <c:tx>
            <c:strRef>
              <c:f>Sheet1!$A$3</c:f>
              <c:strCache>
                <c:ptCount val="1"/>
                <c:pt idx="0">
                  <c:v>colectat</c:v>
                </c:pt>
              </c:strCache>
            </c:strRef>
          </c:tx>
          <c:spPr>
            <a:solidFill>
              <a:srgbClr val="993366"/>
            </a:solidFill>
            <a:ln w="12699">
              <a:solidFill>
                <a:srgbClr val="000000"/>
              </a:solidFill>
              <a:prstDash val="solid"/>
            </a:ln>
          </c:spPr>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131732.44999999998</c:v>
                </c:pt>
                <c:pt idx="1">
                  <c:v>245381.193</c:v>
                </c:pt>
                <c:pt idx="2">
                  <c:v>148919.64499999999</c:v>
                </c:pt>
                <c:pt idx="3">
                  <c:v>118747.039</c:v>
                </c:pt>
                <c:pt idx="4">
                  <c:v>100239.43700000001</c:v>
                </c:pt>
              </c:numCache>
            </c:numRef>
          </c:val>
        </c:ser>
        <c:axId val="170114048"/>
        <c:axId val="170128512"/>
      </c:barChart>
      <c:catAx>
        <c:axId val="170114048"/>
        <c:scaling>
          <c:orientation val="minMax"/>
        </c:scaling>
        <c:axPos val="b"/>
        <c:title>
          <c:tx>
            <c:rich>
              <a:bodyPr/>
              <a:lstStyle/>
              <a:p>
                <a:pPr>
                  <a:defRPr/>
                </a:pPr>
                <a:r>
                  <a:rPr lang="ro-RO"/>
                  <a:t>Anul</a:t>
                </a:r>
              </a:p>
            </c:rich>
          </c:tx>
        </c:title>
        <c:numFmt formatCode="General" sourceLinked="1"/>
        <c:majorTickMark val="none"/>
        <c:tickLblPos val="nextTo"/>
        <c:spPr>
          <a:ln w="3175">
            <a:solidFill>
              <a:srgbClr val="000000"/>
            </a:solidFill>
            <a:prstDash val="solid"/>
          </a:ln>
        </c:spPr>
        <c:txPr>
          <a:bodyPr rot="0" vert="horz"/>
          <a:lstStyle/>
          <a:p>
            <a:pPr>
              <a:defRPr lang="en-US" sz="1150" b="1" i="0" u="none" strike="noStrike" baseline="0">
                <a:solidFill>
                  <a:srgbClr val="000000"/>
                </a:solidFill>
                <a:latin typeface="Arial"/>
                <a:ea typeface="Arial"/>
                <a:cs typeface="Arial"/>
              </a:defRPr>
            </a:pPr>
            <a:endParaRPr lang="ro-RO"/>
          </a:p>
        </c:txPr>
        <c:crossAx val="170128512"/>
        <c:crosses val="autoZero"/>
        <c:auto val="1"/>
        <c:lblAlgn val="ctr"/>
        <c:lblOffset val="100"/>
        <c:tickLblSkip val="1"/>
        <c:tickMarkSkip val="1"/>
      </c:catAx>
      <c:valAx>
        <c:axId val="170128512"/>
        <c:scaling>
          <c:orientation val="minMax"/>
        </c:scaling>
        <c:axPos val="l"/>
        <c:majorGridlines>
          <c:spPr>
            <a:ln w="3175">
              <a:solidFill>
                <a:srgbClr val="000000"/>
              </a:solidFill>
              <a:prstDash val="solid"/>
            </a:ln>
          </c:spPr>
        </c:majorGridlines>
        <c:title>
          <c:tx>
            <c:rich>
              <a:bodyPr/>
              <a:lstStyle/>
              <a:p>
                <a:pPr>
                  <a:defRPr/>
                </a:pPr>
                <a:r>
                  <a:rPr lang="ro-RO"/>
                  <a:t>Tone</a:t>
                </a:r>
              </a:p>
            </c:rich>
          </c:tx>
        </c:title>
        <c:numFmt formatCode="General" sourceLinked="1"/>
        <c:tickLblPos val="nextTo"/>
        <c:spPr>
          <a:ln w="3175">
            <a:solidFill>
              <a:srgbClr val="000000"/>
            </a:solidFill>
            <a:prstDash val="solid"/>
          </a:ln>
        </c:spPr>
        <c:txPr>
          <a:bodyPr rot="0" vert="horz"/>
          <a:lstStyle/>
          <a:p>
            <a:pPr>
              <a:defRPr lang="en-US" sz="1150" b="1" i="0" u="none" strike="noStrike" baseline="0">
                <a:solidFill>
                  <a:srgbClr val="000000"/>
                </a:solidFill>
                <a:latin typeface="Arial"/>
                <a:ea typeface="Arial"/>
                <a:cs typeface="Arial"/>
              </a:defRPr>
            </a:pPr>
            <a:endParaRPr lang="ro-RO"/>
          </a:p>
        </c:txPr>
        <c:crossAx val="170114048"/>
        <c:crosses val="autoZero"/>
        <c:crossBetween val="between"/>
      </c:valAx>
      <c:spPr>
        <a:noFill/>
        <a:ln w="12699">
          <a:solidFill>
            <a:srgbClr val="FFFFFF"/>
          </a:solidFill>
          <a:prstDash val="solid"/>
        </a:ln>
      </c:spPr>
    </c:plotArea>
    <c:legend>
      <c:legendPos val="r"/>
      <c:spPr>
        <a:noFill/>
        <a:ln w="3175">
          <a:solidFill>
            <a:srgbClr val="000000"/>
          </a:solidFill>
          <a:prstDash val="solid"/>
        </a:ln>
      </c:spPr>
      <c:txPr>
        <a:bodyPr/>
        <a:lstStyle/>
        <a:p>
          <a:pPr>
            <a:defRPr lang="en-US" sz="1010" b="1" i="0" u="none" strike="noStrike" baseline="0">
              <a:solidFill>
                <a:srgbClr val="000000"/>
              </a:solidFill>
              <a:latin typeface="Arial"/>
              <a:ea typeface="Arial"/>
              <a:cs typeface="Arial"/>
            </a:defRPr>
          </a:pPr>
          <a:endParaRPr lang="ro-RO"/>
        </a:p>
      </c:txPr>
    </c:legend>
    <c:plotVisOnly val="1"/>
    <c:dispBlanksAs val="gap"/>
  </c:chart>
  <c:spPr>
    <a:gradFill rotWithShape="0">
      <a:gsLst>
        <a:gs pos="0">
          <a:srgbClr val="FFFFFF"/>
        </a:gs>
        <a:gs pos="100000">
          <a:srgbClr val="C0C0C0"/>
        </a:gs>
      </a:gsLst>
      <a:path path="rect">
        <a:fillToRect l="50000" t="50000" r="50000" b="50000"/>
      </a:path>
    </a:gradFill>
    <a:ln>
      <a:noFill/>
    </a:ln>
  </c:spPr>
  <c:txPr>
    <a:bodyPr/>
    <a:lstStyle/>
    <a:p>
      <a:pPr>
        <a:defRPr sz="1100" b="1" i="0" u="none" strike="noStrike" baseline="0">
          <a:solidFill>
            <a:srgbClr val="000000"/>
          </a:solidFill>
          <a:latin typeface="Arial"/>
          <a:ea typeface="Arial"/>
          <a:cs typeface="Arial"/>
        </a:defRPr>
      </a:pPr>
      <a:endParaRPr lang="ro-RO"/>
    </a:p>
  </c:txPr>
  <c:externalData r:id="rId2"/>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Structura</a:t>
            </a:r>
            <a:r>
              <a:rPr lang="ro-RO" sz="1000" baseline="0">
                <a:latin typeface="Arial" pitchFamily="34" charset="0"/>
                <a:cs typeface="Arial" pitchFamily="34" charset="0"/>
              </a:rPr>
              <a:t> procentuală a deşeurilor municipale generate în perioada 2008-2012</a:t>
            </a:r>
            <a:endParaRPr lang="ro-RO" sz="1000">
              <a:latin typeface="Arial" pitchFamily="34" charset="0"/>
              <a:cs typeface="Arial" pitchFamily="34" charset="0"/>
            </a:endParaRPr>
          </a:p>
        </c:rich>
      </c:tx>
      <c:layout>
        <c:manualLayout>
          <c:xMode val="edge"/>
          <c:yMode val="edge"/>
          <c:x val="9.6599634369287243E-2"/>
          <c:y val="0"/>
        </c:manualLayout>
      </c:layout>
    </c:title>
    <c:plotArea>
      <c:layout/>
      <c:barChart>
        <c:barDir val="col"/>
        <c:grouping val="stacked"/>
        <c:ser>
          <c:idx val="0"/>
          <c:order val="0"/>
          <c:tx>
            <c:strRef>
              <c:f>Sheet1!$B$1</c:f>
              <c:strCache>
                <c:ptCount val="1"/>
                <c:pt idx="0">
                  <c:v>deşeuri menajere şi asimilabile colectate %</c:v>
                </c:pt>
              </c:strCache>
            </c:strRef>
          </c:tx>
          <c:dLbls>
            <c:showVal val="1"/>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40.300000000000004</c:v>
                </c:pt>
                <c:pt idx="1">
                  <c:v>29.3</c:v>
                </c:pt>
                <c:pt idx="2">
                  <c:v>44.2</c:v>
                </c:pt>
                <c:pt idx="3">
                  <c:v>58.4</c:v>
                </c:pt>
                <c:pt idx="4">
                  <c:v>52.8</c:v>
                </c:pt>
              </c:numCache>
            </c:numRef>
          </c:val>
        </c:ser>
        <c:ser>
          <c:idx val="1"/>
          <c:order val="1"/>
          <c:tx>
            <c:strRef>
              <c:f>Sheet1!$C$1</c:f>
              <c:strCache>
                <c:ptCount val="1"/>
                <c:pt idx="0">
                  <c:v>deşeuri din servicii municipale %</c:v>
                </c:pt>
              </c:strCache>
            </c:strRef>
          </c:tx>
          <c:dLbls>
            <c:showVal val="1"/>
          </c:dLbls>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25.45</c:v>
                </c:pt>
                <c:pt idx="1">
                  <c:v>19</c:v>
                </c:pt>
                <c:pt idx="2">
                  <c:v>25.7</c:v>
                </c:pt>
                <c:pt idx="3">
                  <c:v>17.600000000000001</c:v>
                </c:pt>
                <c:pt idx="4">
                  <c:v>13.7</c:v>
                </c:pt>
              </c:numCache>
            </c:numRef>
          </c:val>
        </c:ser>
        <c:ser>
          <c:idx val="2"/>
          <c:order val="2"/>
          <c:tx>
            <c:strRef>
              <c:f>Sheet1!$D$1</c:f>
              <c:strCache>
                <c:ptCount val="1"/>
                <c:pt idx="0">
                  <c:v>deşeuri din constructii şi demolari %</c:v>
                </c:pt>
              </c:strCache>
            </c:strRef>
          </c:tx>
          <c:dLbls>
            <c:showVal val="1"/>
          </c:dLbls>
          <c:cat>
            <c:numRef>
              <c:f>Sheet1!$A$2:$A$6</c:f>
              <c:numCache>
                <c:formatCode>General</c:formatCode>
                <c:ptCount val="5"/>
                <c:pt idx="0">
                  <c:v>2008</c:v>
                </c:pt>
                <c:pt idx="1">
                  <c:v>2009</c:v>
                </c:pt>
                <c:pt idx="2">
                  <c:v>2010</c:v>
                </c:pt>
                <c:pt idx="3">
                  <c:v>2011</c:v>
                </c:pt>
                <c:pt idx="4">
                  <c:v>2012</c:v>
                </c:pt>
              </c:numCache>
            </c:numRef>
          </c:cat>
          <c:val>
            <c:numRef>
              <c:f>Sheet1!$D$2:$D$6</c:f>
              <c:numCache>
                <c:formatCode>General</c:formatCode>
                <c:ptCount val="5"/>
                <c:pt idx="0">
                  <c:v>0</c:v>
                </c:pt>
                <c:pt idx="1">
                  <c:v>32.5</c:v>
                </c:pt>
                <c:pt idx="2">
                  <c:v>3.3</c:v>
                </c:pt>
                <c:pt idx="3">
                  <c:v>2.2000000000000002</c:v>
                </c:pt>
                <c:pt idx="4">
                  <c:v>2.7</c:v>
                </c:pt>
              </c:numCache>
            </c:numRef>
          </c:val>
        </c:ser>
        <c:ser>
          <c:idx val="3"/>
          <c:order val="3"/>
          <c:tx>
            <c:strRef>
              <c:f>Sheet1!$E$1</c:f>
              <c:strCache>
                <c:ptCount val="1"/>
                <c:pt idx="0">
                  <c:v>deşeuri menajere generate şi necolectate %</c:v>
                </c:pt>
              </c:strCache>
            </c:strRef>
          </c:tx>
          <c:dLbls>
            <c:showVal val="1"/>
          </c:dLbls>
          <c:cat>
            <c:numRef>
              <c:f>Sheet1!$A$2:$A$6</c:f>
              <c:numCache>
                <c:formatCode>General</c:formatCode>
                <c:ptCount val="5"/>
                <c:pt idx="0">
                  <c:v>2008</c:v>
                </c:pt>
                <c:pt idx="1">
                  <c:v>2009</c:v>
                </c:pt>
                <c:pt idx="2">
                  <c:v>2010</c:v>
                </c:pt>
                <c:pt idx="3">
                  <c:v>2011</c:v>
                </c:pt>
                <c:pt idx="4">
                  <c:v>2012</c:v>
                </c:pt>
              </c:numCache>
            </c:numRef>
          </c:cat>
          <c:val>
            <c:numRef>
              <c:f>Sheet1!$E$2:$E$6</c:f>
              <c:numCache>
                <c:formatCode>General</c:formatCode>
                <c:ptCount val="5"/>
                <c:pt idx="0">
                  <c:v>34.25</c:v>
                </c:pt>
                <c:pt idx="1">
                  <c:v>19.100000000000001</c:v>
                </c:pt>
                <c:pt idx="2">
                  <c:v>26.8</c:v>
                </c:pt>
                <c:pt idx="3">
                  <c:v>21.8</c:v>
                </c:pt>
                <c:pt idx="4">
                  <c:v>30.8</c:v>
                </c:pt>
              </c:numCache>
            </c:numRef>
          </c:val>
        </c:ser>
        <c:gapWidth val="300"/>
        <c:overlap val="100"/>
        <c:axId val="170542208"/>
        <c:axId val="170544128"/>
      </c:barChart>
      <c:catAx>
        <c:axId val="170542208"/>
        <c:scaling>
          <c:orientation val="minMax"/>
        </c:scaling>
        <c:axPos val="b"/>
        <c:title>
          <c:tx>
            <c:rich>
              <a:bodyPr/>
              <a:lstStyle/>
              <a:p>
                <a:pPr>
                  <a:defRPr sz="1000">
                    <a:latin typeface="Arial" pitchFamily="34" charset="0"/>
                    <a:cs typeface="Arial" pitchFamily="34" charset="0"/>
                  </a:defRPr>
                </a:pPr>
                <a:r>
                  <a:rPr lang="ro-RO" sz="1000">
                    <a:latin typeface="Arial" pitchFamily="34" charset="0"/>
                    <a:cs typeface="Arial" pitchFamily="34" charset="0"/>
                  </a:rPr>
                  <a:t>Anul</a:t>
                </a:r>
              </a:p>
            </c:rich>
          </c:tx>
        </c:title>
        <c:numFmt formatCode="General" sourceLinked="1"/>
        <c:majorTickMark val="none"/>
        <c:tickLblPos val="nextTo"/>
        <c:crossAx val="170544128"/>
        <c:crosses val="autoZero"/>
        <c:auto val="1"/>
        <c:lblAlgn val="ctr"/>
        <c:lblOffset val="100"/>
      </c:catAx>
      <c:valAx>
        <c:axId val="170544128"/>
        <c:scaling>
          <c:orientation val="minMax"/>
          <c:max val="100"/>
          <c:min val="0"/>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sz="1000" b="1">
                    <a:latin typeface="Arial" pitchFamily="34" charset="0"/>
                    <a:cs typeface="Arial" pitchFamily="34" charset="0"/>
                  </a:defRPr>
                </a:pPr>
                <a:r>
                  <a:rPr lang="ro-RO" sz="1000" b="1">
                    <a:latin typeface="Arial" pitchFamily="34" charset="0"/>
                    <a:cs typeface="Arial" pitchFamily="34" charset="0"/>
                  </a:rPr>
                  <a:t>%</a:t>
                </a:r>
              </a:p>
            </c:rich>
          </c:tx>
        </c:title>
        <c:numFmt formatCode="General" sourceLinked="1"/>
        <c:tickLblPos val="nextTo"/>
        <c:txPr>
          <a:bodyPr/>
          <a:lstStyle/>
          <a:p>
            <a:pPr>
              <a:defRPr baseline="0"/>
            </a:pPr>
            <a:endParaRPr lang="ro-RO"/>
          </a:p>
        </c:txPr>
        <c:crossAx val="170542208"/>
        <c:crosses val="autoZero"/>
        <c:crossBetween val="between"/>
        <c:majorUnit val="20"/>
        <c:minorUnit val="4"/>
      </c:valAx>
      <c:spPr>
        <a:noFill/>
        <a:ln w="25400">
          <a:noFill/>
        </a:ln>
      </c:spPr>
    </c:plotArea>
    <c:legend>
      <c:legendPos val="r"/>
      <c:txPr>
        <a:bodyPr/>
        <a:lstStyle/>
        <a:p>
          <a:pPr>
            <a:defRPr>
              <a:latin typeface="Arial" pitchFamily="34" charset="0"/>
              <a:cs typeface="Arial" pitchFamily="34" charset="0"/>
            </a:defRPr>
          </a:pPr>
          <a:endParaRPr lang="ro-RO"/>
        </a:p>
      </c:txPr>
    </c:legend>
    <c:plotVisOnly val="1"/>
  </c:chart>
  <c:spPr>
    <a:gradFill>
      <a:gsLst>
        <a:gs pos="0">
          <a:schemeClr val="accent5">
            <a:lumMod val="40000"/>
            <a:lumOff val="60000"/>
          </a:schemeClr>
        </a:gs>
        <a:gs pos="64999">
          <a:srgbClr val="F0EBD5"/>
        </a:gs>
        <a:gs pos="100000">
          <a:srgbClr val="D1C39F"/>
        </a:gs>
      </a:gsLst>
      <a:lin ang="5400000" scaled="0"/>
    </a:gradFill>
  </c:spPr>
  <c:externalData r:id="rId2"/>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Ponderea</a:t>
            </a:r>
            <a:r>
              <a:rPr lang="ro-RO" sz="1000" baseline="0">
                <a:latin typeface="Arial" pitchFamily="34" charset="0"/>
                <a:cs typeface="Arial" pitchFamily="34" charset="0"/>
              </a:rPr>
              <a:t> procentuală a principalelor categorii de deşeuri municipale colectate de municipalităţi în anul 2012</a:t>
            </a:r>
            <a:endParaRPr lang="ro-RO" sz="1000">
              <a:latin typeface="Arial" pitchFamily="34" charset="0"/>
              <a:cs typeface="Arial" pitchFamily="34" charset="0"/>
            </a:endParaRPr>
          </a:p>
        </c:rich>
      </c:tx>
    </c:title>
    <c:plotArea>
      <c:layout/>
      <c:barChart>
        <c:barDir val="col"/>
        <c:grouping val="clustered"/>
        <c:ser>
          <c:idx val="0"/>
          <c:order val="0"/>
          <c:tx>
            <c:strRef>
              <c:f>Sheet1!$B$1</c:f>
              <c:strCache>
                <c:ptCount val="1"/>
                <c:pt idx="0">
                  <c:v>%</c:v>
                </c:pt>
              </c:strCache>
            </c:strRef>
          </c:tx>
          <c:dLbls>
            <c:showVal val="1"/>
          </c:dLbls>
          <c:cat>
            <c:strRef>
              <c:f>Sheet1!$A$2:$A$5</c:f>
              <c:strCache>
                <c:ptCount val="3"/>
                <c:pt idx="0">
                  <c:v>Deşeuri menajere şi asimilabile</c:v>
                </c:pt>
                <c:pt idx="1">
                  <c:v>Deşeuri din servicii municipale</c:v>
                </c:pt>
                <c:pt idx="2">
                  <c:v>Deşeuri din construcţii şi demolări</c:v>
                </c:pt>
              </c:strCache>
            </c:strRef>
          </c:cat>
          <c:val>
            <c:numRef>
              <c:f>Sheet1!$B$2:$B$5</c:f>
              <c:numCache>
                <c:formatCode>General</c:formatCode>
                <c:ptCount val="4"/>
                <c:pt idx="0">
                  <c:v>76.3</c:v>
                </c:pt>
                <c:pt idx="1">
                  <c:v>19.8</c:v>
                </c:pt>
                <c:pt idx="2">
                  <c:v>3.9</c:v>
                </c:pt>
              </c:numCache>
            </c:numRef>
          </c:val>
        </c:ser>
        <c:ser>
          <c:idx val="1"/>
          <c:order val="1"/>
          <c:tx>
            <c:strRef>
              <c:f>Sheet1!$C$1</c:f>
              <c:strCache>
                <c:ptCount val="1"/>
              </c:strCache>
            </c:strRef>
          </c:tx>
          <c:cat>
            <c:strRef>
              <c:f>Sheet1!$A$2:$A$5</c:f>
              <c:strCache>
                <c:ptCount val="3"/>
                <c:pt idx="0">
                  <c:v>Deşeuri menajere şi asimilabile</c:v>
                </c:pt>
                <c:pt idx="1">
                  <c:v>Deşeuri din servicii municipale</c:v>
                </c:pt>
                <c:pt idx="2">
                  <c:v>Deşeuri din construcţii şi demolări</c:v>
                </c:pt>
              </c:strCache>
            </c:strRef>
          </c:cat>
          <c:val>
            <c:numRef>
              <c:f>Sheet1!$C$2:$C$5</c:f>
              <c:numCache>
                <c:formatCode>General</c:formatCode>
                <c:ptCount val="4"/>
              </c:numCache>
            </c:numRef>
          </c:val>
        </c:ser>
        <c:ser>
          <c:idx val="2"/>
          <c:order val="2"/>
          <c:tx>
            <c:strRef>
              <c:f>Sheet1!$D$1</c:f>
              <c:strCache>
                <c:ptCount val="1"/>
              </c:strCache>
            </c:strRef>
          </c:tx>
          <c:cat>
            <c:strRef>
              <c:f>Sheet1!$A$2:$A$5</c:f>
              <c:strCache>
                <c:ptCount val="3"/>
                <c:pt idx="0">
                  <c:v>Deşeuri menajere şi asimilabile</c:v>
                </c:pt>
                <c:pt idx="1">
                  <c:v>Deşeuri din servicii municipale</c:v>
                </c:pt>
                <c:pt idx="2">
                  <c:v>Deşeuri din construcţii şi demolări</c:v>
                </c:pt>
              </c:strCache>
            </c:strRef>
          </c:cat>
          <c:val>
            <c:numRef>
              <c:f>Sheet1!$D$2:$D$5</c:f>
              <c:numCache>
                <c:formatCode>General</c:formatCode>
                <c:ptCount val="4"/>
              </c:numCache>
            </c:numRef>
          </c:val>
        </c:ser>
        <c:gapWidth val="0"/>
        <c:axId val="170189952"/>
        <c:axId val="170191872"/>
      </c:barChart>
      <c:catAx>
        <c:axId val="170189952"/>
        <c:scaling>
          <c:orientation val="minMax"/>
        </c:scaling>
        <c:axPos val="b"/>
        <c:title>
          <c:tx>
            <c:rich>
              <a:bodyPr/>
              <a:lstStyle/>
              <a:p>
                <a:pPr>
                  <a:defRPr>
                    <a:latin typeface="Arial" pitchFamily="34" charset="0"/>
                    <a:cs typeface="Arial" pitchFamily="34" charset="0"/>
                  </a:defRPr>
                </a:pPr>
                <a:r>
                  <a:rPr lang="en-US">
                    <a:latin typeface="Arial" pitchFamily="34" charset="0"/>
                    <a:cs typeface="Arial" pitchFamily="34" charset="0"/>
                  </a:rPr>
                  <a:t>Categorie</a:t>
                </a:r>
                <a:r>
                  <a:rPr lang="en-US" baseline="0">
                    <a:latin typeface="Arial" pitchFamily="34" charset="0"/>
                    <a:cs typeface="Arial" pitchFamily="34" charset="0"/>
                  </a:rPr>
                  <a:t> de</a:t>
                </a:r>
                <a:r>
                  <a:rPr lang="ro-RO" baseline="0">
                    <a:latin typeface="Arial" pitchFamily="34" charset="0"/>
                    <a:cs typeface="Arial" pitchFamily="34" charset="0"/>
                  </a:rPr>
                  <a:t>şeuri</a:t>
                </a:r>
                <a:endParaRPr lang="ro-RO">
                  <a:latin typeface="Arial" pitchFamily="34" charset="0"/>
                  <a:cs typeface="Arial" pitchFamily="34" charset="0"/>
                </a:endParaRPr>
              </a:p>
            </c:rich>
          </c:tx>
        </c:title>
        <c:majorTickMark val="none"/>
        <c:tickLblPos val="nextTo"/>
        <c:crossAx val="170191872"/>
        <c:crosses val="autoZero"/>
        <c:lblAlgn val="ctr"/>
        <c:lblOffset val="100"/>
      </c:catAx>
      <c:valAx>
        <c:axId val="170191872"/>
        <c:scaling>
          <c:orientation val="minMax"/>
        </c:scaling>
        <c:axPos val="l"/>
        <c:title>
          <c:tx>
            <c:rich>
              <a:bodyPr/>
              <a:lstStyle/>
              <a:p>
                <a:pPr>
                  <a:defRPr>
                    <a:latin typeface="Arial" pitchFamily="34" charset="0"/>
                    <a:cs typeface="Arial" pitchFamily="34" charset="0"/>
                  </a:defRPr>
                </a:pPr>
                <a:r>
                  <a:rPr lang="en-US">
                    <a:latin typeface="Arial" pitchFamily="34" charset="0"/>
                    <a:cs typeface="Arial" pitchFamily="34" charset="0"/>
                  </a:rPr>
                  <a:t>%</a:t>
                </a:r>
                <a:endParaRPr lang="ro-RO">
                  <a:latin typeface="Arial" pitchFamily="34" charset="0"/>
                  <a:cs typeface="Arial" pitchFamily="34" charset="0"/>
                </a:endParaRPr>
              </a:p>
            </c:rich>
          </c:tx>
        </c:title>
        <c:numFmt formatCode="General" sourceLinked="0"/>
        <c:tickLblPos val="nextTo"/>
        <c:crossAx val="170189952"/>
        <c:crosses val="autoZero"/>
        <c:crossBetween val="between"/>
      </c:valAx>
      <c:spPr>
        <a:gradFill flip="none" rotWithShape="1">
          <a:gsLst>
            <a:gs pos="0">
              <a:schemeClr val="accent6">
                <a:lumMod val="60000"/>
                <a:lumOff val="40000"/>
              </a:schemeClr>
            </a:gs>
            <a:gs pos="64999">
              <a:srgbClr val="F0EBD5"/>
            </a:gs>
            <a:gs pos="100000">
              <a:srgbClr val="D1C39F"/>
            </a:gs>
          </a:gsLst>
          <a:lin ang="2700000" scaled="1"/>
          <a:tileRect/>
        </a:gradFill>
      </c:spPr>
    </c:plotArea>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a:solidFill>
            <a:sysClr val="windowText" lastClr="000000"/>
          </a:solidFill>
        </a:defRPr>
      </a:pPr>
      <a:endParaRPr lang="ro-RO"/>
    </a:p>
  </c:txPr>
  <c:externalData r:id="rId2"/>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b="1"/>
              <a:t>Compoziţia</a:t>
            </a:r>
            <a:r>
              <a:rPr lang="ro-RO" sz="1000" b="1" baseline="0"/>
              <a:t> procentuală a deşeurilor menajere colectate în anul 2012</a:t>
            </a:r>
            <a:endParaRPr lang="en-US" sz="1000" b="1"/>
          </a:p>
        </c:rich>
      </c:tx>
    </c:title>
    <c:view3D>
      <c:perspective val="0"/>
    </c:view3D>
    <c:plotArea>
      <c:layout>
        <c:manualLayout>
          <c:layoutTarget val="inner"/>
          <c:xMode val="edge"/>
          <c:yMode val="edge"/>
          <c:x val="8.8279304709552864E-2"/>
          <c:y val="0.23637854256981922"/>
          <c:w val="0.82344157413883823"/>
          <c:h val="0.71412422389799468"/>
        </c:manualLayout>
      </c:layout>
      <c:pie3DChart>
        <c:varyColors val="1"/>
        <c:ser>
          <c:idx val="0"/>
          <c:order val="0"/>
          <c:tx>
            <c:strRef>
              <c:f>Sheet1!$A$2</c:f>
              <c:strCache>
                <c:ptCount val="1"/>
                <c:pt idx="0">
                  <c:v>Deşeuri colectate de la populaţie</c:v>
                </c:pt>
              </c:strCache>
            </c:strRef>
          </c:tx>
          <c:spPr>
            <a:solidFill>
              <a:srgbClr val="9999FF"/>
            </a:solidFill>
            <a:ln w="12686">
              <a:solidFill>
                <a:srgbClr val="000000"/>
              </a:solidFill>
              <a:prstDash val="solid"/>
            </a:ln>
          </c:spPr>
          <c:explosion val="13"/>
          <c:dPt>
            <c:idx val="1"/>
            <c:spPr>
              <a:solidFill>
                <a:srgbClr val="993366"/>
              </a:solidFill>
              <a:ln w="12686">
                <a:solidFill>
                  <a:srgbClr val="000000"/>
                </a:solidFill>
                <a:prstDash val="solid"/>
              </a:ln>
            </c:spPr>
          </c:dPt>
          <c:dPt>
            <c:idx val="2"/>
            <c:spPr>
              <a:solidFill>
                <a:srgbClr val="FFFFCC"/>
              </a:solidFill>
              <a:ln w="12686">
                <a:solidFill>
                  <a:srgbClr val="000000"/>
                </a:solidFill>
                <a:prstDash val="solid"/>
              </a:ln>
            </c:spPr>
          </c:dPt>
          <c:dPt>
            <c:idx val="3"/>
            <c:spPr>
              <a:solidFill>
                <a:srgbClr val="CCFFFF"/>
              </a:solidFill>
              <a:ln w="12686">
                <a:solidFill>
                  <a:srgbClr val="000000"/>
                </a:solidFill>
                <a:prstDash val="solid"/>
              </a:ln>
            </c:spPr>
          </c:dPt>
          <c:dPt>
            <c:idx val="4"/>
            <c:spPr>
              <a:solidFill>
                <a:srgbClr val="FF6600"/>
              </a:solidFill>
              <a:ln w="12686">
                <a:solidFill>
                  <a:srgbClr val="000000"/>
                </a:solidFill>
                <a:prstDash val="solid"/>
              </a:ln>
            </c:spPr>
          </c:dPt>
          <c:dPt>
            <c:idx val="5"/>
            <c:spPr>
              <a:solidFill>
                <a:srgbClr val="FF8080"/>
              </a:solidFill>
              <a:ln w="12686">
                <a:solidFill>
                  <a:srgbClr val="000000"/>
                </a:solidFill>
                <a:prstDash val="solid"/>
              </a:ln>
            </c:spPr>
          </c:dPt>
          <c:dPt>
            <c:idx val="6"/>
            <c:spPr>
              <a:solidFill>
                <a:srgbClr val="0066CC"/>
              </a:solidFill>
              <a:ln w="12686">
                <a:solidFill>
                  <a:srgbClr val="000000"/>
                </a:solidFill>
                <a:prstDash val="solid"/>
              </a:ln>
            </c:spPr>
          </c:dPt>
          <c:dLbls>
            <c:dLbl>
              <c:idx val="0"/>
              <c:layout>
                <c:manualLayout>
                  <c:x val="-3.929301867138596E-2"/>
                  <c:y val="-3.893479981668959E-2"/>
                </c:manualLayout>
              </c:layout>
              <c:tx>
                <c:rich>
                  <a:bodyPr/>
                  <a:lstStyle/>
                  <a:p>
                    <a:r>
                      <a:rPr lang="en-US" sz="1000"/>
                      <a:t>Hârtie şi carton
9</a:t>
                    </a:r>
                    <a:r>
                      <a:rPr lang="ro-RO" sz="1000"/>
                      <a:t>,54</a:t>
                    </a:r>
                    <a:r>
                      <a:rPr lang="en-US" sz="1000"/>
                      <a:t>%</a:t>
                    </a:r>
                  </a:p>
                </c:rich>
              </c:tx>
              <c:dLblPos val="bestFit"/>
              <c:showCatName val="1"/>
              <c:showPercent val="1"/>
            </c:dLbl>
            <c:dLbl>
              <c:idx val="1"/>
              <c:layout>
                <c:manualLayout>
                  <c:x val="-2.6953868986272347E-2"/>
                  <c:y val="-0.19160254115962777"/>
                </c:manualLayout>
              </c:layout>
              <c:tx>
                <c:rich>
                  <a:bodyPr/>
                  <a:lstStyle/>
                  <a:p>
                    <a:r>
                      <a:rPr lang="vi-VN" sz="1000"/>
                      <a:t>Sticlă
</a:t>
                    </a:r>
                    <a:r>
                      <a:rPr lang="ro-RO" sz="1000"/>
                      <a:t>2,85</a:t>
                    </a:r>
                    <a:r>
                      <a:rPr lang="vi-VN" sz="1000"/>
                      <a:t>%</a:t>
                    </a:r>
                  </a:p>
                </c:rich>
              </c:tx>
              <c:dLblPos val="bestFit"/>
              <c:showCatName val="1"/>
              <c:showPercent val="1"/>
            </c:dLbl>
            <c:dLbl>
              <c:idx val="2"/>
              <c:layout>
                <c:manualLayout>
                  <c:x val="1.6292922062428147E-2"/>
                  <c:y val="-0.19657301360057267"/>
                </c:manualLayout>
              </c:layout>
              <c:tx>
                <c:rich>
                  <a:bodyPr/>
                  <a:lstStyle/>
                  <a:p>
                    <a:r>
                      <a:rPr lang="en-US" sz="1000"/>
                      <a:t>Metal</a:t>
                    </a:r>
                    <a:r>
                      <a:rPr lang="en-US" sz="1000" b="0"/>
                      <a:t>e
</a:t>
                    </a:r>
                    <a:r>
                      <a:rPr lang="ro-RO" sz="1000" b="0"/>
                      <a:t>1,92</a:t>
                    </a:r>
                    <a:r>
                      <a:rPr lang="en-US" sz="1000"/>
                      <a:t>%</a:t>
                    </a:r>
                  </a:p>
                </c:rich>
              </c:tx>
              <c:dLblPos val="bestFit"/>
              <c:showCatName val="1"/>
              <c:showPercent val="1"/>
            </c:dLbl>
            <c:dLbl>
              <c:idx val="3"/>
              <c:layout>
                <c:manualLayout>
                  <c:x val="-3.0819288084857663E-4"/>
                  <c:y val="-8.7711763302314477E-2"/>
                </c:manualLayout>
              </c:layout>
              <c:tx>
                <c:rich>
                  <a:bodyPr/>
                  <a:lstStyle/>
                  <a:p>
                    <a:r>
                      <a:rPr lang="en-US" sz="1000"/>
                      <a:t>Materiale plastice
1</a:t>
                    </a:r>
                    <a:r>
                      <a:rPr lang="ro-RO" sz="1000"/>
                      <a:t>1,6</a:t>
                    </a:r>
                    <a:r>
                      <a:rPr lang="en-US" sz="1000"/>
                      <a:t>3%</a:t>
                    </a:r>
                  </a:p>
                </c:rich>
              </c:tx>
              <c:dLblPos val="bestFit"/>
              <c:showCatName val="1"/>
              <c:showPercent val="1"/>
            </c:dLbl>
            <c:dLbl>
              <c:idx val="4"/>
              <c:layout>
                <c:manualLayout>
                  <c:x val="-6.3529794377797016E-2"/>
                  <c:y val="5.6436709615843524E-2"/>
                </c:manualLayout>
              </c:layout>
              <c:tx>
                <c:rich>
                  <a:bodyPr/>
                  <a:lstStyle/>
                  <a:p>
                    <a:r>
                      <a:rPr lang="en-US" sz="1000"/>
                      <a:t>Biodegradabile
68</a:t>
                    </a:r>
                    <a:r>
                      <a:rPr lang="ro-RO" sz="1000"/>
                      <a:t>,3</a:t>
                    </a:r>
                    <a:r>
                      <a:rPr lang="en-US" sz="1000"/>
                      <a:t>%</a:t>
                    </a:r>
                  </a:p>
                </c:rich>
              </c:tx>
              <c:dLblPos val="bestFit"/>
              <c:showCatName val="1"/>
              <c:showPercent val="1"/>
            </c:dLbl>
            <c:dLbl>
              <c:idx val="5"/>
              <c:layout>
                <c:manualLayout>
                  <c:x val="-4.0278908532659655E-2"/>
                  <c:y val="-9.1954643310035764E-2"/>
                </c:manualLayout>
              </c:layout>
              <c:dLblPos val="bestFit"/>
              <c:showCatName val="1"/>
              <c:showPercent val="1"/>
            </c:dLbl>
            <c:dLbl>
              <c:idx val="6"/>
              <c:layout>
                <c:manualLayout>
                  <c:x val="2.9013663867932742E-2"/>
                  <c:y val="-5.7194583631591932E-2"/>
                </c:manualLayout>
              </c:layout>
              <c:tx>
                <c:rich>
                  <a:bodyPr/>
                  <a:lstStyle/>
                  <a:p>
                    <a:r>
                      <a:rPr lang="en-US" sz="1000"/>
                      <a:t>Lemn
0,12%</a:t>
                    </a:r>
                  </a:p>
                </c:rich>
              </c:tx>
              <c:dLblPos val="bestFit"/>
              <c:showCatName val="1"/>
              <c:showPercent val="1"/>
            </c:dLbl>
            <c:dLbl>
              <c:idx val="7"/>
              <c:layout>
                <c:manualLayout>
                  <c:x val="7.1968503937007891E-2"/>
                  <c:y val="-0.13855134774819824"/>
                </c:manualLayout>
              </c:layout>
              <c:tx>
                <c:rich>
                  <a:bodyPr/>
                  <a:lstStyle/>
                  <a:p>
                    <a:r>
                      <a:rPr lang="en-US"/>
                      <a:t>Altele</a:t>
                    </a:r>
                  </a:p>
                  <a:p>
                    <a:r>
                      <a:rPr lang="en-US"/>
                      <a:t>2,62%</a:t>
                    </a:r>
                  </a:p>
                </c:rich>
              </c:tx>
              <c:dLblPos val="bestFit"/>
              <c:showCatName val="1"/>
              <c:showPercent val="1"/>
            </c:dLbl>
            <c:txPr>
              <a:bodyPr/>
              <a:lstStyle/>
              <a:p>
                <a:pPr>
                  <a:defRPr sz="1000"/>
                </a:pPr>
                <a:endParaRPr lang="ro-RO"/>
              </a:p>
            </c:txPr>
            <c:dLblPos val="bestFit"/>
            <c:showCatName val="1"/>
            <c:showPercent val="1"/>
          </c:dLbls>
          <c:cat>
            <c:strRef>
              <c:f>Sheet1!$B$1:$I$1</c:f>
              <c:strCache>
                <c:ptCount val="8"/>
                <c:pt idx="0">
                  <c:v>Hârtie şi carton</c:v>
                </c:pt>
                <c:pt idx="1">
                  <c:v>Sticlă</c:v>
                </c:pt>
                <c:pt idx="2">
                  <c:v>Metale</c:v>
                </c:pt>
                <c:pt idx="3">
                  <c:v>Materiale plastice</c:v>
                </c:pt>
                <c:pt idx="4">
                  <c:v>Biodegradabile</c:v>
                </c:pt>
                <c:pt idx="5">
                  <c:v>Inerte</c:v>
                </c:pt>
                <c:pt idx="6">
                  <c:v>Lemn</c:v>
                </c:pt>
                <c:pt idx="7">
                  <c:v>Altele</c:v>
                </c:pt>
              </c:strCache>
            </c:strRef>
          </c:cat>
          <c:val>
            <c:numRef>
              <c:f>Sheet1!$B$2:$I$2</c:f>
              <c:numCache>
                <c:formatCode>General</c:formatCode>
                <c:ptCount val="8"/>
                <c:pt idx="0">
                  <c:v>9.84</c:v>
                </c:pt>
                <c:pt idx="1">
                  <c:v>2.8499999999999988</c:v>
                </c:pt>
                <c:pt idx="2">
                  <c:v>1.9200000000000021</c:v>
                </c:pt>
                <c:pt idx="3">
                  <c:v>11.63</c:v>
                </c:pt>
                <c:pt idx="4">
                  <c:v>68.36999999999999</c:v>
                </c:pt>
                <c:pt idx="5">
                  <c:v>3.01</c:v>
                </c:pt>
                <c:pt idx="6">
                  <c:v>0.12000000000000002</c:v>
                </c:pt>
                <c:pt idx="7">
                  <c:v>2.62</c:v>
                </c:pt>
              </c:numCache>
            </c:numRef>
          </c:val>
        </c:ser>
        <c:ser>
          <c:idx val="1"/>
          <c:order val="1"/>
          <c:tx>
            <c:strRef>
              <c:f>Sheet1!$A$3</c:f>
              <c:strCache>
                <c:ptCount val="1"/>
              </c:strCache>
            </c:strRef>
          </c:tx>
          <c:spPr>
            <a:solidFill>
              <a:srgbClr val="993366"/>
            </a:solidFill>
            <a:ln w="12686">
              <a:solidFill>
                <a:srgbClr val="000000"/>
              </a:solidFill>
              <a:prstDash val="solid"/>
            </a:ln>
          </c:spPr>
          <c:explosion val="13"/>
          <c:dPt>
            <c:idx val="0"/>
            <c:spPr>
              <a:solidFill>
                <a:srgbClr val="9999FF"/>
              </a:solidFill>
              <a:ln w="12686">
                <a:solidFill>
                  <a:srgbClr val="000000"/>
                </a:solidFill>
                <a:prstDash val="solid"/>
              </a:ln>
            </c:spPr>
          </c:dPt>
          <c:dPt>
            <c:idx val="2"/>
            <c:spPr>
              <a:solidFill>
                <a:srgbClr val="FFFFCC"/>
              </a:solidFill>
              <a:ln w="12686">
                <a:solidFill>
                  <a:srgbClr val="000000"/>
                </a:solidFill>
                <a:prstDash val="solid"/>
              </a:ln>
            </c:spPr>
          </c:dPt>
          <c:dPt>
            <c:idx val="3"/>
            <c:spPr>
              <a:solidFill>
                <a:srgbClr val="CCFFFF"/>
              </a:solidFill>
              <a:ln w="12686">
                <a:solidFill>
                  <a:srgbClr val="000000"/>
                </a:solidFill>
                <a:prstDash val="solid"/>
              </a:ln>
            </c:spPr>
          </c:dPt>
          <c:dPt>
            <c:idx val="4"/>
            <c:spPr>
              <a:solidFill>
                <a:srgbClr val="660066"/>
              </a:solidFill>
              <a:ln w="12686">
                <a:solidFill>
                  <a:srgbClr val="000000"/>
                </a:solidFill>
                <a:prstDash val="solid"/>
              </a:ln>
            </c:spPr>
          </c:dPt>
          <c:dPt>
            <c:idx val="5"/>
            <c:spPr>
              <a:solidFill>
                <a:srgbClr val="FF8080"/>
              </a:solidFill>
              <a:ln w="12686">
                <a:solidFill>
                  <a:srgbClr val="000000"/>
                </a:solidFill>
                <a:prstDash val="solid"/>
              </a:ln>
            </c:spPr>
          </c:dPt>
          <c:dPt>
            <c:idx val="6"/>
            <c:spPr>
              <a:solidFill>
                <a:srgbClr val="0066CC"/>
              </a:solidFill>
              <a:ln w="12686">
                <a:solidFill>
                  <a:srgbClr val="000000"/>
                </a:solidFill>
                <a:prstDash val="solid"/>
              </a:ln>
            </c:spPr>
          </c:dPt>
          <c:cat>
            <c:strRef>
              <c:f>Sheet1!$B$1:$I$1</c:f>
              <c:strCache>
                <c:ptCount val="8"/>
                <c:pt idx="0">
                  <c:v>Hârtie şi carton</c:v>
                </c:pt>
                <c:pt idx="1">
                  <c:v>Sticlă</c:v>
                </c:pt>
                <c:pt idx="2">
                  <c:v>Metale</c:v>
                </c:pt>
                <c:pt idx="3">
                  <c:v>Materiale plastice</c:v>
                </c:pt>
                <c:pt idx="4">
                  <c:v>Biodegradabile</c:v>
                </c:pt>
                <c:pt idx="5">
                  <c:v>Inerte</c:v>
                </c:pt>
                <c:pt idx="6">
                  <c:v>Lemn</c:v>
                </c:pt>
                <c:pt idx="7">
                  <c:v>Altele</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686">
              <a:solidFill>
                <a:srgbClr val="000000"/>
              </a:solidFill>
              <a:prstDash val="solid"/>
            </a:ln>
          </c:spPr>
          <c:explosion val="13"/>
          <c:dPt>
            <c:idx val="0"/>
            <c:spPr>
              <a:solidFill>
                <a:srgbClr val="9999FF"/>
              </a:solidFill>
              <a:ln w="12686">
                <a:solidFill>
                  <a:srgbClr val="000000"/>
                </a:solidFill>
                <a:prstDash val="solid"/>
              </a:ln>
            </c:spPr>
          </c:dPt>
          <c:dPt>
            <c:idx val="1"/>
            <c:spPr>
              <a:solidFill>
                <a:srgbClr val="993366"/>
              </a:solidFill>
              <a:ln w="12686">
                <a:solidFill>
                  <a:srgbClr val="000000"/>
                </a:solidFill>
                <a:prstDash val="solid"/>
              </a:ln>
            </c:spPr>
          </c:dPt>
          <c:dPt>
            <c:idx val="3"/>
            <c:spPr>
              <a:solidFill>
                <a:srgbClr val="CCFFFF"/>
              </a:solidFill>
              <a:ln w="12686">
                <a:solidFill>
                  <a:srgbClr val="000000"/>
                </a:solidFill>
                <a:prstDash val="solid"/>
              </a:ln>
            </c:spPr>
          </c:dPt>
          <c:dPt>
            <c:idx val="4"/>
            <c:spPr>
              <a:solidFill>
                <a:srgbClr val="660066"/>
              </a:solidFill>
              <a:ln w="12686">
                <a:solidFill>
                  <a:srgbClr val="000000"/>
                </a:solidFill>
                <a:prstDash val="solid"/>
              </a:ln>
            </c:spPr>
          </c:dPt>
          <c:dPt>
            <c:idx val="5"/>
            <c:spPr>
              <a:solidFill>
                <a:srgbClr val="FF8080"/>
              </a:solidFill>
              <a:ln w="12686">
                <a:solidFill>
                  <a:srgbClr val="000000"/>
                </a:solidFill>
                <a:prstDash val="solid"/>
              </a:ln>
            </c:spPr>
          </c:dPt>
          <c:dPt>
            <c:idx val="6"/>
            <c:spPr>
              <a:solidFill>
                <a:srgbClr val="0066CC"/>
              </a:solidFill>
              <a:ln w="12686">
                <a:solidFill>
                  <a:srgbClr val="000000"/>
                </a:solidFill>
                <a:prstDash val="solid"/>
              </a:ln>
            </c:spPr>
          </c:dPt>
          <c:cat>
            <c:strRef>
              <c:f>Sheet1!$B$1:$I$1</c:f>
              <c:strCache>
                <c:ptCount val="8"/>
                <c:pt idx="0">
                  <c:v>Hârtie şi carton</c:v>
                </c:pt>
                <c:pt idx="1">
                  <c:v>Sticlă</c:v>
                </c:pt>
                <c:pt idx="2">
                  <c:v>Metale</c:v>
                </c:pt>
                <c:pt idx="3">
                  <c:v>Materiale plastice</c:v>
                </c:pt>
                <c:pt idx="4">
                  <c:v>Biodegradabile</c:v>
                </c:pt>
                <c:pt idx="5">
                  <c:v>Inerte</c:v>
                </c:pt>
                <c:pt idx="6">
                  <c:v>Lemn</c:v>
                </c:pt>
                <c:pt idx="7">
                  <c:v>Altele</c:v>
                </c:pt>
              </c:strCache>
            </c:strRef>
          </c:cat>
          <c:val>
            <c:numRef>
              <c:f>Sheet1!$B$4:$H$4</c:f>
              <c:numCache>
                <c:formatCode>General</c:formatCode>
                <c:ptCount val="7"/>
              </c:numCache>
            </c:numRef>
          </c:val>
        </c:ser>
        <c:dLbls>
          <c:showCatName val="1"/>
          <c:showPercent val="1"/>
        </c:dLbls>
      </c:pie3DChart>
      <c:spPr>
        <a:noFill/>
        <a:ln w="25372">
          <a:noFill/>
        </a:ln>
      </c:spPr>
    </c:plotArea>
    <c:plotVisOnly val="1"/>
    <c:dispBlanksAs val="zero"/>
  </c:chart>
  <c:spPr>
    <a:gradFill rotWithShape="0">
      <a:gsLst>
        <a:gs pos="0">
          <a:srgbClr val="FFEFD1"/>
        </a:gs>
        <a:gs pos="64999">
          <a:srgbClr val="F0EBD5"/>
        </a:gs>
        <a:gs pos="100000">
          <a:srgbClr val="D1C39F"/>
        </a:gs>
      </a:gsLst>
      <a:lin ang="5400000" scaled="0"/>
    </a:gradFill>
    <a:ln>
      <a:noFill/>
    </a:ln>
  </c:spPr>
  <c:txPr>
    <a:bodyPr/>
    <a:lstStyle/>
    <a:p>
      <a:pPr>
        <a:defRPr sz="1124" b="1" i="0" u="none" strike="noStrike" baseline="0">
          <a:solidFill>
            <a:srgbClr val="000000"/>
          </a:solidFill>
          <a:latin typeface="Arial"/>
          <a:ea typeface="Arial"/>
          <a:cs typeface="Arial"/>
        </a:defRPr>
      </a:pPr>
      <a:endParaRPr lang="ro-RO"/>
    </a:p>
  </c:txPr>
  <c:externalData r:id="rId2"/>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Evoluţia</a:t>
            </a:r>
            <a:r>
              <a:rPr lang="ro-RO" sz="1000" baseline="0">
                <a:latin typeface="Arial" pitchFamily="34" charset="0"/>
                <a:cs typeface="Arial" pitchFamily="34" charset="0"/>
              </a:rPr>
              <a:t> gradului de conectare la serviciul de salubrizare</a:t>
            </a:r>
            <a:endParaRPr lang="en-US" sz="1000">
              <a:latin typeface="Arial" pitchFamily="34" charset="0"/>
              <a:cs typeface="Arial" pitchFamily="34" charset="0"/>
            </a:endParaRPr>
          </a:p>
        </c:rich>
      </c:tx>
    </c:title>
    <c:plotArea>
      <c:layout/>
      <c:lineChart>
        <c:grouping val="standard"/>
        <c:ser>
          <c:idx val="0"/>
          <c:order val="0"/>
          <c:tx>
            <c:strRef>
              <c:f>Sheet1!$B$1</c:f>
              <c:strCache>
                <c:ptCount val="1"/>
                <c:pt idx="0">
                  <c:v>Urban</c:v>
                </c:pt>
              </c:strCache>
            </c:strRef>
          </c:tx>
          <c:marker>
            <c:symbol val="none"/>
          </c:marker>
          <c:dLbls>
            <c:showVal val="1"/>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54.89</c:v>
                </c:pt>
                <c:pt idx="1">
                  <c:v>60.9</c:v>
                </c:pt>
                <c:pt idx="2">
                  <c:v>54.68</c:v>
                </c:pt>
                <c:pt idx="3">
                  <c:v>69.459999999999994</c:v>
                </c:pt>
                <c:pt idx="4">
                  <c:v>61.18</c:v>
                </c:pt>
              </c:numCache>
            </c:numRef>
          </c:val>
        </c:ser>
        <c:ser>
          <c:idx val="1"/>
          <c:order val="1"/>
          <c:tx>
            <c:strRef>
              <c:f>Sheet1!$C$1</c:f>
              <c:strCache>
                <c:ptCount val="1"/>
                <c:pt idx="0">
                  <c:v>Rural</c:v>
                </c:pt>
              </c:strCache>
            </c:strRef>
          </c:tx>
          <c:marker>
            <c:symbol val="none"/>
          </c:marker>
          <c:dLbls>
            <c:showVal val="1"/>
          </c:dLbls>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6.7700000000000014</c:v>
                </c:pt>
                <c:pt idx="1">
                  <c:v>21.49</c:v>
                </c:pt>
                <c:pt idx="2">
                  <c:v>39.120000000000012</c:v>
                </c:pt>
                <c:pt idx="3">
                  <c:v>57.58</c:v>
                </c:pt>
                <c:pt idx="4">
                  <c:v>51.88</c:v>
                </c:pt>
              </c:numCache>
            </c:numRef>
          </c:val>
        </c:ser>
        <c:marker val="1"/>
        <c:axId val="170727680"/>
        <c:axId val="170733568"/>
      </c:lineChart>
      <c:catAx>
        <c:axId val="170727680"/>
        <c:scaling>
          <c:orientation val="minMax"/>
        </c:scaling>
        <c:axPos val="b"/>
        <c:numFmt formatCode="General" sourceLinked="1"/>
        <c:majorTickMark val="none"/>
        <c:tickLblPos val="nextTo"/>
        <c:crossAx val="170733568"/>
        <c:crosses val="autoZero"/>
        <c:auto val="1"/>
        <c:lblAlgn val="ctr"/>
        <c:lblOffset val="100"/>
      </c:catAx>
      <c:valAx>
        <c:axId val="170733568"/>
        <c:scaling>
          <c:orientation val="minMax"/>
        </c:scaling>
        <c:axPos val="l"/>
        <c:majorGridlines/>
        <c:title>
          <c:tx>
            <c:rich>
              <a:bodyPr/>
              <a:lstStyle/>
              <a:p>
                <a:pPr>
                  <a:defRPr/>
                </a:pPr>
                <a:r>
                  <a:rPr lang="ro-RO">
                    <a:latin typeface="Arial" pitchFamily="34" charset="0"/>
                    <a:cs typeface="Arial" pitchFamily="34" charset="0"/>
                  </a:rPr>
                  <a:t>%</a:t>
                </a:r>
              </a:p>
            </c:rich>
          </c:tx>
        </c:title>
        <c:numFmt formatCode="General" sourceLinked="1"/>
        <c:majorTickMark val="none"/>
        <c:tickLblPos val="nextTo"/>
        <c:crossAx val="170727680"/>
        <c:crosses val="autoZero"/>
        <c:crossBetween val="between"/>
      </c:valAx>
      <c:spPr>
        <a:gradFill>
          <a:gsLst>
            <a:gs pos="0">
              <a:srgbClr val="FFEFD1"/>
            </a:gs>
            <a:gs pos="64999">
              <a:srgbClr val="F0EBD5"/>
            </a:gs>
            <a:gs pos="100000">
              <a:srgbClr val="D1C39F"/>
            </a:gs>
          </a:gsLst>
          <a:lin ang="5400000" scaled="0"/>
        </a:gradFill>
      </c:spPr>
    </c:plotArea>
    <c:legend>
      <c:legendPos val="r"/>
    </c:legend>
    <c:plotVisOnly val="1"/>
  </c:chart>
  <c:spPr>
    <a:gradFill flip="none" rotWithShape="1">
      <a:gsLst>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o-RO"/>
  <c:chart>
    <c:plotArea>
      <c:layout/>
      <c:lineChart>
        <c:grouping val="standard"/>
        <c:ser>
          <c:idx val="0"/>
          <c:order val="0"/>
          <c:tx>
            <c:strRef>
              <c:f>Sheet1!$C$89</c:f>
              <c:strCache>
                <c:ptCount val="1"/>
                <c:pt idx="0">
                  <c:v>BENZEN(µg/m3)</c:v>
                </c:pt>
              </c:strCache>
            </c:strRef>
          </c:tx>
          <c:marker>
            <c:symbol val="none"/>
          </c:marker>
          <c:cat>
            <c:strRef>
              <c:f>Sheet1!$B$90:$B$96</c:f>
              <c:strCache>
                <c:ptCount val="7"/>
                <c:pt idx="0">
                  <c:v>2008"</c:v>
                </c:pt>
                <c:pt idx="1">
                  <c:v>2009"</c:v>
                </c:pt>
                <c:pt idx="2">
                  <c:v>2010"</c:v>
                </c:pt>
                <c:pt idx="3">
                  <c:v>2011"</c:v>
                </c:pt>
                <c:pt idx="4">
                  <c:v>2012"</c:v>
                </c:pt>
                <c:pt idx="5">
                  <c:v>2013"</c:v>
                </c:pt>
                <c:pt idx="6">
                  <c:v>2014"</c:v>
                </c:pt>
              </c:strCache>
            </c:strRef>
          </c:cat>
          <c:val>
            <c:numRef>
              <c:f>Sheet1!$C$90:$C$96</c:f>
              <c:numCache>
                <c:formatCode>General</c:formatCode>
                <c:ptCount val="7"/>
                <c:pt idx="0">
                  <c:v>4.9000000000000004</c:v>
                </c:pt>
                <c:pt idx="1">
                  <c:v>3.8</c:v>
                </c:pt>
                <c:pt idx="2">
                  <c:v>3.7</c:v>
                </c:pt>
                <c:pt idx="3">
                  <c:v>3.2</c:v>
                </c:pt>
                <c:pt idx="4">
                  <c:v>2.8</c:v>
                </c:pt>
                <c:pt idx="5">
                  <c:v>2.5</c:v>
                </c:pt>
              </c:numCache>
            </c:numRef>
          </c:val>
        </c:ser>
        <c:ser>
          <c:idx val="1"/>
          <c:order val="1"/>
          <c:tx>
            <c:strRef>
              <c:f>Sheet1!$D$89</c:f>
              <c:strCache>
                <c:ptCount val="1"/>
                <c:pt idx="0">
                  <c:v>VL BENZEN(µg/m3)</c:v>
                </c:pt>
              </c:strCache>
            </c:strRef>
          </c:tx>
          <c:marker>
            <c:symbol val="none"/>
          </c:marker>
          <c:cat>
            <c:strRef>
              <c:f>Sheet1!$B$90:$B$96</c:f>
              <c:strCache>
                <c:ptCount val="7"/>
                <c:pt idx="0">
                  <c:v>2008"</c:v>
                </c:pt>
                <c:pt idx="1">
                  <c:v>2009"</c:v>
                </c:pt>
                <c:pt idx="2">
                  <c:v>2010"</c:v>
                </c:pt>
                <c:pt idx="3">
                  <c:v>2011"</c:v>
                </c:pt>
                <c:pt idx="4">
                  <c:v>2012"</c:v>
                </c:pt>
                <c:pt idx="5">
                  <c:v>2013"</c:v>
                </c:pt>
                <c:pt idx="6">
                  <c:v>2014"</c:v>
                </c:pt>
              </c:strCache>
            </c:strRef>
          </c:cat>
          <c:val>
            <c:numRef>
              <c:f>Sheet1!$D$90:$D$96</c:f>
              <c:numCache>
                <c:formatCode>General</c:formatCode>
                <c:ptCount val="7"/>
                <c:pt idx="0">
                  <c:v>5</c:v>
                </c:pt>
                <c:pt idx="1">
                  <c:v>5</c:v>
                </c:pt>
                <c:pt idx="2">
                  <c:v>5</c:v>
                </c:pt>
                <c:pt idx="3">
                  <c:v>5</c:v>
                </c:pt>
                <c:pt idx="4">
                  <c:v>5</c:v>
                </c:pt>
                <c:pt idx="5">
                  <c:v>5</c:v>
                </c:pt>
                <c:pt idx="6">
                  <c:v>5</c:v>
                </c:pt>
              </c:numCache>
            </c:numRef>
          </c:val>
        </c:ser>
        <c:marker val="1"/>
        <c:axId val="159439872"/>
        <c:axId val="159453952"/>
      </c:lineChart>
      <c:catAx>
        <c:axId val="159439872"/>
        <c:scaling>
          <c:orientation val="minMax"/>
        </c:scaling>
        <c:axPos val="b"/>
        <c:tickLblPos val="nextTo"/>
        <c:crossAx val="159453952"/>
        <c:crosses val="autoZero"/>
        <c:auto val="1"/>
        <c:lblAlgn val="ctr"/>
        <c:lblOffset val="100"/>
      </c:catAx>
      <c:valAx>
        <c:axId val="159453952"/>
        <c:scaling>
          <c:orientation val="minMax"/>
        </c:scaling>
        <c:axPos val="l"/>
        <c:majorGridlines/>
        <c:numFmt formatCode="General" sourceLinked="1"/>
        <c:tickLblPos val="nextTo"/>
        <c:crossAx val="159439872"/>
        <c:crosses val="autoZero"/>
        <c:crossBetween val="between"/>
      </c:valAx>
    </c:plotArea>
    <c:legend>
      <c:legendPos val="r"/>
    </c:legend>
    <c:plotVisOnly val="1"/>
  </c:chart>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Evoluţia</a:t>
            </a:r>
            <a:r>
              <a:rPr lang="ro-RO" sz="1000" baseline="0">
                <a:latin typeface="Arial" pitchFamily="34" charset="0"/>
                <a:cs typeface="Arial" pitchFamily="34" charset="0"/>
              </a:rPr>
              <a:t> cantităţii de deşeuri biodegradabile din deşeurile municipale depozitate</a:t>
            </a:r>
            <a:endParaRPr lang="en-US" sz="1000">
              <a:latin typeface="Arial" pitchFamily="34" charset="0"/>
              <a:cs typeface="Arial" pitchFamily="34" charset="0"/>
            </a:endParaRPr>
          </a:p>
        </c:rich>
      </c:tx>
    </c:title>
    <c:plotArea>
      <c:layout/>
      <c:lineChart>
        <c:grouping val="standard"/>
        <c:ser>
          <c:idx val="0"/>
          <c:order val="0"/>
          <c:tx>
            <c:strRef>
              <c:f>Sheet1!$B$1</c:f>
              <c:strCache>
                <c:ptCount val="1"/>
                <c:pt idx="0">
                  <c:v>deseuri biodegradabile depozitate (mii tone)</c:v>
                </c:pt>
              </c:strCache>
            </c:strRef>
          </c:tx>
          <c:marker>
            <c:symbol val="none"/>
          </c:marker>
          <c:dLbls>
            <c:showVal val="1"/>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formatCode="#,##0.000">
                  <c:v>111.289</c:v>
                </c:pt>
                <c:pt idx="1">
                  <c:v>89.692999999999998</c:v>
                </c:pt>
                <c:pt idx="2">
                  <c:v>95.804000000000002</c:v>
                </c:pt>
                <c:pt idx="3">
                  <c:v>81.403999999999996</c:v>
                </c:pt>
                <c:pt idx="4">
                  <c:v>61.269000000000013</c:v>
                </c:pt>
              </c:numCache>
            </c:numRef>
          </c:val>
        </c:ser>
        <c:hiLowLines/>
        <c:marker val="1"/>
        <c:axId val="170644224"/>
        <c:axId val="170646144"/>
      </c:lineChart>
      <c:catAx>
        <c:axId val="170644224"/>
        <c:scaling>
          <c:orientation val="minMax"/>
        </c:scaling>
        <c:axPos val="b"/>
        <c:title>
          <c:tx>
            <c:rich>
              <a:bodyPr/>
              <a:lstStyle/>
              <a:p>
                <a:pPr>
                  <a:defRPr/>
                </a:pPr>
                <a:r>
                  <a:rPr lang="ro-RO">
                    <a:latin typeface="Arial" pitchFamily="34" charset="0"/>
                    <a:cs typeface="Arial" pitchFamily="34" charset="0"/>
                  </a:rPr>
                  <a:t>Anul</a:t>
                </a:r>
              </a:p>
            </c:rich>
          </c:tx>
        </c:title>
        <c:numFmt formatCode="General" sourceLinked="1"/>
        <c:majorTickMark val="none"/>
        <c:tickLblPos val="nextTo"/>
        <c:crossAx val="170646144"/>
        <c:crosses val="autoZero"/>
        <c:auto val="1"/>
        <c:lblAlgn val="ctr"/>
        <c:lblOffset val="100"/>
      </c:catAx>
      <c:valAx>
        <c:axId val="170646144"/>
        <c:scaling>
          <c:orientation val="minMax"/>
        </c:scaling>
        <c:axPos val="l"/>
        <c:majorGridlines/>
        <c:title>
          <c:tx>
            <c:rich>
              <a:bodyPr/>
              <a:lstStyle/>
              <a:p>
                <a:pPr>
                  <a:defRPr/>
                </a:pPr>
                <a:r>
                  <a:rPr lang="ro-RO">
                    <a:latin typeface="Arial" pitchFamily="34" charset="0"/>
                    <a:cs typeface="Arial" pitchFamily="34" charset="0"/>
                  </a:rPr>
                  <a:t>mii</a:t>
                </a:r>
                <a:r>
                  <a:rPr lang="ro-RO" baseline="0">
                    <a:latin typeface="Arial" pitchFamily="34" charset="0"/>
                    <a:cs typeface="Arial" pitchFamily="34" charset="0"/>
                  </a:rPr>
                  <a:t> tone</a:t>
                </a:r>
                <a:endParaRPr lang="ro-RO">
                  <a:latin typeface="Arial" pitchFamily="34" charset="0"/>
                  <a:cs typeface="Arial" pitchFamily="34" charset="0"/>
                </a:endParaRPr>
              </a:p>
            </c:rich>
          </c:tx>
        </c:title>
        <c:numFmt formatCode="#,##0.000" sourceLinked="1"/>
        <c:tickLblPos val="nextTo"/>
        <c:crossAx val="170644224"/>
        <c:crosses val="autoZero"/>
        <c:crossBetween val="between"/>
      </c:valAx>
      <c:spPr>
        <a:gradFill flip="none" rotWithShape="1">
          <a:gsLst>
            <a:gs pos="0">
              <a:srgbClr val="FFEFD1"/>
            </a:gs>
            <a:gs pos="64999">
              <a:srgbClr val="F0EBD5"/>
            </a:gs>
            <a:gs pos="100000">
              <a:srgbClr val="D1C39F"/>
            </a:gs>
          </a:gsLst>
          <a:lin ang="2700000" scaled="1"/>
          <a:tileRect/>
        </a:gradFill>
      </c:spPr>
    </c:plotArea>
    <c:legend>
      <c:legendPos val="r"/>
    </c:legend>
    <c:plotVisOnly val="1"/>
  </c:chart>
  <c:spPr>
    <a:gradFill flip="none" rotWithShape="1">
      <a:gsLst>
        <a:gs pos="0">
          <a:srgbClr val="FBEAC7"/>
        </a:gs>
        <a:gs pos="17999">
          <a:srgbClr val="FEE7F2"/>
        </a:gs>
        <a:gs pos="36000">
          <a:srgbClr val="FAC77D"/>
        </a:gs>
        <a:gs pos="61000">
          <a:srgbClr val="FBA97D"/>
        </a:gs>
        <a:gs pos="82001">
          <a:srgbClr val="FBD49C"/>
        </a:gs>
        <a:gs pos="100000">
          <a:srgbClr val="FEE7F2"/>
        </a:gs>
      </a:gsLst>
      <a:path path="rect">
        <a:fillToRect l="100000" t="100000"/>
      </a:path>
      <a:tileRect r="-100000" b="-100000"/>
    </a:gradFill>
  </c:spPr>
  <c:externalData r:id="rId2"/>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Evoluţia</a:t>
            </a:r>
            <a:r>
              <a:rPr lang="ro-RO" sz="1000" baseline="0">
                <a:latin typeface="Arial" pitchFamily="34" charset="0"/>
                <a:cs typeface="Arial" pitchFamily="34" charset="0"/>
              </a:rPr>
              <a:t> indicatorului de generare a deşeurilor municipale în judeţul Buzău în perioada 2008-2012</a:t>
            </a:r>
            <a:endParaRPr lang="en-US" sz="1000">
              <a:latin typeface="Arial" pitchFamily="34" charset="0"/>
              <a:cs typeface="Arial" pitchFamily="34" charset="0"/>
            </a:endParaRPr>
          </a:p>
        </c:rich>
      </c:tx>
    </c:title>
    <c:plotArea>
      <c:layout>
        <c:manualLayout>
          <c:layoutTarget val="inner"/>
          <c:xMode val="edge"/>
          <c:yMode val="edge"/>
          <c:x val="0.18155110358040863"/>
          <c:y val="0.17810623069706824"/>
          <c:w val="0.6170069281880306"/>
          <c:h val="0.59465200183310429"/>
        </c:manualLayout>
      </c:layout>
      <c:lineChart>
        <c:grouping val="standard"/>
        <c:ser>
          <c:idx val="0"/>
          <c:order val="0"/>
          <c:tx>
            <c:strRef>
              <c:f>Sheet1!$B$1</c:f>
              <c:strCache>
                <c:ptCount val="1"/>
                <c:pt idx="0">
                  <c:v>kg/loc.an</c:v>
                </c:pt>
              </c:strCache>
            </c:strRef>
          </c:tx>
          <c:dLbls>
            <c:dLbl>
              <c:idx val="0"/>
              <c:layout>
                <c:manualLayout>
                  <c:x val="-5.7971231856887767E-2"/>
                  <c:y val="4.3859649122807015E-2"/>
                </c:manualLayout>
              </c:layout>
              <c:showVal val="1"/>
            </c:dLbl>
            <c:dLbl>
              <c:idx val="1"/>
              <c:layout>
                <c:manualLayout>
                  <c:x val="-5.7971014492753624E-2"/>
                  <c:y val="3.0701754385964952E-2"/>
                </c:manualLayout>
              </c:layout>
              <c:showVal val="1"/>
            </c:dLbl>
            <c:dLbl>
              <c:idx val="2"/>
              <c:layout>
                <c:manualLayout>
                  <c:x val="-5.7971014492753624E-2"/>
                  <c:y val="4.8245614035087717E-2"/>
                </c:manualLayout>
              </c:layout>
              <c:showVal val="1"/>
            </c:dLbl>
            <c:dLbl>
              <c:idx val="3"/>
              <c:layout>
                <c:manualLayout>
                  <c:x val="-5.7971014492753624E-2"/>
                  <c:y val="-3.0701754385964952E-2"/>
                </c:manualLayout>
              </c:layout>
              <c:showVal val="1"/>
            </c:dLbl>
            <c:dLbl>
              <c:idx val="4"/>
              <c:layout>
                <c:manualLayout>
                  <c:x val="-5.7971014492753624E-2"/>
                  <c:y val="3.9473684210526355E-2"/>
                </c:manualLayout>
              </c:layout>
              <c:showVal val="1"/>
            </c:dLbl>
            <c:txPr>
              <a:bodyPr/>
              <a:lstStyle/>
              <a:p>
                <a:pPr algn="just">
                  <a:defRPr/>
                </a:pPr>
                <a:endParaRPr lang="ro-RO"/>
              </a:p>
            </c:txPr>
            <c:showVal val="1"/>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375.89</c:v>
                </c:pt>
                <c:pt idx="1">
                  <c:v>374.14000000000038</c:v>
                </c:pt>
                <c:pt idx="2">
                  <c:v>374.15000000000032</c:v>
                </c:pt>
                <c:pt idx="3">
                  <c:v>323.20999999999964</c:v>
                </c:pt>
                <c:pt idx="4">
                  <c:v>277.69</c:v>
                </c:pt>
              </c:numCache>
            </c:numRef>
          </c:val>
        </c:ser>
        <c:hiLowLines/>
        <c:marker val="1"/>
        <c:axId val="171094784"/>
        <c:axId val="171096704"/>
      </c:lineChart>
      <c:catAx>
        <c:axId val="171094784"/>
        <c:scaling>
          <c:orientation val="minMax"/>
        </c:scaling>
        <c:axPos val="b"/>
        <c:title>
          <c:tx>
            <c:rich>
              <a:bodyPr/>
              <a:lstStyle/>
              <a:p>
                <a:pPr>
                  <a:defRPr/>
                </a:pPr>
                <a:r>
                  <a:rPr lang="ro-RO">
                    <a:latin typeface="Arial" pitchFamily="34" charset="0"/>
                    <a:cs typeface="Arial" pitchFamily="34" charset="0"/>
                  </a:rPr>
                  <a:t>Anul</a:t>
                </a:r>
              </a:p>
            </c:rich>
          </c:tx>
        </c:title>
        <c:numFmt formatCode="General" sourceLinked="1"/>
        <c:majorTickMark val="none"/>
        <c:tickLblPos val="nextTo"/>
        <c:crossAx val="171096704"/>
        <c:crosses val="autoZero"/>
        <c:auto val="1"/>
        <c:lblAlgn val="ctr"/>
        <c:lblOffset val="100"/>
      </c:catAx>
      <c:valAx>
        <c:axId val="171096704"/>
        <c:scaling>
          <c:orientation val="minMax"/>
        </c:scaling>
        <c:axPos val="l"/>
        <c:majorGridlines/>
        <c:title>
          <c:tx>
            <c:rich>
              <a:bodyPr/>
              <a:lstStyle/>
              <a:p>
                <a:pPr>
                  <a:defRPr>
                    <a:latin typeface="Arial" pitchFamily="34" charset="0"/>
                    <a:cs typeface="Arial" pitchFamily="34" charset="0"/>
                  </a:defRPr>
                </a:pPr>
                <a:r>
                  <a:rPr lang="ro-RO">
                    <a:latin typeface="Arial" pitchFamily="34" charset="0"/>
                    <a:cs typeface="Arial" pitchFamily="34" charset="0"/>
                  </a:rPr>
                  <a:t>kg/loc an</a:t>
                </a:r>
              </a:p>
            </c:rich>
          </c:tx>
        </c:title>
        <c:numFmt formatCode="General" sourceLinked="1"/>
        <c:tickLblPos val="nextTo"/>
        <c:crossAx val="171094784"/>
        <c:crosses val="autoZero"/>
        <c:crossBetween val="between"/>
      </c:valAx>
      <c:spPr>
        <a:gradFill flip="none" rotWithShape="1">
          <a:gsLst>
            <a:gs pos="0">
              <a:schemeClr val="accent6">
                <a:lumMod val="40000"/>
                <a:lumOff val="60000"/>
              </a:schemeClr>
            </a:gs>
            <a:gs pos="64999">
              <a:srgbClr val="F0EBD5"/>
            </a:gs>
            <a:gs pos="100000">
              <a:srgbClr val="D1C39F"/>
            </a:gs>
          </a:gsLst>
          <a:path path="circle">
            <a:fillToRect l="100000" t="100000"/>
          </a:path>
          <a:tileRect r="-100000" b="-100000"/>
        </a:gradFill>
      </c:spPr>
    </c:plotArea>
    <c:plotVisOnly val="1"/>
  </c:chart>
  <c:spPr>
    <a:gradFill flip="none" rotWithShape="1">
      <a:gsLst>
        <a:gs pos="0">
          <a:schemeClr val="accent6">
            <a:lumMod val="40000"/>
            <a:lumOff val="60000"/>
          </a:schemeClr>
        </a:gs>
        <a:gs pos="17999">
          <a:srgbClr val="FEE7F2"/>
        </a:gs>
        <a:gs pos="36000">
          <a:srgbClr val="FAC77D"/>
        </a:gs>
        <a:gs pos="61000">
          <a:srgbClr val="FBA97D"/>
        </a:gs>
        <a:gs pos="82001">
          <a:srgbClr val="FBD49C"/>
        </a:gs>
        <a:gs pos="100000">
          <a:srgbClr val="FEE7F2"/>
        </a:gs>
      </a:gsLst>
      <a:path path="rect">
        <a:fillToRect l="100000" t="100000"/>
      </a:path>
      <a:tileRect r="-100000" b="-100000"/>
    </a:gradFill>
  </c:spPr>
  <c:externalData r:id="rId2"/>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Evoluţia</a:t>
            </a:r>
            <a:r>
              <a:rPr lang="ro-RO" sz="1000" baseline="0">
                <a:latin typeface="Arial" pitchFamily="34" charset="0"/>
                <a:cs typeface="Arial" pitchFamily="34" charset="0"/>
              </a:rPr>
              <a:t> indicatorului de reciclare a deşeurilor municipale în judeţul Buzău</a:t>
            </a:r>
            <a:endParaRPr lang="en-US" sz="1000">
              <a:latin typeface="Arial" pitchFamily="34" charset="0"/>
              <a:cs typeface="Arial" pitchFamily="34" charset="0"/>
            </a:endParaRPr>
          </a:p>
        </c:rich>
      </c:tx>
    </c:title>
    <c:plotArea>
      <c:layout/>
      <c:lineChart>
        <c:grouping val="standard"/>
        <c:ser>
          <c:idx val="0"/>
          <c:order val="0"/>
          <c:tx>
            <c:strRef>
              <c:f>Sheet1!$B$1</c:f>
              <c:strCache>
                <c:ptCount val="1"/>
                <c:pt idx="0">
                  <c:v>kg/loc/an</c:v>
                </c:pt>
              </c:strCache>
            </c:strRef>
          </c:tx>
          <c:dLbls>
            <c:dLbl>
              <c:idx val="0"/>
              <c:layout>
                <c:manualLayout>
                  <c:x val="-2.5542784163473841E-2"/>
                  <c:y val="-3.4297963558413899E-2"/>
                </c:manualLayout>
              </c:layout>
              <c:showVal val="1"/>
            </c:dLbl>
            <c:dLbl>
              <c:idx val="1"/>
              <c:layout>
                <c:manualLayout>
                  <c:x val="-4.0868454661558105E-2"/>
                  <c:y val="3.8585209003215451E-2"/>
                </c:manualLayout>
              </c:layout>
              <c:showVal val="1"/>
            </c:dLbl>
            <c:dLbl>
              <c:idx val="2"/>
              <c:layout>
                <c:manualLayout>
                  <c:x val="-2.2988505747126436E-2"/>
                  <c:y val="-4.2872454448017419E-2"/>
                </c:manualLayout>
              </c:layout>
              <c:showVal val="1"/>
            </c:dLbl>
            <c:dLbl>
              <c:idx val="3"/>
              <c:layout>
                <c:manualLayout>
                  <c:x val="-5.8748403575989767E-2"/>
                  <c:y val="4.2872454448017419E-2"/>
                </c:manualLayout>
              </c:layout>
              <c:showVal val="1"/>
            </c:dLbl>
            <c:showVal val="1"/>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72.75</c:v>
                </c:pt>
                <c:pt idx="1">
                  <c:v>62.790000000000013</c:v>
                </c:pt>
                <c:pt idx="2">
                  <c:v>71.98</c:v>
                </c:pt>
                <c:pt idx="3">
                  <c:v>46.83</c:v>
                </c:pt>
                <c:pt idx="4">
                  <c:v>53.690000000000012</c:v>
                </c:pt>
              </c:numCache>
            </c:numRef>
          </c:val>
        </c:ser>
        <c:hiLowLines/>
        <c:marker val="1"/>
        <c:axId val="170870656"/>
        <c:axId val="170881024"/>
      </c:lineChart>
      <c:catAx>
        <c:axId val="170870656"/>
        <c:scaling>
          <c:orientation val="minMax"/>
        </c:scaling>
        <c:axPos val="b"/>
        <c:title>
          <c:tx>
            <c:rich>
              <a:bodyPr/>
              <a:lstStyle/>
              <a:p>
                <a:pPr>
                  <a:defRPr>
                    <a:latin typeface="Arial" pitchFamily="34" charset="0"/>
                    <a:cs typeface="Arial" pitchFamily="34" charset="0"/>
                  </a:defRPr>
                </a:pPr>
                <a:r>
                  <a:rPr lang="ro-RO">
                    <a:latin typeface="Arial" pitchFamily="34" charset="0"/>
                    <a:cs typeface="Arial" pitchFamily="34" charset="0"/>
                  </a:rPr>
                  <a:t>Anul</a:t>
                </a:r>
              </a:p>
            </c:rich>
          </c:tx>
        </c:title>
        <c:numFmt formatCode="General" sourceLinked="1"/>
        <c:majorTickMark val="none"/>
        <c:tickLblPos val="nextTo"/>
        <c:crossAx val="170881024"/>
        <c:crosses val="autoZero"/>
        <c:auto val="1"/>
        <c:lblAlgn val="ctr"/>
        <c:lblOffset val="100"/>
      </c:catAx>
      <c:valAx>
        <c:axId val="170881024"/>
        <c:scaling>
          <c:orientation val="minMax"/>
        </c:scaling>
        <c:axPos val="l"/>
        <c:majorGridlines/>
        <c:title>
          <c:tx>
            <c:rich>
              <a:bodyPr/>
              <a:lstStyle/>
              <a:p>
                <a:pPr>
                  <a:defRPr/>
                </a:pPr>
                <a:r>
                  <a:rPr lang="ro-RO">
                    <a:latin typeface="Arial" pitchFamily="34" charset="0"/>
                    <a:cs typeface="Arial" pitchFamily="34" charset="0"/>
                  </a:rPr>
                  <a:t>kg/loc/an</a:t>
                </a:r>
              </a:p>
            </c:rich>
          </c:tx>
        </c:title>
        <c:numFmt formatCode="General" sourceLinked="1"/>
        <c:tickLblPos val="nextTo"/>
        <c:crossAx val="170870656"/>
        <c:crosses val="autoZero"/>
        <c:crossBetween val="between"/>
      </c:valAx>
      <c:spPr>
        <a:gradFill>
          <a:gsLst>
            <a:gs pos="0">
              <a:srgbClr val="FFEFD1"/>
            </a:gs>
            <a:gs pos="64999">
              <a:srgbClr val="F0EBD5"/>
            </a:gs>
            <a:gs pos="100000">
              <a:srgbClr val="D1C39F"/>
            </a:gs>
          </a:gsLst>
          <a:lin ang="5400000" scaled="0"/>
        </a:gradFill>
      </c:spPr>
    </c:plotArea>
    <c:legend>
      <c:legendPos val="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Evoluţia</a:t>
            </a:r>
            <a:r>
              <a:rPr lang="ro-RO" sz="1000" baseline="0">
                <a:latin typeface="Arial" pitchFamily="34" charset="0"/>
                <a:cs typeface="Arial" pitchFamily="34" charset="0"/>
              </a:rPr>
              <a:t> gradului de reciclare a deţeurilor municipale în judeţul Buzău în perioada 2008-2012</a:t>
            </a:r>
            <a:endParaRPr lang="en-US" sz="1000">
              <a:latin typeface="Arial" pitchFamily="34" charset="0"/>
              <a:cs typeface="Arial" pitchFamily="34" charset="0"/>
            </a:endParaRPr>
          </a:p>
        </c:rich>
      </c:tx>
    </c:title>
    <c:plotArea>
      <c:layout/>
      <c:lineChart>
        <c:grouping val="standard"/>
        <c:ser>
          <c:idx val="0"/>
          <c:order val="0"/>
          <c:tx>
            <c:strRef>
              <c:f>Sheet1!$B$1</c:f>
              <c:strCache>
                <c:ptCount val="1"/>
                <c:pt idx="0">
                  <c:v>gradul de reciclare</c:v>
                </c:pt>
              </c:strCache>
            </c:strRef>
          </c:tx>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19.350000000000001</c:v>
                </c:pt>
                <c:pt idx="1">
                  <c:v>16.779999999999987</c:v>
                </c:pt>
                <c:pt idx="2">
                  <c:v>19.239999999999988</c:v>
                </c:pt>
                <c:pt idx="3">
                  <c:v>14.49</c:v>
                </c:pt>
                <c:pt idx="4">
                  <c:v>19.34</c:v>
                </c:pt>
              </c:numCache>
            </c:numRef>
          </c:val>
        </c:ser>
        <c:hiLowLines/>
        <c:marker val="1"/>
        <c:axId val="171049344"/>
        <c:axId val="171051264"/>
      </c:lineChart>
      <c:catAx>
        <c:axId val="171049344"/>
        <c:scaling>
          <c:orientation val="minMax"/>
        </c:scaling>
        <c:axPos val="b"/>
        <c:title>
          <c:tx>
            <c:rich>
              <a:bodyPr/>
              <a:lstStyle/>
              <a:p>
                <a:pPr>
                  <a:defRPr/>
                </a:pPr>
                <a:r>
                  <a:rPr lang="ro-RO">
                    <a:latin typeface="Arial" pitchFamily="34" charset="0"/>
                    <a:cs typeface="Arial" pitchFamily="34" charset="0"/>
                  </a:rPr>
                  <a:t>Anul</a:t>
                </a:r>
              </a:p>
            </c:rich>
          </c:tx>
        </c:title>
        <c:numFmt formatCode="General" sourceLinked="1"/>
        <c:majorTickMark val="none"/>
        <c:tickLblPos val="nextTo"/>
        <c:crossAx val="171051264"/>
        <c:crosses val="autoZero"/>
        <c:auto val="1"/>
        <c:lblAlgn val="ctr"/>
        <c:lblOffset val="100"/>
      </c:catAx>
      <c:valAx>
        <c:axId val="171051264"/>
        <c:scaling>
          <c:orientation val="minMax"/>
        </c:scaling>
        <c:axPos val="l"/>
        <c:majorGridlines/>
        <c:title>
          <c:tx>
            <c:rich>
              <a:bodyPr/>
              <a:lstStyle/>
              <a:p>
                <a:pPr>
                  <a:defRPr/>
                </a:pPr>
                <a:r>
                  <a:rPr lang="ro-RO">
                    <a:latin typeface="Arial" pitchFamily="34" charset="0"/>
                    <a:cs typeface="Arial" pitchFamily="34" charset="0"/>
                  </a:rPr>
                  <a:t>%</a:t>
                </a:r>
              </a:p>
            </c:rich>
          </c:tx>
        </c:title>
        <c:numFmt formatCode="General" sourceLinked="1"/>
        <c:tickLblPos val="nextTo"/>
        <c:crossAx val="171049344"/>
        <c:crosses val="autoZero"/>
        <c:crossBetween val="between"/>
      </c:valAx>
      <c:spPr>
        <a:gradFill>
          <a:gsLst>
            <a:gs pos="0">
              <a:srgbClr val="FFEFD1"/>
            </a:gs>
            <a:gs pos="64999">
              <a:srgbClr val="F0EBD5"/>
            </a:gs>
            <a:gs pos="100000">
              <a:srgbClr val="D1C39F"/>
            </a:gs>
          </a:gsLst>
          <a:lin ang="5400000" scaled="0"/>
        </a:gradFill>
      </c:spPr>
    </c:plotArea>
    <c:legend>
      <c:legendPos val="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Cantitate</a:t>
            </a:r>
            <a:r>
              <a:rPr lang="ro-RO" sz="1000" baseline="0">
                <a:latin typeface="Arial" pitchFamily="34" charset="0"/>
                <a:cs typeface="Arial" pitchFamily="34" charset="0"/>
              </a:rPr>
              <a:t> DEEE colectată</a:t>
            </a:r>
            <a:endParaRPr lang="en-US" sz="1000">
              <a:latin typeface="Arial" pitchFamily="34" charset="0"/>
              <a:cs typeface="Arial" pitchFamily="34" charset="0"/>
            </a:endParaRPr>
          </a:p>
        </c:rich>
      </c:tx>
    </c:title>
    <c:plotArea>
      <c:layout/>
      <c:barChart>
        <c:barDir val="col"/>
        <c:grouping val="clustered"/>
        <c:ser>
          <c:idx val="0"/>
          <c:order val="0"/>
          <c:tx>
            <c:strRef>
              <c:f>Sheet1!$B$1</c:f>
              <c:strCache>
                <c:ptCount val="1"/>
                <c:pt idx="0">
                  <c:v>Cantitate DEEE colectata</c:v>
                </c:pt>
              </c:strCache>
            </c:strRef>
          </c:tx>
          <c:dLbls>
            <c:showVal val="1"/>
          </c:dLbls>
          <c:cat>
            <c:numRef>
              <c:f>Sheet1!$A$2:$A$5</c:f>
              <c:numCache>
                <c:formatCode>General</c:formatCode>
                <c:ptCount val="4"/>
                <c:pt idx="0">
                  <c:v>2009</c:v>
                </c:pt>
                <c:pt idx="1">
                  <c:v>2010</c:v>
                </c:pt>
                <c:pt idx="2">
                  <c:v>2011</c:v>
                </c:pt>
                <c:pt idx="3">
                  <c:v>2012</c:v>
                </c:pt>
              </c:numCache>
            </c:numRef>
          </c:cat>
          <c:val>
            <c:numRef>
              <c:f>Sheet1!$B$2:$B$5</c:f>
              <c:numCache>
                <c:formatCode>General</c:formatCode>
                <c:ptCount val="4"/>
                <c:pt idx="0">
                  <c:v>3849.04</c:v>
                </c:pt>
                <c:pt idx="1">
                  <c:v>6291.29</c:v>
                </c:pt>
                <c:pt idx="2">
                  <c:v>3272.77</c:v>
                </c:pt>
                <c:pt idx="3">
                  <c:v>3109.23</c:v>
                </c:pt>
              </c:numCache>
            </c:numRef>
          </c:val>
        </c:ser>
        <c:axId val="171248256"/>
        <c:axId val="171258624"/>
      </c:barChart>
      <c:catAx>
        <c:axId val="171248256"/>
        <c:scaling>
          <c:orientation val="minMax"/>
        </c:scaling>
        <c:axPos val="b"/>
        <c:title>
          <c:tx>
            <c:rich>
              <a:bodyPr/>
              <a:lstStyle/>
              <a:p>
                <a:pPr>
                  <a:defRPr>
                    <a:latin typeface="Arial" pitchFamily="34" charset="0"/>
                    <a:cs typeface="Arial" pitchFamily="34" charset="0"/>
                  </a:defRPr>
                </a:pPr>
                <a:r>
                  <a:rPr lang="ro-RO">
                    <a:latin typeface="Arial" pitchFamily="34" charset="0"/>
                    <a:cs typeface="Arial" pitchFamily="34" charset="0"/>
                  </a:rPr>
                  <a:t>Anul</a:t>
                </a:r>
              </a:p>
            </c:rich>
          </c:tx>
        </c:title>
        <c:numFmt formatCode="General" sourceLinked="1"/>
        <c:majorTickMark val="none"/>
        <c:tickLblPos val="nextTo"/>
        <c:crossAx val="171258624"/>
        <c:crosses val="autoZero"/>
        <c:auto val="1"/>
        <c:lblAlgn val="ctr"/>
        <c:lblOffset val="100"/>
      </c:catAx>
      <c:valAx>
        <c:axId val="171258624"/>
        <c:scaling>
          <c:orientation val="minMax"/>
        </c:scaling>
        <c:axPos val="l"/>
        <c:majorGridlines/>
        <c:title>
          <c:tx>
            <c:rich>
              <a:bodyPr/>
              <a:lstStyle/>
              <a:p>
                <a:pPr>
                  <a:defRPr/>
                </a:pPr>
                <a:r>
                  <a:rPr lang="ro-RO">
                    <a:latin typeface="Arial" pitchFamily="34" charset="0"/>
                    <a:cs typeface="Arial" pitchFamily="34" charset="0"/>
                  </a:rPr>
                  <a:t>tone</a:t>
                </a:r>
              </a:p>
            </c:rich>
          </c:tx>
        </c:title>
        <c:numFmt formatCode="General" sourceLinked="1"/>
        <c:tickLblPos val="nextTo"/>
        <c:crossAx val="171248256"/>
        <c:crosses val="autoZero"/>
        <c:crossBetween val="between"/>
      </c:valAx>
      <c:spPr>
        <a:gradFill>
          <a:gsLst>
            <a:gs pos="0">
              <a:srgbClr val="FFEFD1"/>
            </a:gs>
            <a:gs pos="64999">
              <a:srgbClr val="F0EBD5"/>
            </a:gs>
            <a:gs pos="100000">
              <a:srgbClr val="D1C39F"/>
            </a:gs>
          </a:gsLst>
          <a:lin ang="5400000" scaled="0"/>
        </a:gradFill>
      </c:spPr>
    </c:plotArea>
    <c:legend>
      <c:legendPos val="r"/>
    </c:legend>
    <c:plotVisOnly val="1"/>
  </c:chart>
  <c:spPr>
    <a:gradFill>
      <a:gsLst>
        <a:gs pos="0">
          <a:srgbClr val="FBEAC7"/>
        </a:gs>
        <a:gs pos="17999">
          <a:srgbClr val="FEE7F2"/>
        </a:gs>
        <a:gs pos="36000">
          <a:srgbClr val="FAC77D"/>
        </a:gs>
        <a:gs pos="61000">
          <a:srgbClr val="FBA97D"/>
        </a:gs>
        <a:gs pos="82001">
          <a:srgbClr val="FBD49C"/>
        </a:gs>
        <a:gs pos="100000">
          <a:srgbClr val="FEE7F2"/>
        </a:gs>
      </a:gsLst>
      <a:path path="rect">
        <a:fillToRect l="100000" t="100000"/>
      </a:path>
    </a:gradFill>
  </c:spPr>
  <c:externalData r:id="rId2"/>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Numărul</a:t>
            </a:r>
            <a:r>
              <a:rPr lang="ro-RO" sz="1000" baseline="0">
                <a:latin typeface="Arial" pitchFamily="34" charset="0"/>
                <a:cs typeface="Arial" pitchFamily="34" charset="0"/>
              </a:rPr>
              <a:t> de vehicule scoase din uz colectate și tratate, în județul Buzău, în perioada 2008-2012</a:t>
            </a:r>
            <a:endParaRPr lang="ro-RO" sz="1000">
              <a:latin typeface="Arial" pitchFamily="34" charset="0"/>
              <a:cs typeface="Arial" pitchFamily="34" charset="0"/>
            </a:endParaRPr>
          </a:p>
        </c:rich>
      </c:tx>
    </c:title>
    <c:plotArea>
      <c:layout/>
      <c:barChart>
        <c:barDir val="col"/>
        <c:grouping val="clustered"/>
        <c:ser>
          <c:idx val="0"/>
          <c:order val="0"/>
          <c:tx>
            <c:strRef>
              <c:f>Sheet1!$B$1</c:f>
              <c:strCache>
                <c:ptCount val="1"/>
                <c:pt idx="0">
                  <c:v>Colectate</c:v>
                </c:pt>
              </c:strCache>
            </c:strRef>
          </c:tx>
          <c:dLbls>
            <c:dLbl>
              <c:idx val="0"/>
              <c:layout>
                <c:manualLayout>
                  <c:x val="-1.1904761904761921E-2"/>
                  <c:y val="7.5913546780742646E-17"/>
                </c:manualLayout>
              </c:layout>
              <c:showVal val="1"/>
            </c:dLbl>
            <c:dLbl>
              <c:idx val="1"/>
              <c:layout>
                <c:manualLayout>
                  <c:x val="-2.6190476190476188E-2"/>
                  <c:y val="0"/>
                </c:manualLayout>
              </c:layout>
              <c:tx>
                <c:rich>
                  <a:bodyPr/>
                  <a:lstStyle/>
                  <a:p>
                    <a:r>
                      <a:rPr lang="en-US" b="1"/>
                      <a:t>1</a:t>
                    </a:r>
                    <a:r>
                      <a:rPr lang="en-US"/>
                      <a:t>454</a:t>
                    </a:r>
                  </a:p>
                </c:rich>
              </c:tx>
              <c:showVal val="1"/>
            </c:dLbl>
            <c:dLbl>
              <c:idx val="2"/>
              <c:layout>
                <c:manualLayout>
                  <c:x val="-2.6190476190476188E-2"/>
                  <c:y val="0"/>
                </c:manualLayout>
              </c:layout>
              <c:showVal val="1"/>
            </c:dLbl>
            <c:dLbl>
              <c:idx val="3"/>
              <c:layout>
                <c:manualLayout>
                  <c:x val="-3.0952380952380953E-2"/>
                  <c:y val="0"/>
                </c:manualLayout>
              </c:layout>
              <c:showVal val="1"/>
            </c:dLbl>
            <c:dLbl>
              <c:idx val="4"/>
              <c:layout>
                <c:manualLayout>
                  <c:x val="-2.1428571428571411E-2"/>
                  <c:y val="8.2815734989648056E-3"/>
                </c:manualLayout>
              </c:layout>
              <c:showVal val="1"/>
            </c:dLbl>
            <c:showVal val="1"/>
          </c:dLbls>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1475</c:v>
                </c:pt>
                <c:pt idx="1">
                  <c:v>1454</c:v>
                </c:pt>
                <c:pt idx="2">
                  <c:v>6961</c:v>
                </c:pt>
                <c:pt idx="3">
                  <c:v>3996</c:v>
                </c:pt>
                <c:pt idx="4">
                  <c:v>2407</c:v>
                </c:pt>
              </c:numCache>
            </c:numRef>
          </c:val>
        </c:ser>
        <c:ser>
          <c:idx val="1"/>
          <c:order val="1"/>
          <c:tx>
            <c:strRef>
              <c:f>Sheet1!$C$1</c:f>
              <c:strCache>
                <c:ptCount val="1"/>
                <c:pt idx="0">
                  <c:v>Tratate</c:v>
                </c:pt>
              </c:strCache>
            </c:strRef>
          </c:tx>
          <c:dLbls>
            <c:showVal val="1"/>
          </c:dLbls>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1275</c:v>
                </c:pt>
                <c:pt idx="1">
                  <c:v>1641</c:v>
                </c:pt>
                <c:pt idx="2">
                  <c:v>6725</c:v>
                </c:pt>
                <c:pt idx="3">
                  <c:v>3915</c:v>
                </c:pt>
                <c:pt idx="4">
                  <c:v>2218</c:v>
                </c:pt>
              </c:numCache>
            </c:numRef>
          </c:val>
        </c:ser>
        <c:axId val="171866368"/>
        <c:axId val="171876736"/>
      </c:barChart>
      <c:catAx>
        <c:axId val="171866368"/>
        <c:scaling>
          <c:orientation val="minMax"/>
        </c:scaling>
        <c:axPos val="b"/>
        <c:title>
          <c:tx>
            <c:rich>
              <a:bodyPr/>
              <a:lstStyle/>
              <a:p>
                <a:pPr>
                  <a:defRPr/>
                </a:pPr>
                <a:r>
                  <a:rPr lang="ro-RO">
                    <a:latin typeface="Arial" pitchFamily="34" charset="0"/>
                    <a:cs typeface="Arial" pitchFamily="34" charset="0"/>
                  </a:rPr>
                  <a:t>Anul</a:t>
                </a:r>
              </a:p>
            </c:rich>
          </c:tx>
        </c:title>
        <c:numFmt formatCode="General" sourceLinked="1"/>
        <c:majorTickMark val="none"/>
        <c:tickLblPos val="nextTo"/>
        <c:crossAx val="171876736"/>
        <c:crosses val="autoZero"/>
        <c:auto val="1"/>
        <c:lblAlgn val="ctr"/>
        <c:lblOffset val="100"/>
      </c:catAx>
      <c:valAx>
        <c:axId val="171876736"/>
        <c:scaling>
          <c:orientation val="minMax"/>
        </c:scaling>
        <c:axPos val="l"/>
        <c:majorGridlines/>
        <c:title>
          <c:tx>
            <c:rich>
              <a:bodyPr/>
              <a:lstStyle/>
              <a:p>
                <a:pPr>
                  <a:defRPr/>
                </a:pPr>
                <a:r>
                  <a:rPr lang="ro-RO">
                    <a:latin typeface="Arial" pitchFamily="34" charset="0"/>
                    <a:cs typeface="Arial" pitchFamily="34" charset="0"/>
                  </a:rPr>
                  <a:t>Număr</a:t>
                </a:r>
                <a:r>
                  <a:rPr lang="ro-RO" baseline="0">
                    <a:latin typeface="Arial" pitchFamily="34" charset="0"/>
                    <a:cs typeface="Arial" pitchFamily="34" charset="0"/>
                  </a:rPr>
                  <a:t> vehicule</a:t>
                </a:r>
                <a:endParaRPr lang="ro-RO">
                  <a:latin typeface="Arial" pitchFamily="34" charset="0"/>
                  <a:cs typeface="Arial" pitchFamily="34" charset="0"/>
                </a:endParaRPr>
              </a:p>
            </c:rich>
          </c:tx>
        </c:title>
        <c:numFmt formatCode="General" sourceLinked="1"/>
        <c:tickLblPos val="nextTo"/>
        <c:crossAx val="171866368"/>
        <c:crosses val="autoZero"/>
        <c:crossBetween val="between"/>
      </c:valAx>
      <c:spPr>
        <a:gradFill>
          <a:gsLst>
            <a:gs pos="0">
              <a:srgbClr val="FFEFD1"/>
            </a:gs>
            <a:gs pos="64999">
              <a:srgbClr val="F0EBD5"/>
            </a:gs>
            <a:gs pos="100000">
              <a:srgbClr val="D1C39F"/>
            </a:gs>
          </a:gsLst>
          <a:lin ang="5400000" scaled="0"/>
        </a:gradFill>
      </c:spPr>
    </c:plotArea>
    <c:legend>
      <c:legendPos val="r"/>
    </c:legend>
    <c:plotVisOnly val="1"/>
  </c:chart>
  <c:spPr>
    <a:gradFill flip="none" rotWithShape="1">
      <a:gsLst>
        <a:gs pos="0">
          <a:srgbClr val="FBEAC7"/>
        </a:gs>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a:effectLst>
      <a:outerShdw blurRad="50800" dist="50800" dir="5400000" algn="ctr" rotWithShape="0">
        <a:schemeClr val="accent6">
          <a:lumMod val="60000"/>
          <a:lumOff val="40000"/>
        </a:schemeClr>
      </a:outerShdw>
    </a:effectLst>
  </c:spPr>
  <c:externalData r:id="rId2"/>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a:latin typeface="Arial" pitchFamily="34" charset="0"/>
                <a:cs typeface="Arial" pitchFamily="34" charset="0"/>
              </a:rPr>
              <a:t>Tendința</a:t>
            </a:r>
            <a:r>
              <a:rPr lang="ro-RO" sz="1000" baseline="0">
                <a:latin typeface="Arial" pitchFamily="34" charset="0"/>
                <a:cs typeface="Arial" pitchFamily="34" charset="0"/>
              </a:rPr>
              <a:t> ratelor de valorificare și reciclare a VSU 2007 - 2012 la nivel național </a:t>
            </a:r>
            <a:endParaRPr lang="ro-RO" sz="1000">
              <a:latin typeface="Arial" pitchFamily="34" charset="0"/>
              <a:cs typeface="Arial" pitchFamily="34" charset="0"/>
            </a:endParaRPr>
          </a:p>
        </c:rich>
      </c:tx>
    </c:title>
    <c:plotArea>
      <c:layout/>
      <c:lineChart>
        <c:grouping val="standard"/>
        <c:ser>
          <c:idx val="0"/>
          <c:order val="0"/>
          <c:tx>
            <c:strRef>
              <c:f>Sheet1!$B$1</c:f>
              <c:strCache>
                <c:ptCount val="1"/>
                <c:pt idx="0">
                  <c:v>Rata reciclare</c:v>
                </c:pt>
              </c:strCache>
            </c:strRef>
          </c:tx>
          <c:marker>
            <c:symbol val="none"/>
          </c:marker>
          <c:dLbls>
            <c:showVal val="1"/>
          </c:dLbls>
          <c:cat>
            <c:numRef>
              <c:f>Sheet1!$A$2:$A$7</c:f>
              <c:numCache>
                <c:formatCode>General</c:formatCode>
                <c:ptCount val="6"/>
                <c:pt idx="0">
                  <c:v>2007</c:v>
                </c:pt>
                <c:pt idx="1">
                  <c:v>2008</c:v>
                </c:pt>
                <c:pt idx="2">
                  <c:v>2009</c:v>
                </c:pt>
                <c:pt idx="3">
                  <c:v>2010</c:v>
                </c:pt>
                <c:pt idx="4">
                  <c:v>2011</c:v>
                </c:pt>
                <c:pt idx="5">
                  <c:v>2012</c:v>
                </c:pt>
              </c:numCache>
            </c:numRef>
          </c:cat>
          <c:val>
            <c:numRef>
              <c:f>Sheet1!$B$2:$B$7</c:f>
              <c:numCache>
                <c:formatCode>General</c:formatCode>
                <c:ptCount val="6"/>
                <c:pt idx="0">
                  <c:v>83.69</c:v>
                </c:pt>
                <c:pt idx="1">
                  <c:v>83.7</c:v>
                </c:pt>
                <c:pt idx="2">
                  <c:v>80.5</c:v>
                </c:pt>
                <c:pt idx="3">
                  <c:v>80.900000000000006</c:v>
                </c:pt>
                <c:pt idx="4">
                  <c:v>82.9</c:v>
                </c:pt>
                <c:pt idx="5">
                  <c:v>83.81</c:v>
                </c:pt>
              </c:numCache>
            </c:numRef>
          </c:val>
        </c:ser>
        <c:ser>
          <c:idx val="1"/>
          <c:order val="1"/>
          <c:tx>
            <c:strRef>
              <c:f>Sheet1!$C$1</c:f>
              <c:strCache>
                <c:ptCount val="1"/>
                <c:pt idx="0">
                  <c:v>Rata valorificare</c:v>
                </c:pt>
              </c:strCache>
            </c:strRef>
          </c:tx>
          <c:marker>
            <c:symbol val="none"/>
          </c:marker>
          <c:dLbls>
            <c:showVal val="1"/>
          </c:dLbls>
          <c:cat>
            <c:numRef>
              <c:f>Sheet1!$A$2:$A$7</c:f>
              <c:numCache>
                <c:formatCode>General</c:formatCode>
                <c:ptCount val="6"/>
                <c:pt idx="0">
                  <c:v>2007</c:v>
                </c:pt>
                <c:pt idx="1">
                  <c:v>2008</c:v>
                </c:pt>
                <c:pt idx="2">
                  <c:v>2009</c:v>
                </c:pt>
                <c:pt idx="3">
                  <c:v>2010</c:v>
                </c:pt>
                <c:pt idx="4">
                  <c:v>2011</c:v>
                </c:pt>
                <c:pt idx="5">
                  <c:v>2012</c:v>
                </c:pt>
              </c:numCache>
            </c:numRef>
          </c:cat>
          <c:val>
            <c:numRef>
              <c:f>Sheet1!$C$2:$C$7</c:f>
              <c:numCache>
                <c:formatCode>General</c:formatCode>
                <c:ptCount val="6"/>
                <c:pt idx="0">
                  <c:v>85.69</c:v>
                </c:pt>
                <c:pt idx="1">
                  <c:v>86.45</c:v>
                </c:pt>
                <c:pt idx="2">
                  <c:v>85.29</c:v>
                </c:pt>
                <c:pt idx="3">
                  <c:v>85.5</c:v>
                </c:pt>
                <c:pt idx="4">
                  <c:v>86.8</c:v>
                </c:pt>
                <c:pt idx="5">
                  <c:v>83.26</c:v>
                </c:pt>
              </c:numCache>
            </c:numRef>
          </c:val>
        </c:ser>
        <c:marker val="1"/>
        <c:axId val="171308928"/>
        <c:axId val="171310464"/>
      </c:lineChart>
      <c:catAx>
        <c:axId val="171308928"/>
        <c:scaling>
          <c:orientation val="minMax"/>
        </c:scaling>
        <c:axPos val="b"/>
        <c:numFmt formatCode="General" sourceLinked="1"/>
        <c:majorTickMark val="none"/>
        <c:tickLblPos val="nextTo"/>
        <c:crossAx val="171310464"/>
        <c:crosses val="autoZero"/>
        <c:auto val="1"/>
        <c:lblAlgn val="ctr"/>
        <c:lblOffset val="100"/>
      </c:catAx>
      <c:valAx>
        <c:axId val="171310464"/>
        <c:scaling>
          <c:orientation val="minMax"/>
        </c:scaling>
        <c:axPos val="l"/>
        <c:majorGridlines/>
        <c:title>
          <c:tx>
            <c:rich>
              <a:bodyPr/>
              <a:lstStyle/>
              <a:p>
                <a:pPr>
                  <a:defRPr/>
                </a:pPr>
                <a:r>
                  <a:rPr lang="ro-RO"/>
                  <a:t>%</a:t>
                </a:r>
              </a:p>
            </c:rich>
          </c:tx>
        </c:title>
        <c:numFmt formatCode="General" sourceLinked="1"/>
        <c:majorTickMark val="none"/>
        <c:tickLblPos val="nextTo"/>
        <c:crossAx val="171308928"/>
        <c:crosses val="autoZero"/>
        <c:crossBetween val="between"/>
      </c:valAx>
      <c:spPr>
        <a:gradFill>
          <a:gsLst>
            <a:gs pos="0">
              <a:srgbClr val="FFEFD1"/>
            </a:gs>
            <a:gs pos="64999">
              <a:srgbClr val="F0EBD5"/>
            </a:gs>
            <a:gs pos="100000">
              <a:srgbClr val="D1C39F"/>
            </a:gs>
          </a:gsLst>
          <a:lin ang="5400000" scaled="0"/>
        </a:gradFill>
      </c:spPr>
    </c:plotArea>
    <c:legend>
      <c:legendPos val="r"/>
    </c:legend>
    <c:plotVisOnly val="1"/>
  </c:chart>
  <c:spPr>
    <a:gradFill>
      <a:gsLst>
        <a:gs pos="0">
          <a:srgbClr val="FBEAC7"/>
        </a:gs>
        <a:gs pos="0">
          <a:srgbClr val="FBEAC7"/>
        </a:gs>
        <a:gs pos="17999">
          <a:srgbClr val="FEE7F2"/>
        </a:gs>
        <a:gs pos="36000">
          <a:srgbClr val="FAC77D"/>
        </a:gs>
        <a:gs pos="61000">
          <a:srgbClr val="FBA97D"/>
        </a:gs>
        <a:gs pos="82001">
          <a:srgbClr val="FBD49C"/>
        </a:gs>
        <a:gs pos="100000">
          <a:srgbClr val="FEE7F2"/>
        </a:gs>
      </a:gsLst>
      <a:path path="circle">
        <a:fillToRect l="100000" t="100000"/>
      </a:path>
    </a:gradFill>
  </c:spPr>
  <c:externalData r:id="rId2"/>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Morbiditatea in relaţie cu apa poluată in judeţul Buzău  în perioada 2010-2014</a:t>
            </a:r>
          </a:p>
        </c:rich>
      </c:tx>
    </c:title>
    <c:view3D>
      <c:rAngAx val="1"/>
    </c:view3D>
    <c:plotArea>
      <c:layout/>
      <c:bar3DChart>
        <c:barDir val="col"/>
        <c:grouping val="clustered"/>
        <c:ser>
          <c:idx val="0"/>
          <c:order val="0"/>
          <c:tx>
            <c:strRef>
              <c:f>Sheet1!$B$1</c:f>
              <c:strCache>
                <c:ptCount val="1"/>
                <c:pt idx="0">
                  <c:v>Evolutia cazurilor de methemoglobibinemie la copii (cazuri/an)</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7</c:v>
                </c:pt>
                <c:pt idx="1">
                  <c:v>7</c:v>
                </c:pt>
                <c:pt idx="2">
                  <c:v>6</c:v>
                </c:pt>
                <c:pt idx="3">
                  <c:v>6</c:v>
                </c:pt>
                <c:pt idx="4">
                  <c:v>3</c:v>
                </c:pt>
              </c:numCache>
            </c:numRef>
          </c:val>
        </c:ser>
        <c:ser>
          <c:idx val="1"/>
          <c:order val="1"/>
          <c:tx>
            <c:strRef>
              <c:f>Sheet1!$C$1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gapWidth val="75"/>
        <c:shape val="cylinder"/>
        <c:axId val="171977344"/>
        <c:axId val="172028288"/>
        <c:axId val="0"/>
      </c:bar3DChart>
      <c:catAx>
        <c:axId val="171977344"/>
        <c:scaling>
          <c:orientation val="minMax"/>
        </c:scaling>
        <c:axPos val="b"/>
        <c:numFmt formatCode="General" sourceLinked="1"/>
        <c:majorTickMark val="none"/>
        <c:tickLblPos val="nextTo"/>
        <c:crossAx val="172028288"/>
        <c:crosses val="autoZero"/>
        <c:auto val="1"/>
        <c:lblAlgn val="ctr"/>
        <c:lblOffset val="100"/>
      </c:catAx>
      <c:valAx>
        <c:axId val="172028288"/>
        <c:scaling>
          <c:orientation val="minMax"/>
        </c:scaling>
        <c:axPos val="l"/>
        <c:majorGridlines/>
        <c:numFmt formatCode="General" sourceLinked="1"/>
        <c:majorTickMark val="none"/>
        <c:tickLblPos val="nextTo"/>
        <c:spPr>
          <a:ln w="9525">
            <a:noFill/>
          </a:ln>
        </c:spPr>
        <c:crossAx val="171977344"/>
        <c:crosses val="autoZero"/>
        <c:crossBetween val="between"/>
      </c:valAx>
      <c:spPr>
        <a:solidFill>
          <a:schemeClr val="bg1">
            <a:lumMod val="85000"/>
          </a:schemeClr>
        </a:solidFill>
      </c:spPr>
    </c:plotArea>
    <c:legend>
      <c:legendPos val="b"/>
      <c:legendEntry>
        <c:idx val="1"/>
        <c:delete val="1"/>
      </c:legendEntry>
      <c:legendEntry>
        <c:idx val="2"/>
        <c:delete val="1"/>
      </c:legendEntry>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Evoluţia morbidităţii prin intoxicaţii cu nitriţi în judeţul Buzău in perioada 2010-2014</a:t>
            </a:r>
          </a:p>
        </c:rich>
      </c:tx>
    </c:title>
    <c:plotArea>
      <c:layout/>
      <c:lineChart>
        <c:grouping val="standard"/>
        <c:ser>
          <c:idx val="0"/>
          <c:order val="0"/>
          <c:tx>
            <c:strRef>
              <c:f>Sheet1!$B$1</c:f>
              <c:strCache>
                <c:ptCount val="1"/>
                <c:pt idx="0">
                  <c:v>Număr cazuri de intoxicare cu NO2</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7</c:v>
                </c:pt>
                <c:pt idx="1">
                  <c:v>7</c:v>
                </c:pt>
                <c:pt idx="2">
                  <c:v>6</c:v>
                </c:pt>
                <c:pt idx="3">
                  <c:v>6</c:v>
                </c:pt>
                <c:pt idx="4">
                  <c:v>3</c:v>
                </c:pt>
              </c:numCache>
            </c:numRef>
          </c:val>
        </c:ser>
        <c:ser>
          <c:idx val="1"/>
          <c:order val="1"/>
          <c:tx>
            <c:strRef>
              <c:f>Sheet1!$C$1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marker val="1"/>
        <c:axId val="171538688"/>
        <c:axId val="171696128"/>
      </c:lineChart>
      <c:catAx>
        <c:axId val="171538688"/>
        <c:scaling>
          <c:orientation val="minMax"/>
        </c:scaling>
        <c:axPos val="b"/>
        <c:numFmt formatCode="General" sourceLinked="1"/>
        <c:majorTickMark val="none"/>
        <c:tickLblPos val="nextTo"/>
        <c:crossAx val="171696128"/>
        <c:crosses val="autoZero"/>
        <c:auto val="1"/>
        <c:lblAlgn val="ctr"/>
        <c:lblOffset val="100"/>
      </c:catAx>
      <c:valAx>
        <c:axId val="171696128"/>
        <c:scaling>
          <c:orientation val="minMax"/>
        </c:scaling>
        <c:axPos val="l"/>
        <c:majorGridlines/>
        <c:numFmt formatCode="General" sourceLinked="1"/>
        <c:majorTickMark val="none"/>
        <c:tickLblPos val="nextTo"/>
        <c:crossAx val="171538688"/>
        <c:crosses val="autoZero"/>
        <c:crossBetween val="between"/>
      </c:valAx>
    </c:plotArea>
    <c:legend>
      <c:legendPos val="r"/>
      <c:legendEntry>
        <c:idx val="1"/>
        <c:delete val="1"/>
      </c:legendEntry>
      <c:legendEntry>
        <c:idx val="2"/>
        <c:delete val="1"/>
      </c:legendEntry>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200">
                <a:latin typeface="Arial" pitchFamily="34" charset="0"/>
                <a:cs typeface="Arial" pitchFamily="34" charset="0"/>
              </a:rPr>
              <a:t>Suprafaţă spaţii verzi pe cap de locuitor din mediul urban</a:t>
            </a:r>
            <a:r>
              <a:rPr lang="en-US" sz="1200">
                <a:latin typeface="Arial" pitchFamily="34" charset="0"/>
                <a:cs typeface="Arial" pitchFamily="34" charset="0"/>
              </a:rPr>
              <a:t>(</a:t>
            </a:r>
            <a:r>
              <a:rPr lang="ro-RO" sz="1200">
                <a:latin typeface="Arial" pitchFamily="34" charset="0"/>
                <a:cs typeface="Arial" pitchFamily="34" charset="0"/>
              </a:rPr>
              <a:t>mp</a:t>
            </a:r>
            <a:r>
              <a:rPr lang="en-US" sz="1200">
                <a:latin typeface="Arial" pitchFamily="34" charset="0"/>
                <a:cs typeface="Arial" pitchFamily="34" charset="0"/>
              </a:rPr>
              <a:t>/locuitor)</a:t>
            </a:r>
            <a:r>
              <a:rPr lang="ro-RO" sz="1200">
                <a:latin typeface="Arial" pitchFamily="34" charset="0"/>
                <a:cs typeface="Arial" pitchFamily="34" charset="0"/>
              </a:rPr>
              <a:t> </a:t>
            </a:r>
            <a:r>
              <a:rPr lang="en-US" sz="1200">
                <a:latin typeface="Arial" pitchFamily="34" charset="0"/>
                <a:cs typeface="Arial" pitchFamily="34" charset="0"/>
              </a:rPr>
              <a:t>la nivelul jude</a:t>
            </a:r>
            <a:r>
              <a:rPr lang="ro-RO" sz="1200">
                <a:latin typeface="Arial" pitchFamily="34" charset="0"/>
                <a:cs typeface="Arial" pitchFamily="34" charset="0"/>
              </a:rPr>
              <a:t>ţului Buzău, tendinţa 2010-2014</a:t>
            </a:r>
          </a:p>
        </c:rich>
      </c:tx>
    </c:title>
    <c:plotArea>
      <c:layout/>
      <c:barChart>
        <c:barDir val="col"/>
        <c:grouping val="clustered"/>
        <c:ser>
          <c:idx val="0"/>
          <c:order val="0"/>
          <c:tx>
            <c:strRef>
              <c:f>Sheet1!$B$1</c:f>
              <c:strCache>
                <c:ptCount val="1"/>
                <c:pt idx="0">
                  <c:v>Column1</c:v>
                </c:pt>
              </c:strCache>
            </c:strRef>
          </c:tx>
          <c:spPr>
            <a:solidFill>
              <a:srgbClr val="92D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45.290000000000013</c:v>
                </c:pt>
                <c:pt idx="1">
                  <c:v>45.13</c:v>
                </c:pt>
                <c:pt idx="2">
                  <c:v>47.13</c:v>
                </c:pt>
                <c:pt idx="3">
                  <c:v>47.52</c:v>
                </c:pt>
                <c:pt idx="4">
                  <c:v>48.3</c:v>
                </c:pt>
              </c:numCache>
            </c:numRef>
          </c:val>
        </c:ser>
        <c:ser>
          <c:idx val="1"/>
          <c:order val="1"/>
          <c:tx>
            <c:strRef>
              <c:f>Sheet1!$C$1</c:f>
              <c:strCache>
                <c:ptCount val="1"/>
                <c:pt idx="0">
                  <c:v>Column2</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Column3</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ser>
          <c:idx val="3"/>
          <c:order val="3"/>
          <c:tx>
            <c:strRef>
              <c:f>Sheet1!$E$1</c:f>
              <c:strCache>
                <c:ptCount val="1"/>
                <c:pt idx="0">
                  <c:v>Column4</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numCache>
            </c:numRef>
          </c:val>
        </c:ser>
        <c:ser>
          <c:idx val="4"/>
          <c:order val="4"/>
          <c:tx>
            <c:strRef>
              <c:f>Sheet1!$F$1</c:f>
              <c:strCache>
                <c:ptCount val="1"/>
                <c:pt idx="0">
                  <c:v>Column5</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numCache>
            </c:numRef>
          </c:val>
        </c:ser>
        <c:axId val="165678464"/>
        <c:axId val="165688832"/>
      </c:barChart>
      <c:catAx>
        <c:axId val="165678464"/>
        <c:scaling>
          <c:orientation val="minMax"/>
        </c:scaling>
        <c:axPos val="b"/>
        <c:title>
          <c:tx>
            <c:rich>
              <a:bodyPr/>
              <a:lstStyle/>
              <a:p>
                <a:pPr>
                  <a:defRPr/>
                </a:pPr>
                <a:r>
                  <a:rPr lang="ro-RO"/>
                  <a:t>ani</a:t>
                </a:r>
              </a:p>
            </c:rich>
          </c:tx>
          <c:layout>
            <c:manualLayout>
              <c:xMode val="edge"/>
              <c:yMode val="edge"/>
              <c:x val="0.42091590113736044"/>
              <c:y val="0.89601174853143351"/>
            </c:manualLayout>
          </c:layout>
        </c:title>
        <c:numFmt formatCode="General" sourceLinked="1"/>
        <c:majorTickMark val="none"/>
        <c:tickLblPos val="nextTo"/>
        <c:crossAx val="165688832"/>
        <c:crosses val="autoZero"/>
        <c:auto val="1"/>
        <c:lblAlgn val="ctr"/>
        <c:lblOffset val="100"/>
      </c:catAx>
      <c:valAx>
        <c:axId val="165688832"/>
        <c:scaling>
          <c:orientation val="minMax"/>
        </c:scaling>
        <c:axPos val="l"/>
        <c:majorGridlines/>
        <c:title>
          <c:tx>
            <c:rich>
              <a:bodyPr/>
              <a:lstStyle/>
              <a:p>
                <a:pPr>
                  <a:defRPr/>
                </a:pPr>
                <a:r>
                  <a:rPr lang="ro-RO"/>
                  <a:t>mp</a:t>
                </a:r>
              </a:p>
            </c:rich>
          </c:tx>
        </c:title>
        <c:numFmt formatCode="General" sourceLinked="1"/>
        <c:tickLblPos val="nextTo"/>
        <c:crossAx val="165678464"/>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lineChart>
        <c:grouping val="standard"/>
        <c:ser>
          <c:idx val="0"/>
          <c:order val="0"/>
          <c:tx>
            <c:strRef>
              <c:f>Sheet1!$C$105</c:f>
              <c:strCache>
                <c:ptCount val="1"/>
                <c:pt idx="0">
                  <c:v>O3(µg/m3)</c:v>
                </c:pt>
              </c:strCache>
            </c:strRef>
          </c:tx>
          <c:marker>
            <c:symbol val="none"/>
          </c:marker>
          <c:cat>
            <c:strRef>
              <c:f>Sheet1!$B$106:$B$112</c:f>
              <c:strCache>
                <c:ptCount val="7"/>
                <c:pt idx="0">
                  <c:v>2008"</c:v>
                </c:pt>
                <c:pt idx="1">
                  <c:v>2009"</c:v>
                </c:pt>
                <c:pt idx="2">
                  <c:v>2010"</c:v>
                </c:pt>
                <c:pt idx="3">
                  <c:v>2011"</c:v>
                </c:pt>
                <c:pt idx="4">
                  <c:v>2012"</c:v>
                </c:pt>
                <c:pt idx="5">
                  <c:v>2013"</c:v>
                </c:pt>
                <c:pt idx="6">
                  <c:v>2014"</c:v>
                </c:pt>
              </c:strCache>
            </c:strRef>
          </c:cat>
          <c:val>
            <c:numRef>
              <c:f>Sheet1!$C$106:$C$112</c:f>
              <c:numCache>
                <c:formatCode>General</c:formatCode>
                <c:ptCount val="7"/>
                <c:pt idx="0">
                  <c:v>54</c:v>
                </c:pt>
                <c:pt idx="1">
                  <c:v>51</c:v>
                </c:pt>
                <c:pt idx="2">
                  <c:v>40</c:v>
                </c:pt>
                <c:pt idx="4">
                  <c:v>40</c:v>
                </c:pt>
                <c:pt idx="5">
                  <c:v>25</c:v>
                </c:pt>
              </c:numCache>
            </c:numRef>
          </c:val>
        </c:ser>
        <c:marker val="1"/>
        <c:axId val="159477760"/>
        <c:axId val="159479296"/>
      </c:lineChart>
      <c:catAx>
        <c:axId val="159477760"/>
        <c:scaling>
          <c:orientation val="minMax"/>
        </c:scaling>
        <c:axPos val="b"/>
        <c:tickLblPos val="nextTo"/>
        <c:crossAx val="159479296"/>
        <c:crosses val="autoZero"/>
        <c:auto val="1"/>
        <c:lblAlgn val="ctr"/>
        <c:lblOffset val="100"/>
      </c:catAx>
      <c:valAx>
        <c:axId val="159479296"/>
        <c:scaling>
          <c:orientation val="minMax"/>
        </c:scaling>
        <c:axPos val="l"/>
        <c:majorGridlines/>
        <c:numFmt formatCode="General" sourceLinked="1"/>
        <c:tickLblPos val="nextTo"/>
        <c:crossAx val="159477760"/>
        <c:crosses val="autoZero"/>
        <c:crossBetween val="between"/>
      </c:valAx>
    </c:plotArea>
    <c:legend>
      <c:legendPos val="r"/>
    </c:legend>
    <c:plotVisOnly val="1"/>
  </c:chart>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a:t>Suprafaţa spaţii verzi din total intravilan în mediul urban în judeţul Buzău 2010 - 2014</a:t>
            </a:r>
          </a:p>
        </c:rich>
      </c:tx>
    </c:title>
    <c:view3D>
      <c:rAngAx val="1"/>
    </c:view3D>
    <c:floor>
      <c:spPr>
        <a:solidFill>
          <a:schemeClr val="bg1">
            <a:lumMod val="85000"/>
          </a:schemeClr>
        </a:solidFill>
      </c:spPr>
    </c:floor>
    <c:plotArea>
      <c:layout/>
      <c:bar3DChart>
        <c:barDir val="col"/>
        <c:grouping val="stacked"/>
        <c:ser>
          <c:idx val="0"/>
          <c:order val="0"/>
          <c:tx>
            <c:strRef>
              <c:f>Sheet1!$B$1</c:f>
              <c:strCache>
                <c:ptCount val="1"/>
                <c:pt idx="0">
                  <c:v>Suprafata spatii verzi</c:v>
                </c:pt>
              </c:strCache>
            </c:strRef>
          </c:tx>
          <c:spPr>
            <a:solidFill>
              <a:srgbClr val="FFFF0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310.13</c:v>
                </c:pt>
                <c:pt idx="1">
                  <c:v>310.13</c:v>
                </c:pt>
                <c:pt idx="2">
                  <c:v>316.72999999999894</c:v>
                </c:pt>
                <c:pt idx="3">
                  <c:v>316.72999999999894</c:v>
                </c:pt>
                <c:pt idx="4">
                  <c:v>317.38</c:v>
                </c:pt>
              </c:numCache>
            </c:numRef>
          </c:val>
        </c:ser>
        <c:ser>
          <c:idx val="1"/>
          <c:order val="1"/>
          <c:tx>
            <c:strRef>
              <c:f>Sheet1!$C$1</c:f>
              <c:strCache>
                <c:ptCount val="1"/>
                <c:pt idx="0">
                  <c:v>Suprafata intravilan</c:v>
                </c:pt>
              </c:strCache>
            </c:strRef>
          </c:tx>
          <c:spPr>
            <a:solidFill>
              <a:srgbClr val="92D05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7130</c:v>
                </c:pt>
                <c:pt idx="1">
                  <c:v>7121</c:v>
                </c:pt>
                <c:pt idx="2">
                  <c:v>7205</c:v>
                </c:pt>
                <c:pt idx="3">
                  <c:v>7205</c:v>
                </c:pt>
                <c:pt idx="4">
                  <c:v>7205</c:v>
                </c:pt>
              </c:numCache>
            </c:numRef>
          </c:val>
        </c:ser>
        <c:ser>
          <c:idx val="2"/>
          <c:order val="2"/>
          <c:tx>
            <c:strRef>
              <c:f>Sheet1!$D$1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gapWidth val="75"/>
        <c:shape val="box"/>
        <c:axId val="165964800"/>
        <c:axId val="165974784"/>
        <c:axId val="0"/>
      </c:bar3DChart>
      <c:catAx>
        <c:axId val="165964800"/>
        <c:scaling>
          <c:orientation val="minMax"/>
        </c:scaling>
        <c:axPos val="b"/>
        <c:numFmt formatCode="General" sourceLinked="1"/>
        <c:majorTickMark val="none"/>
        <c:tickLblPos val="nextTo"/>
        <c:crossAx val="165974784"/>
        <c:crosses val="autoZero"/>
        <c:auto val="1"/>
        <c:lblAlgn val="ctr"/>
        <c:lblOffset val="100"/>
      </c:catAx>
      <c:valAx>
        <c:axId val="165974784"/>
        <c:scaling>
          <c:orientation val="minMax"/>
        </c:scaling>
        <c:axPos val="l"/>
        <c:majorGridlines/>
        <c:numFmt formatCode="General" sourceLinked="1"/>
        <c:majorTickMark val="none"/>
        <c:tickLblPos val="nextTo"/>
        <c:spPr>
          <a:ln w="9525">
            <a:noFill/>
          </a:ln>
        </c:spPr>
        <c:crossAx val="165964800"/>
        <c:crosses val="autoZero"/>
        <c:crossBetween val="between"/>
      </c:valAx>
    </c:plotArea>
    <c:legend>
      <c:legendPos val="b"/>
      <c:legendEntry>
        <c:idx val="2"/>
        <c:delete val="1"/>
      </c:legendEntry>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vi-VN" sz="1100">
                <a:latin typeface="Arial" pitchFamily="34" charset="0"/>
                <a:cs typeface="Arial" pitchFamily="34" charset="0"/>
              </a:rPr>
              <a:t>Rata morbidităţii prin incidenţa bolilor neinfecţioase</a:t>
            </a:r>
            <a:r>
              <a:rPr lang="ro-RO" sz="1100">
                <a:latin typeface="Arial" pitchFamily="34" charset="0"/>
                <a:cs typeface="Arial" pitchFamily="34" charset="0"/>
              </a:rPr>
              <a:t> la nivelul judeţului Buzău (2012 - 2014)</a:t>
            </a:r>
            <a:endParaRPr lang="vi-VN" sz="1100">
              <a:latin typeface="Arial" pitchFamily="34" charset="0"/>
              <a:cs typeface="Arial" pitchFamily="34" charset="0"/>
            </a:endParaRPr>
          </a:p>
        </c:rich>
      </c:tx>
    </c:title>
    <c:view3D>
      <c:rAngAx val="1"/>
    </c:view3D>
    <c:plotArea>
      <c:layout/>
      <c:pie3DChart>
        <c:varyColors val="1"/>
        <c:ser>
          <c:idx val="0"/>
          <c:order val="0"/>
          <c:tx>
            <c:strRef>
              <c:f>Sheet1!$B$1</c:f>
              <c:strCache>
                <c:ptCount val="1"/>
                <c:pt idx="0">
                  <c:v>Rata morbidităţii prin incidenţa bolilor neinfecţioase</c:v>
                </c:pt>
              </c:strCache>
            </c:strRef>
          </c:tx>
          <c:explosion val="25"/>
          <c:dLbls>
            <c:dLbl>
              <c:idx val="0"/>
              <c:tx>
                <c:rich>
                  <a:bodyPr/>
                  <a:lstStyle/>
                  <a:p>
                    <a:r>
                      <a:rPr lang="en-US"/>
                      <a:t>2012
</a:t>
                    </a:r>
                    <a:r>
                      <a:rPr lang="ro-RO"/>
                      <a:t>32,39%</a:t>
                    </a:r>
                    <a:endParaRPr lang="en-US"/>
                  </a:p>
                </c:rich>
              </c:tx>
              <c:showCatName val="1"/>
              <c:showPercent val="1"/>
            </c:dLbl>
            <c:dLbl>
              <c:idx val="1"/>
              <c:tx>
                <c:rich>
                  <a:bodyPr/>
                  <a:lstStyle/>
                  <a:p>
                    <a:r>
                      <a:rPr lang="en-US"/>
                      <a:t>201</a:t>
                    </a:r>
                    <a:r>
                      <a:rPr lang="ro-RO"/>
                      <a:t>3 </a:t>
                    </a:r>
                  </a:p>
                  <a:p>
                    <a:r>
                      <a:rPr lang="ro-RO"/>
                      <a:t>33,96%</a:t>
                    </a:r>
                    <a:endParaRPr lang="en-US"/>
                  </a:p>
                </c:rich>
              </c:tx>
              <c:showCatName val="1"/>
              <c:showPercent val="1"/>
            </c:dLbl>
            <c:dLbl>
              <c:idx val="2"/>
              <c:tx>
                <c:rich>
                  <a:bodyPr/>
                  <a:lstStyle/>
                  <a:p>
                    <a:r>
                      <a:rPr lang="en-US"/>
                      <a:t>2014
</a:t>
                    </a:r>
                    <a:r>
                      <a:rPr lang="ro-RO"/>
                      <a:t>33,95%</a:t>
                    </a:r>
                    <a:endParaRPr lang="en-US"/>
                  </a:p>
                </c:rich>
              </c:tx>
              <c:showCatName val="1"/>
              <c:showPercent val="1"/>
            </c:dLbl>
            <c:showCatName val="1"/>
            <c:showPercent val="1"/>
          </c:dLbls>
          <c:cat>
            <c:numRef>
              <c:f>Sheet1!$A$2:$A$5</c:f>
              <c:numCache>
                <c:formatCode>General</c:formatCode>
                <c:ptCount val="4"/>
                <c:pt idx="0">
                  <c:v>2012</c:v>
                </c:pt>
                <c:pt idx="1">
                  <c:v>2013</c:v>
                </c:pt>
                <c:pt idx="2">
                  <c:v>2014</c:v>
                </c:pt>
              </c:numCache>
            </c:numRef>
          </c:cat>
          <c:val>
            <c:numRef>
              <c:f>Sheet1!$B$2:$B$5</c:f>
              <c:numCache>
                <c:formatCode>General</c:formatCode>
                <c:ptCount val="4"/>
                <c:pt idx="0">
                  <c:v>32.39</c:v>
                </c:pt>
                <c:pt idx="1">
                  <c:v>33.96</c:v>
                </c:pt>
                <c:pt idx="2">
                  <c:v>33.950000000000003</c:v>
                </c:pt>
              </c:numCache>
            </c:numRef>
          </c:val>
        </c:ser>
        <c:ser>
          <c:idx val="1"/>
          <c:order val="1"/>
          <c:tx>
            <c:strRef>
              <c:f>Sheet1!$C$1</c:f>
              <c:strCache>
                <c:ptCount val="1"/>
                <c:pt idx="0">
                  <c:v>Column1</c:v>
                </c:pt>
              </c:strCache>
            </c:strRef>
          </c:tx>
          <c:explosion val="25"/>
          <c:cat>
            <c:numRef>
              <c:f>Sheet1!$A$2:$A$5</c:f>
              <c:numCache>
                <c:formatCode>General</c:formatCode>
                <c:ptCount val="4"/>
                <c:pt idx="0">
                  <c:v>2012</c:v>
                </c:pt>
                <c:pt idx="1">
                  <c:v>2013</c:v>
                </c:pt>
                <c:pt idx="2">
                  <c:v>2014</c:v>
                </c:pt>
              </c:numCache>
            </c:numRef>
          </c:cat>
          <c:val>
            <c:numRef>
              <c:f>Sheet1!$C$2:$C$5</c:f>
              <c:numCache>
                <c:formatCode>General</c:formatCode>
                <c:ptCount val="4"/>
              </c:numCache>
            </c:numRef>
          </c:val>
        </c:ser>
        <c:ser>
          <c:idx val="2"/>
          <c:order val="2"/>
          <c:tx>
            <c:strRef>
              <c:f>Sheet1!$D$1</c:f>
              <c:strCache>
                <c:ptCount val="1"/>
                <c:pt idx="0">
                  <c:v>Column2</c:v>
                </c:pt>
              </c:strCache>
            </c:strRef>
          </c:tx>
          <c:explosion val="25"/>
          <c:cat>
            <c:numRef>
              <c:f>Sheet1!$A$2:$A$5</c:f>
              <c:numCache>
                <c:formatCode>General</c:formatCode>
                <c:ptCount val="4"/>
                <c:pt idx="0">
                  <c:v>2012</c:v>
                </c:pt>
                <c:pt idx="1">
                  <c:v>2013</c:v>
                </c:pt>
                <c:pt idx="2">
                  <c:v>2014</c:v>
                </c:pt>
              </c:numCache>
            </c:numRef>
          </c:cat>
          <c:val>
            <c:numRef>
              <c:f>Sheet1!$D$2:$D$5</c:f>
              <c:numCache>
                <c:formatCode>General</c:formatCode>
                <c:ptCount val="4"/>
              </c:numCache>
            </c:numRef>
          </c:val>
        </c:ser>
        <c:dLbls>
          <c:showCatName val="1"/>
          <c:showPercent val="1"/>
        </c:dLbls>
      </c:pie3DChart>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100">
                <a:latin typeface="Arial" pitchFamily="34" charset="0"/>
                <a:cs typeface="Arial" pitchFamily="34" charset="0"/>
              </a:rPr>
              <a:t>Mortalitatea cauzată de afecţiuni respiratorii şi cardio-vasculare la nivelul judeţului Buzău (2012 - 2014) </a:t>
            </a:r>
          </a:p>
        </c:rich>
      </c:tx>
    </c:title>
    <c:plotArea>
      <c:layout/>
      <c:barChart>
        <c:barDir val="col"/>
        <c:grouping val="clustered"/>
        <c:ser>
          <c:idx val="0"/>
          <c:order val="0"/>
          <c:tx>
            <c:strRef>
              <c:f>Sheet1!$B$1</c:f>
              <c:strCache>
                <c:ptCount val="1"/>
                <c:pt idx="0">
                  <c:v>mortalitate cauzată prin afecţiuni respiratorii </c:v>
                </c:pt>
              </c:strCache>
            </c:strRef>
          </c:tx>
          <c:cat>
            <c:numRef>
              <c:f>Sheet1!$A$2:$A$5</c:f>
              <c:numCache>
                <c:formatCode>General</c:formatCode>
                <c:ptCount val="4"/>
                <c:pt idx="0">
                  <c:v>2012</c:v>
                </c:pt>
                <c:pt idx="1">
                  <c:v>2013</c:v>
                </c:pt>
                <c:pt idx="2">
                  <c:v>2014</c:v>
                </c:pt>
              </c:numCache>
            </c:numRef>
          </c:cat>
          <c:val>
            <c:numRef>
              <c:f>Sheet1!$B$2:$B$5</c:f>
              <c:numCache>
                <c:formatCode>General</c:formatCode>
                <c:ptCount val="4"/>
                <c:pt idx="0">
                  <c:v>322</c:v>
                </c:pt>
                <c:pt idx="1">
                  <c:v>371</c:v>
                </c:pt>
                <c:pt idx="2">
                  <c:v>371</c:v>
                </c:pt>
              </c:numCache>
            </c:numRef>
          </c:val>
        </c:ser>
        <c:ser>
          <c:idx val="1"/>
          <c:order val="1"/>
          <c:tx>
            <c:strRef>
              <c:f>Sheet1!$C$1</c:f>
              <c:strCache>
                <c:ptCount val="1"/>
                <c:pt idx="0">
                  <c:v>mortalitate prin afecţiuni cardio-vasculare</c:v>
                </c:pt>
              </c:strCache>
            </c:strRef>
          </c:tx>
          <c:cat>
            <c:numRef>
              <c:f>Sheet1!$A$2:$A$5</c:f>
              <c:numCache>
                <c:formatCode>General</c:formatCode>
                <c:ptCount val="4"/>
                <c:pt idx="0">
                  <c:v>2012</c:v>
                </c:pt>
                <c:pt idx="1">
                  <c:v>2013</c:v>
                </c:pt>
                <c:pt idx="2">
                  <c:v>2014</c:v>
                </c:pt>
              </c:numCache>
            </c:numRef>
          </c:cat>
          <c:val>
            <c:numRef>
              <c:f>Sheet1!$C$2:$C$5</c:f>
              <c:numCache>
                <c:formatCode>General</c:formatCode>
                <c:ptCount val="4"/>
                <c:pt idx="0">
                  <c:v>3825</c:v>
                </c:pt>
                <c:pt idx="1">
                  <c:v>3911</c:v>
                </c:pt>
                <c:pt idx="2">
                  <c:v>3798</c:v>
                </c:pt>
              </c:numCache>
            </c:numRef>
          </c:val>
        </c:ser>
        <c:ser>
          <c:idx val="2"/>
          <c:order val="2"/>
          <c:tx>
            <c:strRef>
              <c:f>Sheet1!$D$1</c:f>
              <c:strCache>
                <c:ptCount val="1"/>
                <c:pt idx="0">
                  <c:v>Column1</c:v>
                </c:pt>
              </c:strCache>
            </c:strRef>
          </c:tx>
          <c:cat>
            <c:numRef>
              <c:f>Sheet1!$A$2:$A$5</c:f>
              <c:numCache>
                <c:formatCode>General</c:formatCode>
                <c:ptCount val="4"/>
                <c:pt idx="0">
                  <c:v>2012</c:v>
                </c:pt>
                <c:pt idx="1">
                  <c:v>2013</c:v>
                </c:pt>
                <c:pt idx="2">
                  <c:v>2014</c:v>
                </c:pt>
              </c:numCache>
            </c:numRef>
          </c:cat>
          <c:val>
            <c:numRef>
              <c:f>Sheet1!$D$2:$D$5</c:f>
              <c:numCache>
                <c:formatCode>General</c:formatCode>
                <c:ptCount val="4"/>
              </c:numCache>
            </c:numRef>
          </c:val>
        </c:ser>
        <c:dLbls>
          <c:showVal val="1"/>
        </c:dLbls>
        <c:overlap val="-25"/>
        <c:axId val="171670912"/>
        <c:axId val="172971136"/>
      </c:barChart>
      <c:catAx>
        <c:axId val="171670912"/>
        <c:scaling>
          <c:orientation val="minMax"/>
        </c:scaling>
        <c:axPos val="b"/>
        <c:numFmt formatCode="General" sourceLinked="1"/>
        <c:majorTickMark val="none"/>
        <c:tickLblPos val="nextTo"/>
        <c:crossAx val="172971136"/>
        <c:crosses val="autoZero"/>
        <c:auto val="1"/>
        <c:lblAlgn val="ctr"/>
        <c:lblOffset val="100"/>
      </c:catAx>
      <c:valAx>
        <c:axId val="172971136"/>
        <c:scaling>
          <c:orientation val="minMax"/>
        </c:scaling>
        <c:delete val="1"/>
        <c:axPos val="l"/>
        <c:numFmt formatCode="General" sourceLinked="1"/>
        <c:majorTickMark val="none"/>
        <c:tickLblPos val="none"/>
        <c:crossAx val="171670912"/>
        <c:crosses val="autoZero"/>
        <c:crossBetween val="between"/>
      </c:valAx>
    </c:plotArea>
    <c:legend>
      <c:legendPos val="t"/>
      <c:legendEntry>
        <c:idx val="2"/>
        <c:delete val="1"/>
      </c:legendEntry>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vi-VN" sz="1100">
                <a:latin typeface="+mn-lt"/>
              </a:rPr>
              <a:t>Numărul de evenimente pe an în judeţul Buzău, pe bazine hidrografice în perioda 2010-2014</a:t>
            </a:r>
          </a:p>
        </c:rich>
      </c:tx>
    </c:title>
    <c:plotArea>
      <c:layout/>
      <c:lineChart>
        <c:grouping val="stacked"/>
        <c:ser>
          <c:idx val="0"/>
          <c:order val="0"/>
          <c:tx>
            <c:strRef>
              <c:f>Sheet1!$C$600</c:f>
              <c:strCache>
                <c:ptCount val="1"/>
                <c:pt idx="0">
                  <c:v>Buzău</c:v>
                </c:pt>
              </c:strCache>
            </c:strRef>
          </c:tx>
          <c:cat>
            <c:numRef>
              <c:f>Sheet1!$D$599:$H$599</c:f>
              <c:numCache>
                <c:formatCode>General</c:formatCode>
                <c:ptCount val="5"/>
                <c:pt idx="0">
                  <c:v>2010</c:v>
                </c:pt>
                <c:pt idx="1">
                  <c:v>2011</c:v>
                </c:pt>
                <c:pt idx="2">
                  <c:v>2012</c:v>
                </c:pt>
                <c:pt idx="3">
                  <c:v>2013</c:v>
                </c:pt>
                <c:pt idx="4">
                  <c:v>2014</c:v>
                </c:pt>
              </c:numCache>
            </c:numRef>
          </c:cat>
          <c:val>
            <c:numRef>
              <c:f>Sheet1!$D$600:$H$600</c:f>
              <c:numCache>
                <c:formatCode>General</c:formatCode>
                <c:ptCount val="5"/>
                <c:pt idx="0">
                  <c:v>1</c:v>
                </c:pt>
                <c:pt idx="1">
                  <c:v>1</c:v>
                </c:pt>
                <c:pt idx="2">
                  <c:v>2</c:v>
                </c:pt>
                <c:pt idx="3">
                  <c:v>3</c:v>
                </c:pt>
                <c:pt idx="4">
                  <c:v>4</c:v>
                </c:pt>
              </c:numCache>
            </c:numRef>
          </c:val>
        </c:ser>
        <c:ser>
          <c:idx val="1"/>
          <c:order val="1"/>
          <c:tx>
            <c:strRef>
              <c:f>Sheet1!$C$601</c:f>
              <c:strCache>
                <c:ptCount val="1"/>
                <c:pt idx="0">
                  <c:v>Sărata</c:v>
                </c:pt>
              </c:strCache>
            </c:strRef>
          </c:tx>
          <c:cat>
            <c:numRef>
              <c:f>Sheet1!$D$599:$H$599</c:f>
              <c:numCache>
                <c:formatCode>General</c:formatCode>
                <c:ptCount val="5"/>
                <c:pt idx="0">
                  <c:v>2010</c:v>
                </c:pt>
                <c:pt idx="1">
                  <c:v>2011</c:v>
                </c:pt>
                <c:pt idx="2">
                  <c:v>2012</c:v>
                </c:pt>
                <c:pt idx="3">
                  <c:v>2013</c:v>
                </c:pt>
                <c:pt idx="4">
                  <c:v>2014</c:v>
                </c:pt>
              </c:numCache>
            </c:numRef>
          </c:cat>
          <c:val>
            <c:numRef>
              <c:f>Sheet1!$D$601:$H$601</c:f>
              <c:numCache>
                <c:formatCode>General</c:formatCode>
                <c:ptCount val="5"/>
                <c:pt idx="0">
                  <c:v>0</c:v>
                </c:pt>
                <c:pt idx="1">
                  <c:v>0</c:v>
                </c:pt>
                <c:pt idx="2">
                  <c:v>0</c:v>
                </c:pt>
                <c:pt idx="3">
                  <c:v>0</c:v>
                </c:pt>
                <c:pt idx="4">
                  <c:v>0</c:v>
                </c:pt>
              </c:numCache>
            </c:numRef>
          </c:val>
        </c:ser>
        <c:ser>
          <c:idx val="2"/>
          <c:order val="2"/>
          <c:tx>
            <c:strRef>
              <c:f>Sheet1!$C$602</c:f>
              <c:strCache>
                <c:ptCount val="1"/>
                <c:pt idx="0">
                  <c:v>Călmățui</c:v>
                </c:pt>
              </c:strCache>
            </c:strRef>
          </c:tx>
          <c:cat>
            <c:numRef>
              <c:f>Sheet1!$D$599:$H$599</c:f>
              <c:numCache>
                <c:formatCode>General</c:formatCode>
                <c:ptCount val="5"/>
                <c:pt idx="0">
                  <c:v>2010</c:v>
                </c:pt>
                <c:pt idx="1">
                  <c:v>2011</c:v>
                </c:pt>
                <c:pt idx="2">
                  <c:v>2012</c:v>
                </c:pt>
                <c:pt idx="3">
                  <c:v>2013</c:v>
                </c:pt>
                <c:pt idx="4">
                  <c:v>2014</c:v>
                </c:pt>
              </c:numCache>
            </c:numRef>
          </c:cat>
          <c:val>
            <c:numRef>
              <c:f>Sheet1!$D$602:$H$602</c:f>
              <c:numCache>
                <c:formatCode>General</c:formatCode>
                <c:ptCount val="5"/>
                <c:pt idx="0">
                  <c:v>0</c:v>
                </c:pt>
                <c:pt idx="1">
                  <c:v>0</c:v>
                </c:pt>
                <c:pt idx="2">
                  <c:v>0</c:v>
                </c:pt>
                <c:pt idx="3">
                  <c:v>0</c:v>
                </c:pt>
                <c:pt idx="4">
                  <c:v>0</c:v>
                </c:pt>
              </c:numCache>
            </c:numRef>
          </c:val>
        </c:ser>
        <c:ser>
          <c:idx val="3"/>
          <c:order val="3"/>
          <c:tx>
            <c:strRef>
              <c:f>Sheet1!$C$603</c:f>
              <c:strCache>
                <c:ptCount val="1"/>
                <c:pt idx="0">
                  <c:v>Râmnicu Sărat</c:v>
                </c:pt>
              </c:strCache>
            </c:strRef>
          </c:tx>
          <c:cat>
            <c:numRef>
              <c:f>Sheet1!$D$599:$H$599</c:f>
              <c:numCache>
                <c:formatCode>General</c:formatCode>
                <c:ptCount val="5"/>
                <c:pt idx="0">
                  <c:v>2010</c:v>
                </c:pt>
                <c:pt idx="1">
                  <c:v>2011</c:v>
                </c:pt>
                <c:pt idx="2">
                  <c:v>2012</c:v>
                </c:pt>
                <c:pt idx="3">
                  <c:v>2013</c:v>
                </c:pt>
                <c:pt idx="4">
                  <c:v>2014</c:v>
                </c:pt>
              </c:numCache>
            </c:numRef>
          </c:cat>
          <c:val>
            <c:numRef>
              <c:f>Sheet1!$D$603:$H$603</c:f>
              <c:numCache>
                <c:formatCode>General</c:formatCode>
                <c:ptCount val="5"/>
                <c:pt idx="0">
                  <c:v>0</c:v>
                </c:pt>
                <c:pt idx="1">
                  <c:v>1</c:v>
                </c:pt>
                <c:pt idx="2">
                  <c:v>0</c:v>
                </c:pt>
                <c:pt idx="3">
                  <c:v>1</c:v>
                </c:pt>
                <c:pt idx="4">
                  <c:v>3</c:v>
                </c:pt>
              </c:numCache>
            </c:numRef>
          </c:val>
        </c:ser>
        <c:marker val="1"/>
        <c:axId val="171559552"/>
        <c:axId val="173113728"/>
      </c:lineChart>
      <c:catAx>
        <c:axId val="171559552"/>
        <c:scaling>
          <c:orientation val="minMax"/>
        </c:scaling>
        <c:axPos val="b"/>
        <c:numFmt formatCode="General" sourceLinked="1"/>
        <c:majorTickMark val="none"/>
        <c:tickLblPos val="nextTo"/>
        <c:crossAx val="173113728"/>
        <c:crosses val="autoZero"/>
        <c:auto val="1"/>
        <c:lblAlgn val="ctr"/>
        <c:lblOffset val="100"/>
      </c:catAx>
      <c:valAx>
        <c:axId val="173113728"/>
        <c:scaling>
          <c:orientation val="minMax"/>
        </c:scaling>
        <c:axPos val="l"/>
        <c:majorGridlines/>
        <c:title>
          <c:tx>
            <c:rich>
              <a:bodyPr/>
              <a:lstStyle/>
              <a:p>
                <a:pPr>
                  <a:defRPr/>
                </a:pPr>
                <a:r>
                  <a:rPr lang="vi-VN"/>
                  <a:t>Număr </a:t>
                </a:r>
                <a:r>
                  <a:rPr lang="vi-VN" sz="1100">
                    <a:latin typeface="+mn-lt"/>
                  </a:rPr>
                  <a:t>evenimente</a:t>
                </a:r>
              </a:p>
            </c:rich>
          </c:tx>
          <c:layout>
            <c:manualLayout>
              <c:xMode val="edge"/>
              <c:yMode val="edge"/>
              <c:x val="9.7222222222222224E-2"/>
              <c:y val="0.17778944298629415"/>
            </c:manualLayout>
          </c:layout>
        </c:title>
        <c:numFmt formatCode="General" sourceLinked="1"/>
        <c:majorTickMark val="none"/>
        <c:tickLblPos val="nextTo"/>
        <c:crossAx val="171559552"/>
        <c:crosses val="autoZero"/>
        <c:crossBetween val="between"/>
      </c:valAx>
      <c:dTable>
        <c:showHorzBorder val="1"/>
        <c:showVertBorder val="1"/>
        <c:showOutline val="1"/>
        <c:showKeys val="1"/>
      </c:dTable>
    </c:plotArea>
    <c:plotVisOnly val="1"/>
  </c:chart>
  <c:externalData r:id="rId2"/>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lgn="ctr">
              <a:defRPr/>
            </a:pPr>
            <a:r>
              <a:rPr lang="vi-VN" sz="1200">
                <a:latin typeface="+mn-lt"/>
              </a:rPr>
              <a:t>Numărul de evenimente și numărul de persoane afectate pe fiecare bazin hidrografic, în anul 2014, pe teritoriul județului Buzău</a:t>
            </a:r>
          </a:p>
        </c:rich>
      </c:tx>
    </c:title>
    <c:plotArea>
      <c:layout/>
      <c:lineChart>
        <c:grouping val="stacked"/>
        <c:ser>
          <c:idx val="0"/>
          <c:order val="0"/>
          <c:tx>
            <c:strRef>
              <c:f>Sheet1!$C$567</c:f>
              <c:strCache>
                <c:ptCount val="1"/>
                <c:pt idx="0">
                  <c:v>Număr evenimente</c:v>
                </c:pt>
              </c:strCache>
            </c:strRef>
          </c:tx>
          <c:cat>
            <c:strRef>
              <c:f>Sheet1!$D$566:$G$566</c:f>
              <c:strCache>
                <c:ptCount val="4"/>
                <c:pt idx="0">
                  <c:v>Buzău</c:v>
                </c:pt>
                <c:pt idx="1">
                  <c:v>Sărata </c:v>
                </c:pt>
                <c:pt idx="2">
                  <c:v>Călmățui</c:v>
                </c:pt>
                <c:pt idx="3">
                  <c:v>Râmnicu Sărat</c:v>
                </c:pt>
              </c:strCache>
            </c:strRef>
          </c:cat>
          <c:val>
            <c:numRef>
              <c:f>Sheet1!$D$567:$G$567</c:f>
              <c:numCache>
                <c:formatCode>General</c:formatCode>
                <c:ptCount val="4"/>
                <c:pt idx="0">
                  <c:v>4</c:v>
                </c:pt>
                <c:pt idx="1">
                  <c:v>0</c:v>
                </c:pt>
                <c:pt idx="2">
                  <c:v>0</c:v>
                </c:pt>
                <c:pt idx="3">
                  <c:v>3</c:v>
                </c:pt>
              </c:numCache>
            </c:numRef>
          </c:val>
        </c:ser>
        <c:marker val="1"/>
        <c:axId val="173133184"/>
        <c:axId val="172098688"/>
      </c:lineChart>
      <c:lineChart>
        <c:grouping val="stacked"/>
        <c:ser>
          <c:idx val="1"/>
          <c:order val="1"/>
          <c:tx>
            <c:strRef>
              <c:f>Sheet1!$C$568</c:f>
              <c:strCache>
                <c:ptCount val="1"/>
                <c:pt idx="0">
                  <c:v>Numărul persoanelor afectate</c:v>
                </c:pt>
              </c:strCache>
            </c:strRef>
          </c:tx>
          <c:cat>
            <c:strRef>
              <c:f>Sheet1!$D$566:$G$566</c:f>
              <c:strCache>
                <c:ptCount val="4"/>
                <c:pt idx="0">
                  <c:v>Buzău</c:v>
                </c:pt>
                <c:pt idx="1">
                  <c:v>Sărata </c:v>
                </c:pt>
                <c:pt idx="2">
                  <c:v>Călmățui</c:v>
                </c:pt>
                <c:pt idx="3">
                  <c:v>Râmnicu Sărat</c:v>
                </c:pt>
              </c:strCache>
            </c:strRef>
          </c:cat>
          <c:val>
            <c:numRef>
              <c:f>Sheet1!$D$568:$G$568</c:f>
              <c:numCache>
                <c:formatCode>General</c:formatCode>
                <c:ptCount val="4"/>
                <c:pt idx="0">
                  <c:v>0</c:v>
                </c:pt>
                <c:pt idx="1">
                  <c:v>0</c:v>
                </c:pt>
                <c:pt idx="2">
                  <c:v>0</c:v>
                </c:pt>
                <c:pt idx="3">
                  <c:v>0</c:v>
                </c:pt>
              </c:numCache>
            </c:numRef>
          </c:val>
        </c:ser>
        <c:marker val="1"/>
        <c:axId val="172110592"/>
        <c:axId val="172100608"/>
      </c:lineChart>
      <c:catAx>
        <c:axId val="173133184"/>
        <c:scaling>
          <c:orientation val="minMax"/>
        </c:scaling>
        <c:axPos val="b"/>
        <c:majorTickMark val="none"/>
        <c:tickLblPos val="nextTo"/>
        <c:crossAx val="172098688"/>
        <c:crosses val="autoZero"/>
        <c:auto val="1"/>
        <c:lblAlgn val="ctr"/>
        <c:lblOffset val="100"/>
      </c:catAx>
      <c:valAx>
        <c:axId val="172098688"/>
        <c:scaling>
          <c:orientation val="minMax"/>
        </c:scaling>
        <c:axPos val="l"/>
        <c:majorGridlines/>
        <c:title>
          <c:tx>
            <c:rich>
              <a:bodyPr/>
              <a:lstStyle/>
              <a:p>
                <a:pPr>
                  <a:defRPr/>
                </a:pPr>
                <a:r>
                  <a:rPr lang="vi-VN"/>
                  <a:t>Număr evenimente</a:t>
                </a:r>
                <a:r>
                  <a:rPr lang="ro-RO"/>
                  <a:t> </a:t>
                </a:r>
                <a:r>
                  <a:rPr lang="vi-VN"/>
                  <a:t>/</a:t>
                </a:r>
                <a:r>
                  <a:rPr lang="ro-RO"/>
                  <a:t> </a:t>
                </a:r>
                <a:r>
                  <a:rPr lang="vi-VN"/>
                  <a:t>număr persoane afectate</a:t>
                </a:r>
              </a:p>
            </c:rich>
          </c:tx>
          <c:layout>
            <c:manualLayout>
              <c:xMode val="edge"/>
              <c:yMode val="edge"/>
              <c:x val="4.1287188828172415E-2"/>
              <c:y val="5.6685130928664756E-2"/>
            </c:manualLayout>
          </c:layout>
        </c:title>
        <c:numFmt formatCode="General" sourceLinked="1"/>
        <c:majorTickMark val="none"/>
        <c:tickLblPos val="nextTo"/>
        <c:crossAx val="173133184"/>
        <c:crosses val="autoZero"/>
        <c:crossBetween val="between"/>
      </c:valAx>
      <c:valAx>
        <c:axId val="172100608"/>
        <c:scaling>
          <c:orientation val="minMax"/>
        </c:scaling>
        <c:axPos val="r"/>
        <c:numFmt formatCode="General" sourceLinked="1"/>
        <c:tickLblPos val="nextTo"/>
        <c:crossAx val="172110592"/>
        <c:crosses val="max"/>
        <c:crossBetween val="between"/>
      </c:valAx>
      <c:catAx>
        <c:axId val="172110592"/>
        <c:scaling>
          <c:orientation val="minMax"/>
        </c:scaling>
        <c:delete val="1"/>
        <c:axPos val="b"/>
        <c:tickLblPos val="none"/>
        <c:crossAx val="172100608"/>
        <c:crosses val="autoZero"/>
        <c:auto val="1"/>
        <c:lblAlgn val="ctr"/>
        <c:lblOffset val="100"/>
      </c:catAx>
      <c:dTable>
        <c:showHorzBorder val="1"/>
        <c:showVertBorder val="1"/>
        <c:showOutline val="1"/>
        <c:showKeys val="1"/>
      </c:dTable>
    </c:plotArea>
    <c:plotVisOnly val="1"/>
  </c:chart>
  <c:externalData r:id="rId2"/>
</c:chartSpace>
</file>

<file path=word/charts/chart145.xml><?xml version="1.0" encoding="utf-8"?>
<c:chartSpace xmlns:c="http://schemas.openxmlformats.org/drawingml/2006/chart" xmlns:a="http://schemas.openxmlformats.org/drawingml/2006/main" xmlns:r="http://schemas.openxmlformats.org/officeDocument/2006/relationships">
  <c:lang val="ro-RO"/>
  <c:chart>
    <c:autoTitleDeleted val="1"/>
    <c:view3D>
      <c:rotX val="40"/>
      <c:hPercent val="50"/>
      <c:perspective val="0"/>
    </c:view3D>
    <c:plotArea>
      <c:layout>
        <c:manualLayout>
          <c:layoutTarget val="inner"/>
          <c:xMode val="edge"/>
          <c:yMode val="edge"/>
          <c:x val="0.1493775933609959"/>
          <c:y val="0.19867549668874168"/>
          <c:w val="0.549792531120332"/>
          <c:h val="0.61258278145695233"/>
        </c:manualLayout>
      </c:layout>
      <c:pie3DChart>
        <c:varyColors val="1"/>
        <c:ser>
          <c:idx val="0"/>
          <c:order val="0"/>
          <c:tx>
            <c:strRef>
              <c:f>Sheet1!$A$2</c:f>
              <c:strCache>
                <c:ptCount val="1"/>
                <c:pt idx="0">
                  <c:v>East</c:v>
                </c:pt>
              </c:strCache>
            </c:strRef>
          </c:tx>
          <c:spPr>
            <a:solidFill>
              <a:srgbClr val="9999FF"/>
            </a:solidFill>
            <a:ln w="21485">
              <a:noFill/>
            </a:ln>
          </c:spPr>
          <c:explosion val="25"/>
          <c:dPt>
            <c:idx val="1"/>
            <c:spPr>
              <a:solidFill>
                <a:srgbClr val="993366"/>
              </a:solidFill>
              <a:ln w="21485">
                <a:noFill/>
              </a:ln>
            </c:spPr>
          </c:dPt>
          <c:dPt>
            <c:idx val="2"/>
            <c:spPr>
              <a:solidFill>
                <a:srgbClr val="FFFFCC"/>
              </a:solidFill>
              <a:ln w="21485">
                <a:noFill/>
              </a:ln>
            </c:spPr>
          </c:dPt>
          <c:dPt>
            <c:idx val="3"/>
            <c:spPr>
              <a:solidFill>
                <a:srgbClr val="CCFFFF"/>
              </a:solidFill>
              <a:ln w="21485">
                <a:noFill/>
              </a:ln>
            </c:spPr>
          </c:dPt>
          <c:dPt>
            <c:idx val="4"/>
            <c:spPr>
              <a:solidFill>
                <a:srgbClr val="660066"/>
              </a:solidFill>
              <a:ln w="21485">
                <a:noFill/>
              </a:ln>
            </c:spPr>
          </c:dPt>
          <c:dPt>
            <c:idx val="5"/>
            <c:spPr>
              <a:solidFill>
                <a:srgbClr val="FF8080"/>
              </a:solidFill>
              <a:ln w="21485">
                <a:noFill/>
              </a:ln>
            </c:spPr>
          </c:dPt>
          <c:dLbls>
            <c:dLbl>
              <c:idx val="0"/>
              <c:layout>
                <c:manualLayout>
                  <c:x val="-0.18288451348000329"/>
                  <c:y val="-0.24406168679887041"/>
                </c:manualLayout>
              </c:layout>
              <c:tx>
                <c:rich>
                  <a:bodyPr/>
                  <a:lstStyle/>
                  <a:p>
                    <a:pPr>
                      <a:defRPr sz="930" b="1" i="0" u="none" strike="noStrike" baseline="0">
                        <a:solidFill>
                          <a:srgbClr val="000000"/>
                        </a:solidFill>
                        <a:latin typeface="Arial"/>
                        <a:ea typeface="Arial"/>
                        <a:cs typeface="Arial"/>
                      </a:defRPr>
                    </a:pPr>
                    <a:r>
                      <a:rPr lang="ro-RO"/>
                      <a:t>Aerosoli
25.9%</a:t>
                    </a:r>
                  </a:p>
                </c:rich>
              </c:tx>
              <c:spPr>
                <a:noFill/>
                <a:ln w="21485">
                  <a:noFill/>
                </a:ln>
              </c:spPr>
              <c:dLblPos val="bestFit"/>
            </c:dLbl>
            <c:dLbl>
              <c:idx val="1"/>
              <c:layout>
                <c:manualLayout>
                  <c:x val="5.0668588727583071E-2"/>
                  <c:y val="-0.28723773606487607"/>
                </c:manualLayout>
              </c:layout>
              <c:tx>
                <c:rich>
                  <a:bodyPr/>
                  <a:lstStyle/>
                  <a:p>
                    <a:pPr>
                      <a:defRPr sz="930" b="1" i="0" u="none" strike="noStrike" baseline="0">
                        <a:solidFill>
                          <a:srgbClr val="000000"/>
                        </a:solidFill>
                        <a:latin typeface="Arial"/>
                        <a:ea typeface="Arial"/>
                        <a:cs typeface="Arial"/>
                      </a:defRPr>
                    </a:pPr>
                    <a:r>
                      <a:rPr lang="ro-RO"/>
                      <a:t>Sol
0.4%</a:t>
                    </a:r>
                  </a:p>
                </c:rich>
              </c:tx>
              <c:spPr>
                <a:noFill/>
                <a:ln w="21485">
                  <a:noFill/>
                </a:ln>
              </c:spPr>
              <c:dLblPos val="bestFit"/>
            </c:dLbl>
            <c:dLbl>
              <c:idx val="2"/>
              <c:layout>
                <c:manualLayout>
                  <c:x val="0.10087116363614999"/>
                  <c:y val="-9.0931004378565022E-2"/>
                </c:manualLayout>
              </c:layout>
              <c:tx>
                <c:rich>
                  <a:bodyPr/>
                  <a:lstStyle/>
                  <a:p>
                    <a:r>
                      <a:rPr lang="ro-RO"/>
                      <a:t>Depuneri atmosferice
8.6%</a:t>
                    </a:r>
                  </a:p>
                </c:rich>
              </c:tx>
              <c:dLblPos val="bestFit"/>
            </c:dLbl>
            <c:dLbl>
              <c:idx val="3"/>
              <c:layout>
                <c:manualLayout>
                  <c:x val="-0.1179955735440556"/>
                  <c:y val="0.10045434130603363"/>
                </c:manualLayout>
              </c:layout>
              <c:tx>
                <c:rich>
                  <a:bodyPr/>
                  <a:lstStyle/>
                  <a:p>
                    <a:pPr>
                      <a:defRPr sz="930" b="1" i="0" u="none" strike="noStrike" baseline="0">
                        <a:solidFill>
                          <a:srgbClr val="000000"/>
                        </a:solidFill>
                        <a:latin typeface="Arial"/>
                        <a:ea typeface="Arial"/>
                        <a:cs typeface="Arial"/>
                      </a:defRPr>
                    </a:pPr>
                    <a:r>
                      <a:rPr lang="ro-RO"/>
                      <a:t>Vegetaţie
0.4%</a:t>
                    </a:r>
                  </a:p>
                </c:rich>
              </c:tx>
              <c:spPr>
                <a:noFill/>
                <a:ln w="21485">
                  <a:noFill/>
                </a:ln>
              </c:spPr>
              <c:dLblPos val="bestFit"/>
            </c:dLbl>
            <c:dLbl>
              <c:idx val="4"/>
              <c:layout>
                <c:manualLayout>
                  <c:x val="-0.17980137904253296"/>
                  <c:y val="-4.2813047215498466E-2"/>
                </c:manualLayout>
              </c:layout>
              <c:tx>
                <c:rich>
                  <a:bodyPr/>
                  <a:lstStyle/>
                  <a:p>
                    <a:pPr>
                      <a:defRPr sz="930" b="1" i="0" u="none" strike="noStrike" baseline="0">
                        <a:solidFill>
                          <a:srgbClr val="000000"/>
                        </a:solidFill>
                        <a:latin typeface="Arial"/>
                        <a:ea typeface="Arial"/>
                        <a:cs typeface="Arial"/>
                      </a:defRPr>
                    </a:pPr>
                    <a:r>
                      <a:rPr lang="ro-RO"/>
                      <a:t>Ape
17.2%</a:t>
                    </a:r>
                  </a:p>
                </c:rich>
              </c:tx>
              <c:spPr>
                <a:noFill/>
                <a:ln w="21485">
                  <a:noFill/>
                </a:ln>
              </c:spPr>
              <c:dLblPos val="bestFit"/>
            </c:dLbl>
            <c:dLbl>
              <c:idx val="5"/>
              <c:tx>
                <c:rich>
                  <a:bodyPr/>
                  <a:lstStyle/>
                  <a:p>
                    <a:pPr>
                      <a:defRPr sz="930" b="1" i="0" u="none" strike="noStrike" baseline="0">
                        <a:solidFill>
                          <a:srgbClr val="000000"/>
                        </a:solidFill>
                        <a:latin typeface="Arial"/>
                        <a:ea typeface="Arial"/>
                        <a:cs typeface="Arial"/>
                      </a:defRPr>
                    </a:pPr>
                    <a:r>
                      <a:rPr lang="vi-VN"/>
                      <a:t>Debit doză gama
47.5%</a:t>
                    </a:r>
                  </a:p>
                </c:rich>
              </c:tx>
              <c:spPr>
                <a:noFill/>
                <a:ln w="21485">
                  <a:noFill/>
                </a:ln>
              </c:spPr>
              <c:dLblPos val="bestFit"/>
            </c:dLbl>
            <c:numFmt formatCode="0%" sourceLinked="0"/>
            <c:spPr>
              <a:noFill/>
              <a:ln w="21485">
                <a:noFill/>
              </a:ln>
            </c:spPr>
            <c:txPr>
              <a:bodyPr/>
              <a:lstStyle/>
              <a:p>
                <a:pPr>
                  <a:defRPr sz="930" b="1" i="0" u="none" strike="noStrike" baseline="0">
                    <a:solidFill>
                      <a:srgbClr val="000000"/>
                    </a:solidFill>
                    <a:latin typeface="Arial"/>
                    <a:ea typeface="Arial"/>
                    <a:cs typeface="Arial"/>
                  </a:defRPr>
                </a:pPr>
                <a:endParaRPr lang="ro-RO"/>
              </a:p>
            </c:txPr>
            <c:showCatName val="1"/>
            <c:showPercent val="1"/>
            <c:showLeaderLines val="1"/>
          </c:dLbls>
          <c:cat>
            <c:strRef>
              <c:f>Sheet1!$B$1:$G$1</c:f>
              <c:strCache>
                <c:ptCount val="6"/>
                <c:pt idx="0">
                  <c:v>Aerosoli</c:v>
                </c:pt>
                <c:pt idx="1">
                  <c:v>Sol</c:v>
                </c:pt>
                <c:pt idx="2">
                  <c:v>Depuneri atmosferice</c:v>
                </c:pt>
                <c:pt idx="3">
                  <c:v>Vegetatie</c:v>
                </c:pt>
                <c:pt idx="4">
                  <c:v>Ape</c:v>
                </c:pt>
                <c:pt idx="5">
                  <c:v>Debit doza gamma</c:v>
                </c:pt>
              </c:strCache>
            </c:strRef>
          </c:cat>
          <c:val>
            <c:numRef>
              <c:f>Sheet1!$B$2:$G$2</c:f>
              <c:numCache>
                <c:formatCode>General</c:formatCode>
                <c:ptCount val="6"/>
                <c:pt idx="0">
                  <c:v>2190</c:v>
                </c:pt>
                <c:pt idx="1">
                  <c:v>45</c:v>
                </c:pt>
                <c:pt idx="2">
                  <c:v>730</c:v>
                </c:pt>
                <c:pt idx="3">
                  <c:v>31</c:v>
                </c:pt>
                <c:pt idx="4">
                  <c:v>1095</c:v>
                </c:pt>
                <c:pt idx="5">
                  <c:v>3284</c:v>
                </c:pt>
              </c:numCache>
            </c:numRef>
          </c:val>
        </c:ser>
        <c:dLbls>
          <c:showCatName val="1"/>
          <c:showPercent val="1"/>
        </c:dLbls>
      </c:pie3DChart>
      <c:spPr>
        <a:noFill/>
        <a:ln w="21485">
          <a:noFill/>
        </a:ln>
      </c:spPr>
    </c:plotArea>
    <c:plotVisOnly val="1"/>
    <c:dispBlanksAs val="zero"/>
  </c:chart>
  <c:spPr>
    <a:noFill/>
    <a:ln>
      <a:noFill/>
    </a:ln>
  </c:spPr>
  <c:txPr>
    <a:bodyPr/>
    <a:lstStyle/>
    <a:p>
      <a:pPr>
        <a:defRPr sz="1015" b="1" i="0" u="none" strike="noStrike" baseline="0">
          <a:solidFill>
            <a:srgbClr val="000000"/>
          </a:solidFill>
          <a:latin typeface="Arial"/>
          <a:ea typeface="Arial"/>
          <a:cs typeface="Arial"/>
        </a:defRPr>
      </a:pPr>
      <a:endParaRPr lang="ro-RO"/>
    </a:p>
  </c:tx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15" b="1" i="0" u="none" strike="noStrike" baseline="0">
                <a:solidFill>
                  <a:srgbClr val="000000"/>
                </a:solidFill>
                <a:latin typeface="Arial"/>
                <a:ea typeface="Arial"/>
                <a:cs typeface="Arial"/>
              </a:defRPr>
            </a:pPr>
            <a:r>
              <a:rPr lang="vi-VN"/>
              <a:t>AEROSOLI ATMOSFERICI-Activitatea specifică beta globală medie[Bq/m3]</a:t>
            </a:r>
          </a:p>
        </c:rich>
      </c:tx>
      <c:layout>
        <c:manualLayout>
          <c:xMode val="edge"/>
          <c:yMode val="edge"/>
          <c:x val="0.15815485996705106"/>
          <c:y val="1.9292604501607725E-2"/>
        </c:manualLayout>
      </c:layout>
      <c:spPr>
        <a:noFill/>
        <a:ln w="21485">
          <a:noFill/>
        </a:ln>
      </c:spPr>
    </c:title>
    <c:plotArea>
      <c:layout>
        <c:manualLayout>
          <c:layoutTarget val="inner"/>
          <c:xMode val="edge"/>
          <c:yMode val="edge"/>
          <c:x val="0.12355848434925865"/>
          <c:y val="0.27331189710610931"/>
          <c:w val="0.86326194398682043"/>
          <c:h val="0.4437299035369775"/>
        </c:manualLayout>
      </c:layout>
      <c:barChart>
        <c:barDir val="col"/>
        <c:grouping val="clustered"/>
        <c:ser>
          <c:idx val="1"/>
          <c:order val="0"/>
          <c:tx>
            <c:strRef>
              <c:f>Sheet1!$A$2</c:f>
              <c:strCache>
                <c:ptCount val="1"/>
                <c:pt idx="0">
                  <c:v>Aer im</c:v>
                </c:pt>
              </c:strCache>
            </c:strRef>
          </c:tx>
          <c:spPr>
            <a:solidFill>
              <a:srgbClr val="FF0000"/>
            </a:solidFill>
            <a:ln w="10742">
              <a:solidFill>
                <a:srgbClr val="000000"/>
              </a:solidFill>
              <a:prstDash val="solid"/>
            </a:ln>
          </c:spPr>
          <c:dLbls>
            <c:dLbl>
              <c:idx val="0"/>
              <c:layout>
                <c:manualLayout>
                  <c:x val="-1.401180120411457E-4"/>
                  <c:y val="-3.9389154547826294E-2"/>
                </c:manualLayout>
              </c:layout>
              <c:dLblPos val="outEnd"/>
              <c:showVal val="1"/>
            </c:dLbl>
            <c:dLbl>
              <c:idx val="1"/>
              <c:layout>
                <c:manualLayout>
                  <c:x val="-1.3848036123956335E-3"/>
                  <c:y val="-3.7299238337462202E-2"/>
                </c:manualLayout>
              </c:layout>
              <c:dLblPos val="outEnd"/>
              <c:showVal val="1"/>
            </c:dLbl>
            <c:dLbl>
              <c:idx val="3"/>
              <c:layout>
                <c:manualLayout>
                  <c:x val="1.3609449738135999E-3"/>
                  <c:y val="-4.3408313330368327E-2"/>
                </c:manualLayout>
              </c:layout>
              <c:dLblPos val="outEnd"/>
              <c:showVal val="1"/>
            </c:dLbl>
            <c:dLbl>
              <c:idx val="4"/>
              <c:layout>
                <c:manualLayout>
                  <c:x val="2.6264957993300006E-4"/>
                  <c:y val="-4.5401932415388153E-2"/>
                </c:manualLayout>
              </c:layout>
              <c:dLblPos val="outEnd"/>
              <c:showVal val="1"/>
            </c:dLbl>
            <c:dLbl>
              <c:idx val="6"/>
              <c:layout>
                <c:manualLayout>
                  <c:x val="-1.4010454336421961E-4"/>
                  <c:y val="-4.9279843565546939E-2"/>
                </c:manualLayout>
              </c:layout>
              <c:dLblPos val="outEnd"/>
              <c:showVal val="1"/>
            </c:dLbl>
            <c:dLbl>
              <c:idx val="7"/>
              <c:layout>
                <c:manualLayout>
                  <c:x val="-1.2383999372449289E-3"/>
                  <c:y val="-4.594856751479566E-2"/>
                </c:manualLayout>
              </c:layout>
              <c:dLblPos val="outEnd"/>
              <c:showVal val="1"/>
            </c:dLbl>
            <c:dLbl>
              <c:idx val="9"/>
              <c:layout>
                <c:manualLayout>
                  <c:x val="-2.8648801549972997E-4"/>
                  <c:y val="-4.4823376703479287E-2"/>
                </c:manualLayout>
              </c:layout>
              <c:dLblPos val="outEnd"/>
              <c:showVal val="1"/>
            </c:dLbl>
            <c:dLbl>
              <c:idx val="10"/>
              <c:layout>
                <c:manualLayout>
                  <c:x val="-1.3847834093803301E-3"/>
                  <c:y val="-3.7620704449837651E-2"/>
                </c:manualLayout>
              </c:layout>
              <c:dLblPos val="outEnd"/>
              <c:showVal val="1"/>
            </c:dLbl>
            <c:spPr>
              <a:noFill/>
              <a:ln w="21485">
                <a:noFill/>
              </a:ln>
            </c:spPr>
            <c:txPr>
              <a:bodyPr/>
              <a:lstStyle/>
              <a:p>
                <a:pPr>
                  <a:defRPr sz="846" b="0" i="0" u="none" strike="noStrike" baseline="0">
                    <a:solidFill>
                      <a:srgbClr val="000000"/>
                    </a:solidFill>
                    <a:latin typeface="Arial"/>
                    <a:ea typeface="Arial"/>
                    <a:cs typeface="Arial"/>
                  </a:defRPr>
                </a:pPr>
                <a:endParaRPr lang="ro-RO"/>
              </a:p>
            </c:txPr>
            <c:showVal val="1"/>
          </c:dLbls>
          <c:cat>
            <c:strRef>
              <c:f>Sheet1!$B$1:$M$1</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Sheet1!$B$2:$M$2</c:f>
              <c:numCache>
                <c:formatCode>General</c:formatCode>
                <c:ptCount val="12"/>
                <c:pt idx="0">
                  <c:v>2.3499999999999988</c:v>
                </c:pt>
                <c:pt idx="1">
                  <c:v>1.6</c:v>
                </c:pt>
                <c:pt idx="2">
                  <c:v>1.1499999999999986</c:v>
                </c:pt>
                <c:pt idx="3">
                  <c:v>1.1000000000000001</c:v>
                </c:pt>
                <c:pt idx="4">
                  <c:v>1.2</c:v>
                </c:pt>
                <c:pt idx="5">
                  <c:v>0.85000000000000064</c:v>
                </c:pt>
                <c:pt idx="6">
                  <c:v>1.33</c:v>
                </c:pt>
                <c:pt idx="7">
                  <c:v>1.55</c:v>
                </c:pt>
                <c:pt idx="8">
                  <c:v>1.9500000000000013</c:v>
                </c:pt>
                <c:pt idx="9">
                  <c:v>2.2999999999999998</c:v>
                </c:pt>
                <c:pt idx="10">
                  <c:v>2.1</c:v>
                </c:pt>
                <c:pt idx="11">
                  <c:v>2.6</c:v>
                </c:pt>
              </c:numCache>
            </c:numRef>
          </c:val>
        </c:ser>
        <c:axId val="173180800"/>
        <c:axId val="173203840"/>
      </c:barChart>
      <c:lineChart>
        <c:grouping val="standard"/>
        <c:ser>
          <c:idx val="0"/>
          <c:order val="1"/>
          <c:tx>
            <c:strRef>
              <c:f>Sheet1!$A$3</c:f>
              <c:strCache>
                <c:ptCount val="1"/>
                <c:pt idx="0">
                  <c:v>Limita de atenţie</c:v>
                </c:pt>
              </c:strCache>
            </c:strRef>
          </c:tx>
          <c:spPr>
            <a:ln w="10742">
              <a:solidFill>
                <a:srgbClr val="000080"/>
              </a:solidFill>
              <a:prstDash val="solid"/>
            </a:ln>
          </c:spPr>
          <c:marker>
            <c:symbol val="diamond"/>
            <c:size val="4"/>
            <c:spPr>
              <a:solidFill>
                <a:srgbClr val="000080"/>
              </a:solidFill>
              <a:ln>
                <a:solidFill>
                  <a:srgbClr val="000080"/>
                </a:solidFill>
                <a:prstDash val="solid"/>
              </a:ln>
            </c:spPr>
          </c:marker>
          <c:cat>
            <c:strRef>
              <c:f>Sheet1!$B$1:$M$1</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Sheet1!$B$3:$M$3</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er>
        <c:marker val="1"/>
        <c:axId val="173205760"/>
        <c:axId val="173207552"/>
      </c:lineChart>
      <c:catAx>
        <c:axId val="173180800"/>
        <c:scaling>
          <c:orientation val="minMax"/>
        </c:scaling>
        <c:axPos val="b"/>
        <c:title>
          <c:tx>
            <c:rich>
              <a:bodyPr/>
              <a:lstStyle/>
              <a:p>
                <a:pPr>
                  <a:defRPr sz="846" b="1" i="0" u="none" strike="noStrike" baseline="0">
                    <a:solidFill>
                      <a:srgbClr val="000000"/>
                    </a:solidFill>
                    <a:latin typeface="Arial"/>
                    <a:ea typeface="Arial"/>
                    <a:cs typeface="Arial"/>
                  </a:defRPr>
                </a:pPr>
                <a:r>
                  <a:rPr lang="ro-RO"/>
                  <a:t>luna</a:t>
                </a:r>
              </a:p>
            </c:rich>
          </c:tx>
          <c:layout>
            <c:manualLayout>
              <c:xMode val="edge"/>
              <c:yMode val="edge"/>
              <c:x val="0.52718286655683688"/>
              <c:y val="0.80064308681672025"/>
            </c:manualLayout>
          </c:layout>
          <c:spPr>
            <a:noFill/>
            <a:ln w="21485">
              <a:noFill/>
            </a:ln>
          </c:spPr>
        </c:title>
        <c:numFmt formatCode="General" sourceLinked="1"/>
        <c:majorTickMark val="cross"/>
        <c:tickLblPos val="nextTo"/>
        <c:spPr>
          <a:ln w="2686">
            <a:solidFill>
              <a:srgbClr val="000000"/>
            </a:solidFill>
            <a:prstDash val="solid"/>
          </a:ln>
        </c:spPr>
        <c:txPr>
          <a:bodyPr rot="0" vert="horz"/>
          <a:lstStyle/>
          <a:p>
            <a:pPr>
              <a:defRPr sz="846" b="0" i="0" u="none" strike="noStrike" baseline="0">
                <a:solidFill>
                  <a:srgbClr val="000000"/>
                </a:solidFill>
                <a:latin typeface="Times New Roman"/>
                <a:ea typeface="Times New Roman"/>
                <a:cs typeface="Times New Roman"/>
              </a:defRPr>
            </a:pPr>
            <a:endParaRPr lang="ro-RO"/>
          </a:p>
        </c:txPr>
        <c:crossAx val="173203840"/>
        <c:crosses val="autoZero"/>
        <c:auto val="1"/>
        <c:lblAlgn val="ctr"/>
        <c:lblOffset val="0"/>
        <c:tickLblSkip val="1"/>
        <c:tickMarkSkip val="1"/>
      </c:catAx>
      <c:valAx>
        <c:axId val="173203840"/>
        <c:scaling>
          <c:orientation val="minMax"/>
          <c:max val="10"/>
        </c:scaling>
        <c:axPos val="l"/>
        <c:majorGridlines>
          <c:spPr>
            <a:ln w="2686">
              <a:solidFill>
                <a:srgbClr val="000000"/>
              </a:solidFill>
              <a:prstDash val="solid"/>
            </a:ln>
          </c:spPr>
        </c:majorGridlines>
        <c:title>
          <c:tx>
            <c:rich>
              <a:bodyPr/>
              <a:lstStyle/>
              <a:p>
                <a:pPr>
                  <a:defRPr sz="846" b="1" i="0" u="none" strike="noStrike" baseline="0">
                    <a:solidFill>
                      <a:srgbClr val="000000"/>
                    </a:solidFill>
                    <a:latin typeface="Arial"/>
                    <a:ea typeface="Arial"/>
                    <a:cs typeface="Arial"/>
                  </a:defRPr>
                </a:pPr>
                <a:r>
                  <a:rPr lang="vi-VN"/>
                  <a:t>Activitatea specifică [Bq/m3]</a:t>
                </a:r>
              </a:p>
            </c:rich>
          </c:tx>
          <c:layout>
            <c:manualLayout>
              <c:xMode val="edge"/>
              <c:yMode val="edge"/>
              <c:x val="1.6474464579901153E-2"/>
              <c:y val="0.28295819935691358"/>
            </c:manualLayout>
          </c:layout>
          <c:spPr>
            <a:noFill/>
            <a:ln w="21485">
              <a:noFill/>
            </a:ln>
          </c:spPr>
        </c:title>
        <c:numFmt formatCode="General" sourceLinked="1"/>
        <c:majorTickMark val="cross"/>
        <c:tickLblPos val="nextTo"/>
        <c:spPr>
          <a:ln w="2686">
            <a:solidFill>
              <a:srgbClr val="000000"/>
            </a:solidFill>
            <a:prstDash val="solid"/>
          </a:ln>
        </c:spPr>
        <c:txPr>
          <a:bodyPr rot="0" vert="horz"/>
          <a:lstStyle/>
          <a:p>
            <a:pPr>
              <a:defRPr sz="846" b="0" i="0" u="none" strike="noStrike" baseline="0">
                <a:solidFill>
                  <a:srgbClr val="000000"/>
                </a:solidFill>
                <a:latin typeface="Times New Roman"/>
                <a:ea typeface="Times New Roman"/>
                <a:cs typeface="Times New Roman"/>
              </a:defRPr>
            </a:pPr>
            <a:endParaRPr lang="ro-RO"/>
          </a:p>
        </c:txPr>
        <c:crossAx val="173180800"/>
        <c:crosses val="autoZero"/>
        <c:crossBetween val="between"/>
        <c:majorUnit val="1"/>
        <c:minorUnit val="1"/>
      </c:valAx>
      <c:catAx>
        <c:axId val="173205760"/>
        <c:scaling>
          <c:orientation val="minMax"/>
        </c:scaling>
        <c:delete val="1"/>
        <c:axPos val="b"/>
        <c:tickLblPos val="none"/>
        <c:crossAx val="173207552"/>
        <c:crosses val="autoZero"/>
        <c:lblAlgn val="ctr"/>
        <c:lblOffset val="100"/>
      </c:catAx>
      <c:valAx>
        <c:axId val="173207552"/>
        <c:scaling>
          <c:orientation val="minMax"/>
        </c:scaling>
        <c:delete val="1"/>
        <c:axPos val="r"/>
        <c:numFmt formatCode="General" sourceLinked="1"/>
        <c:tickLblPos val="none"/>
        <c:crossAx val="173205760"/>
        <c:crosses val="max"/>
        <c:crossBetween val="between"/>
      </c:valAx>
      <c:spPr>
        <a:blipFill dpi="0" rotWithShape="0">
          <a:blip xmlns:r="http://schemas.openxmlformats.org/officeDocument/2006/relationships" r:embed="rId1"/>
          <a:srcRect/>
          <a:tile tx="0" ty="0" sx="100000" sy="100000" flip="none" algn="tl"/>
        </a:blipFill>
        <a:ln w="10742">
          <a:solidFill>
            <a:srgbClr val="808080"/>
          </a:solidFill>
          <a:prstDash val="solid"/>
        </a:ln>
      </c:spPr>
    </c:plotArea>
    <c:legend>
      <c:legendPos val="b"/>
      <c:layout>
        <c:manualLayout>
          <c:xMode val="edge"/>
          <c:yMode val="edge"/>
          <c:x val="0.38056013179571707"/>
          <c:y val="0.91318327974276425"/>
          <c:w val="0.3459637561779243"/>
          <c:h val="7.7170418006430874E-2"/>
        </c:manualLayout>
      </c:layout>
      <c:spPr>
        <a:solidFill>
          <a:srgbClr val="FFFFFF"/>
        </a:solidFill>
        <a:ln w="2686">
          <a:solidFill>
            <a:srgbClr val="000000"/>
          </a:solidFill>
          <a:prstDash val="solid"/>
        </a:ln>
      </c:spPr>
      <c:txPr>
        <a:bodyPr/>
        <a:lstStyle/>
        <a:p>
          <a:pPr>
            <a:defRPr sz="778" b="0" i="0" u="none" strike="noStrike" baseline="0">
              <a:solidFill>
                <a:srgbClr val="000000"/>
              </a:solidFill>
              <a:latin typeface="Arial"/>
              <a:ea typeface="Arial"/>
              <a:cs typeface="Arial"/>
            </a:defRPr>
          </a:pPr>
          <a:endParaRPr lang="ro-RO"/>
        </a:p>
      </c:txPr>
    </c:legend>
    <c:plotVisOnly val="1"/>
    <c:dispBlanksAs val="gap"/>
  </c:chart>
  <c:spPr>
    <a:noFill/>
    <a:ln w="2686">
      <a:solidFill>
        <a:srgbClr val="000000"/>
      </a:solidFill>
      <a:prstDash val="solid"/>
    </a:ln>
  </c:spPr>
  <c:txPr>
    <a:bodyPr/>
    <a:lstStyle/>
    <a:p>
      <a:pPr>
        <a:defRPr sz="846" b="0" i="0" u="none" strike="noStrike" baseline="0">
          <a:solidFill>
            <a:srgbClr val="000000"/>
          </a:solidFill>
          <a:latin typeface="Arial"/>
          <a:ea typeface="Arial"/>
          <a:cs typeface="Arial"/>
        </a:defRPr>
      </a:pPr>
      <a:endParaRPr lang="ro-RO"/>
    </a:p>
  </c:txPr>
  <c:externalData r:id="rId2"/>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16" b="1" i="0" u="none" strike="noStrike" baseline="0">
                <a:solidFill>
                  <a:srgbClr val="000000"/>
                </a:solidFill>
                <a:latin typeface="Arial"/>
                <a:ea typeface="Arial"/>
                <a:cs typeface="Arial"/>
              </a:defRPr>
            </a:pPr>
            <a:r>
              <a:rPr lang="vi-VN"/>
              <a:t>AEROSOLI  ATMOSFERICI - Activitatea specifică beta globală (Bq/mc)</a:t>
            </a:r>
          </a:p>
        </c:rich>
      </c:tx>
      <c:layout>
        <c:manualLayout>
          <c:xMode val="edge"/>
          <c:yMode val="edge"/>
          <c:x val="0.10869565217391325"/>
          <c:y val="2.1341463414634183E-2"/>
        </c:manualLayout>
      </c:layout>
      <c:spPr>
        <a:noFill/>
        <a:ln w="21504">
          <a:noFill/>
        </a:ln>
      </c:spPr>
    </c:title>
    <c:plotArea>
      <c:layout>
        <c:manualLayout>
          <c:layoutTarget val="inner"/>
          <c:xMode val="edge"/>
          <c:yMode val="edge"/>
          <c:x val="0.1020066889632109"/>
          <c:y val="0.25914634146341464"/>
          <c:w val="0.58862876254180663"/>
          <c:h val="0.54573170731707388"/>
        </c:manualLayout>
      </c:layout>
      <c:barChart>
        <c:barDir val="col"/>
        <c:grouping val="clustered"/>
        <c:ser>
          <c:idx val="1"/>
          <c:order val="0"/>
          <c:tx>
            <c:strRef>
              <c:f>Sheet1!$A$2</c:f>
              <c:strCache>
                <c:ptCount val="1"/>
                <c:pt idx="0">
                  <c:v>activitatea beta globala</c:v>
                </c:pt>
              </c:strCache>
            </c:strRef>
          </c:tx>
          <c:spPr>
            <a:solidFill>
              <a:srgbClr val="FF0000"/>
            </a:solidFill>
            <a:ln w="10752">
              <a:solidFill>
                <a:srgbClr val="000000"/>
              </a:solidFill>
              <a:prstDash val="solid"/>
            </a:ln>
          </c:spPr>
          <c:dLbls>
            <c:spPr>
              <a:noFill/>
              <a:ln w="21504">
                <a:noFill/>
              </a:ln>
            </c:spPr>
            <c:txPr>
              <a:bodyPr/>
              <a:lstStyle/>
              <a:p>
                <a:pPr>
                  <a:defRPr sz="847" b="0" i="0" u="none" strike="noStrike" baseline="0">
                    <a:solidFill>
                      <a:srgbClr val="000000"/>
                    </a:solidFill>
                    <a:latin typeface="Arial"/>
                    <a:ea typeface="Arial"/>
                    <a:cs typeface="Arial"/>
                  </a:defRPr>
                </a:pPr>
                <a:endParaRPr lang="ro-RO"/>
              </a:p>
            </c:txPr>
            <c:showVal val="1"/>
          </c:dLbls>
          <c:cat>
            <c:numRef>
              <c:f>Sheet1!$B$1:$I$1</c:f>
              <c:numCache>
                <c:formatCode>General</c:formatCode>
                <c:ptCount val="8"/>
                <c:pt idx="0">
                  <c:v>2007</c:v>
                </c:pt>
                <c:pt idx="1">
                  <c:v>2008</c:v>
                </c:pt>
                <c:pt idx="2">
                  <c:v>2009</c:v>
                </c:pt>
                <c:pt idx="3">
                  <c:v>2010</c:v>
                </c:pt>
                <c:pt idx="4">
                  <c:v>2011</c:v>
                </c:pt>
                <c:pt idx="5">
                  <c:v>2012</c:v>
                </c:pt>
                <c:pt idx="6">
                  <c:v>2013</c:v>
                </c:pt>
                <c:pt idx="7">
                  <c:v>2014</c:v>
                </c:pt>
              </c:numCache>
            </c:numRef>
          </c:cat>
          <c:val>
            <c:numRef>
              <c:f>Sheet1!$B$2:$I$2</c:f>
              <c:numCache>
                <c:formatCode>General</c:formatCode>
                <c:ptCount val="8"/>
                <c:pt idx="0">
                  <c:v>1.8900000000000001</c:v>
                </c:pt>
                <c:pt idx="1">
                  <c:v>1.45</c:v>
                </c:pt>
                <c:pt idx="2">
                  <c:v>2.29</c:v>
                </c:pt>
                <c:pt idx="3">
                  <c:v>2.2400000000000002</c:v>
                </c:pt>
                <c:pt idx="4">
                  <c:v>2.3699999999999997</c:v>
                </c:pt>
                <c:pt idx="5">
                  <c:v>2.38</c:v>
                </c:pt>
                <c:pt idx="6">
                  <c:v>1.6</c:v>
                </c:pt>
                <c:pt idx="7">
                  <c:v>1.6700000000000013</c:v>
                </c:pt>
              </c:numCache>
            </c:numRef>
          </c:val>
        </c:ser>
        <c:axId val="172148224"/>
        <c:axId val="173080576"/>
      </c:barChart>
      <c:lineChart>
        <c:grouping val="standard"/>
        <c:ser>
          <c:idx val="0"/>
          <c:order val="1"/>
          <c:tx>
            <c:strRef>
              <c:f>Sheet1!$A$3</c:f>
              <c:strCache>
                <c:ptCount val="1"/>
                <c:pt idx="0">
                  <c:v>limită de atenţie</c:v>
                </c:pt>
              </c:strCache>
            </c:strRef>
          </c:tx>
          <c:spPr>
            <a:ln w="10752">
              <a:solidFill>
                <a:srgbClr val="000080"/>
              </a:solidFill>
              <a:prstDash val="solid"/>
            </a:ln>
          </c:spPr>
          <c:marker>
            <c:symbol val="diamond"/>
            <c:size val="4"/>
            <c:spPr>
              <a:solidFill>
                <a:srgbClr val="000080"/>
              </a:solidFill>
              <a:ln>
                <a:solidFill>
                  <a:srgbClr val="000080"/>
                </a:solidFill>
                <a:prstDash val="solid"/>
              </a:ln>
            </c:spPr>
          </c:marker>
          <c:cat>
            <c:numRef>
              <c:f>Sheet1!$B$1:$I$1</c:f>
              <c:numCache>
                <c:formatCode>General</c:formatCode>
                <c:ptCount val="8"/>
                <c:pt idx="0">
                  <c:v>2007</c:v>
                </c:pt>
                <c:pt idx="1">
                  <c:v>2008</c:v>
                </c:pt>
                <c:pt idx="2">
                  <c:v>2009</c:v>
                </c:pt>
                <c:pt idx="3">
                  <c:v>2010</c:v>
                </c:pt>
                <c:pt idx="4">
                  <c:v>2011</c:v>
                </c:pt>
                <c:pt idx="5">
                  <c:v>2012</c:v>
                </c:pt>
                <c:pt idx="6">
                  <c:v>2013</c:v>
                </c:pt>
                <c:pt idx="7">
                  <c:v>2014</c:v>
                </c:pt>
              </c:numCache>
            </c:numRef>
          </c:cat>
          <c:val>
            <c:numRef>
              <c:f>Sheet1!$B$3:$I$3</c:f>
              <c:numCache>
                <c:formatCode>General</c:formatCode>
                <c:ptCount val="8"/>
                <c:pt idx="0">
                  <c:v>10</c:v>
                </c:pt>
                <c:pt idx="1">
                  <c:v>10</c:v>
                </c:pt>
                <c:pt idx="2">
                  <c:v>10</c:v>
                </c:pt>
                <c:pt idx="3">
                  <c:v>10</c:v>
                </c:pt>
                <c:pt idx="4">
                  <c:v>10</c:v>
                </c:pt>
                <c:pt idx="5">
                  <c:v>10</c:v>
                </c:pt>
                <c:pt idx="6">
                  <c:v>10</c:v>
                </c:pt>
                <c:pt idx="7">
                  <c:v>10</c:v>
                </c:pt>
              </c:numCache>
            </c:numRef>
          </c:val>
        </c:ser>
        <c:marker val="1"/>
        <c:axId val="173082496"/>
        <c:axId val="173084032"/>
      </c:lineChart>
      <c:catAx>
        <c:axId val="172148224"/>
        <c:scaling>
          <c:orientation val="minMax"/>
        </c:scaling>
        <c:axPos val="b"/>
        <c:title>
          <c:tx>
            <c:rich>
              <a:bodyPr/>
              <a:lstStyle/>
              <a:p>
                <a:pPr>
                  <a:defRPr sz="847" b="1" i="0" u="none" strike="noStrike" baseline="0">
                    <a:solidFill>
                      <a:srgbClr val="000000"/>
                    </a:solidFill>
                    <a:latin typeface="Arial"/>
                    <a:ea typeface="Arial"/>
                    <a:cs typeface="Arial"/>
                  </a:defRPr>
                </a:pPr>
                <a:r>
                  <a:rPr lang="ro-RO"/>
                  <a:t>anul</a:t>
                </a:r>
              </a:p>
            </c:rich>
          </c:tx>
          <c:layout>
            <c:manualLayout>
              <c:xMode val="edge"/>
              <c:yMode val="edge"/>
              <c:x val="0.36789297658862913"/>
              <c:y val="0.89634146341463461"/>
            </c:manualLayout>
          </c:layout>
          <c:spPr>
            <a:noFill/>
            <a:ln w="21504">
              <a:noFill/>
            </a:ln>
          </c:spPr>
        </c:title>
        <c:numFmt formatCode="General" sourceLinked="1"/>
        <c:majorTickMark val="cross"/>
        <c:tickLblPos val="nextTo"/>
        <c:spPr>
          <a:ln w="2688">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ro-RO"/>
          </a:p>
        </c:txPr>
        <c:crossAx val="173080576"/>
        <c:crosses val="autoZero"/>
        <c:lblAlgn val="ctr"/>
        <c:lblOffset val="100"/>
        <c:tickLblSkip val="1"/>
        <c:tickMarkSkip val="1"/>
      </c:catAx>
      <c:valAx>
        <c:axId val="173080576"/>
        <c:scaling>
          <c:orientation val="minMax"/>
          <c:max val="10"/>
        </c:scaling>
        <c:axPos val="l"/>
        <c:majorGridlines>
          <c:spPr>
            <a:ln w="2688">
              <a:solidFill>
                <a:srgbClr val="000000"/>
              </a:solidFill>
              <a:prstDash val="solid"/>
            </a:ln>
          </c:spPr>
        </c:majorGridlines>
        <c:title>
          <c:tx>
            <c:rich>
              <a:bodyPr/>
              <a:lstStyle/>
              <a:p>
                <a:pPr>
                  <a:defRPr sz="847" b="1" i="0" u="none" strike="noStrike" baseline="0">
                    <a:solidFill>
                      <a:srgbClr val="000000"/>
                    </a:solidFill>
                    <a:latin typeface="Arial"/>
                    <a:ea typeface="Arial"/>
                    <a:cs typeface="Arial"/>
                  </a:defRPr>
                </a:pPr>
                <a:r>
                  <a:rPr lang="ro-RO"/>
                  <a:t>Activitatea specifica (Bq/mc)</a:t>
                </a:r>
              </a:p>
            </c:rich>
          </c:tx>
          <c:layout>
            <c:manualLayout>
              <c:xMode val="edge"/>
              <c:yMode val="edge"/>
              <c:x val="1.839464882943144E-2"/>
              <c:y val="0.25"/>
            </c:manualLayout>
          </c:layout>
          <c:spPr>
            <a:noFill/>
            <a:ln w="21504">
              <a:noFill/>
            </a:ln>
          </c:spPr>
        </c:title>
        <c:numFmt formatCode="General" sourceLinked="1"/>
        <c:majorTickMark val="cross"/>
        <c:tickLblPos val="nextTo"/>
        <c:spPr>
          <a:ln w="2688">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ro-RO"/>
          </a:p>
        </c:txPr>
        <c:crossAx val="172148224"/>
        <c:crosses val="autoZero"/>
        <c:crossBetween val="between"/>
        <c:majorUnit val="2"/>
      </c:valAx>
      <c:catAx>
        <c:axId val="173082496"/>
        <c:scaling>
          <c:orientation val="minMax"/>
        </c:scaling>
        <c:delete val="1"/>
        <c:axPos val="b"/>
        <c:numFmt formatCode="General" sourceLinked="1"/>
        <c:tickLblPos val="none"/>
        <c:crossAx val="173084032"/>
        <c:crosses val="autoZero"/>
        <c:lblAlgn val="ctr"/>
        <c:lblOffset val="100"/>
      </c:catAx>
      <c:valAx>
        <c:axId val="173084032"/>
        <c:scaling>
          <c:orientation val="minMax"/>
        </c:scaling>
        <c:delete val="1"/>
        <c:axPos val="l"/>
        <c:numFmt formatCode="General" sourceLinked="1"/>
        <c:tickLblPos val="none"/>
        <c:crossAx val="173082496"/>
        <c:crosses val="autoZero"/>
        <c:crossBetween val="between"/>
      </c:valAx>
      <c:spPr>
        <a:blipFill dpi="0" rotWithShape="0">
          <a:blip xmlns:r="http://schemas.openxmlformats.org/officeDocument/2006/relationships" r:embed="rId1"/>
          <a:srcRect/>
          <a:tile tx="0" ty="0" sx="100000" sy="100000" flip="none" algn="tl"/>
        </a:blipFill>
        <a:ln w="10752">
          <a:solidFill>
            <a:srgbClr val="808080"/>
          </a:solidFill>
          <a:prstDash val="solid"/>
        </a:ln>
      </c:spPr>
    </c:plotArea>
    <c:legend>
      <c:legendPos val="r"/>
      <c:layout>
        <c:manualLayout>
          <c:xMode val="edge"/>
          <c:yMode val="edge"/>
          <c:x val="0.70735785953177321"/>
          <c:y val="0.46341463414634182"/>
          <c:w val="0.28595317725752545"/>
          <c:h val="0.13109756097560968"/>
        </c:manualLayout>
      </c:layout>
      <c:spPr>
        <a:solidFill>
          <a:srgbClr val="FFFFFF"/>
        </a:solidFill>
        <a:ln w="2688">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ro-RO"/>
        </a:p>
      </c:txPr>
    </c:legend>
    <c:plotVisOnly val="1"/>
    <c:dispBlanksAs val="gap"/>
  </c:chart>
  <c:spPr>
    <a:noFill/>
    <a:ln w="2688">
      <a:solidFill>
        <a:srgbClr val="000000"/>
      </a:solidFill>
      <a:prstDash val="solid"/>
    </a:ln>
  </c:spPr>
  <c:txPr>
    <a:bodyPr/>
    <a:lstStyle/>
    <a:p>
      <a:pPr>
        <a:defRPr sz="847" b="0" i="0" u="none" strike="noStrike" baseline="0">
          <a:solidFill>
            <a:srgbClr val="000000"/>
          </a:solidFill>
          <a:latin typeface="Arial"/>
          <a:ea typeface="Arial"/>
          <a:cs typeface="Arial"/>
        </a:defRPr>
      </a:pPr>
      <a:endParaRPr lang="ro-RO"/>
    </a:p>
  </c:txPr>
  <c:externalData r:id="rId2"/>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677" b="1" i="0" u="none" strike="noStrike" baseline="0">
                <a:solidFill>
                  <a:srgbClr val="000000"/>
                </a:solidFill>
                <a:latin typeface="Arial"/>
                <a:ea typeface="Arial"/>
                <a:cs typeface="Arial"/>
              </a:defRPr>
            </a:pPr>
            <a:r>
              <a:rPr lang="vi-VN"/>
              <a:t>Valorile medii ale debitului de doză gama externă în anul 2014
</a:t>
            </a:r>
          </a:p>
        </c:rich>
      </c:tx>
      <c:layout>
        <c:manualLayout>
          <c:xMode val="edge"/>
          <c:yMode val="edge"/>
          <c:x val="0.18750000000000017"/>
          <c:y val="1.9531250000000003E-2"/>
        </c:manualLayout>
      </c:layout>
      <c:spPr>
        <a:noFill/>
        <a:ln w="21494">
          <a:noFill/>
        </a:ln>
      </c:spPr>
    </c:title>
    <c:view3D>
      <c:rotX val="10"/>
      <c:hPercent val="32"/>
      <c:rotY val="5"/>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3235294117647081"/>
          <c:y val="0.2421875"/>
          <c:w val="0.84926470588235192"/>
          <c:h val="0.46484375"/>
        </c:manualLayout>
      </c:layout>
      <c:bar3DChart>
        <c:barDir val="col"/>
        <c:grouping val="clustered"/>
        <c:ser>
          <c:idx val="0"/>
          <c:order val="0"/>
          <c:tx>
            <c:strRef>
              <c:f>Sheet1!$A$2</c:f>
              <c:strCache>
                <c:ptCount val="1"/>
                <c:pt idx="0">
                  <c:v>Doză gamma- Val medii lunare</c:v>
                </c:pt>
              </c:strCache>
            </c:strRef>
          </c:tx>
          <c:spPr>
            <a:solidFill>
              <a:srgbClr val="FF6600"/>
            </a:solidFill>
            <a:ln w="10747">
              <a:solidFill>
                <a:srgbClr val="000000"/>
              </a:solidFill>
              <a:prstDash val="solid"/>
            </a:ln>
          </c:spPr>
          <c:dLbls>
            <c:dLbl>
              <c:idx val="0"/>
              <c:layout>
                <c:manualLayout>
                  <c:x val="7.9116072975032176E-2"/>
                  <c:y val="-7.6107012116906403E-2"/>
                </c:manualLayout>
              </c:layout>
              <c:showVal val="1"/>
            </c:dLbl>
            <c:dLbl>
              <c:idx val="1"/>
              <c:layout>
                <c:manualLayout>
                  <c:x val="8.1308228274520916E-2"/>
                  <c:y val="-8.2712869156158164E-2"/>
                </c:manualLayout>
              </c:layout>
              <c:showVal val="1"/>
            </c:dLbl>
            <c:dLbl>
              <c:idx val="2"/>
              <c:layout>
                <c:manualLayout>
                  <c:x val="7.4309207103421704E-2"/>
                  <c:y val="-4.4857012116906465E-2"/>
                </c:manualLayout>
              </c:layout>
              <c:showVal val="1"/>
            </c:dLbl>
            <c:dLbl>
              <c:idx val="3"/>
              <c:layout>
                <c:manualLayout>
                  <c:x val="6.7310375530582514E-2"/>
                  <c:y val="-7.8261244277031128E-2"/>
                </c:manualLayout>
              </c:layout>
              <c:showVal val="1"/>
            </c:dLbl>
            <c:dLbl>
              <c:idx val="4"/>
              <c:layout>
                <c:manualLayout>
                  <c:x val="7.5017236712424273E-2"/>
                  <c:y val="-8.2167494277031128E-2"/>
                </c:manualLayout>
              </c:layout>
              <c:showVal val="1"/>
            </c:dLbl>
            <c:dLbl>
              <c:idx val="5"/>
              <c:layout>
                <c:manualLayout>
                  <c:x val="8.0885862600148545E-2"/>
                  <c:y val="-8.5671529956781706E-2"/>
                </c:manualLayout>
              </c:layout>
              <c:showVal val="1"/>
            </c:dLbl>
            <c:dLbl>
              <c:idx val="6"/>
              <c:layout>
                <c:manualLayout>
                  <c:x val="7.5725266321426773E-2"/>
                  <c:y val="-7.2200762116906472E-2"/>
                </c:manualLayout>
              </c:layout>
              <c:showVal val="1"/>
            </c:dLbl>
            <c:dLbl>
              <c:idx val="7"/>
              <c:layout>
                <c:manualLayout>
                  <c:x val="7.975565691503364E-2"/>
                  <c:y val="-8.3919512116906486E-2"/>
                </c:manualLayout>
              </c:layout>
              <c:showVal val="1"/>
            </c:dLbl>
            <c:dLbl>
              <c:idx val="8"/>
              <c:layout>
                <c:manualLayout>
                  <c:x val="8.0109576920404754E-2"/>
                  <c:y val="-8.6073744277031183E-2"/>
                </c:manualLayout>
              </c:layout>
              <c:showVal val="1"/>
            </c:dLbl>
            <c:dLbl>
              <c:idx val="9"/>
              <c:layout>
                <c:manualLayout>
                  <c:x val="7.4948980641683122E-2"/>
                  <c:y val="-7.0448744277031183E-2"/>
                </c:manualLayout>
              </c:layout>
              <c:showVal val="1"/>
            </c:dLbl>
            <c:dLbl>
              <c:idx val="10"/>
              <c:layout>
                <c:manualLayout>
                  <c:x val="7.3464665352936803E-2"/>
                  <c:y val="-7.0850958597280578E-2"/>
                </c:manualLayout>
              </c:layout>
              <c:showVal val="1"/>
            </c:dLbl>
            <c:dLbl>
              <c:idx val="11"/>
              <c:layout>
                <c:manualLayout>
                  <c:x val="7.5656820652425572E-2"/>
                  <c:y val="-4.7011244277031176E-2"/>
                </c:manualLayout>
              </c:layout>
              <c:showVal val="1"/>
            </c:dLbl>
            <c:spPr>
              <a:noFill/>
              <a:ln w="21494">
                <a:noFill/>
              </a:ln>
            </c:spPr>
            <c:txPr>
              <a:bodyPr/>
              <a:lstStyle/>
              <a:p>
                <a:pPr algn="dist">
                  <a:defRPr sz="677" b="1" i="0" u="none" strike="noStrike" baseline="0">
                    <a:solidFill>
                      <a:srgbClr val="000000"/>
                    </a:solidFill>
                    <a:latin typeface="Times New Roman"/>
                    <a:ea typeface="Times New Roman"/>
                    <a:cs typeface="Times New Roman"/>
                  </a:defRPr>
                </a:pPr>
                <a:endParaRPr lang="ro-RO"/>
              </a:p>
            </c:txPr>
            <c:showVal val="1"/>
          </c:dLbls>
          <c:cat>
            <c:strRef>
              <c:f>Sheet1!$B$1:$M$1</c:f>
              <c:strCache>
                <c:ptCount val="12"/>
                <c:pt idx="0">
                  <c:v>Ian </c:v>
                </c:pt>
                <c:pt idx="1">
                  <c:v>Feb</c:v>
                </c:pt>
                <c:pt idx="2">
                  <c:v>Mart</c:v>
                </c:pt>
                <c:pt idx="3">
                  <c:v>Apr</c:v>
                </c:pt>
                <c:pt idx="4">
                  <c:v>Mai </c:v>
                </c:pt>
                <c:pt idx="5">
                  <c:v>Iun</c:v>
                </c:pt>
                <c:pt idx="6">
                  <c:v>Iul</c:v>
                </c:pt>
                <c:pt idx="7">
                  <c:v>Aug</c:v>
                </c:pt>
                <c:pt idx="8">
                  <c:v>Sept</c:v>
                </c:pt>
                <c:pt idx="9">
                  <c:v>Oct</c:v>
                </c:pt>
                <c:pt idx="10">
                  <c:v>Nov</c:v>
                </c:pt>
                <c:pt idx="11">
                  <c:v>Dec</c:v>
                </c:pt>
              </c:strCache>
            </c:strRef>
          </c:cat>
          <c:val>
            <c:numRef>
              <c:f>Sheet1!$B$2:$M$2</c:f>
              <c:numCache>
                <c:formatCode>General</c:formatCode>
                <c:ptCount val="12"/>
                <c:pt idx="0">
                  <c:v>0.111</c:v>
                </c:pt>
                <c:pt idx="1">
                  <c:v>0.10500000000000002</c:v>
                </c:pt>
                <c:pt idx="2">
                  <c:v>0.111</c:v>
                </c:pt>
                <c:pt idx="3">
                  <c:v>0.112</c:v>
                </c:pt>
                <c:pt idx="4">
                  <c:v>0.112</c:v>
                </c:pt>
                <c:pt idx="5">
                  <c:v>0.11</c:v>
                </c:pt>
                <c:pt idx="6">
                  <c:v>0.111</c:v>
                </c:pt>
                <c:pt idx="7">
                  <c:v>0.111</c:v>
                </c:pt>
                <c:pt idx="8">
                  <c:v>0.112</c:v>
                </c:pt>
                <c:pt idx="9">
                  <c:v>0.112</c:v>
                </c:pt>
                <c:pt idx="10">
                  <c:v>0.114</c:v>
                </c:pt>
                <c:pt idx="11">
                  <c:v>0.112</c:v>
                </c:pt>
              </c:numCache>
            </c:numRef>
          </c:val>
        </c:ser>
        <c:gapDepth val="0"/>
        <c:shape val="box"/>
        <c:axId val="173350912"/>
        <c:axId val="173352832"/>
        <c:axId val="0"/>
      </c:bar3DChart>
      <c:catAx>
        <c:axId val="173350912"/>
        <c:scaling>
          <c:orientation val="minMax"/>
        </c:scaling>
        <c:axPos val="b"/>
        <c:title>
          <c:tx>
            <c:rich>
              <a:bodyPr/>
              <a:lstStyle/>
              <a:p>
                <a:pPr>
                  <a:defRPr sz="677" b="1" i="0" u="none" strike="noStrike" baseline="0">
                    <a:solidFill>
                      <a:srgbClr val="000000"/>
                    </a:solidFill>
                    <a:latin typeface="Times New Roman"/>
                    <a:ea typeface="Times New Roman"/>
                    <a:cs typeface="Times New Roman"/>
                  </a:defRPr>
                </a:pPr>
                <a:r>
                  <a:rPr lang="ro-RO"/>
                  <a:t>Limita de atenţionare=0,250microSv/h</a:t>
                </a:r>
              </a:p>
            </c:rich>
          </c:tx>
          <c:layout>
            <c:manualLayout>
              <c:xMode val="edge"/>
              <c:yMode val="edge"/>
              <c:x val="0.37132352941176505"/>
              <c:y val="0.78515625"/>
            </c:manualLayout>
          </c:layout>
          <c:spPr>
            <a:noFill/>
            <a:ln w="21494">
              <a:noFill/>
            </a:ln>
          </c:spPr>
        </c:title>
        <c:numFmt formatCode="General" sourceLinked="1"/>
        <c:tickLblPos val="nextTo"/>
        <c:spPr>
          <a:ln w="2687">
            <a:solidFill>
              <a:srgbClr val="000000"/>
            </a:solidFill>
            <a:prstDash val="solid"/>
          </a:ln>
        </c:spPr>
        <c:txPr>
          <a:bodyPr rot="0" vert="horz"/>
          <a:lstStyle/>
          <a:p>
            <a:pPr>
              <a:defRPr sz="677" b="1" i="0" u="none" strike="noStrike" baseline="0">
                <a:solidFill>
                  <a:srgbClr val="000000"/>
                </a:solidFill>
                <a:latin typeface="Times New Roman"/>
                <a:ea typeface="Times New Roman"/>
                <a:cs typeface="Times New Roman"/>
              </a:defRPr>
            </a:pPr>
            <a:endParaRPr lang="ro-RO"/>
          </a:p>
        </c:txPr>
        <c:crossAx val="173352832"/>
        <c:crosses val="autoZero"/>
        <c:lblAlgn val="ctr"/>
        <c:lblOffset val="100"/>
        <c:tickLblSkip val="1"/>
        <c:tickMarkSkip val="1"/>
      </c:catAx>
      <c:valAx>
        <c:axId val="173352832"/>
        <c:scaling>
          <c:orientation val="minMax"/>
          <c:max val="0.25"/>
          <c:min val="0"/>
        </c:scaling>
        <c:axPos val="l"/>
        <c:majorGridlines>
          <c:spPr>
            <a:ln w="2687">
              <a:solidFill>
                <a:srgbClr val="000000"/>
              </a:solidFill>
              <a:prstDash val="solid"/>
            </a:ln>
          </c:spPr>
        </c:majorGridlines>
        <c:title>
          <c:tx>
            <c:rich>
              <a:bodyPr/>
              <a:lstStyle/>
              <a:p>
                <a:pPr>
                  <a:defRPr sz="677" b="1" i="0" u="none" strike="noStrike" baseline="0">
                    <a:solidFill>
                      <a:srgbClr val="000000"/>
                    </a:solidFill>
                    <a:latin typeface="Times New Roman"/>
                    <a:ea typeface="Times New Roman"/>
                    <a:cs typeface="Times New Roman"/>
                  </a:defRPr>
                </a:pPr>
                <a:r>
                  <a:rPr lang="ro-RO"/>
                  <a:t>Debit doza gamma [microSv/h]</a:t>
                </a:r>
              </a:p>
            </c:rich>
          </c:tx>
          <c:layout>
            <c:manualLayout>
              <c:xMode val="edge"/>
              <c:yMode val="edge"/>
              <c:x val="0.11397058823529412"/>
              <c:y val="0.28515625"/>
            </c:manualLayout>
          </c:layout>
          <c:spPr>
            <a:noFill/>
            <a:ln w="21494">
              <a:noFill/>
            </a:ln>
          </c:spPr>
        </c:title>
        <c:numFmt formatCode="General" sourceLinked="1"/>
        <c:tickLblPos val="nextTo"/>
        <c:spPr>
          <a:ln w="2687">
            <a:solidFill>
              <a:srgbClr val="000000"/>
            </a:solidFill>
            <a:prstDash val="solid"/>
          </a:ln>
        </c:spPr>
        <c:txPr>
          <a:bodyPr rot="0" vert="horz"/>
          <a:lstStyle/>
          <a:p>
            <a:pPr>
              <a:defRPr sz="677" b="1" i="0" u="none" strike="noStrike" baseline="0">
                <a:solidFill>
                  <a:srgbClr val="000000"/>
                </a:solidFill>
                <a:latin typeface="Times New Roman"/>
                <a:ea typeface="Times New Roman"/>
                <a:cs typeface="Times New Roman"/>
              </a:defRPr>
            </a:pPr>
            <a:endParaRPr lang="ro-RO"/>
          </a:p>
        </c:txPr>
        <c:crossAx val="173350912"/>
        <c:crosses val="autoZero"/>
        <c:crossBetween val="between"/>
        <c:majorUnit val="0.05"/>
        <c:minorUnit val="2.0000000000000026E-3"/>
      </c:valAx>
      <c:spPr>
        <a:noFill/>
        <a:ln w="21494">
          <a:noFill/>
        </a:ln>
      </c:spPr>
    </c:plotArea>
    <c:legend>
      <c:legendPos val="b"/>
      <c:layout>
        <c:manualLayout>
          <c:xMode val="edge"/>
          <c:yMode val="edge"/>
          <c:x val="0.3308823529411769"/>
          <c:y val="0.91406249999999956"/>
          <c:w val="0.33639705882352944"/>
          <c:h val="7.4218750000000014E-2"/>
        </c:manualLayout>
      </c:layout>
      <c:spPr>
        <a:noFill/>
        <a:ln w="2687">
          <a:solidFill>
            <a:srgbClr val="000000"/>
          </a:solidFill>
          <a:prstDash val="solid"/>
        </a:ln>
      </c:spPr>
      <c:txPr>
        <a:bodyPr/>
        <a:lstStyle/>
        <a:p>
          <a:pPr>
            <a:defRPr sz="622"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687">
      <a:solidFill>
        <a:srgbClr val="000000"/>
      </a:solidFill>
      <a:prstDash val="solid"/>
    </a:ln>
  </c:spPr>
  <c:txPr>
    <a:bodyPr/>
    <a:lstStyle/>
    <a:p>
      <a:pPr>
        <a:defRPr sz="677" b="1" i="0" u="none" strike="noStrike" baseline="0">
          <a:solidFill>
            <a:srgbClr val="000000"/>
          </a:solidFill>
          <a:latin typeface="Times New Roman"/>
          <a:ea typeface="Times New Roman"/>
          <a:cs typeface="Times New Roman"/>
        </a:defRPr>
      </a:pPr>
      <a:endParaRPr lang="ro-RO"/>
    </a:p>
  </c:txPr>
  <c:externalData r:id="rId2"/>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901" b="1" i="0" u="none" strike="noStrike" baseline="0">
                <a:solidFill>
                  <a:srgbClr val="000000"/>
                </a:solidFill>
                <a:latin typeface="Arial"/>
                <a:ea typeface="Arial"/>
                <a:cs typeface="Arial"/>
              </a:defRPr>
            </a:pPr>
            <a:r>
              <a:rPr lang="ro-RO"/>
              <a:t>VALORILE MEDII ALE DEBITULUI DE DOZĂ GAMA EXTERNĂ PENTRU ANII 2007- 2014</a:t>
            </a:r>
          </a:p>
        </c:rich>
      </c:tx>
      <c:layout>
        <c:manualLayout>
          <c:xMode val="edge"/>
          <c:yMode val="edge"/>
          <c:x val="9.6989966555184007E-2"/>
          <c:y val="2.1341463414634183E-2"/>
        </c:manualLayout>
      </c:layout>
      <c:spPr>
        <a:noFill/>
        <a:ln w="19065">
          <a:noFill/>
        </a:ln>
      </c:spPr>
    </c:title>
    <c:plotArea>
      <c:layout>
        <c:manualLayout>
          <c:layoutTarget val="inner"/>
          <c:xMode val="edge"/>
          <c:yMode val="edge"/>
          <c:x val="0.12040133779264206"/>
          <c:y val="0.22256097560975588"/>
          <c:w val="0.59030100334448232"/>
          <c:h val="0.57926829268292679"/>
        </c:manualLayout>
      </c:layout>
      <c:barChart>
        <c:barDir val="col"/>
        <c:grouping val="clustered"/>
        <c:ser>
          <c:idx val="1"/>
          <c:order val="0"/>
          <c:tx>
            <c:strRef>
              <c:f>Sheet1!$A$2</c:f>
              <c:strCache>
                <c:ptCount val="1"/>
                <c:pt idx="0">
                  <c:v>debit doză gamma</c:v>
                </c:pt>
              </c:strCache>
            </c:strRef>
          </c:tx>
          <c:spPr>
            <a:solidFill>
              <a:srgbClr val="FF0000"/>
            </a:solidFill>
            <a:ln w="9532">
              <a:solidFill>
                <a:srgbClr val="000000"/>
              </a:solidFill>
              <a:prstDash val="solid"/>
            </a:ln>
          </c:spPr>
          <c:dLbls>
            <c:spPr>
              <a:noFill/>
              <a:ln w="19065">
                <a:noFill/>
              </a:ln>
            </c:spPr>
            <c:txPr>
              <a:bodyPr/>
              <a:lstStyle/>
              <a:p>
                <a:pPr>
                  <a:defRPr sz="751" b="0" i="0" u="none" strike="noStrike" baseline="0">
                    <a:solidFill>
                      <a:srgbClr val="000000"/>
                    </a:solidFill>
                    <a:latin typeface="Arial"/>
                    <a:ea typeface="Arial"/>
                    <a:cs typeface="Arial"/>
                  </a:defRPr>
                </a:pPr>
                <a:endParaRPr lang="ro-RO"/>
              </a:p>
            </c:txPr>
            <c:showVal val="1"/>
          </c:dLbls>
          <c:cat>
            <c:numRef>
              <c:f>Sheet1!$B$1:$I$1</c:f>
              <c:numCache>
                <c:formatCode>General</c:formatCode>
                <c:ptCount val="8"/>
                <c:pt idx="0">
                  <c:v>2007</c:v>
                </c:pt>
                <c:pt idx="1">
                  <c:v>2008</c:v>
                </c:pt>
                <c:pt idx="2">
                  <c:v>2009</c:v>
                </c:pt>
                <c:pt idx="3">
                  <c:v>2010</c:v>
                </c:pt>
                <c:pt idx="4">
                  <c:v>2011</c:v>
                </c:pt>
                <c:pt idx="5">
                  <c:v>2012</c:v>
                </c:pt>
                <c:pt idx="6">
                  <c:v>2013</c:v>
                </c:pt>
                <c:pt idx="7">
                  <c:v>2014</c:v>
                </c:pt>
              </c:numCache>
            </c:numRef>
          </c:cat>
          <c:val>
            <c:numRef>
              <c:f>Sheet1!$B$2:$I$2</c:f>
              <c:numCache>
                <c:formatCode>General</c:formatCode>
                <c:ptCount val="8"/>
                <c:pt idx="0">
                  <c:v>6.8000000000000019E-2</c:v>
                </c:pt>
                <c:pt idx="1">
                  <c:v>7.0000000000000021E-2</c:v>
                </c:pt>
                <c:pt idx="2">
                  <c:v>7.1999999999999995E-2</c:v>
                </c:pt>
                <c:pt idx="3">
                  <c:v>7.0000000000000021E-2</c:v>
                </c:pt>
                <c:pt idx="4">
                  <c:v>7.3999999999999996E-2</c:v>
                </c:pt>
                <c:pt idx="5">
                  <c:v>7.5999999999999998E-2</c:v>
                </c:pt>
                <c:pt idx="6">
                  <c:v>7.3000000000000009E-2</c:v>
                </c:pt>
                <c:pt idx="7">
                  <c:v>0.111</c:v>
                </c:pt>
              </c:numCache>
            </c:numRef>
          </c:val>
        </c:ser>
        <c:axId val="173402368"/>
        <c:axId val="173547904"/>
      </c:barChart>
      <c:catAx>
        <c:axId val="173402368"/>
        <c:scaling>
          <c:orientation val="minMax"/>
        </c:scaling>
        <c:axPos val="b"/>
        <c:title>
          <c:tx>
            <c:rich>
              <a:bodyPr/>
              <a:lstStyle/>
              <a:p>
                <a:pPr>
                  <a:defRPr sz="751" b="1" i="0" u="none" strike="noStrike" baseline="0">
                    <a:solidFill>
                      <a:srgbClr val="000000"/>
                    </a:solidFill>
                    <a:latin typeface="Arial"/>
                    <a:ea typeface="Arial"/>
                    <a:cs typeface="Arial"/>
                  </a:defRPr>
                </a:pPr>
                <a:r>
                  <a:rPr lang="ro-RO"/>
                  <a:t>anul</a:t>
                </a:r>
              </a:p>
            </c:rich>
          </c:tx>
          <c:layout>
            <c:manualLayout>
              <c:xMode val="edge"/>
              <c:yMode val="edge"/>
              <c:x val="0.38628762541806055"/>
              <c:y val="0.89329268292682928"/>
            </c:manualLayout>
          </c:layout>
          <c:spPr>
            <a:noFill/>
            <a:ln w="19065">
              <a:noFill/>
            </a:ln>
          </c:spPr>
        </c:title>
        <c:numFmt formatCode="General" sourceLinked="1"/>
        <c:majorTickMark val="cross"/>
        <c:tickLblPos val="nextTo"/>
        <c:spPr>
          <a:ln w="2383">
            <a:solidFill>
              <a:srgbClr val="000000"/>
            </a:solidFill>
            <a:prstDash val="solid"/>
          </a:ln>
        </c:spPr>
        <c:txPr>
          <a:bodyPr rot="0" vert="horz"/>
          <a:lstStyle/>
          <a:p>
            <a:pPr>
              <a:defRPr sz="751" b="0" i="0" u="none" strike="noStrike" baseline="0">
                <a:solidFill>
                  <a:srgbClr val="000000"/>
                </a:solidFill>
                <a:latin typeface="Arial"/>
                <a:ea typeface="Arial"/>
                <a:cs typeface="Arial"/>
              </a:defRPr>
            </a:pPr>
            <a:endParaRPr lang="ro-RO"/>
          </a:p>
        </c:txPr>
        <c:crossAx val="173547904"/>
        <c:crosses val="autoZero"/>
        <c:auto val="1"/>
        <c:lblAlgn val="ctr"/>
        <c:lblOffset val="100"/>
        <c:tickLblSkip val="1"/>
        <c:tickMarkSkip val="1"/>
      </c:catAx>
      <c:valAx>
        <c:axId val="173547904"/>
        <c:scaling>
          <c:orientation val="minMax"/>
          <c:max val="0.2"/>
        </c:scaling>
        <c:axPos val="l"/>
        <c:majorGridlines>
          <c:spPr>
            <a:ln w="2383">
              <a:solidFill>
                <a:srgbClr val="000000"/>
              </a:solidFill>
              <a:prstDash val="solid"/>
            </a:ln>
          </c:spPr>
        </c:majorGridlines>
        <c:title>
          <c:tx>
            <c:rich>
              <a:bodyPr/>
              <a:lstStyle/>
              <a:p>
                <a:pPr>
                  <a:defRPr sz="751" b="1" i="0" u="none" strike="noStrike" baseline="0">
                    <a:solidFill>
                      <a:srgbClr val="000000"/>
                    </a:solidFill>
                    <a:latin typeface="Arial"/>
                    <a:ea typeface="Arial"/>
                    <a:cs typeface="Arial"/>
                  </a:defRPr>
                </a:pPr>
                <a:r>
                  <a:rPr lang="ro-RO"/>
                  <a:t>microSv/h</a:t>
                </a:r>
              </a:p>
            </c:rich>
          </c:tx>
          <c:layout>
            <c:manualLayout>
              <c:xMode val="edge"/>
              <c:yMode val="edge"/>
              <c:x val="2.0066889632107E-2"/>
              <c:y val="0.43292682926829346"/>
            </c:manualLayout>
          </c:layout>
          <c:spPr>
            <a:noFill/>
            <a:ln w="19065">
              <a:noFill/>
            </a:ln>
          </c:spPr>
        </c:title>
        <c:numFmt formatCode="General" sourceLinked="1"/>
        <c:majorTickMark val="cross"/>
        <c:tickLblPos val="nextTo"/>
        <c:spPr>
          <a:ln w="2383">
            <a:solidFill>
              <a:srgbClr val="000000"/>
            </a:solidFill>
            <a:prstDash val="solid"/>
          </a:ln>
        </c:spPr>
        <c:txPr>
          <a:bodyPr rot="0" vert="horz"/>
          <a:lstStyle/>
          <a:p>
            <a:pPr>
              <a:defRPr sz="751" b="0" i="0" u="none" strike="noStrike" baseline="0">
                <a:solidFill>
                  <a:srgbClr val="000000"/>
                </a:solidFill>
                <a:latin typeface="Arial"/>
                <a:ea typeface="Arial"/>
                <a:cs typeface="Arial"/>
              </a:defRPr>
            </a:pPr>
            <a:endParaRPr lang="ro-RO"/>
          </a:p>
        </c:txPr>
        <c:crossAx val="173402368"/>
        <c:crosses val="autoZero"/>
        <c:crossBetween val="between"/>
        <c:majorUnit val="2.0000000000000011E-2"/>
        <c:minorUnit val="1.0000000000000005E-2"/>
      </c:valAx>
      <c:spPr>
        <a:blipFill dpi="0" rotWithShape="0">
          <a:blip xmlns:r="http://schemas.openxmlformats.org/officeDocument/2006/relationships" r:embed="rId1"/>
          <a:srcRect/>
          <a:tile tx="0" ty="0" sx="100000" sy="100000" flip="none" algn="tl"/>
        </a:blipFill>
        <a:ln w="9532">
          <a:solidFill>
            <a:srgbClr val="808080"/>
          </a:solidFill>
          <a:prstDash val="solid"/>
        </a:ln>
      </c:spPr>
    </c:plotArea>
    <c:legend>
      <c:legendPos val="r"/>
      <c:layout>
        <c:manualLayout>
          <c:xMode val="edge"/>
          <c:yMode val="edge"/>
          <c:x val="0.7809364548494987"/>
          <c:y val="0.49695121951219512"/>
          <c:w val="0.21237458193979933"/>
          <c:h val="6.7073170731707321E-2"/>
        </c:manualLayout>
      </c:layout>
      <c:spPr>
        <a:solidFill>
          <a:srgbClr val="FFFFFF"/>
        </a:solidFill>
        <a:ln w="2383">
          <a:solidFill>
            <a:srgbClr val="000000"/>
          </a:solidFill>
          <a:prstDash val="solid"/>
        </a:ln>
      </c:spPr>
      <c:txPr>
        <a:bodyPr/>
        <a:lstStyle/>
        <a:p>
          <a:pPr>
            <a:defRPr sz="691" b="0" i="0" u="none" strike="noStrike" baseline="0">
              <a:solidFill>
                <a:srgbClr val="000000"/>
              </a:solidFill>
              <a:latin typeface="Arial"/>
              <a:ea typeface="Arial"/>
              <a:cs typeface="Arial"/>
            </a:defRPr>
          </a:pPr>
          <a:endParaRPr lang="ro-RO"/>
        </a:p>
      </c:txPr>
    </c:legend>
    <c:plotVisOnly val="1"/>
    <c:dispBlanksAs val="gap"/>
  </c:chart>
  <c:spPr>
    <a:noFill/>
    <a:ln w="2383">
      <a:solidFill>
        <a:srgbClr val="000000"/>
      </a:solidFill>
      <a:prstDash val="solid"/>
    </a:ln>
  </c:spPr>
  <c:txPr>
    <a:bodyPr/>
    <a:lstStyle/>
    <a:p>
      <a:pPr>
        <a:defRPr sz="751" b="0" i="0" u="none" strike="noStrike" baseline="0">
          <a:solidFill>
            <a:srgbClr val="000000"/>
          </a:solidFill>
          <a:latin typeface="Arial"/>
          <a:ea typeface="Arial"/>
          <a:cs typeface="Arial"/>
        </a:defRPr>
      </a:pPr>
      <a:endParaRPr lang="ro-RO"/>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Sheet3!$B$5</c:f>
              <c:strCache>
                <c:ptCount val="1"/>
                <c:pt idx="0">
                  <c:v>2008</c:v>
                </c:pt>
              </c:strCache>
            </c:strRef>
          </c:tx>
          <c:cat>
            <c:strRef>
              <c:f>Sheet3!$C$4:$L$4</c:f>
              <c:strCache>
                <c:ptCount val="10"/>
                <c:pt idx="0">
                  <c:v>SO2(µg/m3)</c:v>
                </c:pt>
                <c:pt idx="1">
                  <c:v>NO2(µg/m3)</c:v>
                </c:pt>
                <c:pt idx="2">
                  <c:v>NOx(µg/m3)</c:v>
                </c:pt>
                <c:pt idx="3">
                  <c:v>CO(mg/m3)</c:v>
                </c:pt>
                <c:pt idx="4">
                  <c:v>O3(µg/m3)</c:v>
                </c:pt>
                <c:pt idx="5">
                  <c:v>Benzen(µg/m3)</c:v>
                </c:pt>
                <c:pt idx="6">
                  <c:v>PM10aut(µg/m3)</c:v>
                </c:pt>
                <c:pt idx="7">
                  <c:v>PM10grv(µg/m3)</c:v>
                </c:pt>
                <c:pt idx="8">
                  <c:v>PM2,5aut(µg/m3)</c:v>
                </c:pt>
                <c:pt idx="9">
                  <c:v>PM2,5grv(µg/m3)</c:v>
                </c:pt>
              </c:strCache>
            </c:strRef>
          </c:cat>
          <c:val>
            <c:numRef>
              <c:f>Sheet3!$C$5:$L$5</c:f>
              <c:numCache>
                <c:formatCode>General</c:formatCode>
                <c:ptCount val="10"/>
                <c:pt idx="0">
                  <c:v>2.9899999999999998</c:v>
                </c:pt>
                <c:pt idx="1">
                  <c:v>27</c:v>
                </c:pt>
                <c:pt idx="2">
                  <c:v>40</c:v>
                </c:pt>
                <c:pt idx="3">
                  <c:v>0.24000000000000021</c:v>
                </c:pt>
                <c:pt idx="4">
                  <c:v>54</c:v>
                </c:pt>
                <c:pt idx="5">
                  <c:v>4.9000000000000004</c:v>
                </c:pt>
                <c:pt idx="6">
                  <c:v>22</c:v>
                </c:pt>
              </c:numCache>
            </c:numRef>
          </c:val>
        </c:ser>
        <c:ser>
          <c:idx val="1"/>
          <c:order val="1"/>
          <c:tx>
            <c:strRef>
              <c:f>Sheet3!$B$6</c:f>
              <c:strCache>
                <c:ptCount val="1"/>
                <c:pt idx="0">
                  <c:v>2009</c:v>
                </c:pt>
              </c:strCache>
            </c:strRef>
          </c:tx>
          <c:cat>
            <c:strRef>
              <c:f>Sheet3!$C$4:$L$4</c:f>
              <c:strCache>
                <c:ptCount val="10"/>
                <c:pt idx="0">
                  <c:v>SO2(µg/m3)</c:v>
                </c:pt>
                <c:pt idx="1">
                  <c:v>NO2(µg/m3)</c:v>
                </c:pt>
                <c:pt idx="2">
                  <c:v>NOx(µg/m3)</c:v>
                </c:pt>
                <c:pt idx="3">
                  <c:v>CO(mg/m3)</c:v>
                </c:pt>
                <c:pt idx="4">
                  <c:v>O3(µg/m3)</c:v>
                </c:pt>
                <c:pt idx="5">
                  <c:v>Benzen(µg/m3)</c:v>
                </c:pt>
                <c:pt idx="6">
                  <c:v>PM10aut(µg/m3)</c:v>
                </c:pt>
                <c:pt idx="7">
                  <c:v>PM10grv(µg/m3)</c:v>
                </c:pt>
                <c:pt idx="8">
                  <c:v>PM2,5aut(µg/m3)</c:v>
                </c:pt>
                <c:pt idx="9">
                  <c:v>PM2,5grv(µg/m3)</c:v>
                </c:pt>
              </c:strCache>
            </c:strRef>
          </c:cat>
          <c:val>
            <c:numRef>
              <c:f>Sheet3!$C$6:$L$6</c:f>
              <c:numCache>
                <c:formatCode>General</c:formatCode>
                <c:ptCount val="10"/>
                <c:pt idx="0">
                  <c:v>5.81</c:v>
                </c:pt>
                <c:pt idx="1">
                  <c:v>23</c:v>
                </c:pt>
                <c:pt idx="2">
                  <c:v>36</c:v>
                </c:pt>
                <c:pt idx="3">
                  <c:v>0.25</c:v>
                </c:pt>
                <c:pt idx="4">
                  <c:v>51</c:v>
                </c:pt>
                <c:pt idx="5">
                  <c:v>3.8</c:v>
                </c:pt>
                <c:pt idx="8">
                  <c:v>10</c:v>
                </c:pt>
                <c:pt idx="9">
                  <c:v>13</c:v>
                </c:pt>
              </c:numCache>
            </c:numRef>
          </c:val>
        </c:ser>
        <c:ser>
          <c:idx val="2"/>
          <c:order val="2"/>
          <c:tx>
            <c:strRef>
              <c:f>Sheet3!$B$7</c:f>
              <c:strCache>
                <c:ptCount val="1"/>
                <c:pt idx="0">
                  <c:v>2010</c:v>
                </c:pt>
              </c:strCache>
            </c:strRef>
          </c:tx>
          <c:cat>
            <c:strRef>
              <c:f>Sheet3!$C$4:$L$4</c:f>
              <c:strCache>
                <c:ptCount val="10"/>
                <c:pt idx="0">
                  <c:v>SO2(µg/m3)</c:v>
                </c:pt>
                <c:pt idx="1">
                  <c:v>NO2(µg/m3)</c:v>
                </c:pt>
                <c:pt idx="2">
                  <c:v>NOx(µg/m3)</c:v>
                </c:pt>
                <c:pt idx="3">
                  <c:v>CO(mg/m3)</c:v>
                </c:pt>
                <c:pt idx="4">
                  <c:v>O3(µg/m3)</c:v>
                </c:pt>
                <c:pt idx="5">
                  <c:v>Benzen(µg/m3)</c:v>
                </c:pt>
                <c:pt idx="6">
                  <c:v>PM10aut(µg/m3)</c:v>
                </c:pt>
                <c:pt idx="7">
                  <c:v>PM10grv(µg/m3)</c:v>
                </c:pt>
                <c:pt idx="8">
                  <c:v>PM2,5aut(µg/m3)</c:v>
                </c:pt>
                <c:pt idx="9">
                  <c:v>PM2,5grv(µg/m3)</c:v>
                </c:pt>
              </c:strCache>
            </c:strRef>
          </c:cat>
          <c:val>
            <c:numRef>
              <c:f>Sheet3!$C$7:$L$7</c:f>
              <c:numCache>
                <c:formatCode>General</c:formatCode>
                <c:ptCount val="10"/>
                <c:pt idx="0">
                  <c:v>6.1899999999999995</c:v>
                </c:pt>
                <c:pt idx="3">
                  <c:v>0.36000000000000032</c:v>
                </c:pt>
                <c:pt idx="4">
                  <c:v>40</c:v>
                </c:pt>
                <c:pt idx="5">
                  <c:v>3.7</c:v>
                </c:pt>
                <c:pt idx="8">
                  <c:v>13</c:v>
                </c:pt>
                <c:pt idx="9">
                  <c:v>15</c:v>
                </c:pt>
              </c:numCache>
            </c:numRef>
          </c:val>
        </c:ser>
        <c:ser>
          <c:idx val="3"/>
          <c:order val="3"/>
          <c:tx>
            <c:strRef>
              <c:f>Sheet3!$B$8</c:f>
              <c:strCache>
                <c:ptCount val="1"/>
                <c:pt idx="0">
                  <c:v>2011</c:v>
                </c:pt>
              </c:strCache>
            </c:strRef>
          </c:tx>
          <c:cat>
            <c:strRef>
              <c:f>Sheet3!$C$4:$L$4</c:f>
              <c:strCache>
                <c:ptCount val="10"/>
                <c:pt idx="0">
                  <c:v>SO2(µg/m3)</c:v>
                </c:pt>
                <c:pt idx="1">
                  <c:v>NO2(µg/m3)</c:v>
                </c:pt>
                <c:pt idx="2">
                  <c:v>NOx(µg/m3)</c:v>
                </c:pt>
                <c:pt idx="3">
                  <c:v>CO(mg/m3)</c:v>
                </c:pt>
                <c:pt idx="4">
                  <c:v>O3(µg/m3)</c:v>
                </c:pt>
                <c:pt idx="5">
                  <c:v>Benzen(µg/m3)</c:v>
                </c:pt>
                <c:pt idx="6">
                  <c:v>PM10aut(µg/m3)</c:v>
                </c:pt>
                <c:pt idx="7">
                  <c:v>PM10grv(µg/m3)</c:v>
                </c:pt>
                <c:pt idx="8">
                  <c:v>PM2,5aut(µg/m3)</c:v>
                </c:pt>
                <c:pt idx="9">
                  <c:v>PM2,5grv(µg/m3)</c:v>
                </c:pt>
              </c:strCache>
            </c:strRef>
          </c:cat>
          <c:val>
            <c:numRef>
              <c:f>Sheet3!$C$8:$L$8</c:f>
              <c:numCache>
                <c:formatCode>General</c:formatCode>
                <c:ptCount val="10"/>
                <c:pt idx="5">
                  <c:v>3.2</c:v>
                </c:pt>
              </c:numCache>
            </c:numRef>
          </c:val>
        </c:ser>
        <c:ser>
          <c:idx val="4"/>
          <c:order val="4"/>
          <c:tx>
            <c:strRef>
              <c:f>Sheet3!$B$9</c:f>
              <c:strCache>
                <c:ptCount val="1"/>
                <c:pt idx="0">
                  <c:v>2012</c:v>
                </c:pt>
              </c:strCache>
            </c:strRef>
          </c:tx>
          <c:cat>
            <c:strRef>
              <c:f>Sheet3!$C$4:$L$4</c:f>
              <c:strCache>
                <c:ptCount val="10"/>
                <c:pt idx="0">
                  <c:v>SO2(µg/m3)</c:v>
                </c:pt>
                <c:pt idx="1">
                  <c:v>NO2(µg/m3)</c:v>
                </c:pt>
                <c:pt idx="2">
                  <c:v>NOx(µg/m3)</c:v>
                </c:pt>
                <c:pt idx="3">
                  <c:v>CO(mg/m3)</c:v>
                </c:pt>
                <c:pt idx="4">
                  <c:v>O3(µg/m3)</c:v>
                </c:pt>
                <c:pt idx="5">
                  <c:v>Benzen(µg/m3)</c:v>
                </c:pt>
                <c:pt idx="6">
                  <c:v>PM10aut(µg/m3)</c:v>
                </c:pt>
                <c:pt idx="7">
                  <c:v>PM10grv(µg/m3)</c:v>
                </c:pt>
                <c:pt idx="8">
                  <c:v>PM2,5aut(µg/m3)</c:v>
                </c:pt>
                <c:pt idx="9">
                  <c:v>PM2,5grv(µg/m3)</c:v>
                </c:pt>
              </c:strCache>
            </c:strRef>
          </c:cat>
          <c:val>
            <c:numRef>
              <c:f>Sheet3!$C$9:$L$9</c:f>
              <c:numCache>
                <c:formatCode>General</c:formatCode>
                <c:ptCount val="10"/>
                <c:pt idx="0">
                  <c:v>4.92</c:v>
                </c:pt>
                <c:pt idx="1">
                  <c:v>24</c:v>
                </c:pt>
                <c:pt idx="2">
                  <c:v>36</c:v>
                </c:pt>
                <c:pt idx="3">
                  <c:v>0.23</c:v>
                </c:pt>
                <c:pt idx="4">
                  <c:v>40</c:v>
                </c:pt>
                <c:pt idx="5">
                  <c:v>2.8</c:v>
                </c:pt>
                <c:pt idx="6">
                  <c:v>33</c:v>
                </c:pt>
                <c:pt idx="7">
                  <c:v>32</c:v>
                </c:pt>
                <c:pt idx="9">
                  <c:v>28</c:v>
                </c:pt>
              </c:numCache>
            </c:numRef>
          </c:val>
        </c:ser>
        <c:ser>
          <c:idx val="5"/>
          <c:order val="5"/>
          <c:tx>
            <c:strRef>
              <c:f>Sheet3!$B$10</c:f>
              <c:strCache>
                <c:ptCount val="1"/>
                <c:pt idx="0">
                  <c:v>2013</c:v>
                </c:pt>
              </c:strCache>
            </c:strRef>
          </c:tx>
          <c:cat>
            <c:strRef>
              <c:f>Sheet3!$C$4:$L$4</c:f>
              <c:strCache>
                <c:ptCount val="10"/>
                <c:pt idx="0">
                  <c:v>SO2(µg/m3)</c:v>
                </c:pt>
                <c:pt idx="1">
                  <c:v>NO2(µg/m3)</c:v>
                </c:pt>
                <c:pt idx="2">
                  <c:v>NOx(µg/m3)</c:v>
                </c:pt>
                <c:pt idx="3">
                  <c:v>CO(mg/m3)</c:v>
                </c:pt>
                <c:pt idx="4">
                  <c:v>O3(µg/m3)</c:v>
                </c:pt>
                <c:pt idx="5">
                  <c:v>Benzen(µg/m3)</c:v>
                </c:pt>
                <c:pt idx="6">
                  <c:v>PM10aut(µg/m3)</c:v>
                </c:pt>
                <c:pt idx="7">
                  <c:v>PM10grv(µg/m3)</c:v>
                </c:pt>
                <c:pt idx="8">
                  <c:v>PM2,5aut(µg/m3)</c:v>
                </c:pt>
                <c:pt idx="9">
                  <c:v>PM2,5grv(µg/m3)</c:v>
                </c:pt>
              </c:strCache>
            </c:strRef>
          </c:cat>
          <c:val>
            <c:numRef>
              <c:f>Sheet3!$C$10:$L$10</c:f>
              <c:numCache>
                <c:formatCode>General</c:formatCode>
                <c:ptCount val="10"/>
                <c:pt idx="0">
                  <c:v>4.8899999999999997</c:v>
                </c:pt>
                <c:pt idx="3">
                  <c:v>0.25</c:v>
                </c:pt>
                <c:pt idx="4">
                  <c:v>25</c:v>
                </c:pt>
                <c:pt idx="5">
                  <c:v>2.5</c:v>
                </c:pt>
                <c:pt idx="6">
                  <c:v>22</c:v>
                </c:pt>
                <c:pt idx="7">
                  <c:v>25</c:v>
                </c:pt>
                <c:pt idx="9">
                  <c:v>21</c:v>
                </c:pt>
              </c:numCache>
            </c:numRef>
          </c:val>
        </c:ser>
        <c:ser>
          <c:idx val="6"/>
          <c:order val="6"/>
          <c:tx>
            <c:strRef>
              <c:f>Sheet3!$B$11</c:f>
              <c:strCache>
                <c:ptCount val="1"/>
                <c:pt idx="0">
                  <c:v>2014</c:v>
                </c:pt>
              </c:strCache>
            </c:strRef>
          </c:tx>
          <c:cat>
            <c:strRef>
              <c:f>Sheet3!$C$4:$L$4</c:f>
              <c:strCache>
                <c:ptCount val="10"/>
                <c:pt idx="0">
                  <c:v>SO2(µg/m3)</c:v>
                </c:pt>
                <c:pt idx="1">
                  <c:v>NO2(µg/m3)</c:v>
                </c:pt>
                <c:pt idx="2">
                  <c:v>NOx(µg/m3)</c:v>
                </c:pt>
                <c:pt idx="3">
                  <c:v>CO(mg/m3)</c:v>
                </c:pt>
                <c:pt idx="4">
                  <c:v>O3(µg/m3)</c:v>
                </c:pt>
                <c:pt idx="5">
                  <c:v>Benzen(µg/m3)</c:v>
                </c:pt>
                <c:pt idx="6">
                  <c:v>PM10aut(µg/m3)</c:v>
                </c:pt>
                <c:pt idx="7">
                  <c:v>PM10grv(µg/m3)</c:v>
                </c:pt>
                <c:pt idx="8">
                  <c:v>PM2,5aut(µg/m3)</c:v>
                </c:pt>
                <c:pt idx="9">
                  <c:v>PM2,5grv(µg/m3)</c:v>
                </c:pt>
              </c:strCache>
            </c:strRef>
          </c:cat>
          <c:val>
            <c:numRef>
              <c:f>Sheet3!$C$11:$L$11</c:f>
              <c:numCache>
                <c:formatCode>General</c:formatCode>
                <c:ptCount val="10"/>
                <c:pt idx="0">
                  <c:v>4.1199999999999966</c:v>
                </c:pt>
                <c:pt idx="7">
                  <c:v>22</c:v>
                </c:pt>
              </c:numCache>
            </c:numRef>
          </c:val>
        </c:ser>
        <c:axId val="159516160"/>
        <c:axId val="159517696"/>
      </c:barChart>
      <c:catAx>
        <c:axId val="159516160"/>
        <c:scaling>
          <c:orientation val="minMax"/>
        </c:scaling>
        <c:axPos val="b"/>
        <c:tickLblPos val="nextTo"/>
        <c:crossAx val="159517696"/>
        <c:crosses val="autoZero"/>
        <c:auto val="1"/>
        <c:lblAlgn val="ctr"/>
        <c:lblOffset val="100"/>
      </c:catAx>
      <c:valAx>
        <c:axId val="159517696"/>
        <c:scaling>
          <c:orientation val="minMax"/>
        </c:scaling>
        <c:axPos val="l"/>
        <c:majorGridlines/>
        <c:numFmt formatCode="General" sourceLinked="1"/>
        <c:tickLblPos val="nextTo"/>
        <c:crossAx val="159516160"/>
        <c:crosses val="autoZero"/>
        <c:crossBetween val="between"/>
      </c:valAx>
    </c:plotArea>
    <c:legend>
      <c:legendPos val="r"/>
    </c:legend>
    <c:plotVisOnly val="1"/>
  </c:chart>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60" b="1" i="0" u="none" strike="noStrike" baseline="0">
                <a:solidFill>
                  <a:srgbClr val="000000"/>
                </a:solidFill>
                <a:latin typeface="Times New Roman"/>
                <a:ea typeface="Times New Roman"/>
                <a:cs typeface="Times New Roman"/>
              </a:defRPr>
            </a:pPr>
            <a:r>
              <a:rPr lang="vi-VN" sz="847" b="1" i="0" u="none" strike="noStrike" baseline="0">
                <a:solidFill>
                  <a:srgbClr val="000000"/>
                </a:solidFill>
                <a:latin typeface="Arial"/>
                <a:cs typeface="Arial"/>
              </a:rPr>
              <a:t>DEPUNERI ATMOSFERICE - Activitatea beta globală medie[Bq/m</a:t>
            </a:r>
            <a:r>
              <a:rPr lang="vi-VN" sz="677" b="1" i="0" u="none" strike="noStrike" baseline="0">
                <a:solidFill>
                  <a:srgbClr val="000000"/>
                </a:solidFill>
              </a:rPr>
              <a:t>2</a:t>
            </a:r>
            <a:r>
              <a:rPr lang="vi-VN" sz="847" b="1" i="0" u="none" strike="noStrike" baseline="0">
                <a:solidFill>
                  <a:srgbClr val="000000"/>
                </a:solidFill>
                <a:latin typeface="Arial"/>
                <a:cs typeface="Arial"/>
              </a:rPr>
              <a:t>/zi]</a:t>
            </a:r>
          </a:p>
          <a:p>
            <a:pPr>
              <a:defRPr sz="860" b="1" i="0" u="none" strike="noStrike" baseline="0">
                <a:solidFill>
                  <a:srgbClr val="000000"/>
                </a:solidFill>
                <a:latin typeface="Times New Roman"/>
                <a:ea typeface="Times New Roman"/>
                <a:cs typeface="Times New Roman"/>
              </a:defRPr>
            </a:pPr>
            <a:r>
              <a:rPr lang="vi-VN" sz="847" b="1" i="0" u="none" strike="noStrike" baseline="0">
                <a:solidFill>
                  <a:srgbClr val="000000"/>
                </a:solidFill>
                <a:latin typeface="Arial"/>
                <a:cs typeface="Arial"/>
              </a:rPr>
              <a:t>LIMITA DE ATENŢIE - 200 Bq/m</a:t>
            </a:r>
            <a:r>
              <a:rPr lang="vi-VN" sz="677" b="1" i="0" u="none" strike="noStrike" baseline="0">
                <a:solidFill>
                  <a:srgbClr val="000000"/>
                </a:solidFill>
              </a:rPr>
              <a:t>2</a:t>
            </a:r>
            <a:r>
              <a:rPr lang="vi-VN" sz="847" b="1" i="0" u="none" strike="noStrike" baseline="0">
                <a:solidFill>
                  <a:srgbClr val="000000"/>
                </a:solidFill>
                <a:latin typeface="Arial"/>
                <a:cs typeface="Arial"/>
              </a:rPr>
              <a:t>/zi</a:t>
            </a:r>
          </a:p>
        </c:rich>
      </c:tx>
      <c:layout>
        <c:manualLayout>
          <c:xMode val="edge"/>
          <c:yMode val="edge"/>
          <c:x val="0.15555555555555556"/>
          <c:y val="2.0833333333333367E-2"/>
        </c:manualLayout>
      </c:layout>
      <c:spPr>
        <a:noFill/>
        <a:ln w="21504">
          <a:noFill/>
        </a:ln>
      </c:spPr>
    </c:title>
    <c:view3D>
      <c:hPercent val="38"/>
      <c:rotY val="0"/>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0476190476190494"/>
          <c:y val="0.21130952380952381"/>
          <c:w val="0.87936507936508013"/>
          <c:h val="0.5208333333333337"/>
        </c:manualLayout>
      </c:layout>
      <c:bar3DChart>
        <c:barDir val="col"/>
        <c:grouping val="clustered"/>
        <c:ser>
          <c:idx val="0"/>
          <c:order val="0"/>
          <c:tx>
            <c:strRef>
              <c:f>Sheet1!$A$2</c:f>
              <c:strCache>
                <c:ptCount val="1"/>
                <c:pt idx="0">
                  <c:v>Depuneri imediate - Activităţi medii</c:v>
                </c:pt>
              </c:strCache>
            </c:strRef>
          </c:tx>
          <c:spPr>
            <a:solidFill>
              <a:srgbClr val="FF6600"/>
            </a:solidFill>
            <a:ln w="10752">
              <a:solidFill>
                <a:srgbClr val="000000"/>
              </a:solidFill>
              <a:prstDash val="solid"/>
            </a:ln>
          </c:spPr>
          <c:dLbls>
            <c:dLbl>
              <c:idx val="0"/>
              <c:layout>
                <c:manualLayout>
                  <c:x val="3.2691538557680622E-3"/>
                  <c:y val="-5.6526709450336193E-2"/>
                </c:manualLayout>
              </c:layout>
              <c:showVal val="1"/>
            </c:dLbl>
            <c:dLbl>
              <c:idx val="1"/>
              <c:layout>
                <c:manualLayout>
                  <c:x val="3.1676899762530853E-3"/>
                  <c:y val="-4.3209712586504849E-2"/>
                </c:manualLayout>
              </c:layout>
              <c:showVal val="1"/>
            </c:dLbl>
            <c:dLbl>
              <c:idx val="2"/>
              <c:layout>
                <c:manualLayout>
                  <c:x val="1.4787604674416101E-3"/>
                  <c:y val="-5.6973380495068095E-2"/>
                </c:manualLayout>
              </c:layout>
              <c:showVal val="1"/>
            </c:dLbl>
            <c:dLbl>
              <c:idx val="3"/>
              <c:layout>
                <c:manualLayout>
                  <c:x val="1.3772965879265801E-3"/>
                  <c:y val="-4.3504663073185158E-2"/>
                </c:manualLayout>
              </c:layout>
              <c:showVal val="1"/>
            </c:dLbl>
            <c:dLbl>
              <c:idx val="4"/>
              <c:layout>
                <c:manualLayout>
                  <c:x val="1.2756686664167443E-3"/>
                  <c:y val="-5.7044692029103311E-2"/>
                </c:manualLayout>
              </c:layout>
              <c:showVal val="1"/>
            </c:dLbl>
            <c:dLbl>
              <c:idx val="5"/>
              <c:layout>
                <c:manualLayout>
                  <c:x val="2.7615063742032382E-3"/>
                  <c:y val="-3.4799427166979549E-2"/>
                </c:manualLayout>
              </c:layout>
              <c:showVal val="1"/>
            </c:dLbl>
            <c:dLbl>
              <c:idx val="6"/>
              <c:layout>
                <c:manualLayout>
                  <c:x val="2.6598784526935685E-3"/>
                  <c:y val="-1.4403363958117801E-2"/>
                </c:manualLayout>
              </c:layout>
              <c:showVal val="1"/>
            </c:dLbl>
            <c:dLbl>
              <c:idx val="7"/>
              <c:layout>
                <c:manualLayout>
                  <c:x val="2.5584145731783184E-3"/>
                  <c:y val="-4.305768859817391E-2"/>
                </c:manualLayout>
              </c:layout>
              <c:showVal val="1"/>
            </c:dLbl>
            <c:dLbl>
              <c:idx val="8"/>
              <c:layout>
                <c:manualLayout>
                  <c:x val="2.4567866516686482E-3"/>
                  <c:y val="-2.1259094780782417E-2"/>
                </c:manualLayout>
              </c:layout>
              <c:showVal val="1"/>
            </c:dLbl>
            <c:dLbl>
              <c:idx val="9"/>
              <c:layout>
                <c:manualLayout>
                  <c:x val="2.3553227721536179E-3"/>
                  <c:y val="-2.5352569729361688E-2"/>
                </c:manualLayout>
              </c:layout>
              <c:showVal val="1"/>
            </c:dLbl>
            <c:dLbl>
              <c:idx val="10"/>
              <c:layout>
                <c:manualLayout>
                  <c:x val="6.6639326334236434E-4"/>
                  <c:y val="-2.7658450208174822E-2"/>
                </c:manualLayout>
              </c:layout>
              <c:showVal val="1"/>
            </c:dLbl>
            <c:dLbl>
              <c:idx val="11"/>
              <c:layout>
                <c:manualLayout>
                  <c:x val="3.6407402199723944E-3"/>
                  <c:y val="-3.4423764226003489E-2"/>
                </c:manualLayout>
              </c:layout>
              <c:showVal val="1"/>
            </c:dLbl>
            <c:spPr>
              <a:noFill/>
              <a:ln w="21504">
                <a:noFill/>
              </a:ln>
            </c:spPr>
            <c:txPr>
              <a:bodyPr/>
              <a:lstStyle/>
              <a:p>
                <a:pPr>
                  <a:defRPr sz="825" b="1" i="0" u="none" strike="noStrike" baseline="0">
                    <a:solidFill>
                      <a:srgbClr val="000000"/>
                    </a:solidFill>
                    <a:latin typeface="Times New Roman"/>
                    <a:ea typeface="Times New Roman"/>
                    <a:cs typeface="Times New Roman"/>
                  </a:defRPr>
                </a:pPr>
                <a:endParaRPr lang="ro-RO"/>
              </a:p>
            </c:txPr>
            <c:showVal val="1"/>
          </c:dLbls>
          <c:cat>
            <c:strRef>
              <c:f>Sheet1!$B$1:$N$1</c:f>
              <c:strCache>
                <c:ptCount val="12"/>
                <c:pt idx="0">
                  <c:v>Ian </c:v>
                </c:pt>
                <c:pt idx="1">
                  <c:v>Feb</c:v>
                </c:pt>
                <c:pt idx="2">
                  <c:v>Mart</c:v>
                </c:pt>
                <c:pt idx="3">
                  <c:v>Apr</c:v>
                </c:pt>
                <c:pt idx="4">
                  <c:v>Mai </c:v>
                </c:pt>
                <c:pt idx="5">
                  <c:v>Iun</c:v>
                </c:pt>
                <c:pt idx="6">
                  <c:v>Iul</c:v>
                </c:pt>
                <c:pt idx="7">
                  <c:v>Aug</c:v>
                </c:pt>
                <c:pt idx="8">
                  <c:v>Sept</c:v>
                </c:pt>
                <c:pt idx="9">
                  <c:v>Oct</c:v>
                </c:pt>
                <c:pt idx="10">
                  <c:v>Nov</c:v>
                </c:pt>
                <c:pt idx="11">
                  <c:v>Dec</c:v>
                </c:pt>
              </c:strCache>
            </c:strRef>
          </c:cat>
          <c:val>
            <c:numRef>
              <c:f>Sheet1!$B$2:$N$2</c:f>
              <c:numCache>
                <c:formatCode>General</c:formatCode>
                <c:ptCount val="13"/>
                <c:pt idx="0">
                  <c:v>1.1000000000000001</c:v>
                </c:pt>
                <c:pt idx="1">
                  <c:v>0.4</c:v>
                </c:pt>
                <c:pt idx="2">
                  <c:v>0.9</c:v>
                </c:pt>
                <c:pt idx="3">
                  <c:v>1.6</c:v>
                </c:pt>
                <c:pt idx="4">
                  <c:v>2.2000000000000002</c:v>
                </c:pt>
                <c:pt idx="5">
                  <c:v>1.5</c:v>
                </c:pt>
                <c:pt idx="6">
                  <c:v>5.3</c:v>
                </c:pt>
                <c:pt idx="7">
                  <c:v>1.8</c:v>
                </c:pt>
                <c:pt idx="8">
                  <c:v>0.9</c:v>
                </c:pt>
                <c:pt idx="9">
                  <c:v>0.4</c:v>
                </c:pt>
                <c:pt idx="10">
                  <c:v>0.70000000000000062</c:v>
                </c:pt>
                <c:pt idx="11">
                  <c:v>3</c:v>
                </c:pt>
              </c:numCache>
            </c:numRef>
          </c:val>
        </c:ser>
        <c:dLbls>
          <c:showVal val="1"/>
        </c:dLbls>
        <c:gapDepth val="0"/>
        <c:shape val="box"/>
        <c:axId val="173880448"/>
        <c:axId val="173882368"/>
        <c:axId val="0"/>
      </c:bar3DChart>
      <c:catAx>
        <c:axId val="173880448"/>
        <c:scaling>
          <c:orientation val="minMax"/>
        </c:scaling>
        <c:axPos val="b"/>
        <c:title>
          <c:tx>
            <c:rich>
              <a:bodyPr/>
              <a:lstStyle/>
              <a:p>
                <a:pPr>
                  <a:defRPr sz="825" b="1" i="0" u="none" strike="noStrike" baseline="0">
                    <a:solidFill>
                      <a:srgbClr val="000000"/>
                    </a:solidFill>
                    <a:latin typeface="Times New Roman"/>
                    <a:ea typeface="Times New Roman"/>
                    <a:cs typeface="Times New Roman"/>
                  </a:defRPr>
                </a:pPr>
                <a:r>
                  <a:rPr lang="ro-RO"/>
                  <a:t>luna</a:t>
                </a:r>
              </a:p>
            </c:rich>
          </c:tx>
          <c:layout>
            <c:manualLayout>
              <c:xMode val="edge"/>
              <c:yMode val="edge"/>
              <c:x val="0.52380952380952384"/>
              <c:y val="0.80654761904761907"/>
            </c:manualLayout>
          </c:layout>
          <c:spPr>
            <a:noFill/>
            <a:ln w="21504">
              <a:noFill/>
            </a:ln>
          </c:spPr>
        </c:title>
        <c:numFmt formatCode="General" sourceLinked="1"/>
        <c:tickLblPos val="nextTo"/>
        <c:spPr>
          <a:ln w="2688">
            <a:solidFill>
              <a:srgbClr val="000000"/>
            </a:solidFill>
            <a:prstDash val="solid"/>
          </a:ln>
        </c:spPr>
        <c:txPr>
          <a:bodyPr rot="0" vert="horz"/>
          <a:lstStyle/>
          <a:p>
            <a:pPr>
              <a:defRPr sz="825" b="1" i="0" u="none" strike="noStrike" baseline="0">
                <a:solidFill>
                  <a:srgbClr val="000000"/>
                </a:solidFill>
                <a:latin typeface="Times New Roman"/>
                <a:ea typeface="Times New Roman"/>
                <a:cs typeface="Times New Roman"/>
              </a:defRPr>
            </a:pPr>
            <a:endParaRPr lang="ro-RO"/>
          </a:p>
        </c:txPr>
        <c:crossAx val="173882368"/>
        <c:crosses val="autoZero"/>
        <c:auto val="1"/>
        <c:lblAlgn val="ctr"/>
        <c:lblOffset val="100"/>
        <c:tickLblSkip val="1"/>
        <c:tickMarkSkip val="1"/>
      </c:catAx>
      <c:valAx>
        <c:axId val="173882368"/>
        <c:scaling>
          <c:orientation val="minMax"/>
          <c:max val="8"/>
        </c:scaling>
        <c:axPos val="l"/>
        <c:majorGridlines>
          <c:spPr>
            <a:ln w="2688">
              <a:solidFill>
                <a:srgbClr val="000000"/>
              </a:solidFill>
              <a:prstDash val="solid"/>
            </a:ln>
          </c:spPr>
        </c:majorGridlines>
        <c:title>
          <c:tx>
            <c:rich>
              <a:bodyPr/>
              <a:lstStyle/>
              <a:p>
                <a:pPr>
                  <a:defRPr sz="847" b="1" i="0" u="none" strike="noStrike" baseline="0">
                    <a:solidFill>
                      <a:srgbClr val="000000"/>
                    </a:solidFill>
                    <a:latin typeface="Times New Roman"/>
                    <a:ea typeface="Times New Roman"/>
                    <a:cs typeface="Times New Roman"/>
                  </a:defRPr>
                </a:pPr>
                <a:r>
                  <a:rPr lang="vi-VN"/>
                  <a:t>Activitatea beta globală [Bq/m2/zi]</a:t>
                </a:r>
              </a:p>
            </c:rich>
          </c:tx>
          <c:layout>
            <c:manualLayout>
              <c:xMode val="edge"/>
              <c:yMode val="edge"/>
              <c:x val="0.10317460317460322"/>
              <c:y val="0.2886904761904765"/>
            </c:manualLayout>
          </c:layout>
          <c:spPr>
            <a:noFill/>
            <a:ln w="21504">
              <a:noFill/>
            </a:ln>
          </c:spPr>
        </c:title>
        <c:numFmt formatCode="General" sourceLinked="1"/>
        <c:tickLblPos val="nextTo"/>
        <c:spPr>
          <a:ln w="2688">
            <a:solidFill>
              <a:srgbClr val="000000"/>
            </a:solidFill>
            <a:prstDash val="solid"/>
          </a:ln>
        </c:spPr>
        <c:txPr>
          <a:bodyPr rot="0" vert="horz"/>
          <a:lstStyle/>
          <a:p>
            <a:pPr>
              <a:defRPr sz="825" b="1" i="0" u="none" strike="noStrike" baseline="0">
                <a:solidFill>
                  <a:srgbClr val="000000"/>
                </a:solidFill>
                <a:latin typeface="Times New Roman"/>
                <a:ea typeface="Times New Roman"/>
                <a:cs typeface="Times New Roman"/>
              </a:defRPr>
            </a:pPr>
            <a:endParaRPr lang="ro-RO"/>
          </a:p>
        </c:txPr>
        <c:crossAx val="173880448"/>
        <c:crosses val="autoZero"/>
        <c:crossBetween val="between"/>
        <c:majorUnit val="1"/>
        <c:minorUnit val="0.1"/>
      </c:valAx>
      <c:spPr>
        <a:noFill/>
        <a:ln w="21504">
          <a:noFill/>
        </a:ln>
      </c:spPr>
    </c:plotArea>
    <c:legend>
      <c:legendPos val="b"/>
      <c:layout>
        <c:manualLayout>
          <c:xMode val="edge"/>
          <c:yMode val="edge"/>
          <c:x val="0.32857142857142857"/>
          <c:y val="0.91964285714285765"/>
          <c:w val="0.34126984126984194"/>
          <c:h val="7.1428571428571425E-2"/>
        </c:manualLayout>
      </c:layout>
      <c:spPr>
        <a:noFill/>
        <a:ln w="2688">
          <a:solidFill>
            <a:srgbClr val="000000"/>
          </a:solidFill>
          <a:prstDash val="solid"/>
        </a:ln>
      </c:spPr>
      <c:txPr>
        <a:bodyPr/>
        <a:lstStyle/>
        <a:p>
          <a:pPr>
            <a:defRPr sz="779"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688">
      <a:solidFill>
        <a:srgbClr val="000000"/>
      </a:solidFill>
      <a:prstDash val="solid"/>
    </a:ln>
  </c:spPr>
  <c:txPr>
    <a:bodyPr/>
    <a:lstStyle/>
    <a:p>
      <a:pPr>
        <a:defRPr sz="825" b="1" i="0" u="none" strike="noStrike" baseline="0">
          <a:solidFill>
            <a:srgbClr val="000000"/>
          </a:solidFill>
          <a:latin typeface="Times New Roman"/>
          <a:ea typeface="Times New Roman"/>
          <a:cs typeface="Times New Roman"/>
        </a:defRPr>
      </a:pPr>
      <a:endParaRPr lang="ro-RO"/>
    </a:p>
  </c:txPr>
  <c:externalData r:id="rId2"/>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45" b="1" i="0" u="none" strike="noStrike" baseline="0">
                <a:solidFill>
                  <a:srgbClr val="000000"/>
                </a:solidFill>
                <a:latin typeface="Arial"/>
                <a:ea typeface="Arial"/>
                <a:cs typeface="Arial"/>
              </a:defRPr>
            </a:pPr>
            <a:r>
              <a:rPr lang="vi-VN"/>
              <a:t>DEPUNERI ATMOSFERICE - Activitatea beta globală (Bq/mp/zi)</a:t>
            </a:r>
          </a:p>
        </c:rich>
      </c:tx>
      <c:layout>
        <c:manualLayout>
          <c:xMode val="edge"/>
          <c:yMode val="edge"/>
          <c:x val="0.16412859560067666"/>
          <c:y val="2.0270270270270313E-2"/>
        </c:manualLayout>
      </c:layout>
      <c:spPr>
        <a:noFill/>
        <a:ln w="21470">
          <a:noFill/>
        </a:ln>
      </c:spPr>
    </c:title>
    <c:plotArea>
      <c:layout>
        <c:manualLayout>
          <c:layoutTarget val="inner"/>
          <c:xMode val="edge"/>
          <c:yMode val="edge"/>
          <c:x val="0.13874788494077844"/>
          <c:y val="0.19256756756756771"/>
          <c:w val="0.51438240270727498"/>
          <c:h val="0.59121621621621556"/>
        </c:manualLayout>
      </c:layout>
      <c:barChart>
        <c:barDir val="col"/>
        <c:grouping val="clustered"/>
        <c:ser>
          <c:idx val="1"/>
          <c:order val="0"/>
          <c:tx>
            <c:strRef>
              <c:f>Sheet1!$A$2</c:f>
              <c:strCache>
                <c:ptCount val="1"/>
                <c:pt idx="0">
                  <c:v>activitatea beta globala medie</c:v>
                </c:pt>
              </c:strCache>
            </c:strRef>
          </c:tx>
          <c:spPr>
            <a:solidFill>
              <a:srgbClr val="FF6600"/>
            </a:solidFill>
            <a:ln w="10735">
              <a:solidFill>
                <a:srgbClr val="000000"/>
              </a:solidFill>
              <a:prstDash val="solid"/>
            </a:ln>
          </c:spPr>
          <c:dLbls>
            <c:spPr>
              <a:noFill/>
              <a:ln w="21470">
                <a:noFill/>
              </a:ln>
            </c:spPr>
            <c:txPr>
              <a:bodyPr/>
              <a:lstStyle/>
              <a:p>
                <a:pPr>
                  <a:defRPr sz="845" b="0" i="0" u="none" strike="noStrike" baseline="0">
                    <a:solidFill>
                      <a:srgbClr val="000000"/>
                    </a:solidFill>
                    <a:latin typeface="Arial"/>
                    <a:ea typeface="Arial"/>
                    <a:cs typeface="Arial"/>
                  </a:defRPr>
                </a:pPr>
                <a:endParaRPr lang="ro-RO"/>
              </a:p>
            </c:txPr>
            <c:showVal val="1"/>
          </c:dLbls>
          <c:cat>
            <c:numRef>
              <c:f>Sheet1!$B$1:$I$1</c:f>
              <c:numCache>
                <c:formatCode>General</c:formatCode>
                <c:ptCount val="8"/>
                <c:pt idx="0">
                  <c:v>2007</c:v>
                </c:pt>
                <c:pt idx="1">
                  <c:v>2008</c:v>
                </c:pt>
                <c:pt idx="2">
                  <c:v>2009</c:v>
                </c:pt>
                <c:pt idx="3">
                  <c:v>2010</c:v>
                </c:pt>
                <c:pt idx="4">
                  <c:v>2011</c:v>
                </c:pt>
                <c:pt idx="5">
                  <c:v>2012</c:v>
                </c:pt>
                <c:pt idx="6">
                  <c:v>2013</c:v>
                </c:pt>
                <c:pt idx="7">
                  <c:v>2014</c:v>
                </c:pt>
              </c:numCache>
            </c:numRef>
          </c:cat>
          <c:val>
            <c:numRef>
              <c:f>Sheet1!$B$2:$I$2</c:f>
              <c:numCache>
                <c:formatCode>General</c:formatCode>
                <c:ptCount val="8"/>
                <c:pt idx="0">
                  <c:v>1.1399999999999986</c:v>
                </c:pt>
                <c:pt idx="1">
                  <c:v>0.86000000000000065</c:v>
                </c:pt>
                <c:pt idx="2">
                  <c:v>1.6900000000000013</c:v>
                </c:pt>
                <c:pt idx="3" formatCode="0.00">
                  <c:v>1.26</c:v>
                </c:pt>
                <c:pt idx="4" formatCode="0.00">
                  <c:v>1.74</c:v>
                </c:pt>
                <c:pt idx="5">
                  <c:v>1.9400000000000013</c:v>
                </c:pt>
                <c:pt idx="6">
                  <c:v>1.61</c:v>
                </c:pt>
                <c:pt idx="7">
                  <c:v>1.6700000000000013</c:v>
                </c:pt>
              </c:numCache>
            </c:numRef>
          </c:val>
        </c:ser>
        <c:axId val="173739392"/>
        <c:axId val="173745664"/>
      </c:barChart>
      <c:catAx>
        <c:axId val="173739392"/>
        <c:scaling>
          <c:orientation val="minMax"/>
        </c:scaling>
        <c:axPos val="b"/>
        <c:title>
          <c:tx>
            <c:rich>
              <a:bodyPr/>
              <a:lstStyle/>
              <a:p>
                <a:pPr>
                  <a:defRPr sz="845" b="1" i="0" u="none" strike="noStrike" baseline="0">
                    <a:solidFill>
                      <a:srgbClr val="000000"/>
                    </a:solidFill>
                    <a:latin typeface="Arial"/>
                    <a:ea typeface="Arial"/>
                    <a:cs typeface="Arial"/>
                  </a:defRPr>
                </a:pPr>
                <a:r>
                  <a:rPr lang="ro-RO"/>
                  <a:t>anul</a:t>
                </a:r>
              </a:p>
            </c:rich>
          </c:tx>
          <c:layout>
            <c:manualLayout>
              <c:xMode val="edge"/>
              <c:yMode val="edge"/>
              <c:x val="0.36717428087986548"/>
              <c:y val="0.88513513513513509"/>
            </c:manualLayout>
          </c:layout>
          <c:spPr>
            <a:noFill/>
            <a:ln w="21470">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ro-RO"/>
          </a:p>
        </c:txPr>
        <c:crossAx val="173745664"/>
        <c:crosses val="autoZero"/>
        <c:lblAlgn val="ctr"/>
        <c:lblOffset val="100"/>
        <c:tickLblSkip val="1"/>
        <c:tickMarkSkip val="1"/>
      </c:catAx>
      <c:valAx>
        <c:axId val="173745664"/>
        <c:scaling>
          <c:orientation val="minMax"/>
        </c:scaling>
        <c:axPos val="l"/>
        <c:majorGridlines>
          <c:spPr>
            <a:ln w="2684">
              <a:solidFill>
                <a:srgbClr val="000000"/>
              </a:solidFill>
              <a:prstDash val="solid"/>
            </a:ln>
          </c:spPr>
        </c:majorGridlines>
        <c:title>
          <c:tx>
            <c:rich>
              <a:bodyPr/>
              <a:lstStyle/>
              <a:p>
                <a:pPr>
                  <a:defRPr sz="845" b="1" i="0" u="none" strike="noStrike" baseline="0">
                    <a:solidFill>
                      <a:srgbClr val="000000"/>
                    </a:solidFill>
                    <a:latin typeface="Arial"/>
                    <a:ea typeface="Arial"/>
                    <a:cs typeface="Arial"/>
                  </a:defRPr>
                </a:pPr>
                <a:r>
                  <a:rPr lang="vi-VN"/>
                  <a:t>Activitatea beta globală (Bq/mp/zi)</a:t>
                </a:r>
              </a:p>
            </c:rich>
          </c:tx>
          <c:layout>
            <c:manualLayout>
              <c:xMode val="edge"/>
              <c:yMode val="edge"/>
              <c:x val="1.8612521150592237E-2"/>
              <c:y val="0.22297297297297297"/>
            </c:manualLayout>
          </c:layout>
          <c:spPr>
            <a:noFill/>
            <a:ln w="21470">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ro-RO"/>
          </a:p>
        </c:txPr>
        <c:crossAx val="173739392"/>
        <c:crosses val="autoZero"/>
        <c:crossBetween val="between"/>
      </c:valAx>
      <c:spPr>
        <a:blipFill dpi="0" rotWithShape="0">
          <a:blip xmlns:r="http://schemas.openxmlformats.org/officeDocument/2006/relationships" r:embed="rId1"/>
          <a:srcRect/>
          <a:tile tx="0" ty="0" sx="100000" sy="100000" flip="none" algn="tl"/>
        </a:blipFill>
        <a:ln w="10735">
          <a:solidFill>
            <a:srgbClr val="808080"/>
          </a:solidFill>
          <a:prstDash val="solid"/>
        </a:ln>
      </c:spPr>
    </c:plotArea>
    <c:legend>
      <c:legendPos val="r"/>
      <c:layout>
        <c:manualLayout>
          <c:xMode val="edge"/>
          <c:yMode val="edge"/>
          <c:x val="0.67005076142131981"/>
          <c:y val="0.44932432432432468"/>
          <c:w val="0.32318104906937434"/>
          <c:h val="7.4324324324324426E-2"/>
        </c:manualLayout>
      </c:layout>
      <c:spPr>
        <a:solidFill>
          <a:srgbClr val="FFFFFF"/>
        </a:solidFill>
        <a:ln w="2684">
          <a:solidFill>
            <a:srgbClr val="000000"/>
          </a:solidFill>
          <a:prstDash val="solid"/>
        </a:ln>
      </c:spPr>
      <c:txPr>
        <a:bodyPr/>
        <a:lstStyle/>
        <a:p>
          <a:pPr>
            <a:defRPr sz="778" b="0" i="0" u="none" strike="noStrike" baseline="0">
              <a:solidFill>
                <a:srgbClr val="000000"/>
              </a:solidFill>
              <a:latin typeface="Arial"/>
              <a:ea typeface="Arial"/>
              <a:cs typeface="Arial"/>
            </a:defRPr>
          </a:pPr>
          <a:endParaRPr lang="ro-RO"/>
        </a:p>
      </c:txPr>
    </c:legend>
    <c:plotVisOnly val="1"/>
    <c:dispBlanksAs val="gap"/>
  </c:chart>
  <c:spPr>
    <a:noFill/>
    <a:ln w="2684">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ro-RO"/>
    </a:p>
  </c:txPr>
  <c:externalData r:id="rId2"/>
</c:chartSpace>
</file>

<file path=word/charts/chart152.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sz="1016" b="1" i="0" u="none" strike="noStrike" baseline="0">
                <a:solidFill>
                  <a:srgbClr val="000000"/>
                </a:solidFill>
                <a:latin typeface="Arial"/>
                <a:ea typeface="Arial"/>
                <a:cs typeface="Arial"/>
              </a:defRPr>
            </a:pPr>
            <a:r>
              <a:rPr lang="vi-VN"/>
              <a:t>Activitatea beta globală medie lunară a apei brute - Râul Buzău 2014
LIMITA DE AVERTIZARE=5000Bq/mc</a:t>
            </a:r>
          </a:p>
        </c:rich>
      </c:tx>
      <c:layout>
        <c:manualLayout>
          <c:xMode val="edge"/>
          <c:yMode val="edge"/>
          <c:x val="0.14165261382799341"/>
          <c:y val="1.9607843137254902E-2"/>
        </c:manualLayout>
      </c:layout>
      <c:spPr>
        <a:noFill/>
        <a:ln w="21505">
          <a:noFill/>
        </a:ln>
      </c:spPr>
    </c:title>
    <c:plotArea>
      <c:layout>
        <c:manualLayout>
          <c:layoutTarget val="inner"/>
          <c:xMode val="edge"/>
          <c:yMode val="edge"/>
          <c:x val="0.13827993254637463"/>
          <c:y val="0.27450980392156882"/>
          <c:w val="0.84654300168634067"/>
          <c:h val="0.42483660130719003"/>
        </c:manualLayout>
      </c:layout>
      <c:barChart>
        <c:barDir val="col"/>
        <c:grouping val="clustered"/>
        <c:ser>
          <c:idx val="1"/>
          <c:order val="0"/>
          <c:tx>
            <c:strRef>
              <c:f>Sheet1!$A$2</c:f>
              <c:strCache>
                <c:ptCount val="1"/>
                <c:pt idx="0">
                  <c:v>Apa bruta im</c:v>
                </c:pt>
              </c:strCache>
            </c:strRef>
          </c:tx>
          <c:spPr>
            <a:solidFill>
              <a:srgbClr val="FF6600"/>
            </a:solidFill>
            <a:ln w="10753">
              <a:solidFill>
                <a:srgbClr val="000000"/>
              </a:solidFill>
              <a:prstDash val="solid"/>
            </a:ln>
          </c:spPr>
          <c:dLbls>
            <c:dLbl>
              <c:idx val="4"/>
              <c:layout>
                <c:manualLayout>
                  <c:x val="-4.7559907452567139E-3"/>
                  <c:y val="-7.3118297852381206E-2"/>
                </c:manualLayout>
              </c:layout>
              <c:dLblPos val="outEnd"/>
              <c:showVal val="1"/>
            </c:dLbl>
            <c:dLbl>
              <c:idx val="7"/>
              <c:layout>
                <c:manualLayout>
                  <c:x val="-8.2074816952687848E-4"/>
                  <c:y val="-9.1575057213157202E-2"/>
                </c:manualLayout>
              </c:layout>
              <c:dLblPos val="outEnd"/>
              <c:showVal val="1"/>
            </c:dLbl>
            <c:dLbl>
              <c:idx val="8"/>
              <c:layout>
                <c:manualLayout>
                  <c:x val="-5.3970269983956063E-4"/>
                  <c:y val="-5.7261260064010985E-2"/>
                </c:manualLayout>
              </c:layout>
              <c:dLblPos val="outEnd"/>
              <c:showVal val="1"/>
            </c:dLbl>
            <c:dLbl>
              <c:idx val="9"/>
              <c:layout>
                <c:manualLayout>
                  <c:x val="2.1917884798033442E-5"/>
                  <c:y val="-5.3056312860371234E-2"/>
                </c:manualLayout>
              </c:layout>
              <c:dLblPos val="outEnd"/>
              <c:showVal val="1"/>
            </c:dLbl>
            <c:dLbl>
              <c:idx val="10"/>
              <c:layout>
                <c:manualLayout>
                  <c:x val="-1.663952401274897E-3"/>
                  <c:y val="-5.7624479739734703E-2"/>
                </c:manualLayout>
              </c:layout>
              <c:dLblPos val="outEnd"/>
              <c:showVal val="1"/>
            </c:dLbl>
            <c:dLbl>
              <c:idx val="11"/>
              <c:layout>
                <c:manualLayout>
                  <c:x val="-1.1023318166376345E-3"/>
                  <c:y val="-6.7351863034991091E-2"/>
                </c:manualLayout>
              </c:layout>
              <c:dLblPos val="outEnd"/>
              <c:showVal val="1"/>
            </c:dLbl>
            <c:spPr>
              <a:noFill/>
              <a:ln w="21505">
                <a:noFill/>
              </a:ln>
            </c:spPr>
            <c:txPr>
              <a:bodyPr/>
              <a:lstStyle/>
              <a:p>
                <a:pPr>
                  <a:defRPr sz="847" b="0" i="0" u="none" strike="noStrike" baseline="0">
                    <a:solidFill>
                      <a:srgbClr val="000000"/>
                    </a:solidFill>
                    <a:latin typeface="Times New Roman"/>
                    <a:ea typeface="Times New Roman"/>
                    <a:cs typeface="Times New Roman"/>
                  </a:defRPr>
                </a:pPr>
                <a:endParaRPr lang="ro-RO"/>
              </a:p>
            </c:txPr>
            <c:showVal val="1"/>
          </c:dLbls>
          <c:cat>
            <c:strRef>
              <c:f>Sheet1!$B$1:$M$1</c:f>
              <c:strCache>
                <c:ptCount val="12"/>
                <c:pt idx="0">
                  <c:v>Ian</c:v>
                </c:pt>
                <c:pt idx="1">
                  <c:v>Feb</c:v>
                </c:pt>
                <c:pt idx="2">
                  <c:v>Mar</c:v>
                </c:pt>
                <c:pt idx="3">
                  <c:v>Apr</c:v>
                </c:pt>
                <c:pt idx="4">
                  <c:v>Mai</c:v>
                </c:pt>
                <c:pt idx="5">
                  <c:v>Iun</c:v>
                </c:pt>
                <c:pt idx="6">
                  <c:v>Iul</c:v>
                </c:pt>
                <c:pt idx="7">
                  <c:v>Aug</c:v>
                </c:pt>
                <c:pt idx="8">
                  <c:v>Sept</c:v>
                </c:pt>
                <c:pt idx="9">
                  <c:v>Oct</c:v>
                </c:pt>
                <c:pt idx="10">
                  <c:v>Nov</c:v>
                </c:pt>
                <c:pt idx="11">
                  <c:v>Dec</c:v>
                </c:pt>
              </c:strCache>
            </c:strRef>
          </c:cat>
          <c:val>
            <c:numRef>
              <c:f>Sheet1!$B$2:$M$2</c:f>
              <c:numCache>
                <c:formatCode>General</c:formatCode>
                <c:ptCount val="12"/>
                <c:pt idx="0">
                  <c:v>221.5</c:v>
                </c:pt>
                <c:pt idx="1">
                  <c:v>195.1</c:v>
                </c:pt>
                <c:pt idx="2">
                  <c:v>242.6</c:v>
                </c:pt>
                <c:pt idx="3">
                  <c:v>281.39999999999969</c:v>
                </c:pt>
                <c:pt idx="4">
                  <c:v>272.10000000000002</c:v>
                </c:pt>
                <c:pt idx="5">
                  <c:v>247.5</c:v>
                </c:pt>
                <c:pt idx="6">
                  <c:v>247.9</c:v>
                </c:pt>
                <c:pt idx="7">
                  <c:v>233</c:v>
                </c:pt>
                <c:pt idx="8">
                  <c:v>278</c:v>
                </c:pt>
                <c:pt idx="9">
                  <c:v>224.6</c:v>
                </c:pt>
                <c:pt idx="10">
                  <c:v>208</c:v>
                </c:pt>
                <c:pt idx="11">
                  <c:v>879.7</c:v>
                </c:pt>
              </c:numCache>
            </c:numRef>
          </c:val>
        </c:ser>
        <c:axId val="173438848"/>
        <c:axId val="173461504"/>
      </c:barChart>
      <c:catAx>
        <c:axId val="173438848"/>
        <c:scaling>
          <c:orientation val="minMax"/>
        </c:scaling>
        <c:axPos val="b"/>
        <c:title>
          <c:tx>
            <c:rich>
              <a:bodyPr/>
              <a:lstStyle/>
              <a:p>
                <a:pPr>
                  <a:defRPr sz="847" b="0" i="0" u="none" strike="noStrike" baseline="0">
                    <a:solidFill>
                      <a:srgbClr val="000000"/>
                    </a:solidFill>
                    <a:latin typeface="Times New Roman"/>
                    <a:ea typeface="Times New Roman"/>
                    <a:cs typeface="Times New Roman"/>
                  </a:defRPr>
                </a:pPr>
                <a:r>
                  <a:rPr lang="ro-RO"/>
                  <a:t>luna</a:t>
                </a:r>
              </a:p>
            </c:rich>
          </c:tx>
          <c:layout>
            <c:manualLayout>
              <c:xMode val="edge"/>
              <c:yMode val="edge"/>
              <c:x val="0.5379426644182127"/>
              <c:y val="0.79738562091503251"/>
            </c:manualLayout>
          </c:layout>
          <c:spPr>
            <a:noFill/>
            <a:ln w="21505">
              <a:noFill/>
            </a:ln>
          </c:spPr>
        </c:title>
        <c:numFmt formatCode="General" sourceLinked="1"/>
        <c:majorTickMark val="cross"/>
        <c:tickLblPos val="nextTo"/>
        <c:spPr>
          <a:ln w="2688">
            <a:solidFill>
              <a:srgbClr val="000000"/>
            </a:solidFill>
            <a:prstDash val="solid"/>
          </a:ln>
        </c:spPr>
        <c:txPr>
          <a:bodyPr rot="0" vert="horz"/>
          <a:lstStyle/>
          <a:p>
            <a:pPr>
              <a:defRPr sz="847" b="1" i="0" u="none" strike="noStrike" baseline="0">
                <a:solidFill>
                  <a:srgbClr val="000000"/>
                </a:solidFill>
                <a:latin typeface="Arial"/>
                <a:ea typeface="Arial"/>
                <a:cs typeface="Arial"/>
              </a:defRPr>
            </a:pPr>
            <a:endParaRPr lang="ro-RO"/>
          </a:p>
        </c:txPr>
        <c:crossAx val="173461504"/>
        <c:crosses val="autoZero"/>
        <c:lblAlgn val="ctr"/>
        <c:lblOffset val="100"/>
        <c:tickLblSkip val="1"/>
        <c:tickMarkSkip val="1"/>
      </c:catAx>
      <c:valAx>
        <c:axId val="173461504"/>
        <c:scaling>
          <c:orientation val="minMax"/>
          <c:max val="900"/>
          <c:min val="0"/>
        </c:scaling>
        <c:axPos val="l"/>
        <c:majorGridlines>
          <c:spPr>
            <a:ln w="2688">
              <a:solidFill>
                <a:srgbClr val="000000"/>
              </a:solidFill>
              <a:prstDash val="solid"/>
            </a:ln>
          </c:spPr>
        </c:majorGridlines>
        <c:title>
          <c:tx>
            <c:rich>
              <a:bodyPr/>
              <a:lstStyle/>
              <a:p>
                <a:pPr>
                  <a:defRPr sz="847" b="1" i="0" u="none" strike="noStrike" baseline="0">
                    <a:solidFill>
                      <a:srgbClr val="000000"/>
                    </a:solidFill>
                    <a:latin typeface="Arial"/>
                    <a:ea typeface="Arial"/>
                    <a:cs typeface="Arial"/>
                  </a:defRPr>
                </a:pPr>
                <a:r>
                  <a:rPr lang="vi-VN"/>
                  <a:t>Activitatea beta globală [Bq/m3]</a:t>
                </a:r>
              </a:p>
            </c:rich>
          </c:tx>
          <c:layout>
            <c:manualLayout>
              <c:xMode val="edge"/>
              <c:yMode val="edge"/>
              <c:x val="1.8549747048903883E-2"/>
              <c:y val="0.31372549019607848"/>
            </c:manualLayout>
          </c:layout>
          <c:spPr>
            <a:noFill/>
            <a:ln w="21505">
              <a:noFill/>
            </a:ln>
          </c:spPr>
        </c:title>
        <c:numFmt formatCode="General" sourceLinked="1"/>
        <c:majorTickMark val="cross"/>
        <c:tickLblPos val="nextTo"/>
        <c:spPr>
          <a:ln w="2688">
            <a:solidFill>
              <a:srgbClr val="000000"/>
            </a:solidFill>
            <a:prstDash val="solid"/>
          </a:ln>
        </c:spPr>
        <c:txPr>
          <a:bodyPr rot="0" vert="horz"/>
          <a:lstStyle/>
          <a:p>
            <a:pPr>
              <a:defRPr sz="847" b="0" i="0" u="none" strike="noStrike" baseline="0">
                <a:solidFill>
                  <a:srgbClr val="000000"/>
                </a:solidFill>
                <a:latin typeface="Times New Roman"/>
                <a:ea typeface="Times New Roman"/>
                <a:cs typeface="Times New Roman"/>
              </a:defRPr>
            </a:pPr>
            <a:endParaRPr lang="ro-RO"/>
          </a:p>
        </c:txPr>
        <c:crossAx val="173438848"/>
        <c:crosses val="autoZero"/>
        <c:crossBetween val="between"/>
        <c:majorUnit val="100"/>
        <c:minorUnit val="100"/>
      </c:valAx>
      <c:spPr>
        <a:blipFill dpi="0" rotWithShape="0">
          <a:blip xmlns:r="http://schemas.openxmlformats.org/officeDocument/2006/relationships" r:embed="rId1"/>
          <a:srcRect/>
          <a:tile tx="0" ty="0" sx="100000" sy="100000" flip="none" algn="tl"/>
        </a:blipFill>
        <a:ln w="21505">
          <a:noFill/>
        </a:ln>
      </c:spPr>
    </c:plotArea>
    <c:legend>
      <c:legendPos val="b"/>
      <c:layout>
        <c:manualLayout>
          <c:xMode val="edge"/>
          <c:yMode val="edge"/>
          <c:x val="0.47892074198988294"/>
          <c:y val="0.91176470588235192"/>
          <c:w val="0.20741989881956188"/>
          <c:h val="7.8431372549019607E-2"/>
        </c:manualLayout>
      </c:layout>
      <c:spPr>
        <a:solidFill>
          <a:srgbClr val="FFFFFF"/>
        </a:solidFill>
        <a:ln w="2688">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ro-RO"/>
        </a:p>
      </c:txPr>
    </c:legend>
    <c:plotVisOnly val="1"/>
    <c:dispBlanksAs val="gap"/>
  </c:chart>
  <c:spPr>
    <a:noFill/>
    <a:ln w="2688">
      <a:solidFill>
        <a:srgbClr val="000000"/>
      </a:solidFill>
      <a:prstDash val="solid"/>
    </a:ln>
  </c:spPr>
  <c:txPr>
    <a:bodyPr/>
    <a:lstStyle/>
    <a:p>
      <a:pPr>
        <a:defRPr sz="847" b="0" i="0" u="none" strike="noStrike" baseline="0">
          <a:solidFill>
            <a:srgbClr val="000000"/>
          </a:solidFill>
          <a:latin typeface="Times New Roman"/>
          <a:ea typeface="Times New Roman"/>
          <a:cs typeface="Times New Roman"/>
        </a:defRPr>
      </a:pPr>
      <a:endParaRPr lang="ro-RO"/>
    </a:p>
  </c:txPr>
  <c:externalData r:id="rId2"/>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16" b="1" i="0" u="none" strike="noStrike" baseline="0">
                <a:solidFill>
                  <a:srgbClr val="000000"/>
                </a:solidFill>
                <a:latin typeface="Arial"/>
                <a:ea typeface="Arial"/>
                <a:cs typeface="Arial"/>
              </a:defRPr>
            </a:pPr>
            <a:r>
              <a:rPr lang="vi-VN"/>
              <a:t>RÂU BUZĂU- Activitate beta globală medie anuală  (Bq/mc)</a:t>
            </a:r>
          </a:p>
        </c:rich>
      </c:tx>
      <c:layout>
        <c:manualLayout>
          <c:xMode val="edge"/>
          <c:yMode val="edge"/>
          <c:x val="0.10124333925399646"/>
          <c:y val="1.8939393939393936E-2"/>
        </c:manualLayout>
      </c:layout>
      <c:spPr>
        <a:noFill/>
        <a:ln w="21504">
          <a:noFill/>
        </a:ln>
      </c:spPr>
    </c:title>
    <c:plotArea>
      <c:layout>
        <c:manualLayout>
          <c:layoutTarget val="inner"/>
          <c:xMode val="edge"/>
          <c:yMode val="edge"/>
          <c:x val="0.15097690941385436"/>
          <c:y val="0.2348484848484852"/>
          <c:w val="0.48490230905861503"/>
          <c:h val="0.46590909090909088"/>
        </c:manualLayout>
      </c:layout>
      <c:barChart>
        <c:barDir val="col"/>
        <c:grouping val="clustered"/>
        <c:ser>
          <c:idx val="1"/>
          <c:order val="0"/>
          <c:tx>
            <c:strRef>
              <c:f>Sheet1!$A$2</c:f>
              <c:strCache>
                <c:ptCount val="1"/>
                <c:pt idx="0">
                  <c:v>activitatea beta globala medie anuala</c:v>
                </c:pt>
              </c:strCache>
            </c:strRef>
          </c:tx>
          <c:spPr>
            <a:solidFill>
              <a:srgbClr val="FF6600"/>
            </a:solidFill>
            <a:ln w="10752">
              <a:solidFill>
                <a:srgbClr val="000000"/>
              </a:solidFill>
              <a:prstDash val="solid"/>
            </a:ln>
          </c:spPr>
          <c:dLbls>
            <c:spPr>
              <a:noFill/>
              <a:ln w="21504">
                <a:noFill/>
              </a:ln>
            </c:spPr>
            <c:txPr>
              <a:bodyPr/>
              <a:lstStyle/>
              <a:p>
                <a:pPr>
                  <a:defRPr sz="847" b="0" i="0" u="none" strike="noStrike" baseline="0">
                    <a:solidFill>
                      <a:srgbClr val="000000"/>
                    </a:solidFill>
                    <a:latin typeface="Arial"/>
                    <a:ea typeface="Arial"/>
                    <a:cs typeface="Arial"/>
                  </a:defRPr>
                </a:pPr>
                <a:endParaRPr lang="ro-RO"/>
              </a:p>
            </c:txPr>
            <c:showVal val="1"/>
          </c:dLbls>
          <c:cat>
            <c:numRef>
              <c:f>Sheet1!$B$1:$J$1</c:f>
              <c:numCache>
                <c:formatCode>General</c:formatCode>
                <c:ptCount val="9"/>
                <c:pt idx="1">
                  <c:v>2007</c:v>
                </c:pt>
                <c:pt idx="2">
                  <c:v>2008</c:v>
                </c:pt>
                <c:pt idx="3">
                  <c:v>2009</c:v>
                </c:pt>
                <c:pt idx="4">
                  <c:v>2010</c:v>
                </c:pt>
                <c:pt idx="5">
                  <c:v>2011</c:v>
                </c:pt>
                <c:pt idx="6">
                  <c:v>2012</c:v>
                </c:pt>
                <c:pt idx="7">
                  <c:v>2013</c:v>
                </c:pt>
                <c:pt idx="8">
                  <c:v>2014</c:v>
                </c:pt>
              </c:numCache>
            </c:numRef>
          </c:cat>
          <c:val>
            <c:numRef>
              <c:f>Sheet1!$B$2:$J$2</c:f>
              <c:numCache>
                <c:formatCode>General</c:formatCode>
                <c:ptCount val="9"/>
                <c:pt idx="1">
                  <c:v>187.63</c:v>
                </c:pt>
                <c:pt idx="2">
                  <c:v>156.35000000000016</c:v>
                </c:pt>
                <c:pt idx="3">
                  <c:v>179.15</c:v>
                </c:pt>
                <c:pt idx="4">
                  <c:v>288.48999999999961</c:v>
                </c:pt>
                <c:pt idx="5">
                  <c:v>264.89</c:v>
                </c:pt>
                <c:pt idx="6">
                  <c:v>242.9</c:v>
                </c:pt>
                <c:pt idx="7">
                  <c:v>234.4</c:v>
                </c:pt>
                <c:pt idx="8">
                  <c:v>269.63</c:v>
                </c:pt>
              </c:numCache>
            </c:numRef>
          </c:val>
        </c:ser>
        <c:dLbls>
          <c:showVal val="1"/>
        </c:dLbls>
        <c:axId val="173818240"/>
        <c:axId val="173820160"/>
      </c:barChart>
      <c:catAx>
        <c:axId val="173818240"/>
        <c:scaling>
          <c:orientation val="minMax"/>
        </c:scaling>
        <c:axPos val="b"/>
        <c:title>
          <c:tx>
            <c:rich>
              <a:bodyPr/>
              <a:lstStyle/>
              <a:p>
                <a:pPr>
                  <a:defRPr sz="847" b="1" i="0" u="none" strike="noStrike" baseline="0">
                    <a:solidFill>
                      <a:srgbClr val="000000"/>
                    </a:solidFill>
                    <a:latin typeface="Arial"/>
                    <a:ea typeface="Arial"/>
                    <a:cs typeface="Arial"/>
                  </a:defRPr>
                </a:pPr>
                <a:r>
                  <a:rPr lang="ro-RO"/>
                  <a:t>anul</a:t>
                </a:r>
              </a:p>
            </c:rich>
          </c:tx>
          <c:layout>
            <c:manualLayout>
              <c:xMode val="edge"/>
              <c:yMode val="edge"/>
              <c:x val="0.36234458259325092"/>
              <c:y val="0.87121212121212055"/>
            </c:manualLayout>
          </c:layout>
          <c:spPr>
            <a:noFill/>
            <a:ln w="21504">
              <a:noFill/>
            </a:ln>
          </c:spPr>
        </c:title>
        <c:numFmt formatCode="General" sourceLinked="1"/>
        <c:majorTickMark val="cross"/>
        <c:tickLblPos val="nextTo"/>
        <c:spPr>
          <a:ln w="2688">
            <a:solidFill>
              <a:srgbClr val="000000"/>
            </a:solidFill>
            <a:prstDash val="solid"/>
          </a:ln>
        </c:spPr>
        <c:txPr>
          <a:bodyPr rot="-2700000" vert="horz"/>
          <a:lstStyle/>
          <a:p>
            <a:pPr>
              <a:defRPr sz="847" b="0" i="0" u="none" strike="noStrike" baseline="0">
                <a:solidFill>
                  <a:srgbClr val="000000"/>
                </a:solidFill>
                <a:latin typeface="Arial"/>
                <a:ea typeface="Arial"/>
                <a:cs typeface="Arial"/>
              </a:defRPr>
            </a:pPr>
            <a:endParaRPr lang="ro-RO"/>
          </a:p>
        </c:txPr>
        <c:crossAx val="173820160"/>
        <c:crosses val="autoZero"/>
        <c:lblAlgn val="ctr"/>
        <c:lblOffset val="100"/>
        <c:tickLblSkip val="1"/>
        <c:tickMarkSkip val="1"/>
      </c:catAx>
      <c:valAx>
        <c:axId val="173820160"/>
        <c:scaling>
          <c:orientation val="minMax"/>
          <c:max val="400"/>
        </c:scaling>
        <c:axPos val="l"/>
        <c:majorGridlines>
          <c:spPr>
            <a:ln w="2688">
              <a:solidFill>
                <a:srgbClr val="000000"/>
              </a:solidFill>
              <a:prstDash val="solid"/>
            </a:ln>
          </c:spPr>
        </c:majorGridlines>
        <c:title>
          <c:tx>
            <c:rich>
              <a:bodyPr/>
              <a:lstStyle/>
              <a:p>
                <a:pPr>
                  <a:defRPr sz="847" b="1" i="0" u="none" strike="noStrike" baseline="0">
                    <a:solidFill>
                      <a:srgbClr val="000000"/>
                    </a:solidFill>
                    <a:latin typeface="Arial"/>
                    <a:ea typeface="Arial"/>
                    <a:cs typeface="Arial"/>
                  </a:defRPr>
                </a:pPr>
                <a:r>
                  <a:rPr lang="vi-VN"/>
                  <a:t>Activitatea beta globală (Bq/mc)</a:t>
                </a:r>
              </a:p>
            </c:rich>
          </c:tx>
          <c:layout>
            <c:manualLayout>
              <c:xMode val="edge"/>
              <c:yMode val="edge"/>
              <c:x val="1.9538188277087074E-2"/>
              <c:y val="0.17045454545454539"/>
            </c:manualLayout>
          </c:layout>
          <c:spPr>
            <a:noFill/>
            <a:ln w="21504">
              <a:noFill/>
            </a:ln>
          </c:spPr>
        </c:title>
        <c:numFmt formatCode="General" sourceLinked="1"/>
        <c:majorTickMark val="cross"/>
        <c:tickLblPos val="nextTo"/>
        <c:spPr>
          <a:ln w="2688">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ro-RO"/>
          </a:p>
        </c:txPr>
        <c:crossAx val="173818240"/>
        <c:crosses val="autoZero"/>
        <c:crossBetween val="between"/>
        <c:majorUnit val="100"/>
        <c:minorUnit val="100"/>
      </c:valAx>
      <c:spPr>
        <a:blipFill dpi="0" rotWithShape="0">
          <a:blip xmlns:r="http://schemas.openxmlformats.org/officeDocument/2006/relationships" r:embed="rId1"/>
          <a:srcRect/>
          <a:tile tx="0" ty="0" sx="100000" sy="100000" flip="none" algn="tl"/>
        </a:blipFill>
        <a:ln w="10752">
          <a:solidFill>
            <a:srgbClr val="C0C0C0"/>
          </a:solidFill>
          <a:prstDash val="solid"/>
        </a:ln>
      </c:spPr>
    </c:plotArea>
    <c:legend>
      <c:legendPos val="r"/>
      <c:layout>
        <c:manualLayout>
          <c:xMode val="edge"/>
          <c:yMode val="edge"/>
          <c:x val="0.66607460035524046"/>
          <c:y val="0.39772727272727326"/>
          <c:w val="0.32682060390763867"/>
          <c:h val="0.14015151515151497"/>
        </c:manualLayout>
      </c:layout>
      <c:spPr>
        <a:solidFill>
          <a:srgbClr val="FFFFFF"/>
        </a:solidFill>
        <a:ln w="2688">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ro-RO"/>
        </a:p>
      </c:txPr>
    </c:legend>
    <c:plotVisOnly val="1"/>
    <c:dispBlanksAs val="gap"/>
  </c:chart>
  <c:spPr>
    <a:noFill/>
    <a:ln w="2688">
      <a:solidFill>
        <a:srgbClr val="000000"/>
      </a:solidFill>
      <a:prstDash val="solid"/>
    </a:ln>
  </c:spPr>
  <c:txPr>
    <a:bodyPr/>
    <a:lstStyle/>
    <a:p>
      <a:pPr>
        <a:defRPr sz="847" b="0" i="0" u="none" strike="noStrike" baseline="0">
          <a:solidFill>
            <a:srgbClr val="000000"/>
          </a:solidFill>
          <a:latin typeface="Arial"/>
          <a:ea typeface="Arial"/>
          <a:cs typeface="Arial"/>
        </a:defRPr>
      </a:pPr>
      <a:endParaRPr lang="ro-RO"/>
    </a:p>
  </c:txPr>
  <c:externalData r:id="rId2"/>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14" b="1" i="0" u="none" strike="noStrike" baseline="0">
                <a:solidFill>
                  <a:srgbClr val="000000"/>
                </a:solidFill>
                <a:latin typeface="Arial"/>
                <a:ea typeface="Arial"/>
                <a:cs typeface="Arial"/>
              </a:defRPr>
            </a:pPr>
            <a:r>
              <a:rPr lang="vi-VN"/>
              <a:t>Activitatea beta globală a apei adâncime - foraj F12 CRÂNG-BUZĂU anul 2014</a:t>
            </a:r>
          </a:p>
        </c:rich>
      </c:tx>
      <c:layout>
        <c:manualLayout>
          <c:xMode val="edge"/>
          <c:yMode val="edge"/>
          <c:x val="9.9843993759750491E-2"/>
          <c:y val="1.9531250000000003E-2"/>
        </c:manualLayout>
      </c:layout>
      <c:spPr>
        <a:noFill/>
        <a:ln w="21472">
          <a:noFill/>
        </a:ln>
      </c:spPr>
    </c:title>
    <c:plotArea>
      <c:layout>
        <c:manualLayout>
          <c:layoutTarget val="inner"/>
          <c:xMode val="edge"/>
          <c:yMode val="edge"/>
          <c:x val="0.12792511700468018"/>
          <c:y val="0.32031250000000067"/>
          <c:w val="0.64742589703588305"/>
          <c:h val="0.42968750000000033"/>
        </c:manualLayout>
      </c:layout>
      <c:barChart>
        <c:barDir val="col"/>
        <c:grouping val="clustered"/>
        <c:ser>
          <c:idx val="1"/>
          <c:order val="0"/>
          <c:tx>
            <c:strRef>
              <c:f>Sheet1!$A$2</c:f>
              <c:strCache>
                <c:ptCount val="1"/>
                <c:pt idx="0">
                  <c:v>Apa foraj Buzau im</c:v>
                </c:pt>
              </c:strCache>
            </c:strRef>
          </c:tx>
          <c:spPr>
            <a:solidFill>
              <a:srgbClr val="FF6600"/>
            </a:solidFill>
            <a:ln w="10736">
              <a:solidFill>
                <a:srgbClr val="000000"/>
              </a:solidFill>
              <a:prstDash val="solid"/>
            </a:ln>
          </c:spPr>
          <c:cat>
            <c:strRef>
              <c:f>Sheet1!$B$1:$M$1</c:f>
              <c:strCache>
                <c:ptCount val="12"/>
                <c:pt idx="0">
                  <c:v>ian</c:v>
                </c:pt>
                <c:pt idx="1">
                  <c:v>feb</c:v>
                </c:pt>
                <c:pt idx="2">
                  <c:v>mart</c:v>
                </c:pt>
                <c:pt idx="3">
                  <c:v>apr</c:v>
                </c:pt>
                <c:pt idx="4">
                  <c:v>mai</c:v>
                </c:pt>
                <c:pt idx="5">
                  <c:v>iun</c:v>
                </c:pt>
                <c:pt idx="6">
                  <c:v>iul</c:v>
                </c:pt>
                <c:pt idx="7">
                  <c:v>aug</c:v>
                </c:pt>
                <c:pt idx="8">
                  <c:v>sept</c:v>
                </c:pt>
                <c:pt idx="9">
                  <c:v>oct </c:v>
                </c:pt>
                <c:pt idx="10">
                  <c:v>nov</c:v>
                </c:pt>
                <c:pt idx="11">
                  <c:v>dec</c:v>
                </c:pt>
              </c:strCache>
            </c:strRef>
          </c:cat>
          <c:val>
            <c:numRef>
              <c:f>Sheet1!$B$2:$M$2</c:f>
              <c:numCache>
                <c:formatCode>General</c:formatCode>
                <c:ptCount val="12"/>
                <c:pt idx="0">
                  <c:v>193.7</c:v>
                </c:pt>
                <c:pt idx="1">
                  <c:v>172.5</c:v>
                </c:pt>
                <c:pt idx="2">
                  <c:v>186.5</c:v>
                </c:pt>
                <c:pt idx="3">
                  <c:v>210.3</c:v>
                </c:pt>
                <c:pt idx="4">
                  <c:v>212.4</c:v>
                </c:pt>
                <c:pt idx="5">
                  <c:v>202.5</c:v>
                </c:pt>
                <c:pt idx="6">
                  <c:v>187.6</c:v>
                </c:pt>
                <c:pt idx="7">
                  <c:v>174.7</c:v>
                </c:pt>
                <c:pt idx="8">
                  <c:v>188.7</c:v>
                </c:pt>
                <c:pt idx="9">
                  <c:v>168.3</c:v>
                </c:pt>
                <c:pt idx="10">
                  <c:v>162.80000000000001</c:v>
                </c:pt>
                <c:pt idx="11">
                  <c:v>562.6</c:v>
                </c:pt>
              </c:numCache>
            </c:numRef>
          </c:val>
        </c:ser>
        <c:axId val="174164224"/>
        <c:axId val="98828672"/>
      </c:barChart>
      <c:catAx>
        <c:axId val="174164224"/>
        <c:scaling>
          <c:orientation val="minMax"/>
        </c:scaling>
        <c:axPos val="b"/>
        <c:title>
          <c:tx>
            <c:rich>
              <a:bodyPr/>
              <a:lstStyle/>
              <a:p>
                <a:pPr>
                  <a:defRPr sz="845" b="1" i="0" u="none" strike="noStrike" baseline="0">
                    <a:solidFill>
                      <a:srgbClr val="000000"/>
                    </a:solidFill>
                    <a:latin typeface="Arial"/>
                    <a:ea typeface="Arial"/>
                    <a:cs typeface="Arial"/>
                  </a:defRPr>
                </a:pPr>
                <a:r>
                  <a:rPr lang="ro-RO"/>
                  <a:t>luna</a:t>
                </a:r>
              </a:p>
            </c:rich>
          </c:tx>
          <c:layout>
            <c:manualLayout>
              <c:xMode val="edge"/>
              <c:yMode val="edge"/>
              <c:x val="0.42433697347893956"/>
              <c:y val="0.8671875"/>
            </c:manualLayout>
          </c:layout>
          <c:spPr>
            <a:noFill/>
            <a:ln w="21472">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ro-RO"/>
          </a:p>
        </c:txPr>
        <c:crossAx val="98828672"/>
        <c:crosses val="autoZero"/>
        <c:lblAlgn val="ctr"/>
        <c:lblOffset val="100"/>
        <c:tickLblSkip val="1"/>
        <c:tickMarkSkip val="1"/>
      </c:catAx>
      <c:valAx>
        <c:axId val="98828672"/>
        <c:scaling>
          <c:orientation val="minMax"/>
          <c:max val="600"/>
        </c:scaling>
        <c:axPos val="l"/>
        <c:majorGridlines>
          <c:spPr>
            <a:ln w="2684">
              <a:solidFill>
                <a:srgbClr val="000000"/>
              </a:solidFill>
              <a:prstDash val="solid"/>
            </a:ln>
          </c:spPr>
        </c:majorGridlines>
        <c:title>
          <c:tx>
            <c:rich>
              <a:bodyPr/>
              <a:lstStyle/>
              <a:p>
                <a:pPr>
                  <a:defRPr sz="845" b="1" i="0" u="none" strike="noStrike" baseline="0">
                    <a:solidFill>
                      <a:srgbClr val="000000"/>
                    </a:solidFill>
                    <a:latin typeface="Arial"/>
                    <a:ea typeface="Arial"/>
                    <a:cs typeface="Arial"/>
                  </a:defRPr>
                </a:pPr>
                <a:r>
                  <a:rPr lang="vi-VN"/>
                  <a:t>Activitatea beta globală [Bq/mc]</a:t>
                </a:r>
              </a:p>
            </c:rich>
          </c:tx>
          <c:layout>
            <c:manualLayout>
              <c:xMode val="edge"/>
              <c:yMode val="edge"/>
              <c:x val="1.7160686427457102E-2"/>
              <c:y val="0.32812500000000033"/>
            </c:manualLayout>
          </c:layout>
          <c:spPr>
            <a:noFill/>
            <a:ln w="21472">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Times New Roman"/>
                <a:ea typeface="Times New Roman"/>
                <a:cs typeface="Times New Roman"/>
              </a:defRPr>
            </a:pPr>
            <a:endParaRPr lang="ro-RO"/>
          </a:p>
        </c:txPr>
        <c:crossAx val="174164224"/>
        <c:crosses val="autoZero"/>
        <c:crossBetween val="between"/>
        <c:majorUnit val="100"/>
        <c:minorUnit val="100"/>
      </c:valAx>
      <c:spPr>
        <a:blipFill dpi="0" rotWithShape="0">
          <a:blip xmlns:r="http://schemas.openxmlformats.org/officeDocument/2006/relationships" r:embed="rId1"/>
          <a:srcRect/>
          <a:tile tx="0" ty="0" sx="100000" sy="100000" flip="none" algn="tl"/>
        </a:blipFill>
        <a:ln w="10736">
          <a:solidFill>
            <a:srgbClr val="808080"/>
          </a:solidFill>
          <a:prstDash val="solid"/>
        </a:ln>
      </c:spPr>
    </c:plotArea>
    <c:legend>
      <c:legendPos val="r"/>
      <c:layout>
        <c:manualLayout>
          <c:xMode val="edge"/>
          <c:yMode val="edge"/>
          <c:x val="0.79095163806552327"/>
          <c:y val="0.48828125"/>
          <c:w val="0.20280811232449314"/>
          <c:h val="8.5937500000000028E-2"/>
        </c:manualLayout>
      </c:layout>
      <c:spPr>
        <a:solidFill>
          <a:srgbClr val="FFFFFF"/>
        </a:solidFill>
        <a:ln w="2684">
          <a:solidFill>
            <a:srgbClr val="000000"/>
          </a:solidFill>
          <a:prstDash val="solid"/>
        </a:ln>
      </c:spPr>
      <c:txPr>
        <a:bodyPr/>
        <a:lstStyle/>
        <a:p>
          <a:pPr>
            <a:defRPr sz="778" b="0" i="0" u="none" strike="noStrike" baseline="0">
              <a:solidFill>
                <a:srgbClr val="000000"/>
              </a:solidFill>
              <a:latin typeface="Arial"/>
              <a:ea typeface="Arial"/>
              <a:cs typeface="Arial"/>
            </a:defRPr>
          </a:pPr>
          <a:endParaRPr lang="ro-RO"/>
        </a:p>
      </c:txPr>
    </c:legend>
    <c:plotVisOnly val="1"/>
    <c:dispBlanksAs val="gap"/>
  </c:chart>
  <c:spPr>
    <a:solidFill>
      <a:srgbClr val="FFFFFF"/>
    </a:solidFill>
    <a:ln w="2684">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ro-RO"/>
    </a:p>
  </c:txPr>
  <c:externalData r:id="rId2"/>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16" b="1" i="0" u="none" strike="noStrike" baseline="0">
                <a:solidFill>
                  <a:srgbClr val="000000"/>
                </a:solidFill>
                <a:latin typeface="Arial"/>
                <a:ea typeface="Arial"/>
                <a:cs typeface="Arial"/>
              </a:defRPr>
            </a:pPr>
            <a:r>
              <a:rPr lang="vi-VN"/>
              <a:t>FORAJ F12 CRÂNG BUZĂU- Activitate beta globală medie anuală (Bq/mc)</a:t>
            </a:r>
          </a:p>
        </c:rich>
      </c:tx>
      <c:layout>
        <c:manualLayout>
          <c:xMode val="edge"/>
          <c:yMode val="edge"/>
          <c:x val="0.10834813499111912"/>
          <c:y val="1.8939393939393936E-2"/>
        </c:manualLayout>
      </c:layout>
      <c:spPr>
        <a:noFill/>
        <a:ln w="21504">
          <a:noFill/>
        </a:ln>
      </c:spPr>
    </c:title>
    <c:plotArea>
      <c:layout>
        <c:manualLayout>
          <c:layoutTarget val="inner"/>
          <c:xMode val="edge"/>
          <c:yMode val="edge"/>
          <c:x val="0.15097690941385436"/>
          <c:y val="0.31439393939393973"/>
          <c:w val="0.48490230905861503"/>
          <c:h val="0.38636363636363674"/>
        </c:manualLayout>
      </c:layout>
      <c:barChart>
        <c:barDir val="col"/>
        <c:grouping val="clustered"/>
        <c:ser>
          <c:idx val="1"/>
          <c:order val="0"/>
          <c:tx>
            <c:strRef>
              <c:f>Sheet1!$A$2</c:f>
              <c:strCache>
                <c:ptCount val="1"/>
                <c:pt idx="0">
                  <c:v>activitatea beta globala medie anuala</c:v>
                </c:pt>
              </c:strCache>
            </c:strRef>
          </c:tx>
          <c:spPr>
            <a:solidFill>
              <a:srgbClr val="FF6600"/>
            </a:solidFill>
            <a:ln w="10752">
              <a:solidFill>
                <a:srgbClr val="000000"/>
              </a:solidFill>
              <a:prstDash val="solid"/>
            </a:ln>
          </c:spPr>
          <c:dLbls>
            <c:spPr>
              <a:noFill/>
              <a:ln w="21504">
                <a:noFill/>
              </a:ln>
            </c:spPr>
            <c:txPr>
              <a:bodyPr/>
              <a:lstStyle/>
              <a:p>
                <a:pPr>
                  <a:defRPr sz="847" b="0" i="0" u="none" strike="noStrike" baseline="0">
                    <a:solidFill>
                      <a:srgbClr val="000000"/>
                    </a:solidFill>
                    <a:latin typeface="Arial"/>
                    <a:ea typeface="Arial"/>
                    <a:cs typeface="Arial"/>
                  </a:defRPr>
                </a:pPr>
                <a:endParaRPr lang="ro-RO"/>
              </a:p>
            </c:txPr>
            <c:showVal val="1"/>
          </c:dLbls>
          <c:cat>
            <c:numRef>
              <c:f>Sheet1!$B$1:$K$1</c:f>
              <c:numCache>
                <c:formatCode>General</c:formatCode>
                <c:ptCount val="10"/>
                <c:pt idx="1">
                  <c:v>2006</c:v>
                </c:pt>
                <c:pt idx="2">
                  <c:v>2007</c:v>
                </c:pt>
                <c:pt idx="3">
                  <c:v>2008</c:v>
                </c:pt>
                <c:pt idx="4">
                  <c:v>2009</c:v>
                </c:pt>
                <c:pt idx="5">
                  <c:v>2010</c:v>
                </c:pt>
                <c:pt idx="6">
                  <c:v>2011</c:v>
                </c:pt>
                <c:pt idx="7">
                  <c:v>2012</c:v>
                </c:pt>
                <c:pt idx="8">
                  <c:v>2013</c:v>
                </c:pt>
                <c:pt idx="9">
                  <c:v>2014</c:v>
                </c:pt>
              </c:numCache>
            </c:numRef>
          </c:cat>
          <c:val>
            <c:numRef>
              <c:f>Sheet1!$B$2:$K$2</c:f>
              <c:numCache>
                <c:formatCode>General</c:formatCode>
                <c:ptCount val="10"/>
                <c:pt idx="1">
                  <c:v>172.2</c:v>
                </c:pt>
                <c:pt idx="2">
                  <c:v>155.31</c:v>
                </c:pt>
                <c:pt idx="3">
                  <c:v>131.19999999999999</c:v>
                </c:pt>
                <c:pt idx="4">
                  <c:v>146.9</c:v>
                </c:pt>
                <c:pt idx="5">
                  <c:v>182.79</c:v>
                </c:pt>
                <c:pt idx="6">
                  <c:v>249</c:v>
                </c:pt>
                <c:pt idx="7">
                  <c:v>232.29</c:v>
                </c:pt>
                <c:pt idx="8">
                  <c:v>182.95000000000007</c:v>
                </c:pt>
                <c:pt idx="9">
                  <c:v>219.35000000000016</c:v>
                </c:pt>
              </c:numCache>
            </c:numRef>
          </c:val>
        </c:ser>
        <c:dLbls>
          <c:showVal val="1"/>
        </c:dLbls>
        <c:axId val="174134016"/>
        <c:axId val="174135936"/>
      </c:barChart>
      <c:catAx>
        <c:axId val="174134016"/>
        <c:scaling>
          <c:orientation val="minMax"/>
        </c:scaling>
        <c:axPos val="b"/>
        <c:title>
          <c:tx>
            <c:rich>
              <a:bodyPr/>
              <a:lstStyle/>
              <a:p>
                <a:pPr>
                  <a:defRPr sz="847" b="1" i="0" u="none" strike="noStrike" baseline="0">
                    <a:solidFill>
                      <a:srgbClr val="000000"/>
                    </a:solidFill>
                    <a:latin typeface="Arial"/>
                    <a:ea typeface="Arial"/>
                    <a:cs typeface="Arial"/>
                  </a:defRPr>
                </a:pPr>
                <a:r>
                  <a:rPr lang="ro-RO"/>
                  <a:t>anul</a:t>
                </a:r>
              </a:p>
            </c:rich>
          </c:tx>
          <c:layout>
            <c:manualLayout>
              <c:xMode val="edge"/>
              <c:yMode val="edge"/>
              <c:x val="0.36234458259325092"/>
              <c:y val="0.87121212121212055"/>
            </c:manualLayout>
          </c:layout>
          <c:spPr>
            <a:noFill/>
            <a:ln w="21504">
              <a:noFill/>
            </a:ln>
          </c:spPr>
        </c:title>
        <c:numFmt formatCode="General" sourceLinked="1"/>
        <c:majorTickMark val="cross"/>
        <c:tickLblPos val="nextTo"/>
        <c:spPr>
          <a:ln w="2688">
            <a:solidFill>
              <a:srgbClr val="000000"/>
            </a:solidFill>
            <a:prstDash val="solid"/>
          </a:ln>
        </c:spPr>
        <c:txPr>
          <a:bodyPr rot="-2700000" vert="horz"/>
          <a:lstStyle/>
          <a:p>
            <a:pPr>
              <a:defRPr sz="847" b="0" i="0" u="none" strike="noStrike" baseline="0">
                <a:solidFill>
                  <a:srgbClr val="000000"/>
                </a:solidFill>
                <a:latin typeface="Arial"/>
                <a:ea typeface="Arial"/>
                <a:cs typeface="Arial"/>
              </a:defRPr>
            </a:pPr>
            <a:endParaRPr lang="ro-RO"/>
          </a:p>
        </c:txPr>
        <c:crossAx val="174135936"/>
        <c:crosses val="autoZero"/>
        <c:lblAlgn val="ctr"/>
        <c:lblOffset val="100"/>
        <c:tickLblSkip val="1"/>
        <c:tickMarkSkip val="1"/>
      </c:catAx>
      <c:valAx>
        <c:axId val="174135936"/>
        <c:scaling>
          <c:orientation val="minMax"/>
          <c:max val="300"/>
        </c:scaling>
        <c:axPos val="l"/>
        <c:majorGridlines>
          <c:spPr>
            <a:ln w="2688">
              <a:solidFill>
                <a:srgbClr val="000000"/>
              </a:solidFill>
              <a:prstDash val="solid"/>
            </a:ln>
          </c:spPr>
        </c:majorGridlines>
        <c:title>
          <c:tx>
            <c:rich>
              <a:bodyPr/>
              <a:lstStyle/>
              <a:p>
                <a:pPr>
                  <a:defRPr sz="847" b="1" i="0" u="none" strike="noStrike" baseline="0">
                    <a:solidFill>
                      <a:srgbClr val="000000"/>
                    </a:solidFill>
                    <a:latin typeface="Arial"/>
                    <a:ea typeface="Arial"/>
                    <a:cs typeface="Arial"/>
                  </a:defRPr>
                </a:pPr>
                <a:r>
                  <a:rPr lang="vi-VN"/>
                  <a:t>Activitatea beta globală (Bq/mc)</a:t>
                </a:r>
              </a:p>
            </c:rich>
          </c:tx>
          <c:layout>
            <c:manualLayout>
              <c:xMode val="edge"/>
              <c:yMode val="edge"/>
              <c:x val="1.9538188277087074E-2"/>
              <c:y val="0.30681818181818238"/>
            </c:manualLayout>
          </c:layout>
          <c:spPr>
            <a:noFill/>
            <a:ln w="21504">
              <a:noFill/>
            </a:ln>
          </c:spPr>
        </c:title>
        <c:numFmt formatCode="General" sourceLinked="1"/>
        <c:majorTickMark val="cross"/>
        <c:tickLblPos val="nextTo"/>
        <c:spPr>
          <a:ln w="2688">
            <a:solidFill>
              <a:srgbClr val="000000"/>
            </a:solidFill>
            <a:prstDash val="solid"/>
          </a:ln>
        </c:spPr>
        <c:txPr>
          <a:bodyPr rot="0" vert="horz"/>
          <a:lstStyle/>
          <a:p>
            <a:pPr>
              <a:defRPr sz="847" b="0" i="0" u="none" strike="noStrike" baseline="0">
                <a:solidFill>
                  <a:srgbClr val="000000"/>
                </a:solidFill>
                <a:latin typeface="Arial"/>
                <a:ea typeface="Arial"/>
                <a:cs typeface="Arial"/>
              </a:defRPr>
            </a:pPr>
            <a:endParaRPr lang="ro-RO"/>
          </a:p>
        </c:txPr>
        <c:crossAx val="174134016"/>
        <c:crosses val="autoZero"/>
        <c:crossBetween val="between"/>
        <c:majorUnit val="50"/>
        <c:minorUnit val="50"/>
      </c:valAx>
      <c:spPr>
        <a:blipFill dpi="0" rotWithShape="0">
          <a:blip xmlns:r="http://schemas.openxmlformats.org/officeDocument/2006/relationships" r:embed="rId1"/>
          <a:srcRect/>
          <a:tile tx="0" ty="0" sx="100000" sy="100000" flip="none" algn="tl"/>
        </a:blipFill>
        <a:ln w="10752">
          <a:solidFill>
            <a:srgbClr val="C0C0C0"/>
          </a:solidFill>
          <a:prstDash val="solid"/>
        </a:ln>
      </c:spPr>
    </c:plotArea>
    <c:legend>
      <c:legendPos val="r"/>
      <c:layout>
        <c:manualLayout>
          <c:xMode val="edge"/>
          <c:yMode val="edge"/>
          <c:x val="0.67140319715808261"/>
          <c:y val="0.45454545454545453"/>
          <c:w val="0.32149200710479625"/>
          <c:h val="0.1212121212121213"/>
        </c:manualLayout>
      </c:layout>
      <c:spPr>
        <a:solidFill>
          <a:srgbClr val="FFFFFF"/>
        </a:solidFill>
        <a:ln w="2688">
          <a:solidFill>
            <a:srgbClr val="000000"/>
          </a:solidFill>
          <a:prstDash val="solid"/>
        </a:ln>
      </c:spPr>
      <c:txPr>
        <a:bodyPr/>
        <a:lstStyle/>
        <a:p>
          <a:pPr>
            <a:defRPr sz="779" b="0" i="0" u="none" strike="noStrike" baseline="0">
              <a:solidFill>
                <a:srgbClr val="000000"/>
              </a:solidFill>
              <a:latin typeface="Arial"/>
              <a:ea typeface="Arial"/>
              <a:cs typeface="Arial"/>
            </a:defRPr>
          </a:pPr>
          <a:endParaRPr lang="ro-RO"/>
        </a:p>
      </c:txPr>
    </c:legend>
    <c:plotVisOnly val="1"/>
    <c:dispBlanksAs val="gap"/>
  </c:chart>
  <c:spPr>
    <a:noFill/>
    <a:ln w="2688">
      <a:solidFill>
        <a:srgbClr val="000000"/>
      </a:solidFill>
      <a:prstDash val="solid"/>
    </a:ln>
  </c:spPr>
  <c:txPr>
    <a:bodyPr/>
    <a:lstStyle/>
    <a:p>
      <a:pPr>
        <a:defRPr sz="847" b="0" i="0" u="none" strike="noStrike" baseline="0">
          <a:solidFill>
            <a:srgbClr val="000000"/>
          </a:solidFill>
          <a:latin typeface="Arial"/>
          <a:ea typeface="Arial"/>
          <a:cs typeface="Arial"/>
        </a:defRPr>
      </a:pPr>
      <a:endParaRPr lang="ro-RO"/>
    </a:p>
  </c:txPr>
  <c:externalData r:id="rId2"/>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47" b="1" i="0" u="none" strike="noStrike" baseline="0">
                <a:solidFill>
                  <a:srgbClr val="000000"/>
                </a:solidFill>
                <a:latin typeface="Arial"/>
                <a:ea typeface="Arial"/>
                <a:cs typeface="Arial"/>
              </a:defRPr>
            </a:pPr>
            <a:r>
              <a:rPr lang="vi-VN"/>
              <a:t>SOL NECULTIVAT- Activitatea beta globală medie lunară [Bq/kg]
</a:t>
            </a:r>
          </a:p>
        </c:rich>
      </c:tx>
      <c:layout>
        <c:manualLayout>
          <c:xMode val="edge"/>
          <c:yMode val="edge"/>
          <c:x val="0.17301587301587301"/>
          <c:y val="2.0833333333333367E-2"/>
        </c:manualLayout>
      </c:layout>
      <c:spPr>
        <a:noFill/>
        <a:ln w="21504">
          <a:noFill/>
        </a:ln>
      </c:spPr>
    </c:title>
    <c:view3D>
      <c:hPercent val="39"/>
      <c:rotY val="0"/>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2698412698412698"/>
          <c:y val="0.20535714285714307"/>
          <c:w val="0.85714285714285765"/>
          <c:h val="0.52678571428571463"/>
        </c:manualLayout>
      </c:layout>
      <c:bar3DChart>
        <c:barDir val="col"/>
        <c:grouping val="clustered"/>
        <c:ser>
          <c:idx val="0"/>
          <c:order val="0"/>
          <c:tx>
            <c:strRef>
              <c:f>Sheet1!$A$2</c:f>
              <c:strCache>
                <c:ptCount val="1"/>
                <c:pt idx="0">
                  <c:v>Activităţi medii</c:v>
                </c:pt>
              </c:strCache>
            </c:strRef>
          </c:tx>
          <c:spPr>
            <a:solidFill>
              <a:srgbClr val="FF6600"/>
            </a:solidFill>
            <a:ln w="10752">
              <a:solidFill>
                <a:srgbClr val="000000"/>
              </a:solidFill>
              <a:prstDash val="solid"/>
            </a:ln>
          </c:spPr>
          <c:dLbls>
            <c:dLbl>
              <c:idx val="3"/>
              <c:layout>
                <c:manualLayout>
                  <c:x val="-2.2729971253587086E-4"/>
                  <c:y val="-1.9297954446445661E-2"/>
                </c:manualLayout>
              </c:layout>
              <c:showVal val="1"/>
            </c:dLbl>
            <c:dLbl>
              <c:idx val="4"/>
              <c:layout>
                <c:manualLayout>
                  <c:x val="-1.1619641294837741E-3"/>
                  <c:y val="-2.0848878716749949E-2"/>
                </c:manualLayout>
              </c:layout>
              <c:showVal val="1"/>
            </c:dLbl>
            <c:dLbl>
              <c:idx val="5"/>
              <c:layout>
                <c:manualLayout>
                  <c:x val="-5.0932695913009246E-4"/>
                  <c:y val="-2.7461588977678402E-2"/>
                </c:manualLayout>
              </c:layout>
              <c:showVal val="1"/>
            </c:dLbl>
            <c:dLbl>
              <c:idx val="6"/>
              <c:layout>
                <c:manualLayout>
                  <c:x val="-1.4439913760778249E-3"/>
                  <c:y val="-1.5417297910015492E-2"/>
                </c:manualLayout>
              </c:layout>
              <c:showVal val="1"/>
            </c:dLbl>
            <c:dLbl>
              <c:idx val="7"/>
              <c:layout>
                <c:manualLayout>
                  <c:x val="-7.9135420572409062E-4"/>
                  <c:y val="-2.1274038722038393E-2"/>
                </c:manualLayout>
              </c:layout>
              <c:showVal val="1"/>
            </c:dLbl>
            <c:dLbl>
              <c:idx val="8"/>
              <c:layout>
                <c:manualLayout>
                  <c:x val="-1.3888107736521551E-4"/>
                  <c:y val="-2.0545312977496344E-2"/>
                </c:manualLayout>
              </c:layout>
              <c:showVal val="1"/>
            </c:dLbl>
            <c:dLbl>
              <c:idx val="9"/>
              <c:layout>
                <c:manualLayout>
                  <c:x val="2.0024293838269811E-3"/>
                  <c:y val="-1.216201117923834E-2"/>
                </c:manualLayout>
              </c:layout>
              <c:showVal val="1"/>
            </c:dLbl>
            <c:spPr>
              <a:noFill/>
              <a:ln w="21504">
                <a:noFill/>
              </a:ln>
            </c:spPr>
            <c:txPr>
              <a:bodyPr/>
              <a:lstStyle/>
              <a:p>
                <a:pPr>
                  <a:defRPr sz="825" b="1" i="0" u="none" strike="noStrike" baseline="0">
                    <a:solidFill>
                      <a:srgbClr val="000000"/>
                    </a:solidFill>
                    <a:latin typeface="Times New Roman"/>
                    <a:ea typeface="Times New Roman"/>
                    <a:cs typeface="Times New Roman"/>
                  </a:defRPr>
                </a:pPr>
                <a:endParaRPr lang="ro-RO"/>
              </a:p>
            </c:txPr>
            <c:showVal val="1"/>
          </c:dLbls>
          <c:cat>
            <c:strRef>
              <c:f>Sheet1!$B$1:$N$1</c:f>
              <c:strCache>
                <c:ptCount val="12"/>
                <c:pt idx="0">
                  <c:v>Ian </c:v>
                </c:pt>
                <c:pt idx="1">
                  <c:v>Feb</c:v>
                </c:pt>
                <c:pt idx="2">
                  <c:v>Mart</c:v>
                </c:pt>
                <c:pt idx="3">
                  <c:v>Apr</c:v>
                </c:pt>
                <c:pt idx="4">
                  <c:v>Mai </c:v>
                </c:pt>
                <c:pt idx="5">
                  <c:v>Iun</c:v>
                </c:pt>
                <c:pt idx="6">
                  <c:v>Iul</c:v>
                </c:pt>
                <c:pt idx="7">
                  <c:v>Aug</c:v>
                </c:pt>
                <c:pt idx="8">
                  <c:v>Sept</c:v>
                </c:pt>
                <c:pt idx="9">
                  <c:v>Oct</c:v>
                </c:pt>
                <c:pt idx="10">
                  <c:v>Nov</c:v>
                </c:pt>
                <c:pt idx="11">
                  <c:v>Dec</c:v>
                </c:pt>
              </c:strCache>
            </c:strRef>
          </c:cat>
          <c:val>
            <c:numRef>
              <c:f>Sheet1!$B$2:$N$2</c:f>
              <c:numCache>
                <c:formatCode>General</c:formatCode>
                <c:ptCount val="13"/>
                <c:pt idx="0">
                  <c:v>381.6</c:v>
                </c:pt>
                <c:pt idx="1">
                  <c:v>361.7</c:v>
                </c:pt>
                <c:pt idx="2">
                  <c:v>436.8</c:v>
                </c:pt>
                <c:pt idx="3">
                  <c:v>287.2</c:v>
                </c:pt>
                <c:pt idx="4">
                  <c:v>337.1</c:v>
                </c:pt>
                <c:pt idx="5">
                  <c:v>278.89999999999969</c:v>
                </c:pt>
                <c:pt idx="6">
                  <c:v>369.6</c:v>
                </c:pt>
                <c:pt idx="7">
                  <c:v>288.8</c:v>
                </c:pt>
                <c:pt idx="8">
                  <c:v>323.3</c:v>
                </c:pt>
                <c:pt idx="9">
                  <c:v>451</c:v>
                </c:pt>
                <c:pt idx="10">
                  <c:v>347.1</c:v>
                </c:pt>
                <c:pt idx="11">
                  <c:v>422</c:v>
                </c:pt>
              </c:numCache>
            </c:numRef>
          </c:val>
        </c:ser>
        <c:dLbls>
          <c:showVal val="1"/>
        </c:dLbls>
        <c:gapDepth val="0"/>
        <c:shape val="box"/>
        <c:axId val="174185856"/>
        <c:axId val="174712320"/>
        <c:axId val="0"/>
      </c:bar3DChart>
      <c:catAx>
        <c:axId val="174185856"/>
        <c:scaling>
          <c:orientation val="minMax"/>
        </c:scaling>
        <c:axPos val="b"/>
        <c:title>
          <c:tx>
            <c:rich>
              <a:bodyPr/>
              <a:lstStyle/>
              <a:p>
                <a:pPr>
                  <a:defRPr sz="825" b="1" i="0" u="none" strike="noStrike" baseline="0">
                    <a:solidFill>
                      <a:srgbClr val="000000"/>
                    </a:solidFill>
                    <a:latin typeface="Times New Roman"/>
                    <a:ea typeface="Times New Roman"/>
                    <a:cs typeface="Times New Roman"/>
                  </a:defRPr>
                </a:pPr>
                <a:r>
                  <a:rPr lang="ro-RO"/>
                  <a:t>luna</a:t>
                </a:r>
              </a:p>
            </c:rich>
          </c:tx>
          <c:layout>
            <c:manualLayout>
              <c:xMode val="edge"/>
              <c:yMode val="edge"/>
              <c:x val="0.53492063492063491"/>
              <c:y val="0.80654761904761907"/>
            </c:manualLayout>
          </c:layout>
          <c:spPr>
            <a:noFill/>
            <a:ln w="21504">
              <a:noFill/>
            </a:ln>
          </c:spPr>
        </c:title>
        <c:numFmt formatCode="General" sourceLinked="1"/>
        <c:tickLblPos val="nextTo"/>
        <c:spPr>
          <a:ln w="2688">
            <a:solidFill>
              <a:srgbClr val="000000"/>
            </a:solidFill>
            <a:prstDash val="solid"/>
          </a:ln>
        </c:spPr>
        <c:txPr>
          <a:bodyPr rot="0" vert="horz"/>
          <a:lstStyle/>
          <a:p>
            <a:pPr>
              <a:defRPr sz="825" b="1" i="0" u="none" strike="noStrike" baseline="0">
                <a:solidFill>
                  <a:srgbClr val="000000"/>
                </a:solidFill>
                <a:latin typeface="Times New Roman"/>
                <a:ea typeface="Times New Roman"/>
                <a:cs typeface="Times New Roman"/>
              </a:defRPr>
            </a:pPr>
            <a:endParaRPr lang="ro-RO"/>
          </a:p>
        </c:txPr>
        <c:crossAx val="174712320"/>
        <c:crosses val="autoZero"/>
        <c:auto val="1"/>
        <c:lblAlgn val="ctr"/>
        <c:lblOffset val="100"/>
        <c:tickLblSkip val="1"/>
        <c:tickMarkSkip val="1"/>
      </c:catAx>
      <c:valAx>
        <c:axId val="174712320"/>
        <c:scaling>
          <c:orientation val="minMax"/>
          <c:max val="800"/>
        </c:scaling>
        <c:axPos val="l"/>
        <c:majorGridlines>
          <c:spPr>
            <a:ln w="2688">
              <a:solidFill>
                <a:srgbClr val="000000"/>
              </a:solidFill>
              <a:prstDash val="solid"/>
            </a:ln>
          </c:spPr>
        </c:majorGridlines>
        <c:title>
          <c:tx>
            <c:rich>
              <a:bodyPr/>
              <a:lstStyle/>
              <a:p>
                <a:pPr>
                  <a:defRPr sz="847" b="1" i="0" u="none" strike="noStrike" baseline="0">
                    <a:solidFill>
                      <a:srgbClr val="000000"/>
                    </a:solidFill>
                    <a:latin typeface="Times New Roman"/>
                    <a:ea typeface="Times New Roman"/>
                    <a:cs typeface="Times New Roman"/>
                  </a:defRPr>
                </a:pPr>
                <a:r>
                  <a:rPr lang="vi-VN"/>
                  <a:t>Activitatea beta globală [Bq/kg]</a:t>
                </a:r>
              </a:p>
            </c:rich>
          </c:tx>
          <c:layout>
            <c:manualLayout>
              <c:xMode val="edge"/>
              <c:yMode val="edge"/>
              <c:x val="9.6825396825396995E-2"/>
              <c:y val="0.28273809523809534"/>
            </c:manualLayout>
          </c:layout>
          <c:spPr>
            <a:noFill/>
            <a:ln w="21504">
              <a:noFill/>
            </a:ln>
          </c:spPr>
        </c:title>
        <c:numFmt formatCode="General" sourceLinked="1"/>
        <c:tickLblPos val="nextTo"/>
        <c:spPr>
          <a:ln w="2688">
            <a:solidFill>
              <a:srgbClr val="000000"/>
            </a:solidFill>
            <a:prstDash val="solid"/>
          </a:ln>
        </c:spPr>
        <c:txPr>
          <a:bodyPr rot="0" vert="horz"/>
          <a:lstStyle/>
          <a:p>
            <a:pPr>
              <a:defRPr sz="825" b="1" i="0" u="none" strike="noStrike" baseline="0">
                <a:solidFill>
                  <a:srgbClr val="000000"/>
                </a:solidFill>
                <a:latin typeface="Times New Roman"/>
                <a:ea typeface="Times New Roman"/>
                <a:cs typeface="Times New Roman"/>
              </a:defRPr>
            </a:pPr>
            <a:endParaRPr lang="ro-RO"/>
          </a:p>
        </c:txPr>
        <c:crossAx val="174185856"/>
        <c:crosses val="autoZero"/>
        <c:crossBetween val="between"/>
        <c:majorUnit val="100"/>
        <c:minorUnit val="1.6"/>
      </c:valAx>
      <c:spPr>
        <a:noFill/>
        <a:ln w="21504">
          <a:noFill/>
        </a:ln>
      </c:spPr>
    </c:plotArea>
    <c:legend>
      <c:legendPos val="b"/>
      <c:layout>
        <c:manualLayout>
          <c:xMode val="edge"/>
          <c:yMode val="edge"/>
          <c:x val="0.41587301587301623"/>
          <c:y val="0.91964285714285765"/>
          <c:w val="0.16666666666666666"/>
          <c:h val="7.1428571428571425E-2"/>
        </c:manualLayout>
      </c:layout>
      <c:spPr>
        <a:noFill/>
        <a:ln w="2688">
          <a:solidFill>
            <a:srgbClr val="000000"/>
          </a:solidFill>
          <a:prstDash val="solid"/>
        </a:ln>
      </c:spPr>
      <c:txPr>
        <a:bodyPr/>
        <a:lstStyle/>
        <a:p>
          <a:pPr>
            <a:defRPr sz="779"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688">
      <a:solidFill>
        <a:srgbClr val="000000"/>
      </a:solidFill>
      <a:prstDash val="solid"/>
    </a:ln>
  </c:spPr>
  <c:txPr>
    <a:bodyPr/>
    <a:lstStyle/>
    <a:p>
      <a:pPr>
        <a:defRPr sz="825" b="1" i="0" u="none" strike="noStrike" baseline="0">
          <a:solidFill>
            <a:srgbClr val="000000"/>
          </a:solidFill>
          <a:latin typeface="Times New Roman"/>
          <a:ea typeface="Times New Roman"/>
          <a:cs typeface="Times New Roman"/>
        </a:defRPr>
      </a:pPr>
      <a:endParaRPr lang="ro-RO"/>
    </a:p>
  </c:txPr>
  <c:externalData r:id="rId2"/>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45" b="1" i="0" u="none" strike="noStrike" baseline="0">
                <a:solidFill>
                  <a:srgbClr val="000000"/>
                </a:solidFill>
                <a:latin typeface="Arial"/>
                <a:ea typeface="Arial"/>
                <a:cs typeface="Arial"/>
              </a:defRPr>
            </a:pPr>
            <a:r>
              <a:rPr lang="vi-VN"/>
              <a:t>SOL NECULTIVAT- Activitatea beta globala medie anuală (Bq/kg)</a:t>
            </a:r>
          </a:p>
        </c:rich>
      </c:tx>
      <c:layout>
        <c:manualLayout>
          <c:xMode val="edge"/>
          <c:yMode val="edge"/>
          <c:x val="0.14890016920473773"/>
          <c:y val="2.0270270270270313E-2"/>
        </c:manualLayout>
      </c:layout>
      <c:spPr>
        <a:noFill/>
        <a:ln w="21470">
          <a:noFill/>
        </a:ln>
      </c:spPr>
    </c:title>
    <c:plotArea>
      <c:layout>
        <c:manualLayout>
          <c:layoutTarget val="inner"/>
          <c:xMode val="edge"/>
          <c:yMode val="edge"/>
          <c:x val="0.14382402707275802"/>
          <c:y val="0.19256756756756771"/>
          <c:w val="0.50930626057529549"/>
          <c:h val="0.59121621621621556"/>
        </c:manualLayout>
      </c:layout>
      <c:barChart>
        <c:barDir val="col"/>
        <c:grouping val="clustered"/>
        <c:ser>
          <c:idx val="1"/>
          <c:order val="0"/>
          <c:tx>
            <c:strRef>
              <c:f>Sheet1!$A$2</c:f>
              <c:strCache>
                <c:ptCount val="1"/>
                <c:pt idx="0">
                  <c:v>activitatea beta globala medie</c:v>
                </c:pt>
              </c:strCache>
            </c:strRef>
          </c:tx>
          <c:spPr>
            <a:solidFill>
              <a:srgbClr val="FF6600"/>
            </a:solidFill>
            <a:ln w="10735">
              <a:solidFill>
                <a:srgbClr val="000000"/>
              </a:solidFill>
              <a:prstDash val="solid"/>
            </a:ln>
          </c:spPr>
          <c:dLbls>
            <c:spPr>
              <a:noFill/>
              <a:ln w="21470">
                <a:noFill/>
              </a:ln>
            </c:spPr>
            <c:txPr>
              <a:bodyPr/>
              <a:lstStyle/>
              <a:p>
                <a:pPr>
                  <a:defRPr sz="845" b="0" i="0" u="none" strike="noStrike" baseline="0">
                    <a:solidFill>
                      <a:srgbClr val="000000"/>
                    </a:solidFill>
                    <a:latin typeface="Arial"/>
                    <a:ea typeface="Arial"/>
                    <a:cs typeface="Arial"/>
                  </a:defRPr>
                </a:pPr>
                <a:endParaRPr lang="ro-RO"/>
              </a:p>
            </c:txPr>
            <c:showVal val="1"/>
          </c:dLbls>
          <c:cat>
            <c:numRef>
              <c:f>Sheet1!$B$1:$I$1</c:f>
              <c:numCache>
                <c:formatCode>General</c:formatCode>
                <c:ptCount val="8"/>
                <c:pt idx="0">
                  <c:v>2007</c:v>
                </c:pt>
                <c:pt idx="1">
                  <c:v>2008</c:v>
                </c:pt>
                <c:pt idx="2">
                  <c:v>2009</c:v>
                </c:pt>
                <c:pt idx="3">
                  <c:v>2010</c:v>
                </c:pt>
                <c:pt idx="4">
                  <c:v>2011</c:v>
                </c:pt>
                <c:pt idx="5">
                  <c:v>2012</c:v>
                </c:pt>
                <c:pt idx="6">
                  <c:v>2013</c:v>
                </c:pt>
                <c:pt idx="7">
                  <c:v>2014</c:v>
                </c:pt>
              </c:numCache>
            </c:numRef>
          </c:cat>
          <c:val>
            <c:numRef>
              <c:f>Sheet1!$B$2:$I$2</c:f>
              <c:numCache>
                <c:formatCode>General</c:formatCode>
                <c:ptCount val="8"/>
                <c:pt idx="0">
                  <c:v>256.89999999999969</c:v>
                </c:pt>
                <c:pt idx="1">
                  <c:v>220.95000000000007</c:v>
                </c:pt>
                <c:pt idx="2">
                  <c:v>331.4</c:v>
                </c:pt>
                <c:pt idx="3">
                  <c:v>414.35</c:v>
                </c:pt>
                <c:pt idx="4">
                  <c:v>567.69000000000005</c:v>
                </c:pt>
                <c:pt idx="5">
                  <c:v>483.46999999999969</c:v>
                </c:pt>
                <c:pt idx="6">
                  <c:v>411.77</c:v>
                </c:pt>
                <c:pt idx="7">
                  <c:v>325.22999999999968</c:v>
                </c:pt>
              </c:numCache>
            </c:numRef>
          </c:val>
        </c:ser>
        <c:dLbls>
          <c:showVal val="1"/>
        </c:dLbls>
        <c:axId val="174823296"/>
        <c:axId val="174833664"/>
      </c:barChart>
      <c:catAx>
        <c:axId val="174823296"/>
        <c:scaling>
          <c:orientation val="minMax"/>
        </c:scaling>
        <c:axPos val="b"/>
        <c:title>
          <c:tx>
            <c:rich>
              <a:bodyPr/>
              <a:lstStyle/>
              <a:p>
                <a:pPr>
                  <a:defRPr sz="845" b="1" i="0" u="none" strike="noStrike" baseline="0">
                    <a:solidFill>
                      <a:srgbClr val="000000"/>
                    </a:solidFill>
                    <a:latin typeface="Arial"/>
                    <a:ea typeface="Arial"/>
                    <a:cs typeface="Arial"/>
                  </a:defRPr>
                </a:pPr>
                <a:r>
                  <a:rPr lang="ro-RO"/>
                  <a:t>anul</a:t>
                </a:r>
              </a:p>
            </c:rich>
          </c:tx>
          <c:layout>
            <c:manualLayout>
              <c:xMode val="edge"/>
              <c:yMode val="edge"/>
              <c:x val="0.36886632825719157"/>
              <c:y val="0.88513513513513509"/>
            </c:manualLayout>
          </c:layout>
          <c:spPr>
            <a:noFill/>
            <a:ln w="21470">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ro-RO"/>
          </a:p>
        </c:txPr>
        <c:crossAx val="174833664"/>
        <c:crosses val="autoZero"/>
        <c:lblAlgn val="ctr"/>
        <c:lblOffset val="100"/>
        <c:tickLblSkip val="1"/>
        <c:tickMarkSkip val="1"/>
      </c:catAx>
      <c:valAx>
        <c:axId val="174833664"/>
        <c:scaling>
          <c:orientation val="minMax"/>
          <c:max val="600"/>
        </c:scaling>
        <c:axPos val="l"/>
        <c:majorGridlines>
          <c:spPr>
            <a:ln w="2684">
              <a:solidFill>
                <a:srgbClr val="000000"/>
              </a:solidFill>
              <a:prstDash val="solid"/>
            </a:ln>
          </c:spPr>
        </c:majorGridlines>
        <c:title>
          <c:tx>
            <c:rich>
              <a:bodyPr/>
              <a:lstStyle/>
              <a:p>
                <a:pPr>
                  <a:defRPr sz="845" b="1" i="0" u="none" strike="noStrike" baseline="0">
                    <a:solidFill>
                      <a:srgbClr val="000000"/>
                    </a:solidFill>
                    <a:latin typeface="Arial"/>
                    <a:ea typeface="Arial"/>
                    <a:cs typeface="Arial"/>
                  </a:defRPr>
                </a:pPr>
                <a:r>
                  <a:rPr lang="ro-RO"/>
                  <a:t>Activitatea beta globala (Bq/kg)</a:t>
                </a:r>
              </a:p>
            </c:rich>
          </c:tx>
          <c:layout>
            <c:manualLayout>
              <c:xMode val="edge"/>
              <c:yMode val="edge"/>
              <c:x val="1.8612521150592237E-2"/>
              <c:y val="0.22297297297297297"/>
            </c:manualLayout>
          </c:layout>
          <c:spPr>
            <a:noFill/>
            <a:ln w="21470">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ro-RO"/>
          </a:p>
        </c:txPr>
        <c:crossAx val="174823296"/>
        <c:crosses val="autoZero"/>
        <c:crossBetween val="between"/>
        <c:majorUnit val="100"/>
        <c:minorUnit val="2"/>
      </c:valAx>
      <c:spPr>
        <a:blipFill dpi="0" rotWithShape="0">
          <a:blip xmlns:r="http://schemas.openxmlformats.org/officeDocument/2006/relationships" r:embed="rId1"/>
          <a:srcRect/>
          <a:tile tx="0" ty="0" sx="100000" sy="100000" flip="none" algn="tl"/>
        </a:blipFill>
        <a:ln w="10735">
          <a:solidFill>
            <a:srgbClr val="808080"/>
          </a:solidFill>
          <a:prstDash val="solid"/>
        </a:ln>
      </c:spPr>
    </c:plotArea>
    <c:legend>
      <c:legendPos val="r"/>
      <c:layout>
        <c:manualLayout>
          <c:xMode val="edge"/>
          <c:yMode val="edge"/>
          <c:x val="0.67005076142131981"/>
          <c:y val="0.44932432432432468"/>
          <c:w val="0.32318104906937434"/>
          <c:h val="7.4324324324324426E-2"/>
        </c:manualLayout>
      </c:layout>
      <c:spPr>
        <a:solidFill>
          <a:srgbClr val="FFFFFF"/>
        </a:solidFill>
        <a:ln w="2684">
          <a:solidFill>
            <a:srgbClr val="000000"/>
          </a:solidFill>
          <a:prstDash val="solid"/>
        </a:ln>
      </c:spPr>
      <c:txPr>
        <a:bodyPr/>
        <a:lstStyle/>
        <a:p>
          <a:pPr>
            <a:defRPr sz="778" b="0" i="0" u="none" strike="noStrike" baseline="0">
              <a:solidFill>
                <a:srgbClr val="000000"/>
              </a:solidFill>
              <a:latin typeface="Arial"/>
              <a:ea typeface="Arial"/>
              <a:cs typeface="Arial"/>
            </a:defRPr>
          </a:pPr>
          <a:endParaRPr lang="ro-RO"/>
        </a:p>
      </c:txPr>
    </c:legend>
    <c:plotVisOnly val="1"/>
    <c:dispBlanksAs val="gap"/>
  </c:chart>
  <c:spPr>
    <a:noFill/>
    <a:ln w="2684">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ro-RO"/>
    </a:p>
  </c:txPr>
  <c:externalData r:id="rId2"/>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47" b="1" i="0" u="none" strike="noStrike" baseline="0">
                <a:solidFill>
                  <a:srgbClr val="000000"/>
                </a:solidFill>
                <a:latin typeface="Arial"/>
                <a:ea typeface="Arial"/>
                <a:cs typeface="Arial"/>
              </a:defRPr>
            </a:pPr>
            <a:r>
              <a:rPr lang="vi-VN"/>
              <a:t>VEGETAŢIA SPONTANĂ- Activitatea beta globală medie lunară [Bq/kg]
</a:t>
            </a:r>
          </a:p>
        </c:rich>
      </c:tx>
      <c:layout>
        <c:manualLayout>
          <c:xMode val="edge"/>
          <c:yMode val="edge"/>
          <c:x val="0.14444444444444482"/>
          <c:y val="2.0833333333333367E-2"/>
        </c:manualLayout>
      </c:layout>
      <c:spPr>
        <a:noFill/>
        <a:ln w="21504">
          <a:noFill/>
        </a:ln>
      </c:spPr>
    </c:title>
    <c:view3D>
      <c:hPercent val="39"/>
      <c:rotY val="0"/>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0.12698412698412698"/>
          <c:y val="0.20535714285714307"/>
          <c:w val="0.85714285714285765"/>
          <c:h val="0.52678571428571463"/>
        </c:manualLayout>
      </c:layout>
      <c:bar3DChart>
        <c:barDir val="col"/>
        <c:grouping val="clustered"/>
        <c:ser>
          <c:idx val="0"/>
          <c:order val="0"/>
          <c:tx>
            <c:strRef>
              <c:f>Sheet1!$A$2</c:f>
              <c:strCache>
                <c:ptCount val="1"/>
                <c:pt idx="0">
                  <c:v>Activităţi medii</c:v>
                </c:pt>
              </c:strCache>
            </c:strRef>
          </c:tx>
          <c:spPr>
            <a:solidFill>
              <a:srgbClr val="FF6600"/>
            </a:solidFill>
            <a:ln w="10752">
              <a:solidFill>
                <a:srgbClr val="000000"/>
              </a:solidFill>
              <a:prstDash val="solid"/>
            </a:ln>
          </c:spPr>
          <c:dLbls>
            <c:dLbl>
              <c:idx val="3"/>
              <c:layout>
                <c:manualLayout>
                  <c:x val="-2.2729971253587086E-4"/>
                  <c:y val="-1.4405867257922304E-2"/>
                </c:manualLayout>
              </c:layout>
              <c:showVal val="1"/>
            </c:dLbl>
            <c:dLbl>
              <c:idx val="4"/>
              <c:layout>
                <c:manualLayout>
                  <c:x val="-1.1619641294837741E-3"/>
                  <c:y val="-1.6465053501260433E-2"/>
                </c:manualLayout>
              </c:layout>
              <c:showVal val="1"/>
            </c:dLbl>
            <c:dLbl>
              <c:idx val="5"/>
              <c:layout>
                <c:manualLayout>
                  <c:x val="-5.0932695913009246E-4"/>
                  <c:y val="-3.4346589985500317E-2"/>
                </c:manualLayout>
              </c:layout>
              <c:showVal val="1"/>
            </c:dLbl>
            <c:dLbl>
              <c:idx val="6"/>
              <c:layout>
                <c:manualLayout>
                  <c:x val="-1.4439913760778249E-3"/>
                  <c:y val="-3.1000225405350294E-2"/>
                </c:manualLayout>
              </c:layout>
              <c:showVal val="1"/>
            </c:dLbl>
            <c:dLbl>
              <c:idx val="7"/>
              <c:layout>
                <c:manualLayout>
                  <c:x val="7.9594738157727127E-4"/>
                  <c:y val="-3.2381261229629608E-2"/>
                </c:manualLayout>
              </c:layout>
              <c:showVal val="1"/>
            </c:dLbl>
            <c:dLbl>
              <c:idx val="8"/>
              <c:layout>
                <c:manualLayout>
                  <c:x val="-1.3888107736521551E-4"/>
                  <c:y val="-2.5322037057506592E-2"/>
                </c:manualLayout>
              </c:layout>
              <c:showVal val="1"/>
            </c:dLbl>
            <c:dLbl>
              <c:idx val="9"/>
              <c:layout>
                <c:manualLayout>
                  <c:x val="5.1375609298852072E-4"/>
                  <c:y val="-2.9429350594181426E-2"/>
                </c:manualLayout>
              </c:layout>
              <c:showVal val="1"/>
            </c:dLbl>
            <c:spPr>
              <a:noFill/>
              <a:ln w="21504">
                <a:noFill/>
              </a:ln>
            </c:spPr>
            <c:txPr>
              <a:bodyPr/>
              <a:lstStyle/>
              <a:p>
                <a:pPr>
                  <a:defRPr sz="825" b="1" i="0" u="none" strike="noStrike" baseline="0">
                    <a:solidFill>
                      <a:srgbClr val="000000"/>
                    </a:solidFill>
                    <a:latin typeface="Times New Roman"/>
                    <a:ea typeface="Times New Roman"/>
                    <a:cs typeface="Times New Roman"/>
                  </a:defRPr>
                </a:pPr>
                <a:endParaRPr lang="ro-RO"/>
              </a:p>
            </c:txPr>
            <c:showVal val="1"/>
          </c:dLbls>
          <c:cat>
            <c:strRef>
              <c:f>Sheet1!$B$1:$N$1</c:f>
              <c:strCache>
                <c:ptCount val="12"/>
                <c:pt idx="0">
                  <c:v>Ian </c:v>
                </c:pt>
                <c:pt idx="1">
                  <c:v>Feb</c:v>
                </c:pt>
                <c:pt idx="2">
                  <c:v>Mart</c:v>
                </c:pt>
                <c:pt idx="3">
                  <c:v>Apr</c:v>
                </c:pt>
                <c:pt idx="4">
                  <c:v>Mai </c:v>
                </c:pt>
                <c:pt idx="5">
                  <c:v>Iun</c:v>
                </c:pt>
                <c:pt idx="6">
                  <c:v>Iul</c:v>
                </c:pt>
                <c:pt idx="7">
                  <c:v>Aug</c:v>
                </c:pt>
                <c:pt idx="8">
                  <c:v>Sept</c:v>
                </c:pt>
                <c:pt idx="9">
                  <c:v>Oct</c:v>
                </c:pt>
                <c:pt idx="10">
                  <c:v>Nov</c:v>
                </c:pt>
                <c:pt idx="11">
                  <c:v>Dec</c:v>
                </c:pt>
              </c:strCache>
            </c:strRef>
          </c:cat>
          <c:val>
            <c:numRef>
              <c:f>Sheet1!$B$2:$N$2</c:f>
              <c:numCache>
                <c:formatCode>General</c:formatCode>
                <c:ptCount val="13"/>
                <c:pt idx="3">
                  <c:v>342.7</c:v>
                </c:pt>
                <c:pt idx="4">
                  <c:v>268.8</c:v>
                </c:pt>
                <c:pt idx="5">
                  <c:v>390.2</c:v>
                </c:pt>
                <c:pt idx="6">
                  <c:v>183.5</c:v>
                </c:pt>
                <c:pt idx="7">
                  <c:v>199.7</c:v>
                </c:pt>
                <c:pt idx="8">
                  <c:v>254.6</c:v>
                </c:pt>
                <c:pt idx="9">
                  <c:v>296.10000000000002</c:v>
                </c:pt>
                <c:pt idx="10">
                  <c:v>131.9</c:v>
                </c:pt>
              </c:numCache>
            </c:numRef>
          </c:val>
        </c:ser>
        <c:dLbls>
          <c:showVal val="1"/>
        </c:dLbls>
        <c:gapDepth val="0"/>
        <c:shape val="box"/>
        <c:axId val="175047424"/>
        <c:axId val="175049344"/>
        <c:axId val="0"/>
      </c:bar3DChart>
      <c:catAx>
        <c:axId val="175047424"/>
        <c:scaling>
          <c:orientation val="minMax"/>
        </c:scaling>
        <c:axPos val="b"/>
        <c:title>
          <c:tx>
            <c:rich>
              <a:bodyPr/>
              <a:lstStyle/>
              <a:p>
                <a:pPr>
                  <a:defRPr sz="825" b="1" i="0" u="none" strike="noStrike" baseline="0">
                    <a:solidFill>
                      <a:srgbClr val="000000"/>
                    </a:solidFill>
                    <a:latin typeface="Times New Roman"/>
                    <a:ea typeface="Times New Roman"/>
                    <a:cs typeface="Times New Roman"/>
                  </a:defRPr>
                </a:pPr>
                <a:r>
                  <a:rPr lang="ro-RO"/>
                  <a:t>luna</a:t>
                </a:r>
              </a:p>
            </c:rich>
          </c:tx>
          <c:layout>
            <c:manualLayout>
              <c:xMode val="edge"/>
              <c:yMode val="edge"/>
              <c:x val="0.53492063492063491"/>
              <c:y val="0.80654761904761907"/>
            </c:manualLayout>
          </c:layout>
          <c:spPr>
            <a:noFill/>
            <a:ln w="21504">
              <a:noFill/>
            </a:ln>
          </c:spPr>
        </c:title>
        <c:numFmt formatCode="General" sourceLinked="1"/>
        <c:tickLblPos val="nextTo"/>
        <c:spPr>
          <a:ln w="2688">
            <a:solidFill>
              <a:srgbClr val="000000"/>
            </a:solidFill>
            <a:prstDash val="solid"/>
          </a:ln>
        </c:spPr>
        <c:txPr>
          <a:bodyPr rot="0" vert="horz"/>
          <a:lstStyle/>
          <a:p>
            <a:pPr>
              <a:defRPr sz="825" b="1" i="0" u="none" strike="noStrike" baseline="0">
                <a:solidFill>
                  <a:srgbClr val="000000"/>
                </a:solidFill>
                <a:latin typeface="Times New Roman"/>
                <a:ea typeface="Times New Roman"/>
                <a:cs typeface="Times New Roman"/>
              </a:defRPr>
            </a:pPr>
            <a:endParaRPr lang="ro-RO"/>
          </a:p>
        </c:txPr>
        <c:crossAx val="175049344"/>
        <c:crosses val="autoZero"/>
        <c:auto val="1"/>
        <c:lblAlgn val="ctr"/>
        <c:lblOffset val="100"/>
        <c:tickLblSkip val="1"/>
        <c:tickMarkSkip val="1"/>
      </c:catAx>
      <c:valAx>
        <c:axId val="175049344"/>
        <c:scaling>
          <c:orientation val="minMax"/>
          <c:max val="600"/>
        </c:scaling>
        <c:axPos val="l"/>
        <c:majorGridlines>
          <c:spPr>
            <a:ln w="2688">
              <a:solidFill>
                <a:srgbClr val="000000"/>
              </a:solidFill>
              <a:prstDash val="solid"/>
            </a:ln>
          </c:spPr>
        </c:majorGridlines>
        <c:title>
          <c:tx>
            <c:rich>
              <a:bodyPr/>
              <a:lstStyle/>
              <a:p>
                <a:pPr>
                  <a:defRPr sz="847" b="1" i="0" u="none" strike="noStrike" baseline="0">
                    <a:solidFill>
                      <a:srgbClr val="000000"/>
                    </a:solidFill>
                    <a:latin typeface="Times New Roman"/>
                    <a:ea typeface="Times New Roman"/>
                    <a:cs typeface="Times New Roman"/>
                  </a:defRPr>
                </a:pPr>
                <a:r>
                  <a:rPr lang="vi-VN"/>
                  <a:t>Activitatea beta globală [Bq/kg]</a:t>
                </a:r>
              </a:p>
            </c:rich>
          </c:tx>
          <c:layout>
            <c:manualLayout>
              <c:xMode val="edge"/>
              <c:yMode val="edge"/>
              <c:x val="9.6825396825396995E-2"/>
              <c:y val="0.28273809523809534"/>
            </c:manualLayout>
          </c:layout>
          <c:spPr>
            <a:noFill/>
            <a:ln w="21504">
              <a:noFill/>
            </a:ln>
          </c:spPr>
        </c:title>
        <c:numFmt formatCode="General" sourceLinked="1"/>
        <c:tickLblPos val="nextTo"/>
        <c:spPr>
          <a:ln w="2688">
            <a:solidFill>
              <a:srgbClr val="000000"/>
            </a:solidFill>
            <a:prstDash val="solid"/>
          </a:ln>
        </c:spPr>
        <c:txPr>
          <a:bodyPr rot="0" vert="horz"/>
          <a:lstStyle/>
          <a:p>
            <a:pPr>
              <a:defRPr sz="825" b="1" i="0" u="none" strike="noStrike" baseline="0">
                <a:solidFill>
                  <a:srgbClr val="000000"/>
                </a:solidFill>
                <a:latin typeface="Times New Roman"/>
                <a:ea typeface="Times New Roman"/>
                <a:cs typeface="Times New Roman"/>
              </a:defRPr>
            </a:pPr>
            <a:endParaRPr lang="ro-RO"/>
          </a:p>
        </c:txPr>
        <c:crossAx val="175047424"/>
        <c:crosses val="autoZero"/>
        <c:crossBetween val="between"/>
        <c:majorUnit val="100"/>
        <c:minorUnit val="1.2"/>
      </c:valAx>
      <c:spPr>
        <a:noFill/>
        <a:ln w="21504">
          <a:noFill/>
        </a:ln>
      </c:spPr>
    </c:plotArea>
    <c:legend>
      <c:legendPos val="b"/>
      <c:layout>
        <c:manualLayout>
          <c:xMode val="edge"/>
          <c:yMode val="edge"/>
          <c:x val="0.41587301587301623"/>
          <c:y val="0.91964285714285765"/>
          <c:w val="0.16666666666666666"/>
          <c:h val="7.1428571428571425E-2"/>
        </c:manualLayout>
      </c:layout>
      <c:spPr>
        <a:noFill/>
        <a:ln w="2688">
          <a:solidFill>
            <a:srgbClr val="000000"/>
          </a:solidFill>
          <a:prstDash val="solid"/>
        </a:ln>
      </c:spPr>
      <c:txPr>
        <a:bodyPr/>
        <a:lstStyle/>
        <a:p>
          <a:pPr>
            <a:defRPr sz="779" b="1" i="0" u="none" strike="noStrike" baseline="0">
              <a:solidFill>
                <a:srgbClr val="000000"/>
              </a:solidFill>
              <a:latin typeface="Times New Roman"/>
              <a:ea typeface="Times New Roman"/>
              <a:cs typeface="Times New Roman"/>
            </a:defRPr>
          </a:pPr>
          <a:endParaRPr lang="ro-RO"/>
        </a:p>
      </c:txPr>
    </c:legend>
    <c:plotVisOnly val="1"/>
    <c:dispBlanksAs val="gap"/>
  </c:chart>
  <c:spPr>
    <a:noFill/>
    <a:ln w="2688">
      <a:solidFill>
        <a:srgbClr val="000000"/>
      </a:solidFill>
      <a:prstDash val="solid"/>
    </a:ln>
  </c:spPr>
  <c:txPr>
    <a:bodyPr/>
    <a:lstStyle/>
    <a:p>
      <a:pPr>
        <a:defRPr sz="825" b="1" i="0" u="none" strike="noStrike" baseline="0">
          <a:solidFill>
            <a:srgbClr val="000000"/>
          </a:solidFill>
          <a:latin typeface="Times New Roman"/>
          <a:ea typeface="Times New Roman"/>
          <a:cs typeface="Times New Roman"/>
        </a:defRPr>
      </a:pPr>
      <a:endParaRPr lang="ro-RO"/>
    </a:p>
  </c:txPr>
  <c:externalData r:id="rId2"/>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45" b="1" i="0" u="none" strike="noStrike" baseline="0">
                <a:solidFill>
                  <a:srgbClr val="000000"/>
                </a:solidFill>
                <a:latin typeface="Arial"/>
                <a:ea typeface="Arial"/>
                <a:cs typeface="Arial"/>
              </a:defRPr>
            </a:pPr>
            <a:r>
              <a:rPr lang="vi-VN"/>
              <a:t>VEGETAŢIA SPONTANĂ - Activitatea beta globală  medie anuală (Bq/kg)</a:t>
            </a:r>
          </a:p>
        </c:rich>
      </c:tx>
      <c:layout>
        <c:manualLayout>
          <c:xMode val="edge"/>
          <c:yMode val="edge"/>
          <c:x val="0.10998307952622684"/>
          <c:y val="2.0270270270270313E-2"/>
        </c:manualLayout>
      </c:layout>
      <c:spPr>
        <a:noFill/>
        <a:ln w="21470">
          <a:noFill/>
        </a:ln>
      </c:spPr>
    </c:title>
    <c:plotArea>
      <c:layout>
        <c:manualLayout>
          <c:layoutTarget val="inner"/>
          <c:xMode val="edge"/>
          <c:yMode val="edge"/>
          <c:x val="0.14382402707275802"/>
          <c:y val="0.19256756756756771"/>
          <c:w val="0.50930626057529549"/>
          <c:h val="0.59121621621621556"/>
        </c:manualLayout>
      </c:layout>
      <c:barChart>
        <c:barDir val="col"/>
        <c:grouping val="clustered"/>
        <c:ser>
          <c:idx val="1"/>
          <c:order val="0"/>
          <c:tx>
            <c:strRef>
              <c:f>Sheet1!$A$2</c:f>
              <c:strCache>
                <c:ptCount val="1"/>
                <c:pt idx="0">
                  <c:v>activitatea beta globala medie</c:v>
                </c:pt>
              </c:strCache>
            </c:strRef>
          </c:tx>
          <c:spPr>
            <a:solidFill>
              <a:srgbClr val="FF6600"/>
            </a:solidFill>
            <a:ln w="10735">
              <a:solidFill>
                <a:srgbClr val="000000"/>
              </a:solidFill>
              <a:prstDash val="solid"/>
            </a:ln>
          </c:spPr>
          <c:dLbls>
            <c:spPr>
              <a:noFill/>
              <a:ln w="21470">
                <a:noFill/>
              </a:ln>
            </c:spPr>
            <c:txPr>
              <a:bodyPr/>
              <a:lstStyle/>
              <a:p>
                <a:pPr>
                  <a:defRPr sz="845" b="0" i="0" u="none" strike="noStrike" baseline="0">
                    <a:solidFill>
                      <a:srgbClr val="000000"/>
                    </a:solidFill>
                    <a:latin typeface="Arial"/>
                    <a:ea typeface="Arial"/>
                    <a:cs typeface="Arial"/>
                  </a:defRPr>
                </a:pPr>
                <a:endParaRPr lang="ro-RO"/>
              </a:p>
            </c:txPr>
            <c:showVal val="1"/>
          </c:dLbls>
          <c:cat>
            <c:numRef>
              <c:f>Sheet1!$B$1:$I$1</c:f>
              <c:numCache>
                <c:formatCode>General</c:formatCode>
                <c:ptCount val="8"/>
                <c:pt idx="0">
                  <c:v>2007</c:v>
                </c:pt>
                <c:pt idx="1">
                  <c:v>2008</c:v>
                </c:pt>
                <c:pt idx="2">
                  <c:v>2009</c:v>
                </c:pt>
                <c:pt idx="3">
                  <c:v>2010</c:v>
                </c:pt>
                <c:pt idx="4">
                  <c:v>2011</c:v>
                </c:pt>
                <c:pt idx="5">
                  <c:v>2012</c:v>
                </c:pt>
                <c:pt idx="6">
                  <c:v>2013</c:v>
                </c:pt>
                <c:pt idx="7">
                  <c:v>2014</c:v>
                </c:pt>
              </c:numCache>
            </c:numRef>
          </c:cat>
          <c:val>
            <c:numRef>
              <c:f>Sheet1!$B$2:$I$2</c:f>
              <c:numCache>
                <c:formatCode>General</c:formatCode>
                <c:ptCount val="8"/>
                <c:pt idx="0">
                  <c:v>256.89999999999969</c:v>
                </c:pt>
                <c:pt idx="1">
                  <c:v>231.25</c:v>
                </c:pt>
                <c:pt idx="2">
                  <c:v>371.17</c:v>
                </c:pt>
                <c:pt idx="3">
                  <c:v>295.12</c:v>
                </c:pt>
                <c:pt idx="4">
                  <c:v>364.06</c:v>
                </c:pt>
                <c:pt idx="5">
                  <c:v>270.72999999999968</c:v>
                </c:pt>
                <c:pt idx="6">
                  <c:v>277.69</c:v>
                </c:pt>
                <c:pt idx="7">
                  <c:v>273.52999999999969</c:v>
                </c:pt>
              </c:numCache>
            </c:numRef>
          </c:val>
        </c:ser>
        <c:dLbls>
          <c:showVal val="1"/>
        </c:dLbls>
        <c:axId val="175090688"/>
        <c:axId val="175105152"/>
      </c:barChart>
      <c:catAx>
        <c:axId val="175090688"/>
        <c:scaling>
          <c:orientation val="minMax"/>
        </c:scaling>
        <c:axPos val="b"/>
        <c:title>
          <c:tx>
            <c:rich>
              <a:bodyPr/>
              <a:lstStyle/>
              <a:p>
                <a:pPr>
                  <a:defRPr sz="845" b="1" i="0" u="none" strike="noStrike" baseline="0">
                    <a:solidFill>
                      <a:srgbClr val="000000"/>
                    </a:solidFill>
                    <a:latin typeface="Arial"/>
                    <a:ea typeface="Arial"/>
                    <a:cs typeface="Arial"/>
                  </a:defRPr>
                </a:pPr>
                <a:r>
                  <a:rPr lang="ro-RO"/>
                  <a:t>anul</a:t>
                </a:r>
              </a:p>
            </c:rich>
          </c:tx>
          <c:layout>
            <c:manualLayout>
              <c:xMode val="edge"/>
              <c:yMode val="edge"/>
              <c:x val="0.36886632825719157"/>
              <c:y val="0.88513513513513509"/>
            </c:manualLayout>
          </c:layout>
          <c:spPr>
            <a:noFill/>
            <a:ln w="21470">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ro-RO"/>
          </a:p>
        </c:txPr>
        <c:crossAx val="175105152"/>
        <c:crosses val="autoZero"/>
        <c:lblAlgn val="ctr"/>
        <c:lblOffset val="100"/>
        <c:tickLblSkip val="1"/>
        <c:tickMarkSkip val="1"/>
      </c:catAx>
      <c:valAx>
        <c:axId val="175105152"/>
        <c:scaling>
          <c:orientation val="minMax"/>
          <c:max val="400"/>
        </c:scaling>
        <c:axPos val="l"/>
        <c:majorGridlines>
          <c:spPr>
            <a:ln w="2684">
              <a:solidFill>
                <a:srgbClr val="000000"/>
              </a:solidFill>
              <a:prstDash val="solid"/>
            </a:ln>
          </c:spPr>
        </c:majorGridlines>
        <c:title>
          <c:tx>
            <c:rich>
              <a:bodyPr/>
              <a:lstStyle/>
              <a:p>
                <a:pPr>
                  <a:defRPr sz="845" b="1" i="0" u="none" strike="noStrike" baseline="0">
                    <a:solidFill>
                      <a:srgbClr val="000000"/>
                    </a:solidFill>
                    <a:latin typeface="Arial"/>
                    <a:ea typeface="Arial"/>
                    <a:cs typeface="Arial"/>
                  </a:defRPr>
                </a:pPr>
                <a:r>
                  <a:rPr lang="vi-VN"/>
                  <a:t>Activitatea beta globală (Bq/kg)</a:t>
                </a:r>
              </a:p>
            </c:rich>
          </c:tx>
          <c:layout>
            <c:manualLayout>
              <c:xMode val="edge"/>
              <c:yMode val="edge"/>
              <c:x val="1.8612521150592237E-2"/>
              <c:y val="0.22297297297297297"/>
            </c:manualLayout>
          </c:layout>
          <c:spPr>
            <a:noFill/>
            <a:ln w="21470">
              <a:noFill/>
            </a:ln>
          </c:spPr>
        </c:title>
        <c:numFmt formatCode="General" sourceLinked="1"/>
        <c:majorTickMark val="cross"/>
        <c:tickLblPos val="nextTo"/>
        <c:spPr>
          <a:ln w="2684">
            <a:solidFill>
              <a:srgbClr val="000000"/>
            </a:solidFill>
            <a:prstDash val="solid"/>
          </a:ln>
        </c:spPr>
        <c:txPr>
          <a:bodyPr rot="0" vert="horz"/>
          <a:lstStyle/>
          <a:p>
            <a:pPr>
              <a:defRPr sz="845" b="0" i="0" u="none" strike="noStrike" baseline="0">
                <a:solidFill>
                  <a:srgbClr val="000000"/>
                </a:solidFill>
                <a:latin typeface="Arial"/>
                <a:ea typeface="Arial"/>
                <a:cs typeface="Arial"/>
              </a:defRPr>
            </a:pPr>
            <a:endParaRPr lang="ro-RO"/>
          </a:p>
        </c:txPr>
        <c:crossAx val="175090688"/>
        <c:crosses val="autoZero"/>
        <c:crossBetween val="between"/>
        <c:majorUnit val="100"/>
        <c:minorUnit val="2"/>
      </c:valAx>
      <c:spPr>
        <a:blipFill dpi="0" rotWithShape="0">
          <a:blip xmlns:r="http://schemas.openxmlformats.org/officeDocument/2006/relationships" r:embed="rId1"/>
          <a:srcRect/>
          <a:tile tx="0" ty="0" sx="100000" sy="100000" flip="none" algn="tl"/>
        </a:blipFill>
        <a:ln w="10735">
          <a:solidFill>
            <a:srgbClr val="808080"/>
          </a:solidFill>
          <a:prstDash val="solid"/>
        </a:ln>
      </c:spPr>
    </c:plotArea>
    <c:legend>
      <c:legendPos val="r"/>
      <c:layout>
        <c:manualLayout>
          <c:xMode val="edge"/>
          <c:yMode val="edge"/>
          <c:x val="0.67005076142131981"/>
          <c:y val="0.44932432432432468"/>
          <c:w val="0.32318104906937434"/>
          <c:h val="7.4324324324324426E-2"/>
        </c:manualLayout>
      </c:layout>
      <c:spPr>
        <a:solidFill>
          <a:srgbClr val="FFFFFF"/>
        </a:solidFill>
        <a:ln w="2684">
          <a:solidFill>
            <a:srgbClr val="000000"/>
          </a:solidFill>
          <a:prstDash val="solid"/>
        </a:ln>
      </c:spPr>
      <c:txPr>
        <a:bodyPr/>
        <a:lstStyle/>
        <a:p>
          <a:pPr>
            <a:defRPr sz="778" b="0" i="0" u="none" strike="noStrike" baseline="0">
              <a:solidFill>
                <a:srgbClr val="000000"/>
              </a:solidFill>
              <a:latin typeface="Arial"/>
              <a:ea typeface="Arial"/>
              <a:cs typeface="Arial"/>
            </a:defRPr>
          </a:pPr>
          <a:endParaRPr lang="ro-RO"/>
        </a:p>
      </c:txPr>
    </c:legend>
    <c:plotVisOnly val="1"/>
    <c:dispBlanksAs val="gap"/>
  </c:chart>
  <c:spPr>
    <a:noFill/>
    <a:ln w="2684">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ro-RO"/>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ro-RO"/>
  <c:chart>
    <c:plotArea>
      <c:layout/>
      <c:lineChart>
        <c:grouping val="standard"/>
        <c:ser>
          <c:idx val="0"/>
          <c:order val="0"/>
          <c:tx>
            <c:strRef>
              <c:f>Sheet1!$C$164</c:f>
              <c:strCache>
                <c:ptCount val="1"/>
                <c:pt idx="0">
                  <c:v>Nr. depășiri PM10 grv</c:v>
                </c:pt>
              </c:strCache>
            </c:strRef>
          </c:tx>
          <c:marker>
            <c:symbol val="none"/>
          </c:marker>
          <c:cat>
            <c:strRef>
              <c:f>Sheet1!$B$165:$B$171</c:f>
              <c:strCache>
                <c:ptCount val="7"/>
                <c:pt idx="0">
                  <c:v>2008"</c:v>
                </c:pt>
                <c:pt idx="1">
                  <c:v>2009"</c:v>
                </c:pt>
                <c:pt idx="2">
                  <c:v>2010"</c:v>
                </c:pt>
                <c:pt idx="3">
                  <c:v>2011"</c:v>
                </c:pt>
                <c:pt idx="4">
                  <c:v>2012"</c:v>
                </c:pt>
                <c:pt idx="5">
                  <c:v>2013"</c:v>
                </c:pt>
                <c:pt idx="6">
                  <c:v>2014"</c:v>
                </c:pt>
              </c:strCache>
            </c:strRef>
          </c:cat>
          <c:val>
            <c:numRef>
              <c:f>Sheet1!$C$165:$C$171</c:f>
              <c:numCache>
                <c:formatCode>General</c:formatCode>
                <c:ptCount val="7"/>
                <c:pt idx="3">
                  <c:v>22</c:v>
                </c:pt>
                <c:pt idx="4">
                  <c:v>35</c:v>
                </c:pt>
                <c:pt idx="5">
                  <c:v>20</c:v>
                </c:pt>
                <c:pt idx="6">
                  <c:v>11</c:v>
                </c:pt>
              </c:numCache>
            </c:numRef>
          </c:val>
        </c:ser>
        <c:ser>
          <c:idx val="1"/>
          <c:order val="1"/>
          <c:tx>
            <c:strRef>
              <c:f>Sheet1!$D$164</c:f>
              <c:strCache>
                <c:ptCount val="1"/>
                <c:pt idx="0">
                  <c:v>Nr. maxim de depășiri</c:v>
                </c:pt>
              </c:strCache>
            </c:strRef>
          </c:tx>
          <c:marker>
            <c:symbol val="none"/>
          </c:marker>
          <c:cat>
            <c:strRef>
              <c:f>Sheet1!$B$165:$B$171</c:f>
              <c:strCache>
                <c:ptCount val="7"/>
                <c:pt idx="0">
                  <c:v>2008"</c:v>
                </c:pt>
                <c:pt idx="1">
                  <c:v>2009"</c:v>
                </c:pt>
                <c:pt idx="2">
                  <c:v>2010"</c:v>
                </c:pt>
                <c:pt idx="3">
                  <c:v>2011"</c:v>
                </c:pt>
                <c:pt idx="4">
                  <c:v>2012"</c:v>
                </c:pt>
                <c:pt idx="5">
                  <c:v>2013"</c:v>
                </c:pt>
                <c:pt idx="6">
                  <c:v>2014"</c:v>
                </c:pt>
              </c:strCache>
            </c:strRef>
          </c:cat>
          <c:val>
            <c:numRef>
              <c:f>Sheet1!$D$165:$D$171</c:f>
              <c:numCache>
                <c:formatCode>General</c:formatCode>
                <c:ptCount val="7"/>
                <c:pt idx="0">
                  <c:v>35</c:v>
                </c:pt>
                <c:pt idx="1">
                  <c:v>35</c:v>
                </c:pt>
                <c:pt idx="2">
                  <c:v>35</c:v>
                </c:pt>
                <c:pt idx="3">
                  <c:v>35</c:v>
                </c:pt>
                <c:pt idx="4">
                  <c:v>35</c:v>
                </c:pt>
                <c:pt idx="5">
                  <c:v>35</c:v>
                </c:pt>
                <c:pt idx="6">
                  <c:v>35</c:v>
                </c:pt>
              </c:numCache>
            </c:numRef>
          </c:val>
        </c:ser>
        <c:marker val="1"/>
        <c:axId val="159550464"/>
        <c:axId val="159560448"/>
      </c:lineChart>
      <c:catAx>
        <c:axId val="159550464"/>
        <c:scaling>
          <c:orientation val="minMax"/>
        </c:scaling>
        <c:axPos val="b"/>
        <c:tickLblPos val="nextTo"/>
        <c:crossAx val="159560448"/>
        <c:crosses val="autoZero"/>
        <c:auto val="1"/>
        <c:lblAlgn val="ctr"/>
        <c:lblOffset val="100"/>
      </c:catAx>
      <c:valAx>
        <c:axId val="159560448"/>
        <c:scaling>
          <c:orientation val="minMax"/>
        </c:scaling>
        <c:axPos val="l"/>
        <c:majorGridlines/>
        <c:numFmt formatCode="General" sourceLinked="1"/>
        <c:tickLblPos val="nextTo"/>
        <c:crossAx val="159550464"/>
        <c:crosses val="autoZero"/>
        <c:crossBetween val="between"/>
      </c:valAx>
    </c:plotArea>
    <c:legend>
      <c:legendPos val="r"/>
    </c:legend>
    <c:plotVisOnly val="1"/>
  </c:chart>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b="1">
                <a:latin typeface="Arial" pitchFamily="34" charset="0"/>
                <a:cs typeface="Arial" pitchFamily="34" charset="0"/>
              </a:rPr>
              <a:t>Număr mediu de persoane pe locuinţă</a:t>
            </a:r>
          </a:p>
        </c:rich>
      </c:tx>
      <c:overlay val="1"/>
    </c:title>
    <c:view3D>
      <c:perspective val="30"/>
    </c:view3D>
    <c:plotArea>
      <c:layout>
        <c:manualLayout>
          <c:layoutTarget val="inner"/>
          <c:xMode val="edge"/>
          <c:yMode val="edge"/>
          <c:x val="0.21615941236512201"/>
          <c:y val="8.7708411448568932E-2"/>
          <c:w val="0.75606280985710117"/>
          <c:h val="0.51111798525183938"/>
        </c:manualLayout>
      </c:layout>
      <c:bar3DChart>
        <c:barDir val="col"/>
        <c:grouping val="standard"/>
        <c:ser>
          <c:idx val="0"/>
          <c:order val="0"/>
          <c:tx>
            <c:strRef>
              <c:f>Sheet1!$B$1</c:f>
              <c:strCache>
                <c:ptCount val="1"/>
                <c:pt idx="0">
                  <c:v>Total gospodării</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2.58</c:v>
                </c:pt>
                <c:pt idx="1">
                  <c:v>2.46</c:v>
                </c:pt>
                <c:pt idx="2">
                  <c:v>2.44</c:v>
                </c:pt>
                <c:pt idx="3">
                  <c:v>2.42</c:v>
                </c:pt>
                <c:pt idx="4">
                  <c:v>2.4</c:v>
                </c:pt>
              </c:numCache>
            </c:numRef>
          </c:val>
        </c:ser>
        <c:ser>
          <c:idx val="1"/>
          <c:order val="1"/>
          <c:tx>
            <c:strRef>
              <c:f>Sheet1!$C$1</c:f>
              <c:strCache>
                <c:ptCount val="1"/>
                <c:pt idx="0">
                  <c:v>Urban</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2.9299999999999997</c:v>
                </c:pt>
                <c:pt idx="1">
                  <c:v>2.77</c:v>
                </c:pt>
                <c:pt idx="2">
                  <c:v>2.75</c:v>
                </c:pt>
                <c:pt idx="3">
                  <c:v>2.73</c:v>
                </c:pt>
                <c:pt idx="4">
                  <c:v>2.7</c:v>
                </c:pt>
              </c:numCache>
            </c:numRef>
          </c:val>
        </c:ser>
        <c:ser>
          <c:idx val="2"/>
          <c:order val="2"/>
          <c:tx>
            <c:strRef>
              <c:f>Sheet1!$D$1</c:f>
              <c:strCache>
                <c:ptCount val="1"/>
                <c:pt idx="0">
                  <c:v>Rural</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2.34</c:v>
                </c:pt>
                <c:pt idx="1">
                  <c:v>2.27</c:v>
                </c:pt>
                <c:pt idx="2">
                  <c:v>2.25</c:v>
                </c:pt>
                <c:pt idx="3">
                  <c:v>2.2400000000000002</c:v>
                </c:pt>
                <c:pt idx="4">
                  <c:v>2.21</c:v>
                </c:pt>
              </c:numCache>
            </c:numRef>
          </c:val>
        </c:ser>
        <c:shape val="box"/>
        <c:axId val="175236992"/>
        <c:axId val="175238528"/>
        <c:axId val="174978816"/>
      </c:bar3DChart>
      <c:catAx>
        <c:axId val="175236992"/>
        <c:scaling>
          <c:orientation val="minMax"/>
        </c:scaling>
        <c:axPos val="b"/>
        <c:numFmt formatCode="General" sourceLinked="1"/>
        <c:majorTickMark val="none"/>
        <c:tickLblPos val="nextTo"/>
        <c:crossAx val="175238528"/>
        <c:crosses val="autoZero"/>
        <c:auto val="1"/>
        <c:lblAlgn val="ctr"/>
        <c:lblOffset val="100"/>
      </c:catAx>
      <c:valAx>
        <c:axId val="175238528"/>
        <c:scaling>
          <c:orientation val="minMax"/>
        </c:scaling>
        <c:axPos val="l"/>
        <c:majorGridlines/>
        <c:title>
          <c:tx>
            <c:rich>
              <a:bodyPr rot="0" vert="horz"/>
              <a:lstStyle/>
              <a:p>
                <a:pPr>
                  <a:defRPr>
                    <a:latin typeface="Arial" pitchFamily="34" charset="0"/>
                    <a:cs typeface="Arial" pitchFamily="34" charset="0"/>
                  </a:defRPr>
                </a:pPr>
                <a:r>
                  <a:rPr lang="ro-RO" b="0">
                    <a:latin typeface="Arial" pitchFamily="34" charset="0"/>
                    <a:cs typeface="Arial" pitchFamily="34" charset="0"/>
                  </a:rPr>
                  <a:t>Persoane</a:t>
                </a:r>
                <a:r>
                  <a:rPr lang="en-US" b="0">
                    <a:latin typeface="Arial" pitchFamily="34" charset="0"/>
                    <a:cs typeface="Arial" pitchFamily="34" charset="0"/>
                  </a:rPr>
                  <a:t>/</a:t>
                </a:r>
                <a:r>
                  <a:rPr lang="ro-RO" b="0">
                    <a:latin typeface="Arial" pitchFamily="34" charset="0"/>
                    <a:cs typeface="Arial" pitchFamily="34" charset="0"/>
                  </a:rPr>
                  <a:t> </a:t>
                </a:r>
                <a:r>
                  <a:rPr lang="en-US" b="0">
                    <a:latin typeface="Arial" pitchFamily="34" charset="0"/>
                    <a:cs typeface="Arial" pitchFamily="34" charset="0"/>
                  </a:rPr>
                  <a:t>gospo</a:t>
                </a:r>
                <a:r>
                  <a:rPr lang="ro-RO" b="0">
                    <a:latin typeface="Arial" pitchFamily="34" charset="0"/>
                    <a:cs typeface="Arial" pitchFamily="34" charset="0"/>
                  </a:rPr>
                  <a:t>dărie</a:t>
                </a:r>
              </a:p>
            </c:rich>
          </c:tx>
          <c:layout>
            <c:manualLayout>
              <c:xMode val="edge"/>
              <c:yMode val="edge"/>
              <c:x val="0.10732848498104409"/>
              <c:y val="4.4658167729033894E-2"/>
            </c:manualLayout>
          </c:layout>
        </c:title>
        <c:numFmt formatCode="General" sourceLinked="1"/>
        <c:majorTickMark val="none"/>
        <c:tickLblPos val="nextTo"/>
        <c:crossAx val="175236992"/>
        <c:crosses val="autoZero"/>
        <c:crossBetween val="between"/>
      </c:valAx>
      <c:serAx>
        <c:axId val="174978816"/>
        <c:scaling>
          <c:orientation val="minMax"/>
        </c:scaling>
        <c:delete val="1"/>
        <c:axPos val="b"/>
        <c:majorTickMark val="none"/>
        <c:tickLblPos val="none"/>
        <c:crossAx val="175238528"/>
        <c:crosses val="autoZero"/>
      </c:serAx>
      <c:dTable>
        <c:showHorzBorder val="1"/>
        <c:showVertBorder val="1"/>
        <c:showOutline val="1"/>
        <c:showKeys val="1"/>
      </c:dTable>
      <c:spPr>
        <a:solidFill>
          <a:schemeClr val="bg1">
            <a:lumMod val="85000"/>
          </a:schemeClr>
        </a:solidFill>
      </c:spPr>
    </c:plotArea>
    <c:plotVisOnly val="1"/>
  </c:chart>
  <c:spPr>
    <a:solidFill>
      <a:schemeClr val="bg1">
        <a:lumMod val="85000"/>
      </a:schemeClr>
    </a:solidFill>
  </c:spPr>
  <c:externalData r:id="rId2"/>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100">
                <a:latin typeface="Arial" pitchFamily="34" charset="0"/>
                <a:cs typeface="Arial" pitchFamily="34" charset="0"/>
              </a:rPr>
              <a:t>Consumul de energie electrică în gospodării </a:t>
            </a:r>
            <a:r>
              <a:rPr lang="en-US" sz="1100">
                <a:latin typeface="Arial" pitchFamily="34" charset="0"/>
                <a:cs typeface="Arial" pitchFamily="34" charset="0"/>
              </a:rPr>
              <a:t>( MWh, mii tep) </a:t>
            </a:r>
            <a:r>
              <a:rPr lang="ro-RO" sz="1100">
                <a:latin typeface="Arial" pitchFamily="34" charset="0"/>
                <a:cs typeface="Arial" pitchFamily="34" charset="0"/>
              </a:rPr>
              <a:t>în judeţul Buzău în perioada 2010-201</a:t>
            </a:r>
            <a:r>
              <a:rPr lang="en-US" sz="1100">
                <a:latin typeface="Arial" pitchFamily="34" charset="0"/>
                <a:cs typeface="Arial" pitchFamily="34" charset="0"/>
              </a:rPr>
              <a:t>3</a:t>
            </a:r>
            <a:endParaRPr lang="ro-RO" sz="1100">
              <a:latin typeface="Arial" pitchFamily="34" charset="0"/>
              <a:cs typeface="Arial" pitchFamily="34" charset="0"/>
            </a:endParaRPr>
          </a:p>
        </c:rich>
      </c:tx>
    </c:title>
    <c:view3D>
      <c:rAngAx val="1"/>
    </c:view3D>
    <c:plotArea>
      <c:layout/>
      <c:bar3DChart>
        <c:barDir val="col"/>
        <c:grouping val="clustered"/>
        <c:ser>
          <c:idx val="0"/>
          <c:order val="0"/>
          <c:tx>
            <c:strRef>
              <c:f>Sheet1!$B$1</c:f>
              <c:strCache>
                <c:ptCount val="1"/>
                <c:pt idx="0">
                  <c:v>MWh</c:v>
                </c:pt>
              </c:strCache>
            </c:strRef>
          </c:tx>
          <c:spPr>
            <a:solidFill>
              <a:srgbClr val="A50021"/>
            </a:solidFill>
          </c:spPr>
          <c:cat>
            <c:numRef>
              <c:f>Sheet1!$A$2:$A$6</c:f>
              <c:numCache>
                <c:formatCode>General</c:formatCode>
                <c:ptCount val="5"/>
                <c:pt idx="0">
                  <c:v>2010</c:v>
                </c:pt>
                <c:pt idx="1">
                  <c:v>2011</c:v>
                </c:pt>
                <c:pt idx="2">
                  <c:v>2012</c:v>
                </c:pt>
                <c:pt idx="3">
                  <c:v>2013</c:v>
                </c:pt>
              </c:numCache>
            </c:numRef>
          </c:cat>
          <c:val>
            <c:numRef>
              <c:f>Sheet1!$B$2:$B$6</c:f>
              <c:numCache>
                <c:formatCode>General</c:formatCode>
                <c:ptCount val="5"/>
                <c:pt idx="0">
                  <c:v>99194.04</c:v>
                </c:pt>
                <c:pt idx="1">
                  <c:v>96251.43</c:v>
                </c:pt>
                <c:pt idx="2">
                  <c:v>98839.95</c:v>
                </c:pt>
                <c:pt idx="3">
                  <c:v>94603.08</c:v>
                </c:pt>
              </c:numCache>
            </c:numRef>
          </c:val>
        </c:ser>
        <c:ser>
          <c:idx val="1"/>
          <c:order val="1"/>
          <c:tx>
            <c:strRef>
              <c:f>Sheet1!$C$1</c:f>
              <c:strCache>
                <c:ptCount val="1"/>
                <c:pt idx="0">
                  <c:v>mii tep</c:v>
                </c:pt>
              </c:strCache>
            </c:strRef>
          </c:tx>
          <c:spPr>
            <a:solidFill>
              <a:srgbClr val="0070C0"/>
            </a:solidFill>
          </c:spPr>
          <c:cat>
            <c:numRef>
              <c:f>Sheet1!$A$2:$A$6</c:f>
              <c:numCache>
                <c:formatCode>General</c:formatCode>
                <c:ptCount val="5"/>
                <c:pt idx="0">
                  <c:v>2010</c:v>
                </c:pt>
                <c:pt idx="1">
                  <c:v>2011</c:v>
                </c:pt>
                <c:pt idx="2">
                  <c:v>2012</c:v>
                </c:pt>
                <c:pt idx="3">
                  <c:v>2013</c:v>
                </c:pt>
              </c:numCache>
            </c:numRef>
          </c:cat>
          <c:val>
            <c:numRef>
              <c:f>Sheet1!$C$2:$C$6</c:f>
              <c:numCache>
                <c:formatCode>General</c:formatCode>
                <c:ptCount val="5"/>
                <c:pt idx="0">
                  <c:v>8124</c:v>
                </c:pt>
                <c:pt idx="1">
                  <c:v>7883</c:v>
                </c:pt>
                <c:pt idx="2">
                  <c:v>8095</c:v>
                </c:pt>
                <c:pt idx="3">
                  <c:v>7748</c:v>
                </c:pt>
              </c:numCache>
            </c:numRef>
          </c:val>
        </c:ser>
        <c:shape val="box"/>
        <c:axId val="175522176"/>
        <c:axId val="175523712"/>
        <c:axId val="0"/>
      </c:bar3DChart>
      <c:catAx>
        <c:axId val="175522176"/>
        <c:scaling>
          <c:orientation val="minMax"/>
        </c:scaling>
        <c:axPos val="b"/>
        <c:numFmt formatCode="General" sourceLinked="1"/>
        <c:majorTickMark val="none"/>
        <c:tickLblPos val="nextTo"/>
        <c:crossAx val="175523712"/>
        <c:crosses val="autoZero"/>
        <c:auto val="1"/>
        <c:lblAlgn val="ctr"/>
        <c:lblOffset val="100"/>
      </c:catAx>
      <c:valAx>
        <c:axId val="175523712"/>
        <c:scaling>
          <c:orientation val="minMax"/>
        </c:scaling>
        <c:axPos val="l"/>
        <c:majorGridlines/>
        <c:title>
          <c:tx>
            <c:rich>
              <a:bodyPr rot="0" vert="horz"/>
              <a:lstStyle/>
              <a:p>
                <a:pPr>
                  <a:defRPr/>
                </a:pPr>
                <a:r>
                  <a:rPr lang="ro-RO"/>
                  <a:t>U.M.</a:t>
                </a:r>
              </a:p>
            </c:rich>
          </c:tx>
        </c:title>
        <c:numFmt formatCode="General" sourceLinked="1"/>
        <c:majorTickMark val="none"/>
        <c:tickLblPos val="nextTo"/>
        <c:crossAx val="175522176"/>
        <c:crosses val="autoZero"/>
        <c:crossBetween val="between"/>
      </c:valAx>
      <c:dTable>
        <c:showHorzBorder val="1"/>
        <c:showVertBorder val="1"/>
        <c:showOutline val="1"/>
        <c:showKeys val="1"/>
      </c:dTable>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ro-RO" sz="1000" b="1">
                <a:solidFill>
                  <a:sysClr val="windowText" lastClr="000000"/>
                </a:solidFill>
                <a:latin typeface="Arial" pitchFamily="34" charset="0"/>
                <a:cs typeface="Arial" pitchFamily="34" charset="0"/>
              </a:rPr>
              <a:t>Cheltuieli de consum</a:t>
            </a:r>
            <a:r>
              <a:rPr lang="ro-RO" sz="1000" b="1" baseline="0">
                <a:solidFill>
                  <a:sysClr val="windowText" lastClr="000000"/>
                </a:solidFill>
                <a:latin typeface="Arial" pitchFamily="34" charset="0"/>
                <a:cs typeface="Arial" pitchFamily="34" charset="0"/>
              </a:rPr>
              <a:t> medii</a:t>
            </a:r>
            <a:r>
              <a:rPr lang="ro-RO" sz="1000" b="1" baseline="0">
                <a:latin typeface="Arial" pitchFamily="34" charset="0"/>
                <a:cs typeface="Arial" pitchFamily="34" charset="0"/>
              </a:rPr>
              <a:t> pe gospodarie </a:t>
            </a:r>
            <a:r>
              <a:rPr lang="ro-RO" sz="1000" b="1" baseline="0">
                <a:solidFill>
                  <a:sysClr val="windowText" lastClr="000000"/>
                </a:solidFill>
                <a:latin typeface="Arial" pitchFamily="34" charset="0"/>
                <a:cs typeface="Arial" pitchFamily="34" charset="0"/>
              </a:rPr>
              <a:t>o persoana în judeţul Buzău  în perioada 2010-2014</a:t>
            </a:r>
            <a:r>
              <a:rPr lang="ro-RO" sz="1000" b="1" baseline="0">
                <a:latin typeface="Arial" pitchFamily="34" charset="0"/>
                <a:cs typeface="Arial" pitchFamily="34" charset="0"/>
              </a:rPr>
              <a:t> </a:t>
            </a:r>
            <a:endParaRPr lang="ro-RO" sz="1000" b="1">
              <a:latin typeface="Arial" pitchFamily="34" charset="0"/>
              <a:cs typeface="Arial" pitchFamily="34" charset="0"/>
            </a:endParaRPr>
          </a:p>
        </c:rich>
      </c:tx>
    </c:title>
    <c:plotArea>
      <c:layout/>
      <c:barChart>
        <c:barDir val="col"/>
        <c:grouping val="clustered"/>
        <c:ser>
          <c:idx val="0"/>
          <c:order val="0"/>
          <c:tx>
            <c:strRef>
              <c:f>Sheet1!$B$1</c:f>
              <c:strCache>
                <c:ptCount val="1"/>
                <c:pt idx="0">
                  <c:v>Total  gospodării </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2488.62</c:v>
                </c:pt>
                <c:pt idx="1">
                  <c:v>2562.2599999999998</c:v>
                </c:pt>
                <c:pt idx="2">
                  <c:v>2690.67</c:v>
                </c:pt>
                <c:pt idx="3">
                  <c:v>2793.13</c:v>
                </c:pt>
                <c:pt idx="4">
                  <c:v>2761.3</c:v>
                </c:pt>
              </c:numCache>
            </c:numRef>
          </c:val>
        </c:ser>
        <c:ser>
          <c:idx val="1"/>
          <c:order val="1"/>
          <c:tx>
            <c:strRef>
              <c:f>Sheet1!$C$1</c:f>
              <c:strCache>
                <c:ptCount val="1"/>
                <c:pt idx="0">
                  <c:v>Urban </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1538.08</c:v>
                </c:pt>
                <c:pt idx="1">
                  <c:v>1574.44</c:v>
                </c:pt>
                <c:pt idx="2">
                  <c:v>1639.29</c:v>
                </c:pt>
                <c:pt idx="3">
                  <c:v>1725.58</c:v>
                </c:pt>
                <c:pt idx="4">
                  <c:v>1689.6799999999998</c:v>
                </c:pt>
              </c:numCache>
            </c:numRef>
          </c:val>
        </c:ser>
        <c:ser>
          <c:idx val="2"/>
          <c:order val="2"/>
          <c:tx>
            <c:strRef>
              <c:f>Sheet1!$D$1</c:f>
              <c:strCache>
                <c:ptCount val="1"/>
                <c:pt idx="0">
                  <c:v>Rural</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950.54</c:v>
                </c:pt>
                <c:pt idx="1">
                  <c:v>987.81999999999948</c:v>
                </c:pt>
                <c:pt idx="2">
                  <c:v>1052.3799999999999</c:v>
                </c:pt>
                <c:pt idx="3">
                  <c:v>1067.55</c:v>
                </c:pt>
                <c:pt idx="4">
                  <c:v>1071.6199999999999</c:v>
                </c:pt>
              </c:numCache>
            </c:numRef>
          </c:val>
        </c:ser>
        <c:axId val="175570304"/>
        <c:axId val="175469696"/>
      </c:barChart>
      <c:catAx>
        <c:axId val="175570304"/>
        <c:scaling>
          <c:orientation val="minMax"/>
        </c:scaling>
        <c:axPos val="b"/>
        <c:numFmt formatCode="General" sourceLinked="1"/>
        <c:majorTickMark val="none"/>
        <c:tickLblPos val="nextTo"/>
        <c:crossAx val="175469696"/>
        <c:crosses val="autoZero"/>
        <c:auto val="1"/>
        <c:lblAlgn val="ctr"/>
        <c:lblOffset val="100"/>
      </c:catAx>
      <c:valAx>
        <c:axId val="175469696"/>
        <c:scaling>
          <c:orientation val="minMax"/>
        </c:scaling>
        <c:axPos val="l"/>
        <c:majorGridlines/>
        <c:title>
          <c:tx>
            <c:rich>
              <a:bodyPr/>
              <a:lstStyle/>
              <a:p>
                <a:pPr>
                  <a:defRPr b="0">
                    <a:latin typeface="Arial" pitchFamily="34" charset="0"/>
                    <a:cs typeface="Arial" pitchFamily="34" charset="0"/>
                  </a:defRPr>
                </a:pPr>
                <a:r>
                  <a:rPr lang="ro-RO" b="0">
                    <a:latin typeface="Arial" pitchFamily="34" charset="0"/>
                    <a:cs typeface="Arial" pitchFamily="34" charset="0"/>
                  </a:rPr>
                  <a:t>Valoare</a:t>
                </a:r>
                <a:r>
                  <a:rPr lang="ro-RO" b="0" baseline="0">
                    <a:latin typeface="Arial" pitchFamily="34" charset="0"/>
                    <a:cs typeface="Arial" pitchFamily="34" charset="0"/>
                  </a:rPr>
                  <a:t> lei</a:t>
                </a:r>
                <a:endParaRPr lang="ro-RO" b="0">
                  <a:latin typeface="Arial" pitchFamily="34" charset="0"/>
                  <a:cs typeface="Arial" pitchFamily="34" charset="0"/>
                </a:endParaRPr>
              </a:p>
            </c:rich>
          </c:tx>
        </c:title>
        <c:numFmt formatCode="General" sourceLinked="1"/>
        <c:majorTickMark val="none"/>
        <c:tickLblPos val="nextTo"/>
        <c:crossAx val="175570304"/>
        <c:crosses val="autoZero"/>
        <c:crossBetween val="between"/>
      </c:valAx>
      <c:dTable>
        <c:showHorzBorder val="1"/>
        <c:showVertBorder val="1"/>
        <c:showOutline val="1"/>
        <c:showKeys val="1"/>
      </c:dTable>
    </c:plotArea>
    <c:plotVisOnly val="1"/>
  </c:chart>
  <c:spPr>
    <a:solidFill>
      <a:schemeClr val="bg1">
        <a:lumMod val="85000"/>
      </a:schemeClr>
    </a:solidFill>
  </c:spPr>
  <c:externalData r:id="rId2"/>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a:pPr>
            <a:r>
              <a:rPr lang="en-US" sz="1100">
                <a:latin typeface="Arial" pitchFamily="34" charset="0"/>
                <a:cs typeface="Arial" pitchFamily="34" charset="0"/>
              </a:rPr>
              <a:t>Emisii de GES </a:t>
            </a:r>
            <a:r>
              <a:rPr lang="ro-RO" sz="1100">
                <a:latin typeface="Arial" pitchFamily="34" charset="0"/>
                <a:cs typeface="Arial" pitchFamily="34" charset="0"/>
              </a:rPr>
              <a:t>în sectorul rezidenţial şi comercial</a:t>
            </a:r>
          </a:p>
        </c:rich>
      </c:tx>
      <c:spPr>
        <a:ln w="3175"/>
      </c:spPr>
    </c:title>
    <c:plotArea>
      <c:layout/>
      <c:barChart>
        <c:barDir val="col"/>
        <c:grouping val="clustered"/>
        <c:ser>
          <c:idx val="0"/>
          <c:order val="0"/>
          <c:cat>
            <c:strRef>
              <c:f>Sheet1!$C$12:$F$12</c:f>
              <c:strCache>
                <c:ptCount val="4"/>
                <c:pt idx="0">
                  <c:v>2011"</c:v>
                </c:pt>
                <c:pt idx="1">
                  <c:v>2012"</c:v>
                </c:pt>
                <c:pt idx="2">
                  <c:v>2013"</c:v>
                </c:pt>
                <c:pt idx="3">
                  <c:v>2014"</c:v>
                </c:pt>
              </c:strCache>
            </c:strRef>
          </c:cat>
          <c:val>
            <c:numRef>
              <c:f>Sheet1!$C$13:$F$13</c:f>
              <c:numCache>
                <c:formatCode>General</c:formatCode>
                <c:ptCount val="4"/>
                <c:pt idx="0">
                  <c:v>0.78</c:v>
                </c:pt>
                <c:pt idx="1">
                  <c:v>0.61600000000000132</c:v>
                </c:pt>
                <c:pt idx="2">
                  <c:v>1.700999999999997</c:v>
                </c:pt>
                <c:pt idx="3">
                  <c:v>1.9760000000000029</c:v>
                </c:pt>
              </c:numCache>
            </c:numRef>
          </c:val>
        </c:ser>
        <c:dLbls>
          <c:showVal val="1"/>
        </c:dLbls>
        <c:gapWidth val="75"/>
        <c:axId val="175603712"/>
        <c:axId val="175605248"/>
      </c:barChart>
      <c:catAx>
        <c:axId val="175603712"/>
        <c:scaling>
          <c:orientation val="minMax"/>
        </c:scaling>
        <c:axPos val="b"/>
        <c:majorTickMark val="none"/>
        <c:tickLblPos val="nextTo"/>
        <c:crossAx val="175605248"/>
        <c:crosses val="autoZero"/>
        <c:auto val="1"/>
        <c:lblAlgn val="ctr"/>
        <c:lblOffset val="100"/>
      </c:catAx>
      <c:valAx>
        <c:axId val="175605248"/>
        <c:scaling>
          <c:orientation val="minMax"/>
        </c:scaling>
        <c:axPos val="l"/>
        <c:title>
          <c:tx>
            <c:rich>
              <a:bodyPr rot="-5400000" vert="horz"/>
              <a:lstStyle/>
              <a:p>
                <a:pPr>
                  <a:defRPr/>
                </a:pPr>
                <a:r>
                  <a:rPr lang="en-US"/>
                  <a:t>mil.tone CO2 eq.</a:t>
                </a:r>
                <a:endParaRPr lang="ro-RO"/>
              </a:p>
            </c:rich>
          </c:tx>
        </c:title>
        <c:numFmt formatCode="General" sourceLinked="1"/>
        <c:majorTickMark val="none"/>
        <c:tickLblPos val="nextTo"/>
        <c:crossAx val="175603712"/>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ro-RO"/>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o-RO"/>
  <c:chart>
    <c:plotArea>
      <c:layout/>
      <c:lineChart>
        <c:grouping val="standard"/>
        <c:ser>
          <c:idx val="0"/>
          <c:order val="0"/>
          <c:tx>
            <c:strRef>
              <c:f>Sheet1!$C$183</c:f>
              <c:strCache>
                <c:ptCount val="1"/>
                <c:pt idx="0">
                  <c:v>Nr. depășiri PM10 grv</c:v>
                </c:pt>
              </c:strCache>
            </c:strRef>
          </c:tx>
          <c:marker>
            <c:symbol val="none"/>
          </c:marker>
          <c:cat>
            <c:strRef>
              <c:f>Sheet1!$B$184:$B$186</c:f>
              <c:strCache>
                <c:ptCount val="3"/>
                <c:pt idx="0">
                  <c:v>2012"</c:v>
                </c:pt>
                <c:pt idx="1">
                  <c:v>2013"</c:v>
                </c:pt>
                <c:pt idx="2">
                  <c:v>2014"</c:v>
                </c:pt>
              </c:strCache>
            </c:strRef>
          </c:cat>
          <c:val>
            <c:numRef>
              <c:f>Sheet1!$C$184:$C$186</c:f>
              <c:numCache>
                <c:formatCode>General</c:formatCode>
                <c:ptCount val="3"/>
                <c:pt idx="0">
                  <c:v>19</c:v>
                </c:pt>
                <c:pt idx="1">
                  <c:v>22</c:v>
                </c:pt>
                <c:pt idx="2">
                  <c:v>24</c:v>
                </c:pt>
              </c:numCache>
            </c:numRef>
          </c:val>
        </c:ser>
        <c:ser>
          <c:idx val="1"/>
          <c:order val="1"/>
          <c:tx>
            <c:strRef>
              <c:f>Sheet1!$D$183</c:f>
              <c:strCache>
                <c:ptCount val="1"/>
                <c:pt idx="0">
                  <c:v>Nr. maxim de depășiri</c:v>
                </c:pt>
              </c:strCache>
            </c:strRef>
          </c:tx>
          <c:marker>
            <c:symbol val="none"/>
          </c:marker>
          <c:cat>
            <c:strRef>
              <c:f>Sheet1!$B$184:$B$186</c:f>
              <c:strCache>
                <c:ptCount val="3"/>
                <c:pt idx="0">
                  <c:v>2012"</c:v>
                </c:pt>
                <c:pt idx="1">
                  <c:v>2013"</c:v>
                </c:pt>
                <c:pt idx="2">
                  <c:v>2014"</c:v>
                </c:pt>
              </c:strCache>
            </c:strRef>
          </c:cat>
          <c:val>
            <c:numRef>
              <c:f>Sheet1!$D$184:$D$186</c:f>
              <c:numCache>
                <c:formatCode>General</c:formatCode>
                <c:ptCount val="3"/>
                <c:pt idx="0">
                  <c:v>35</c:v>
                </c:pt>
                <c:pt idx="1">
                  <c:v>35</c:v>
                </c:pt>
                <c:pt idx="2">
                  <c:v>35</c:v>
                </c:pt>
              </c:numCache>
            </c:numRef>
          </c:val>
        </c:ser>
        <c:marker val="1"/>
        <c:axId val="159576832"/>
        <c:axId val="159578368"/>
      </c:lineChart>
      <c:catAx>
        <c:axId val="159576832"/>
        <c:scaling>
          <c:orientation val="minMax"/>
        </c:scaling>
        <c:axPos val="b"/>
        <c:tickLblPos val="nextTo"/>
        <c:crossAx val="159578368"/>
        <c:crosses val="autoZero"/>
        <c:auto val="1"/>
        <c:lblAlgn val="ctr"/>
        <c:lblOffset val="100"/>
      </c:catAx>
      <c:valAx>
        <c:axId val="159578368"/>
        <c:scaling>
          <c:orientation val="minMax"/>
        </c:scaling>
        <c:axPos val="l"/>
        <c:majorGridlines/>
        <c:numFmt formatCode="General" sourceLinked="1"/>
        <c:tickLblPos val="nextTo"/>
        <c:crossAx val="15957683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a:latin typeface="Arial" pitchFamily="34" charset="0"/>
                <a:cs typeface="Arial" pitchFamily="34" charset="0"/>
              </a:rPr>
              <a:t>Contribuţia</a:t>
            </a:r>
            <a:r>
              <a:rPr lang="ro-RO" sz="1000" b="1" baseline="0">
                <a:latin typeface="Arial" pitchFamily="34" charset="0"/>
                <a:cs typeface="Arial" pitchFamily="34" charset="0"/>
              </a:rPr>
              <a:t> sectoarelor de activitate din energie la emisiile de poluanţi cu efect de acidifiere</a:t>
            </a:r>
            <a:endParaRPr lang="ro-RO" sz="1000" b="1">
              <a:latin typeface="Arial" pitchFamily="34" charset="0"/>
              <a:cs typeface="Arial" pitchFamily="34" charset="0"/>
            </a:endParaRPr>
          </a:p>
        </c:rich>
      </c:tx>
    </c:title>
    <c:plotArea>
      <c:layout/>
      <c:barChart>
        <c:barDir val="col"/>
        <c:grouping val="clustered"/>
        <c:ser>
          <c:idx val="0"/>
          <c:order val="0"/>
          <c:tx>
            <c:strRef>
              <c:f>Sheet1!$C$20</c:f>
              <c:strCache>
                <c:ptCount val="1"/>
                <c:pt idx="0">
                  <c:v>SOx</c:v>
                </c:pt>
              </c:strCache>
            </c:strRef>
          </c:tx>
          <c:cat>
            <c:strRef>
              <c:f>Sheet1!$B$21:$B$27</c:f>
              <c:strCache>
                <c:ptCount val="7"/>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VEHICULE NERUTIERE</c:v>
                </c:pt>
              </c:strCache>
            </c:strRef>
          </c:cat>
          <c:val>
            <c:numRef>
              <c:f>Sheet1!$C$21:$C$27</c:f>
              <c:numCache>
                <c:formatCode>General</c:formatCode>
                <c:ptCount val="7"/>
                <c:pt idx="0">
                  <c:v>1.06</c:v>
                </c:pt>
                <c:pt idx="1">
                  <c:v>10.11</c:v>
                </c:pt>
                <c:pt idx="2">
                  <c:v>7.0000000000000021E-2</c:v>
                </c:pt>
                <c:pt idx="3">
                  <c:v>9.06</c:v>
                </c:pt>
                <c:pt idx="4">
                  <c:v>5.7</c:v>
                </c:pt>
                <c:pt idx="5">
                  <c:v>74</c:v>
                </c:pt>
              </c:numCache>
            </c:numRef>
          </c:val>
        </c:ser>
        <c:ser>
          <c:idx val="1"/>
          <c:order val="1"/>
          <c:tx>
            <c:strRef>
              <c:f>Sheet1!$D$20</c:f>
              <c:strCache>
                <c:ptCount val="1"/>
                <c:pt idx="0">
                  <c:v>NOx</c:v>
                </c:pt>
              </c:strCache>
            </c:strRef>
          </c:tx>
          <c:cat>
            <c:strRef>
              <c:f>Sheet1!$B$21:$B$27</c:f>
              <c:strCache>
                <c:ptCount val="7"/>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VEHICULE NERUTIERE</c:v>
                </c:pt>
              </c:strCache>
            </c:strRef>
          </c:cat>
          <c:val>
            <c:numRef>
              <c:f>Sheet1!$D$21:$D$27</c:f>
              <c:numCache>
                <c:formatCode>General</c:formatCode>
                <c:ptCount val="7"/>
                <c:pt idx="0">
                  <c:v>6.1199999999999966</c:v>
                </c:pt>
                <c:pt idx="1">
                  <c:v>1.84</c:v>
                </c:pt>
                <c:pt idx="2">
                  <c:v>1.6900000000000037</c:v>
                </c:pt>
                <c:pt idx="3">
                  <c:v>11.38</c:v>
                </c:pt>
                <c:pt idx="4">
                  <c:v>9.9</c:v>
                </c:pt>
                <c:pt idx="5">
                  <c:v>45.27</c:v>
                </c:pt>
                <c:pt idx="6">
                  <c:v>23.8</c:v>
                </c:pt>
              </c:numCache>
            </c:numRef>
          </c:val>
        </c:ser>
        <c:ser>
          <c:idx val="2"/>
          <c:order val="2"/>
          <c:tx>
            <c:strRef>
              <c:f>Sheet1!$E$20</c:f>
              <c:strCache>
                <c:ptCount val="1"/>
                <c:pt idx="0">
                  <c:v>NH3</c:v>
                </c:pt>
              </c:strCache>
            </c:strRef>
          </c:tx>
          <c:cat>
            <c:strRef>
              <c:f>Sheet1!$B$21:$B$27</c:f>
              <c:strCache>
                <c:ptCount val="7"/>
                <c:pt idx="0">
                  <c:v>PROD. ENERGIE ELECTRICA SI TERMICA</c:v>
                </c:pt>
                <c:pt idx="1">
                  <c:v>ARDERI ÎN METALURGIE</c:v>
                </c:pt>
                <c:pt idx="2">
                  <c:v>ARDERI ÎN EXTRACŢIE PETROL ŞI GAZE</c:v>
                </c:pt>
                <c:pt idx="3">
                  <c:v>ARDERI ÎN IND. ALIMENTARĂ</c:v>
                </c:pt>
                <c:pt idx="4">
                  <c:v>ARDERI ÎN ALTE DOMENII</c:v>
                </c:pt>
                <c:pt idx="5">
                  <c:v>ÎNCĂLZIRE REZIDENŢIALĂ</c:v>
                </c:pt>
                <c:pt idx="6">
                  <c:v>VEHICULE NERUTIERE</c:v>
                </c:pt>
              </c:strCache>
            </c:strRef>
          </c:cat>
          <c:val>
            <c:numRef>
              <c:f>Sheet1!$E$21:$E$27</c:f>
              <c:numCache>
                <c:formatCode>General</c:formatCode>
                <c:ptCount val="7"/>
                <c:pt idx="0">
                  <c:v>0</c:v>
                </c:pt>
                <c:pt idx="1">
                  <c:v>0</c:v>
                </c:pt>
                <c:pt idx="2">
                  <c:v>0</c:v>
                </c:pt>
                <c:pt idx="3">
                  <c:v>0</c:v>
                </c:pt>
                <c:pt idx="4">
                  <c:v>0</c:v>
                </c:pt>
                <c:pt idx="5">
                  <c:v>99.8</c:v>
                </c:pt>
                <c:pt idx="6">
                  <c:v>0.2</c:v>
                </c:pt>
              </c:numCache>
            </c:numRef>
          </c:val>
        </c:ser>
        <c:axId val="159599616"/>
        <c:axId val="159613696"/>
      </c:barChart>
      <c:catAx>
        <c:axId val="159599616"/>
        <c:scaling>
          <c:orientation val="minMax"/>
        </c:scaling>
        <c:axPos val="b"/>
        <c:majorTickMark val="none"/>
        <c:tickLblPos val="nextTo"/>
        <c:crossAx val="159613696"/>
        <c:crosses val="autoZero"/>
        <c:lblAlgn val="ctr"/>
        <c:lblOffset val="100"/>
      </c:catAx>
      <c:valAx>
        <c:axId val="159613696"/>
        <c:scaling>
          <c:orientation val="minMax"/>
          <c:max val="100"/>
        </c:scaling>
        <c:axPos val="l"/>
        <c:majorGridlines/>
        <c:title>
          <c:tx>
            <c:rich>
              <a:bodyPr rot="0" vert="horz"/>
              <a:lstStyle/>
              <a:p>
                <a:pPr>
                  <a:defRPr sz="1200"/>
                </a:pPr>
                <a:r>
                  <a:rPr lang="ro-RO" sz="1200"/>
                  <a:t>%</a:t>
                </a:r>
              </a:p>
            </c:rich>
          </c:tx>
          <c:layout>
            <c:manualLayout>
              <c:xMode val="edge"/>
              <c:yMode val="edge"/>
              <c:x val="0.14340644270677344"/>
              <c:y val="8.0511577274214749E-2"/>
            </c:manualLayout>
          </c:layout>
        </c:title>
        <c:numFmt formatCode="General" sourceLinked="1"/>
        <c:tickLblPos val="nextTo"/>
        <c:crossAx val="159599616"/>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a:latin typeface="Arial" pitchFamily="34" charset="0"/>
                <a:cs typeface="Arial" pitchFamily="34" charset="0"/>
              </a:rPr>
              <a:t>Contribuţia</a:t>
            </a:r>
            <a:r>
              <a:rPr lang="ro-RO" sz="1000" b="1" baseline="0">
                <a:latin typeface="Arial" pitchFamily="34" charset="0"/>
                <a:cs typeface="Arial" pitchFamily="34" charset="0"/>
              </a:rPr>
              <a:t> sectoarelor de activitate din energie la emisiile de poluanţi precursori ai ozonului</a:t>
            </a:r>
            <a:endParaRPr lang="ro-RO" sz="1000" b="1">
              <a:latin typeface="Arial" pitchFamily="34" charset="0"/>
              <a:cs typeface="Arial" pitchFamily="34" charset="0"/>
            </a:endParaRPr>
          </a:p>
        </c:rich>
      </c:tx>
    </c:title>
    <c:plotArea>
      <c:layout/>
      <c:barChart>
        <c:barDir val="col"/>
        <c:grouping val="clustered"/>
        <c:ser>
          <c:idx val="0"/>
          <c:order val="0"/>
          <c:tx>
            <c:strRef>
              <c:f>Sheet1!$C$55</c:f>
              <c:strCache>
                <c:ptCount val="1"/>
                <c:pt idx="0">
                  <c:v>NOx</c:v>
                </c:pt>
              </c:strCache>
            </c:strRef>
          </c:tx>
          <c:cat>
            <c:strRef>
              <c:f>Sheet1!$B$56:$B$62</c:f>
              <c:strCache>
                <c:ptCount val="7"/>
                <c:pt idx="0">
                  <c:v>PROD. ENERGIE ELECTRICA SI TERMICA</c:v>
                </c:pt>
                <c:pt idx="1">
                  <c:v>ARDERI ÎN METALURGIE</c:v>
                </c:pt>
                <c:pt idx="2">
                  <c:v>ARDERI ÎN EXTRACŢIE PETROL ŞI GAZE</c:v>
                </c:pt>
                <c:pt idx="3">
                  <c:v>ARDERI ÎN IND. ALIMENTARĂ</c:v>
                </c:pt>
                <c:pt idx="4">
                  <c:v>ARDERI ÎN ALTE DOMENII </c:v>
                </c:pt>
                <c:pt idx="5">
                  <c:v>ÎNCĂLZIRE REZIDENŢIALĂ</c:v>
                </c:pt>
                <c:pt idx="6">
                  <c:v>INCALZIRE SPATII AGRICULTURA</c:v>
                </c:pt>
              </c:strCache>
            </c:strRef>
          </c:cat>
          <c:val>
            <c:numRef>
              <c:f>Sheet1!$C$56:$C$62</c:f>
              <c:numCache>
                <c:formatCode>General</c:formatCode>
                <c:ptCount val="7"/>
                <c:pt idx="0">
                  <c:v>7.8</c:v>
                </c:pt>
                <c:pt idx="1">
                  <c:v>2.36</c:v>
                </c:pt>
                <c:pt idx="2">
                  <c:v>2.16</c:v>
                </c:pt>
                <c:pt idx="3">
                  <c:v>14.6</c:v>
                </c:pt>
                <c:pt idx="4">
                  <c:v>12.68</c:v>
                </c:pt>
                <c:pt idx="5">
                  <c:v>58</c:v>
                </c:pt>
                <c:pt idx="6">
                  <c:v>2.4</c:v>
                </c:pt>
              </c:numCache>
            </c:numRef>
          </c:val>
        </c:ser>
        <c:ser>
          <c:idx val="1"/>
          <c:order val="1"/>
          <c:tx>
            <c:strRef>
              <c:f>Sheet1!$D$55</c:f>
              <c:strCache>
                <c:ptCount val="1"/>
                <c:pt idx="0">
                  <c:v>NMVOC</c:v>
                </c:pt>
              </c:strCache>
            </c:strRef>
          </c:tx>
          <c:cat>
            <c:strRef>
              <c:f>Sheet1!$B$56:$B$62</c:f>
              <c:strCache>
                <c:ptCount val="7"/>
                <c:pt idx="0">
                  <c:v>PROD. ENERGIE ELECTRICA SI TERMICA</c:v>
                </c:pt>
                <c:pt idx="1">
                  <c:v>ARDERI ÎN METALURGIE</c:v>
                </c:pt>
                <c:pt idx="2">
                  <c:v>ARDERI ÎN EXTRACŢIE PETROL ŞI GAZE</c:v>
                </c:pt>
                <c:pt idx="3">
                  <c:v>ARDERI ÎN IND. ALIMENTARĂ</c:v>
                </c:pt>
                <c:pt idx="4">
                  <c:v>ARDERI ÎN ALTE DOMENII </c:v>
                </c:pt>
                <c:pt idx="5">
                  <c:v>ÎNCĂLZIRE REZIDENŢIALĂ</c:v>
                </c:pt>
                <c:pt idx="6">
                  <c:v>INCALZIRE SPATII AGRICULTURA</c:v>
                </c:pt>
              </c:strCache>
            </c:strRef>
          </c:cat>
          <c:val>
            <c:numRef>
              <c:f>Sheet1!$D$56:$D$62</c:f>
              <c:numCache>
                <c:formatCode>General</c:formatCode>
                <c:ptCount val="7"/>
                <c:pt idx="0">
                  <c:v>0.2</c:v>
                </c:pt>
                <c:pt idx="1">
                  <c:v>3.0000000000000002E-2</c:v>
                </c:pt>
                <c:pt idx="2">
                  <c:v>1.0000000000000005E-2</c:v>
                </c:pt>
                <c:pt idx="3">
                  <c:v>0.60000000000000064</c:v>
                </c:pt>
                <c:pt idx="4">
                  <c:v>0.18000000000000024</c:v>
                </c:pt>
                <c:pt idx="5">
                  <c:v>98.97</c:v>
                </c:pt>
                <c:pt idx="6">
                  <c:v>1.0000000000000005E-2</c:v>
                </c:pt>
              </c:numCache>
            </c:numRef>
          </c:val>
        </c:ser>
        <c:ser>
          <c:idx val="2"/>
          <c:order val="2"/>
          <c:tx>
            <c:strRef>
              <c:f>Sheet1!$E$55</c:f>
              <c:strCache>
                <c:ptCount val="1"/>
                <c:pt idx="0">
                  <c:v>CO</c:v>
                </c:pt>
              </c:strCache>
            </c:strRef>
          </c:tx>
          <c:cat>
            <c:strRef>
              <c:f>Sheet1!$B$56:$B$62</c:f>
              <c:strCache>
                <c:ptCount val="7"/>
                <c:pt idx="0">
                  <c:v>PROD. ENERGIE ELECTRICA SI TERMICA</c:v>
                </c:pt>
                <c:pt idx="1">
                  <c:v>ARDERI ÎN METALURGIE</c:v>
                </c:pt>
                <c:pt idx="2">
                  <c:v>ARDERI ÎN EXTRACŢIE PETROL ŞI GAZE</c:v>
                </c:pt>
                <c:pt idx="3">
                  <c:v>ARDERI ÎN IND. ALIMENTARĂ</c:v>
                </c:pt>
                <c:pt idx="4">
                  <c:v>ARDERI ÎN ALTE DOMENII </c:v>
                </c:pt>
                <c:pt idx="5">
                  <c:v>ÎNCĂLZIRE REZIDENŢIALĂ</c:v>
                </c:pt>
                <c:pt idx="6">
                  <c:v>INCALZIRE SPATII AGRICULTURA</c:v>
                </c:pt>
              </c:strCache>
            </c:strRef>
          </c:cat>
          <c:val>
            <c:numRef>
              <c:f>Sheet1!$E$56:$E$62</c:f>
              <c:numCache>
                <c:formatCode>General</c:formatCode>
                <c:ptCount val="7"/>
                <c:pt idx="0">
                  <c:v>0.23</c:v>
                </c:pt>
                <c:pt idx="1">
                  <c:v>6.0000000000000032E-2</c:v>
                </c:pt>
                <c:pt idx="2">
                  <c:v>2.0000000000000011E-2</c:v>
                </c:pt>
                <c:pt idx="3">
                  <c:v>1.26</c:v>
                </c:pt>
                <c:pt idx="4">
                  <c:v>0.43000000000000038</c:v>
                </c:pt>
                <c:pt idx="5">
                  <c:v>98</c:v>
                </c:pt>
                <c:pt idx="6">
                  <c:v>0</c:v>
                </c:pt>
              </c:numCache>
            </c:numRef>
          </c:val>
        </c:ser>
        <c:axId val="159648000"/>
        <c:axId val="159662080"/>
      </c:barChart>
      <c:catAx>
        <c:axId val="159648000"/>
        <c:scaling>
          <c:orientation val="minMax"/>
        </c:scaling>
        <c:axPos val="b"/>
        <c:majorTickMark val="none"/>
        <c:tickLblPos val="nextTo"/>
        <c:crossAx val="159662080"/>
        <c:crosses val="autoZero"/>
        <c:auto val="1"/>
        <c:lblAlgn val="ctr"/>
        <c:lblOffset val="100"/>
      </c:catAx>
      <c:valAx>
        <c:axId val="159662080"/>
        <c:scaling>
          <c:orientation val="minMax"/>
          <c:max val="100"/>
        </c:scaling>
        <c:axPos val="l"/>
        <c:majorGridlines/>
        <c:title>
          <c:tx>
            <c:rich>
              <a:bodyPr rot="0" vert="horz"/>
              <a:lstStyle/>
              <a:p>
                <a:pPr>
                  <a:defRPr/>
                </a:pPr>
                <a:r>
                  <a:rPr lang="ro-RO"/>
                  <a:t>%</a:t>
                </a:r>
              </a:p>
            </c:rich>
          </c:tx>
          <c:layout>
            <c:manualLayout>
              <c:xMode val="edge"/>
              <c:yMode val="edge"/>
              <c:x val="0.17777777777777778"/>
              <c:y val="0.10684990043133639"/>
            </c:manualLayout>
          </c:layout>
        </c:title>
        <c:numFmt formatCode="General" sourceLinked="1"/>
        <c:tickLblPos val="nextTo"/>
        <c:crossAx val="1596480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b="1" i="0" u="none" strike="noStrike" baseline="0">
                <a:solidFill>
                  <a:srgbClr val="000000"/>
                </a:solidFill>
                <a:latin typeface="Arial"/>
                <a:ea typeface="Arial"/>
                <a:cs typeface="Arial"/>
              </a:defRPr>
            </a:pPr>
            <a:endParaRPr lang="ro-RO"/>
          </a:p>
          <a:p>
            <a:pPr>
              <a:defRPr sz="1100" b="1" i="0" u="none" strike="noStrike" baseline="0">
                <a:solidFill>
                  <a:srgbClr val="000000"/>
                </a:solidFill>
                <a:latin typeface="Arial"/>
                <a:ea typeface="Arial"/>
                <a:cs typeface="Arial"/>
              </a:defRPr>
            </a:pPr>
            <a:endParaRPr lang="ro-RO"/>
          </a:p>
        </c:rich>
      </c:tx>
      <c:layout>
        <c:manualLayout>
          <c:xMode val="edge"/>
          <c:yMode val="edge"/>
          <c:x val="0.49948293691830703"/>
          <c:y val="5.0847457627119013E-3"/>
        </c:manualLayout>
      </c:layout>
      <c:spPr>
        <a:noFill/>
        <a:ln w="25400">
          <a:noFill/>
        </a:ln>
      </c:spPr>
    </c:title>
    <c:plotArea>
      <c:layout>
        <c:manualLayout>
          <c:layoutTarget val="inner"/>
          <c:xMode val="edge"/>
          <c:yMode val="edge"/>
          <c:x val="8.479834539814024E-2"/>
          <c:y val="0.17627118644067796"/>
          <c:w val="0.91313340227508155"/>
          <c:h val="0.59661016949152457"/>
        </c:manualLayout>
      </c:layout>
      <c:lineChart>
        <c:grouping val="standard"/>
        <c:ser>
          <c:idx val="0"/>
          <c:order val="0"/>
          <c:tx>
            <c:strRef>
              <c:f>Data!$B$1</c:f>
              <c:strCache>
                <c:ptCount val="1"/>
                <c:pt idx="0">
                  <c:v>SO2 (ug/m3)  - </c:v>
                </c:pt>
              </c:strCache>
            </c:strRef>
          </c:tx>
          <c:spPr>
            <a:ln w="25400">
              <a:solidFill>
                <a:srgbClr val="008000"/>
              </a:solidFill>
              <a:prstDash val="solid"/>
            </a:ln>
          </c:spPr>
          <c:marker>
            <c:symbol val="none"/>
          </c:marker>
          <c:cat>
            <c:strRef>
              <c:f>Data!$A$2:$A$366</c:f>
              <c:strCache>
                <c:ptCount val="365"/>
                <c:pt idx="0">
                  <c:v>01 Jan 2014</c:v>
                </c:pt>
                <c:pt idx="1">
                  <c:v>02 Jan 2014</c:v>
                </c:pt>
                <c:pt idx="2">
                  <c:v>03 Jan 2014</c:v>
                </c:pt>
                <c:pt idx="3">
                  <c:v>04 Jan 2014</c:v>
                </c:pt>
                <c:pt idx="4">
                  <c:v>05 Jan 2014</c:v>
                </c:pt>
                <c:pt idx="5">
                  <c:v>06 Jan 2014</c:v>
                </c:pt>
                <c:pt idx="6">
                  <c:v>07 Jan 2014</c:v>
                </c:pt>
                <c:pt idx="7">
                  <c:v>08 Jan 2014</c:v>
                </c:pt>
                <c:pt idx="8">
                  <c:v>09 Jan 2014</c:v>
                </c:pt>
                <c:pt idx="9">
                  <c:v>10 Jan 2014</c:v>
                </c:pt>
                <c:pt idx="10">
                  <c:v>11 Jan 2014</c:v>
                </c:pt>
                <c:pt idx="11">
                  <c:v>12 Jan 2014</c:v>
                </c:pt>
                <c:pt idx="12">
                  <c:v>13 Jan 2014</c:v>
                </c:pt>
                <c:pt idx="13">
                  <c:v>14 Jan 2014</c:v>
                </c:pt>
                <c:pt idx="14">
                  <c:v>15 Jan 2014</c:v>
                </c:pt>
                <c:pt idx="15">
                  <c:v>16 Jan 2014</c:v>
                </c:pt>
                <c:pt idx="16">
                  <c:v>17 Jan 2014</c:v>
                </c:pt>
                <c:pt idx="17">
                  <c:v>18 Jan 2014</c:v>
                </c:pt>
                <c:pt idx="18">
                  <c:v>19 Jan 2014</c:v>
                </c:pt>
                <c:pt idx="19">
                  <c:v>20 Jan 2014</c:v>
                </c:pt>
                <c:pt idx="20">
                  <c:v>21 Jan 2014</c:v>
                </c:pt>
                <c:pt idx="21">
                  <c:v>22 Jan 2014</c:v>
                </c:pt>
                <c:pt idx="22">
                  <c:v>23 Jan 2014</c:v>
                </c:pt>
                <c:pt idx="23">
                  <c:v>24 Jan 2014</c:v>
                </c:pt>
                <c:pt idx="24">
                  <c:v>25 Jan 2014</c:v>
                </c:pt>
                <c:pt idx="25">
                  <c:v>26 Jan 2014</c:v>
                </c:pt>
                <c:pt idx="26">
                  <c:v>27 Jan 2014</c:v>
                </c:pt>
                <c:pt idx="27">
                  <c:v>28 Jan 2014</c:v>
                </c:pt>
                <c:pt idx="28">
                  <c:v>29 Jan 2014</c:v>
                </c:pt>
                <c:pt idx="29">
                  <c:v>30 Jan 2014</c:v>
                </c:pt>
                <c:pt idx="30">
                  <c:v>31 Jan 2014</c:v>
                </c:pt>
                <c:pt idx="31">
                  <c:v>01 Feb 2014</c:v>
                </c:pt>
                <c:pt idx="32">
                  <c:v>02 Feb 2014</c:v>
                </c:pt>
                <c:pt idx="33">
                  <c:v>03 Feb 2014</c:v>
                </c:pt>
                <c:pt idx="34">
                  <c:v>04 Feb 2014</c:v>
                </c:pt>
                <c:pt idx="35">
                  <c:v>05 Feb 2014</c:v>
                </c:pt>
                <c:pt idx="36">
                  <c:v>06 Feb 2014</c:v>
                </c:pt>
                <c:pt idx="37">
                  <c:v>07 Feb 2014</c:v>
                </c:pt>
                <c:pt idx="38">
                  <c:v>08 Feb 2014</c:v>
                </c:pt>
                <c:pt idx="39">
                  <c:v>09 Feb 2014</c:v>
                </c:pt>
                <c:pt idx="40">
                  <c:v>10 Feb 2014</c:v>
                </c:pt>
                <c:pt idx="41">
                  <c:v>11 Feb 2014</c:v>
                </c:pt>
                <c:pt idx="42">
                  <c:v>12 Feb 2014</c:v>
                </c:pt>
                <c:pt idx="43">
                  <c:v>13 Feb 2014</c:v>
                </c:pt>
                <c:pt idx="44">
                  <c:v>14 Feb 2014</c:v>
                </c:pt>
                <c:pt idx="45">
                  <c:v>15 Feb 2014</c:v>
                </c:pt>
                <c:pt idx="46">
                  <c:v>16 Feb 2014</c:v>
                </c:pt>
                <c:pt idx="47">
                  <c:v>17 Feb 2014</c:v>
                </c:pt>
                <c:pt idx="48">
                  <c:v>18 Feb 2014</c:v>
                </c:pt>
                <c:pt idx="49">
                  <c:v>19 Feb 2014</c:v>
                </c:pt>
                <c:pt idx="50">
                  <c:v>20 Feb 2014</c:v>
                </c:pt>
                <c:pt idx="51">
                  <c:v>21 Feb 2014</c:v>
                </c:pt>
                <c:pt idx="52">
                  <c:v>22 Feb 2014</c:v>
                </c:pt>
                <c:pt idx="53">
                  <c:v>23 Feb 2014</c:v>
                </c:pt>
                <c:pt idx="54">
                  <c:v>24 Feb 2014</c:v>
                </c:pt>
                <c:pt idx="55">
                  <c:v>25 Feb 2014</c:v>
                </c:pt>
                <c:pt idx="56">
                  <c:v>26 Feb 2014</c:v>
                </c:pt>
                <c:pt idx="57">
                  <c:v>27 Feb 2014</c:v>
                </c:pt>
                <c:pt idx="58">
                  <c:v>28 Feb 2014</c:v>
                </c:pt>
                <c:pt idx="59">
                  <c:v>01 Mar 2014</c:v>
                </c:pt>
                <c:pt idx="60">
                  <c:v>02 Mar 2014</c:v>
                </c:pt>
                <c:pt idx="61">
                  <c:v>03 Mar 2014</c:v>
                </c:pt>
                <c:pt idx="62">
                  <c:v>04 Mar 2014</c:v>
                </c:pt>
                <c:pt idx="63">
                  <c:v>05 Mar 2014</c:v>
                </c:pt>
                <c:pt idx="64">
                  <c:v>06 Mar 2014</c:v>
                </c:pt>
                <c:pt idx="65">
                  <c:v>07 Mar 2014</c:v>
                </c:pt>
                <c:pt idx="66">
                  <c:v>08 Mar 2014</c:v>
                </c:pt>
                <c:pt idx="67">
                  <c:v>09 Mar 2014</c:v>
                </c:pt>
                <c:pt idx="68">
                  <c:v>10 Mar 2014</c:v>
                </c:pt>
                <c:pt idx="69">
                  <c:v>11 Mar 2014</c:v>
                </c:pt>
                <c:pt idx="70">
                  <c:v>12 Mar 2014</c:v>
                </c:pt>
                <c:pt idx="71">
                  <c:v>13 Mar 2014</c:v>
                </c:pt>
                <c:pt idx="72">
                  <c:v>14 Mar 2014</c:v>
                </c:pt>
                <c:pt idx="73">
                  <c:v>15 Mar 2014</c:v>
                </c:pt>
                <c:pt idx="74">
                  <c:v>16 Mar 2014</c:v>
                </c:pt>
                <c:pt idx="75">
                  <c:v>17 Mar 2014</c:v>
                </c:pt>
                <c:pt idx="76">
                  <c:v>18 Mar 2014</c:v>
                </c:pt>
                <c:pt idx="77">
                  <c:v>19 Mar 2014</c:v>
                </c:pt>
                <c:pt idx="78">
                  <c:v>20 Mar 2014</c:v>
                </c:pt>
                <c:pt idx="79">
                  <c:v>21 Mar 2014</c:v>
                </c:pt>
                <c:pt idx="80">
                  <c:v>22 Mar 2014</c:v>
                </c:pt>
                <c:pt idx="81">
                  <c:v>23 Mar 2014</c:v>
                </c:pt>
                <c:pt idx="82">
                  <c:v>24 Mar 2014</c:v>
                </c:pt>
                <c:pt idx="83">
                  <c:v>25 Mar 2014</c:v>
                </c:pt>
                <c:pt idx="84">
                  <c:v>26 Mar 2014</c:v>
                </c:pt>
                <c:pt idx="85">
                  <c:v>27 Mar 2014</c:v>
                </c:pt>
                <c:pt idx="86">
                  <c:v>28 Mar 2014</c:v>
                </c:pt>
                <c:pt idx="87">
                  <c:v>29 Mar 2014</c:v>
                </c:pt>
                <c:pt idx="88">
                  <c:v>30 Mar 2014</c:v>
                </c:pt>
                <c:pt idx="89">
                  <c:v>31 Mar 2014</c:v>
                </c:pt>
                <c:pt idx="90">
                  <c:v>01 Apr 2014</c:v>
                </c:pt>
                <c:pt idx="91">
                  <c:v>02 Apr 2014</c:v>
                </c:pt>
                <c:pt idx="92">
                  <c:v>03 Apr 2014</c:v>
                </c:pt>
                <c:pt idx="93">
                  <c:v>04 Apr 2014</c:v>
                </c:pt>
                <c:pt idx="94">
                  <c:v>05 Apr 2014</c:v>
                </c:pt>
                <c:pt idx="95">
                  <c:v>06 Apr 2014</c:v>
                </c:pt>
                <c:pt idx="96">
                  <c:v>07 Apr 2014</c:v>
                </c:pt>
                <c:pt idx="97">
                  <c:v>08 Apr 2014</c:v>
                </c:pt>
                <c:pt idx="98">
                  <c:v>09 Apr 2014</c:v>
                </c:pt>
                <c:pt idx="99">
                  <c:v>10 Apr 2014</c:v>
                </c:pt>
                <c:pt idx="100">
                  <c:v>11 Apr 2014</c:v>
                </c:pt>
                <c:pt idx="101">
                  <c:v>12 Apr 2014</c:v>
                </c:pt>
                <c:pt idx="102">
                  <c:v>13 Apr 2014</c:v>
                </c:pt>
                <c:pt idx="103">
                  <c:v>14 Apr 2014</c:v>
                </c:pt>
                <c:pt idx="104">
                  <c:v>15 Apr 2014</c:v>
                </c:pt>
                <c:pt idx="105">
                  <c:v>16 Apr 2014</c:v>
                </c:pt>
                <c:pt idx="106">
                  <c:v>17 Apr 2014</c:v>
                </c:pt>
                <c:pt idx="107">
                  <c:v>18 Apr 2014</c:v>
                </c:pt>
                <c:pt idx="108">
                  <c:v>19 Apr 2014</c:v>
                </c:pt>
                <c:pt idx="109">
                  <c:v>20 Apr 2014</c:v>
                </c:pt>
                <c:pt idx="110">
                  <c:v>21 Apr 2014</c:v>
                </c:pt>
                <c:pt idx="111">
                  <c:v>22 Apr 2014</c:v>
                </c:pt>
                <c:pt idx="112">
                  <c:v>23 Apr 2014</c:v>
                </c:pt>
                <c:pt idx="113">
                  <c:v>24 Apr 2014</c:v>
                </c:pt>
                <c:pt idx="114">
                  <c:v>25 Apr 2014</c:v>
                </c:pt>
                <c:pt idx="115">
                  <c:v>26 Apr 2014</c:v>
                </c:pt>
                <c:pt idx="116">
                  <c:v>27 Apr 2014</c:v>
                </c:pt>
                <c:pt idx="117">
                  <c:v>28 Apr 2014</c:v>
                </c:pt>
                <c:pt idx="118">
                  <c:v>29 Apr 2014</c:v>
                </c:pt>
                <c:pt idx="119">
                  <c:v>30 Apr 2014</c:v>
                </c:pt>
                <c:pt idx="120">
                  <c:v>01 May 2014</c:v>
                </c:pt>
                <c:pt idx="121">
                  <c:v>02 May 2014</c:v>
                </c:pt>
                <c:pt idx="122">
                  <c:v>03 May 2014</c:v>
                </c:pt>
                <c:pt idx="123">
                  <c:v>04 May 2014</c:v>
                </c:pt>
                <c:pt idx="124">
                  <c:v>05 May 2014</c:v>
                </c:pt>
                <c:pt idx="125">
                  <c:v>06 May 2014</c:v>
                </c:pt>
                <c:pt idx="126">
                  <c:v>07 May 2014</c:v>
                </c:pt>
                <c:pt idx="127">
                  <c:v>08 May 2014</c:v>
                </c:pt>
                <c:pt idx="128">
                  <c:v>09 May 2014</c:v>
                </c:pt>
                <c:pt idx="129">
                  <c:v>10 May 2014</c:v>
                </c:pt>
                <c:pt idx="130">
                  <c:v>11 May 2014</c:v>
                </c:pt>
                <c:pt idx="131">
                  <c:v>12 May 2014</c:v>
                </c:pt>
                <c:pt idx="132">
                  <c:v>13 May 2014</c:v>
                </c:pt>
                <c:pt idx="133">
                  <c:v>14 May 2014</c:v>
                </c:pt>
                <c:pt idx="134">
                  <c:v>15 May 2014</c:v>
                </c:pt>
                <c:pt idx="135">
                  <c:v>16 May 2014</c:v>
                </c:pt>
                <c:pt idx="136">
                  <c:v>17 May 2014</c:v>
                </c:pt>
                <c:pt idx="137">
                  <c:v>18 May 2014</c:v>
                </c:pt>
                <c:pt idx="138">
                  <c:v>19 May 2014</c:v>
                </c:pt>
                <c:pt idx="139">
                  <c:v>20 May 2014</c:v>
                </c:pt>
                <c:pt idx="140">
                  <c:v>21 May 2014</c:v>
                </c:pt>
                <c:pt idx="141">
                  <c:v>22 May 2014</c:v>
                </c:pt>
                <c:pt idx="142">
                  <c:v>23 May 2014</c:v>
                </c:pt>
                <c:pt idx="143">
                  <c:v>24 May 2014</c:v>
                </c:pt>
                <c:pt idx="144">
                  <c:v>25 May 2014</c:v>
                </c:pt>
                <c:pt idx="145">
                  <c:v>26 May 2014</c:v>
                </c:pt>
                <c:pt idx="146">
                  <c:v>27 May 2014</c:v>
                </c:pt>
                <c:pt idx="147">
                  <c:v>28 May 2014</c:v>
                </c:pt>
                <c:pt idx="148">
                  <c:v>29 May 2014</c:v>
                </c:pt>
                <c:pt idx="149">
                  <c:v>30 May 2014</c:v>
                </c:pt>
                <c:pt idx="150">
                  <c:v>31 May 2014</c:v>
                </c:pt>
                <c:pt idx="151">
                  <c:v>01 Jun 2014</c:v>
                </c:pt>
                <c:pt idx="152">
                  <c:v>02 Jun 2014</c:v>
                </c:pt>
                <c:pt idx="153">
                  <c:v>03 Jun 2014</c:v>
                </c:pt>
                <c:pt idx="154">
                  <c:v>04 Jun 2014</c:v>
                </c:pt>
                <c:pt idx="155">
                  <c:v>05 Jun 2014</c:v>
                </c:pt>
                <c:pt idx="156">
                  <c:v>06 Jun 2014</c:v>
                </c:pt>
                <c:pt idx="157">
                  <c:v>07 Jun 2014</c:v>
                </c:pt>
                <c:pt idx="158">
                  <c:v>08 Jun 2014</c:v>
                </c:pt>
                <c:pt idx="159">
                  <c:v>09 Jun 2014</c:v>
                </c:pt>
                <c:pt idx="160">
                  <c:v>10 Jun 2014</c:v>
                </c:pt>
                <c:pt idx="161">
                  <c:v>11 Jun 2014</c:v>
                </c:pt>
                <c:pt idx="162">
                  <c:v>12 Jun 2014</c:v>
                </c:pt>
                <c:pt idx="163">
                  <c:v>13 Jun 2014</c:v>
                </c:pt>
                <c:pt idx="164">
                  <c:v>14 Jun 2014</c:v>
                </c:pt>
                <c:pt idx="165">
                  <c:v>15 Jun 2014</c:v>
                </c:pt>
                <c:pt idx="166">
                  <c:v>16 Jun 2014</c:v>
                </c:pt>
                <c:pt idx="167">
                  <c:v>17 Jun 2014</c:v>
                </c:pt>
                <c:pt idx="168">
                  <c:v>18 Jun 2014</c:v>
                </c:pt>
                <c:pt idx="169">
                  <c:v>19 Jun 2014</c:v>
                </c:pt>
                <c:pt idx="170">
                  <c:v>20 Jun 2014</c:v>
                </c:pt>
                <c:pt idx="171">
                  <c:v>21 Jun 2014</c:v>
                </c:pt>
                <c:pt idx="172">
                  <c:v>22 Jun 2014</c:v>
                </c:pt>
                <c:pt idx="173">
                  <c:v>23 Jun 2014</c:v>
                </c:pt>
                <c:pt idx="174">
                  <c:v>24 Jun 2014</c:v>
                </c:pt>
                <c:pt idx="175">
                  <c:v>25 Jun 2014</c:v>
                </c:pt>
                <c:pt idx="176">
                  <c:v>26 Jun 2014</c:v>
                </c:pt>
                <c:pt idx="177">
                  <c:v>27 Jun 2014</c:v>
                </c:pt>
                <c:pt idx="178">
                  <c:v>28 Jun 2014</c:v>
                </c:pt>
                <c:pt idx="179">
                  <c:v>29 Jun 2014</c:v>
                </c:pt>
                <c:pt idx="180">
                  <c:v>30 Jun 2014</c:v>
                </c:pt>
                <c:pt idx="181">
                  <c:v>01 Jul 2014</c:v>
                </c:pt>
                <c:pt idx="182">
                  <c:v>02 Jul 2014</c:v>
                </c:pt>
                <c:pt idx="183">
                  <c:v>03 Jul 2014</c:v>
                </c:pt>
                <c:pt idx="184">
                  <c:v>04 Jul 2014</c:v>
                </c:pt>
                <c:pt idx="185">
                  <c:v>05 Jul 2014</c:v>
                </c:pt>
                <c:pt idx="186">
                  <c:v>06 Jul 2014</c:v>
                </c:pt>
                <c:pt idx="187">
                  <c:v>07 Jul 2014</c:v>
                </c:pt>
                <c:pt idx="188">
                  <c:v>08 Jul 2014</c:v>
                </c:pt>
                <c:pt idx="189">
                  <c:v>09 Jul 2014</c:v>
                </c:pt>
                <c:pt idx="190">
                  <c:v>10 Jul 2014</c:v>
                </c:pt>
                <c:pt idx="191">
                  <c:v>11 Jul 2014</c:v>
                </c:pt>
                <c:pt idx="192">
                  <c:v>12 Jul 2014</c:v>
                </c:pt>
                <c:pt idx="193">
                  <c:v>13 Jul 2014</c:v>
                </c:pt>
                <c:pt idx="194">
                  <c:v>14 Jul 2014</c:v>
                </c:pt>
                <c:pt idx="195">
                  <c:v>15 Jul 2014</c:v>
                </c:pt>
                <c:pt idx="196">
                  <c:v>16 Jul 2014</c:v>
                </c:pt>
                <c:pt idx="197">
                  <c:v>17 Jul 2014</c:v>
                </c:pt>
                <c:pt idx="198">
                  <c:v>18 Jul 2014</c:v>
                </c:pt>
                <c:pt idx="199">
                  <c:v>19 Jul 2014</c:v>
                </c:pt>
                <c:pt idx="200">
                  <c:v>20 Jul 2014</c:v>
                </c:pt>
                <c:pt idx="201">
                  <c:v>21 Jul 2014</c:v>
                </c:pt>
                <c:pt idx="202">
                  <c:v>22 Jul 2014</c:v>
                </c:pt>
                <c:pt idx="203">
                  <c:v>23 Jul 2014</c:v>
                </c:pt>
                <c:pt idx="204">
                  <c:v>24 Jul 2014</c:v>
                </c:pt>
                <c:pt idx="205">
                  <c:v>25 Jul 2014</c:v>
                </c:pt>
                <c:pt idx="206">
                  <c:v>26 Jul 2014</c:v>
                </c:pt>
                <c:pt idx="207">
                  <c:v>27 Jul 2014</c:v>
                </c:pt>
                <c:pt idx="208">
                  <c:v>28 Jul 2014</c:v>
                </c:pt>
                <c:pt idx="209">
                  <c:v>29 Jul 2014</c:v>
                </c:pt>
                <c:pt idx="210">
                  <c:v>30 Jul 2014</c:v>
                </c:pt>
                <c:pt idx="211">
                  <c:v>31 Jul 2014</c:v>
                </c:pt>
                <c:pt idx="212">
                  <c:v>01 Aug 2014</c:v>
                </c:pt>
                <c:pt idx="213">
                  <c:v>02 Aug 2014</c:v>
                </c:pt>
                <c:pt idx="214">
                  <c:v>03 Aug 2014</c:v>
                </c:pt>
                <c:pt idx="215">
                  <c:v>04 Aug 2014</c:v>
                </c:pt>
                <c:pt idx="216">
                  <c:v>05 Aug 2014</c:v>
                </c:pt>
                <c:pt idx="217">
                  <c:v>06 Aug 2014</c:v>
                </c:pt>
                <c:pt idx="218">
                  <c:v>07 Aug 2014</c:v>
                </c:pt>
                <c:pt idx="219">
                  <c:v>08 Aug 2014</c:v>
                </c:pt>
                <c:pt idx="220">
                  <c:v>09 Aug 2014</c:v>
                </c:pt>
                <c:pt idx="221">
                  <c:v>10 Aug 2014</c:v>
                </c:pt>
                <c:pt idx="222">
                  <c:v>11 Aug 2014</c:v>
                </c:pt>
                <c:pt idx="223">
                  <c:v>12 Aug 2014</c:v>
                </c:pt>
                <c:pt idx="224">
                  <c:v>13 Aug 2014</c:v>
                </c:pt>
                <c:pt idx="225">
                  <c:v>14 Aug 2014</c:v>
                </c:pt>
                <c:pt idx="226">
                  <c:v>15 Aug 2014</c:v>
                </c:pt>
                <c:pt idx="227">
                  <c:v>16 Aug 2014</c:v>
                </c:pt>
                <c:pt idx="228">
                  <c:v>17 Aug 2014</c:v>
                </c:pt>
                <c:pt idx="229">
                  <c:v>18 Aug 2014</c:v>
                </c:pt>
                <c:pt idx="230">
                  <c:v>19 Aug 2014</c:v>
                </c:pt>
                <c:pt idx="231">
                  <c:v>20 Aug 2014</c:v>
                </c:pt>
                <c:pt idx="232">
                  <c:v>21 Aug 2014</c:v>
                </c:pt>
                <c:pt idx="233">
                  <c:v>22 Aug 2014</c:v>
                </c:pt>
                <c:pt idx="234">
                  <c:v>23 Aug 2014</c:v>
                </c:pt>
                <c:pt idx="235">
                  <c:v>24 Aug 2014</c:v>
                </c:pt>
                <c:pt idx="236">
                  <c:v>25 Aug 2014</c:v>
                </c:pt>
                <c:pt idx="237">
                  <c:v>26 Aug 2014</c:v>
                </c:pt>
                <c:pt idx="238">
                  <c:v>27 Aug 2014</c:v>
                </c:pt>
                <c:pt idx="239">
                  <c:v>28 Aug 2014</c:v>
                </c:pt>
                <c:pt idx="240">
                  <c:v>29 Aug 2014</c:v>
                </c:pt>
                <c:pt idx="241">
                  <c:v>30 Aug 2014</c:v>
                </c:pt>
                <c:pt idx="242">
                  <c:v>31 Aug 2014</c:v>
                </c:pt>
                <c:pt idx="243">
                  <c:v>01 Sep 2014</c:v>
                </c:pt>
                <c:pt idx="244">
                  <c:v>02 Sep 2014</c:v>
                </c:pt>
                <c:pt idx="245">
                  <c:v>03 Sep 2014</c:v>
                </c:pt>
                <c:pt idx="246">
                  <c:v>04 Sep 2014</c:v>
                </c:pt>
                <c:pt idx="247">
                  <c:v>05 Sep 2014</c:v>
                </c:pt>
                <c:pt idx="248">
                  <c:v>06 Sep 2014</c:v>
                </c:pt>
                <c:pt idx="249">
                  <c:v>07 Sep 2014</c:v>
                </c:pt>
                <c:pt idx="250">
                  <c:v>08 Sep 2014</c:v>
                </c:pt>
                <c:pt idx="251">
                  <c:v>09 Sep 2014</c:v>
                </c:pt>
                <c:pt idx="252">
                  <c:v>10 Sep 2014</c:v>
                </c:pt>
                <c:pt idx="253">
                  <c:v>11 Sep 2014</c:v>
                </c:pt>
                <c:pt idx="254">
                  <c:v>12 Sep 2014</c:v>
                </c:pt>
                <c:pt idx="255">
                  <c:v>13 Sep 2014</c:v>
                </c:pt>
                <c:pt idx="256">
                  <c:v>14 Sep 2014</c:v>
                </c:pt>
                <c:pt idx="257">
                  <c:v>15 Sep 2014</c:v>
                </c:pt>
                <c:pt idx="258">
                  <c:v>16 Sep 2014</c:v>
                </c:pt>
                <c:pt idx="259">
                  <c:v>17 Sep 2014</c:v>
                </c:pt>
                <c:pt idx="260">
                  <c:v>18 Sep 2014</c:v>
                </c:pt>
                <c:pt idx="261">
                  <c:v>19 Sep 2014</c:v>
                </c:pt>
                <c:pt idx="262">
                  <c:v>20 Sep 2014</c:v>
                </c:pt>
                <c:pt idx="263">
                  <c:v>21 Sep 2014</c:v>
                </c:pt>
                <c:pt idx="264">
                  <c:v>22 Sep 2014</c:v>
                </c:pt>
                <c:pt idx="265">
                  <c:v>23 Sep 2014</c:v>
                </c:pt>
                <c:pt idx="266">
                  <c:v>24 Sep 2014</c:v>
                </c:pt>
                <c:pt idx="267">
                  <c:v>25 Sep 2014</c:v>
                </c:pt>
                <c:pt idx="268">
                  <c:v>26 Sep 2014</c:v>
                </c:pt>
                <c:pt idx="269">
                  <c:v>27 Sep 2014</c:v>
                </c:pt>
                <c:pt idx="270">
                  <c:v>28 Sep 2014</c:v>
                </c:pt>
                <c:pt idx="271">
                  <c:v>29 Sep 2014</c:v>
                </c:pt>
                <c:pt idx="272">
                  <c:v>30 Sep 2014</c:v>
                </c:pt>
                <c:pt idx="273">
                  <c:v>01 Oct 2014</c:v>
                </c:pt>
                <c:pt idx="274">
                  <c:v>02 Oct 2014</c:v>
                </c:pt>
                <c:pt idx="275">
                  <c:v>03 Oct 2014</c:v>
                </c:pt>
                <c:pt idx="276">
                  <c:v>04 Oct 2014</c:v>
                </c:pt>
                <c:pt idx="277">
                  <c:v>05 Oct 2014</c:v>
                </c:pt>
                <c:pt idx="278">
                  <c:v>06 Oct 2014</c:v>
                </c:pt>
                <c:pt idx="279">
                  <c:v>07 Oct 2014</c:v>
                </c:pt>
                <c:pt idx="280">
                  <c:v>08 Oct 2014</c:v>
                </c:pt>
                <c:pt idx="281">
                  <c:v>09 Oct 2014</c:v>
                </c:pt>
                <c:pt idx="282">
                  <c:v>10 Oct 2014</c:v>
                </c:pt>
                <c:pt idx="283">
                  <c:v>11 Oct 2014</c:v>
                </c:pt>
                <c:pt idx="284">
                  <c:v>12 Oct 2014</c:v>
                </c:pt>
                <c:pt idx="285">
                  <c:v>13 Oct 2014</c:v>
                </c:pt>
                <c:pt idx="286">
                  <c:v>14 Oct 2014</c:v>
                </c:pt>
                <c:pt idx="287">
                  <c:v>15 Oct 2014</c:v>
                </c:pt>
                <c:pt idx="288">
                  <c:v>16 Oct 2014</c:v>
                </c:pt>
                <c:pt idx="289">
                  <c:v>17 Oct 2014</c:v>
                </c:pt>
                <c:pt idx="290">
                  <c:v>18 Oct 2014</c:v>
                </c:pt>
                <c:pt idx="291">
                  <c:v>19 Oct 2014</c:v>
                </c:pt>
                <c:pt idx="292">
                  <c:v>20 Oct 2014</c:v>
                </c:pt>
                <c:pt idx="293">
                  <c:v>21 Oct 2014</c:v>
                </c:pt>
                <c:pt idx="294">
                  <c:v>22 Oct 2014</c:v>
                </c:pt>
                <c:pt idx="295">
                  <c:v>23 Oct 2014</c:v>
                </c:pt>
                <c:pt idx="296">
                  <c:v>24 Oct 2014</c:v>
                </c:pt>
                <c:pt idx="297">
                  <c:v>25 Oct 2014</c:v>
                </c:pt>
                <c:pt idx="298">
                  <c:v>26 Oct 2014</c:v>
                </c:pt>
                <c:pt idx="299">
                  <c:v>27 Oct 2014</c:v>
                </c:pt>
                <c:pt idx="300">
                  <c:v>28 Oct 2014</c:v>
                </c:pt>
                <c:pt idx="301">
                  <c:v>29 Oct 2014</c:v>
                </c:pt>
                <c:pt idx="302">
                  <c:v>30 Oct 2014</c:v>
                </c:pt>
                <c:pt idx="303">
                  <c:v>31 Oct 2014</c:v>
                </c:pt>
                <c:pt idx="304">
                  <c:v>01 Nov 2014</c:v>
                </c:pt>
                <c:pt idx="305">
                  <c:v>02 Nov 2014</c:v>
                </c:pt>
                <c:pt idx="306">
                  <c:v>03 Nov 2014</c:v>
                </c:pt>
                <c:pt idx="307">
                  <c:v>04 Nov 2014</c:v>
                </c:pt>
                <c:pt idx="308">
                  <c:v>05 Nov 2014</c:v>
                </c:pt>
                <c:pt idx="309">
                  <c:v>06 Nov 2014</c:v>
                </c:pt>
                <c:pt idx="310">
                  <c:v>07 Nov 2014</c:v>
                </c:pt>
                <c:pt idx="311">
                  <c:v>08 Nov 2014</c:v>
                </c:pt>
                <c:pt idx="312">
                  <c:v>09 Nov 2014</c:v>
                </c:pt>
                <c:pt idx="313">
                  <c:v>10 Nov 2014</c:v>
                </c:pt>
                <c:pt idx="314">
                  <c:v>11 Nov 2014</c:v>
                </c:pt>
                <c:pt idx="315">
                  <c:v>12 Nov 2014</c:v>
                </c:pt>
                <c:pt idx="316">
                  <c:v>13 Nov 2014</c:v>
                </c:pt>
                <c:pt idx="317">
                  <c:v>14 Nov 2014</c:v>
                </c:pt>
                <c:pt idx="318">
                  <c:v>15 Nov 2014</c:v>
                </c:pt>
                <c:pt idx="319">
                  <c:v>16 Nov 2014</c:v>
                </c:pt>
                <c:pt idx="320">
                  <c:v>17 Nov 2014</c:v>
                </c:pt>
                <c:pt idx="321">
                  <c:v>18 Nov 2014</c:v>
                </c:pt>
                <c:pt idx="322">
                  <c:v>19 Nov 2014</c:v>
                </c:pt>
                <c:pt idx="323">
                  <c:v>20 Nov 2014</c:v>
                </c:pt>
                <c:pt idx="324">
                  <c:v>21 Nov 2014</c:v>
                </c:pt>
                <c:pt idx="325">
                  <c:v>22 Nov 2014</c:v>
                </c:pt>
                <c:pt idx="326">
                  <c:v>23 Nov 2014</c:v>
                </c:pt>
                <c:pt idx="327">
                  <c:v>24 Nov 2014</c:v>
                </c:pt>
                <c:pt idx="328">
                  <c:v>25 Nov 2014</c:v>
                </c:pt>
                <c:pt idx="329">
                  <c:v>26 Nov 2014</c:v>
                </c:pt>
                <c:pt idx="330">
                  <c:v>27 Nov 2014</c:v>
                </c:pt>
                <c:pt idx="331">
                  <c:v>28 Nov 2014</c:v>
                </c:pt>
                <c:pt idx="332">
                  <c:v>29 Nov 2014</c:v>
                </c:pt>
                <c:pt idx="333">
                  <c:v>30 Nov 2014</c:v>
                </c:pt>
                <c:pt idx="334">
                  <c:v>01 Dec 2014</c:v>
                </c:pt>
                <c:pt idx="335">
                  <c:v>02 Dec 2014</c:v>
                </c:pt>
                <c:pt idx="336">
                  <c:v>03 Dec 2014</c:v>
                </c:pt>
                <c:pt idx="337">
                  <c:v>04 Dec 2014</c:v>
                </c:pt>
                <c:pt idx="338">
                  <c:v>05 Dec 2014</c:v>
                </c:pt>
                <c:pt idx="339">
                  <c:v>06 Dec 2014</c:v>
                </c:pt>
                <c:pt idx="340">
                  <c:v>07 Dec 2014</c:v>
                </c:pt>
                <c:pt idx="341">
                  <c:v>08 Dec 2014</c:v>
                </c:pt>
                <c:pt idx="342">
                  <c:v>09 Dec 2014</c:v>
                </c:pt>
                <c:pt idx="343">
                  <c:v>10 Dec 2014</c:v>
                </c:pt>
                <c:pt idx="344">
                  <c:v>11 Dec 2014</c:v>
                </c:pt>
                <c:pt idx="345">
                  <c:v>12 Dec 2014</c:v>
                </c:pt>
                <c:pt idx="346">
                  <c:v>13 Dec 2014</c:v>
                </c:pt>
                <c:pt idx="347">
                  <c:v>14 Dec 2014</c:v>
                </c:pt>
                <c:pt idx="348">
                  <c:v>15 Dec 2014</c:v>
                </c:pt>
                <c:pt idx="349">
                  <c:v>16 Dec 2014</c:v>
                </c:pt>
                <c:pt idx="350">
                  <c:v>17 Dec 2014</c:v>
                </c:pt>
                <c:pt idx="351">
                  <c:v>18 Dec 2014</c:v>
                </c:pt>
                <c:pt idx="352">
                  <c:v>19 Dec 2014</c:v>
                </c:pt>
                <c:pt idx="353">
                  <c:v>20 Dec 2014</c:v>
                </c:pt>
                <c:pt idx="354">
                  <c:v>21 Dec 2014</c:v>
                </c:pt>
                <c:pt idx="355">
                  <c:v>22 Dec 2014</c:v>
                </c:pt>
                <c:pt idx="356">
                  <c:v>23 Dec 2014</c:v>
                </c:pt>
                <c:pt idx="357">
                  <c:v>24 Dec 2014</c:v>
                </c:pt>
                <c:pt idx="358">
                  <c:v>25 Dec 2014</c:v>
                </c:pt>
                <c:pt idx="359">
                  <c:v>26 Dec 2014</c:v>
                </c:pt>
                <c:pt idx="360">
                  <c:v>27 Dec 2014</c:v>
                </c:pt>
                <c:pt idx="361">
                  <c:v>28 Dec 2014</c:v>
                </c:pt>
                <c:pt idx="362">
                  <c:v>29 Dec 2014</c:v>
                </c:pt>
                <c:pt idx="363">
                  <c:v>30 Dec 2014</c:v>
                </c:pt>
                <c:pt idx="364">
                  <c:v>31 Dec 2014</c:v>
                </c:pt>
              </c:strCache>
            </c:strRef>
          </c:cat>
          <c:val>
            <c:numRef>
              <c:f>Data!$B$2:$B$366</c:f>
              <c:numCache>
                <c:formatCode>General</c:formatCode>
                <c:ptCount val="365"/>
                <c:pt idx="0">
                  <c:v>4.3812727513520962</c:v>
                </c:pt>
                <c:pt idx="1">
                  <c:v>5.1073809499325664</c:v>
                </c:pt>
                <c:pt idx="2">
                  <c:v>7.8392244629238421</c:v>
                </c:pt>
                <c:pt idx="3" formatCode="0.00E+00">
                  <c:v>5.733497246452</c:v>
                </c:pt>
                <c:pt idx="4">
                  <c:v>4.8947136943990497</c:v>
                </c:pt>
                <c:pt idx="5">
                  <c:v>5.7634479602177855</c:v>
                </c:pt>
                <c:pt idx="6">
                  <c:v>5.0575869705365468</c:v>
                </c:pt>
                <c:pt idx="7">
                  <c:v>5.1980743719183655</c:v>
                </c:pt>
                <c:pt idx="8" formatCode="0.00E+00">
                  <c:v>4.8808778057927702</c:v>
                </c:pt>
                <c:pt idx="9" formatCode="0.00E+00">
                  <c:v>5.5008696058522464</c:v>
                </c:pt>
                <c:pt idx="10">
                  <c:v>5.2792386179384998</c:v>
                </c:pt>
                <c:pt idx="11">
                  <c:v>5.5407466370126501</c:v>
                </c:pt>
                <c:pt idx="12">
                  <c:v>5.0851539943529334</c:v>
                </c:pt>
                <c:pt idx="13">
                  <c:v>4.69663679081465</c:v>
                </c:pt>
                <c:pt idx="14">
                  <c:v>4.8808121059251901</c:v>
                </c:pt>
                <c:pt idx="15">
                  <c:v>6.9873580932617534</c:v>
                </c:pt>
                <c:pt idx="16">
                  <c:v>5.4085397409356197</c:v>
                </c:pt>
                <c:pt idx="17" formatCode="0.00E+00">
                  <c:v>5.2141774134202397</c:v>
                </c:pt>
                <c:pt idx="18">
                  <c:v>5.2977723453355896</c:v>
                </c:pt>
                <c:pt idx="19">
                  <c:v>3.9950460592905577</c:v>
                </c:pt>
                <c:pt idx="20">
                  <c:v>4.3903855551843955</c:v>
                </c:pt>
                <c:pt idx="21">
                  <c:v>4.6635982679283643</c:v>
                </c:pt>
                <c:pt idx="22">
                  <c:v>5.4378448880237098</c:v>
                </c:pt>
                <c:pt idx="23">
                  <c:v>3.7155549111573611</c:v>
                </c:pt>
                <c:pt idx="24">
                  <c:v>4.4582952312801334</c:v>
                </c:pt>
                <c:pt idx="25">
                  <c:v>5.5490578775820465</c:v>
                </c:pt>
                <c:pt idx="26">
                  <c:v>5.1966941874960204</c:v>
                </c:pt>
                <c:pt idx="27">
                  <c:v>5.7840765040853785</c:v>
                </c:pt>
                <c:pt idx="35">
                  <c:v>10.2990710942642</c:v>
                </c:pt>
                <c:pt idx="36">
                  <c:v>7.1759658896404765</c:v>
                </c:pt>
                <c:pt idx="42">
                  <c:v>5.0239132901896602</c:v>
                </c:pt>
                <c:pt idx="51">
                  <c:v>5.750234852666404</c:v>
                </c:pt>
                <c:pt idx="52">
                  <c:v>3.9466430311617433</c:v>
                </c:pt>
                <c:pt idx="53">
                  <c:v>3.6678747612497293</c:v>
                </c:pt>
                <c:pt idx="54">
                  <c:v>4.5926117897033834</c:v>
                </c:pt>
                <c:pt idx="55">
                  <c:v>4.0982921641805934</c:v>
                </c:pt>
                <c:pt idx="56">
                  <c:v>4.4937057603489299</c:v>
                </c:pt>
                <c:pt idx="57">
                  <c:v>4.0794089913368534</c:v>
                </c:pt>
                <c:pt idx="58">
                  <c:v>3.2753799790921398</c:v>
                </c:pt>
                <c:pt idx="59">
                  <c:v>4.7253370906995702</c:v>
                </c:pt>
                <c:pt idx="60">
                  <c:v>5.7668443970058298</c:v>
                </c:pt>
                <c:pt idx="61">
                  <c:v>4.1799449298692775</c:v>
                </c:pt>
                <c:pt idx="62">
                  <c:v>3.5917841455210802</c:v>
                </c:pt>
                <c:pt idx="63">
                  <c:v>3.3198136350382512</c:v>
                </c:pt>
                <c:pt idx="64">
                  <c:v>3.8998452425003101</c:v>
                </c:pt>
                <c:pt idx="65">
                  <c:v>4.6730792418770202</c:v>
                </c:pt>
                <c:pt idx="66">
                  <c:v>4.19462755452032</c:v>
                </c:pt>
                <c:pt idx="67">
                  <c:v>5.192027859065794</c:v>
                </c:pt>
                <c:pt idx="68">
                  <c:v>5.5269881746043303</c:v>
                </c:pt>
                <c:pt idx="69">
                  <c:v>5.2203103563059319</c:v>
                </c:pt>
                <c:pt idx="70">
                  <c:v>5.6019350860429755</c:v>
                </c:pt>
                <c:pt idx="71">
                  <c:v>4.987351490103717</c:v>
                </c:pt>
                <c:pt idx="72">
                  <c:v>6.4216354411581333</c:v>
                </c:pt>
                <c:pt idx="73">
                  <c:v>8.4053451081980803</c:v>
                </c:pt>
                <c:pt idx="74">
                  <c:v>4.0968456060989755</c:v>
                </c:pt>
                <c:pt idx="75">
                  <c:v>4.6975617823393403</c:v>
                </c:pt>
                <c:pt idx="76">
                  <c:v>4.0955398290053333</c:v>
                </c:pt>
                <c:pt idx="77">
                  <c:v>6.3365130528159765</c:v>
                </c:pt>
                <c:pt idx="78">
                  <c:v>4.1002795385277775</c:v>
                </c:pt>
                <c:pt idx="79">
                  <c:v>4.0229965990239656</c:v>
                </c:pt>
                <c:pt idx="80">
                  <c:v>5.4873414454252813</c:v>
                </c:pt>
                <c:pt idx="81">
                  <c:v>4.2877116306968395</c:v>
                </c:pt>
                <c:pt idx="82">
                  <c:v>3.8986633964206767</c:v>
                </c:pt>
                <c:pt idx="83">
                  <c:v>4.8877089127250297</c:v>
                </c:pt>
                <c:pt idx="84">
                  <c:v>3.8366296498671777</c:v>
                </c:pt>
                <c:pt idx="85">
                  <c:v>5.0073434166286424</c:v>
                </c:pt>
                <c:pt idx="86">
                  <c:v>4.3730847731880456</c:v>
                </c:pt>
                <c:pt idx="87">
                  <c:v>5.1755456509797355</c:v>
                </c:pt>
                <c:pt idx="88">
                  <c:v>5.1970955892042685</c:v>
                </c:pt>
                <c:pt idx="89">
                  <c:v>4.8042671784110702</c:v>
                </c:pt>
                <c:pt idx="90">
                  <c:v>4.8545223111691698</c:v>
                </c:pt>
                <c:pt idx="91">
                  <c:v>4.3768680406653404</c:v>
                </c:pt>
                <c:pt idx="92">
                  <c:v>3.9617894525113475</c:v>
                </c:pt>
                <c:pt idx="93">
                  <c:v>6.33880326022273</c:v>
                </c:pt>
                <c:pt idx="97">
                  <c:v>4.7900110638659745</c:v>
                </c:pt>
                <c:pt idx="98">
                  <c:v>4.9426410509192404</c:v>
                </c:pt>
                <c:pt idx="99">
                  <c:v>4.8944185609402355</c:v>
                </c:pt>
                <c:pt idx="100">
                  <c:v>4.4927400091419996</c:v>
                </c:pt>
                <c:pt idx="101">
                  <c:v>3.8477681201437024</c:v>
                </c:pt>
                <c:pt idx="102">
                  <c:v>3.7596503651660398</c:v>
                </c:pt>
                <c:pt idx="103">
                  <c:v>3.84005673035331</c:v>
                </c:pt>
                <c:pt idx="104">
                  <c:v>4.3178622722625697</c:v>
                </c:pt>
                <c:pt idx="106">
                  <c:v>3.8972510980523212</c:v>
                </c:pt>
                <c:pt idx="107">
                  <c:v>3.7512850035791767</c:v>
                </c:pt>
                <c:pt idx="108">
                  <c:v>3.4548574737880262</c:v>
                </c:pt>
                <c:pt idx="109">
                  <c:v>2.9941305077594493</c:v>
                </c:pt>
                <c:pt idx="110">
                  <c:v>3.9830980093582777</c:v>
                </c:pt>
                <c:pt idx="111">
                  <c:v>4.5841399690378841</c:v>
                </c:pt>
                <c:pt idx="112">
                  <c:v>4.5878425059111434</c:v>
                </c:pt>
                <c:pt idx="116">
                  <c:v>4.4664619901905924</c:v>
                </c:pt>
                <c:pt idx="117">
                  <c:v>5.2868105797540546</c:v>
                </c:pt>
                <c:pt idx="118">
                  <c:v>4.2817495411092734</c:v>
                </c:pt>
                <c:pt idx="119">
                  <c:v>4.2612092097600334</c:v>
                </c:pt>
                <c:pt idx="120">
                  <c:v>4.1857598035231902</c:v>
                </c:pt>
                <c:pt idx="121">
                  <c:v>4.2264384497766896</c:v>
                </c:pt>
                <c:pt idx="122">
                  <c:v>2.5168053326399367</c:v>
                </c:pt>
                <c:pt idx="123">
                  <c:v>4.1047374372896845</c:v>
                </c:pt>
                <c:pt idx="126">
                  <c:v>3.68428495526314</c:v>
                </c:pt>
                <c:pt idx="127">
                  <c:v>3.7978759606679402</c:v>
                </c:pt>
                <c:pt idx="128">
                  <c:v>3.7226276099681868</c:v>
                </c:pt>
                <c:pt idx="129">
                  <c:v>4.0718695720037124</c:v>
                </c:pt>
                <c:pt idx="130">
                  <c:v>3.6760558187961587</c:v>
                </c:pt>
                <c:pt idx="131">
                  <c:v>3.5657393435637199</c:v>
                </c:pt>
                <c:pt idx="132">
                  <c:v>3.5527611772219299</c:v>
                </c:pt>
                <c:pt idx="133">
                  <c:v>3.9070855279763612</c:v>
                </c:pt>
                <c:pt idx="134">
                  <c:v>3.6960199276606187</c:v>
                </c:pt>
                <c:pt idx="135">
                  <c:v>3.5519686837990871</c:v>
                </c:pt>
                <c:pt idx="136">
                  <c:v>3.3149941464265202</c:v>
                </c:pt>
                <c:pt idx="137">
                  <c:v>3.3048899670441867</c:v>
                </c:pt>
                <c:pt idx="138">
                  <c:v>3.8085295458634802</c:v>
                </c:pt>
                <c:pt idx="139">
                  <c:v>3.87892723083496</c:v>
                </c:pt>
                <c:pt idx="140">
                  <c:v>3.4363519946733967</c:v>
                </c:pt>
                <c:pt idx="141">
                  <c:v>4.2527546783288255</c:v>
                </c:pt>
                <c:pt idx="142">
                  <c:v>4.2983123262723302</c:v>
                </c:pt>
                <c:pt idx="143">
                  <c:v>3.6287132402261353</c:v>
                </c:pt>
                <c:pt idx="144">
                  <c:v>3.3865814407666499</c:v>
                </c:pt>
                <c:pt idx="145">
                  <c:v>4.7370634377002734</c:v>
                </c:pt>
                <c:pt idx="146">
                  <c:v>4.5348384877045902</c:v>
                </c:pt>
                <c:pt idx="147">
                  <c:v>4.3987208704153655</c:v>
                </c:pt>
                <c:pt idx="148">
                  <c:v>4.1761458714803075</c:v>
                </c:pt>
                <c:pt idx="149">
                  <c:v>2.8229917089144596</c:v>
                </c:pt>
                <c:pt idx="150">
                  <c:v>3.1535003980000802</c:v>
                </c:pt>
                <c:pt idx="151">
                  <c:v>3.4427288273970298</c:v>
                </c:pt>
                <c:pt idx="152">
                  <c:v>3.3533553580443098</c:v>
                </c:pt>
                <c:pt idx="153">
                  <c:v>3.1920624006362024</c:v>
                </c:pt>
                <c:pt idx="154">
                  <c:v>2.6262997488180955</c:v>
                </c:pt>
                <c:pt idx="155">
                  <c:v>3.9422598580519401</c:v>
                </c:pt>
                <c:pt idx="156">
                  <c:v>3.3359315892060599</c:v>
                </c:pt>
                <c:pt idx="157">
                  <c:v>3.6661170423031084</c:v>
                </c:pt>
                <c:pt idx="158">
                  <c:v>4.5811534921328771</c:v>
                </c:pt>
                <c:pt idx="159">
                  <c:v>5.0197428663571699</c:v>
                </c:pt>
                <c:pt idx="160">
                  <c:v>4.9028468132018999</c:v>
                </c:pt>
                <c:pt idx="161">
                  <c:v>4.2565574347972897</c:v>
                </c:pt>
                <c:pt idx="162">
                  <c:v>4.4721020062764465</c:v>
                </c:pt>
                <c:pt idx="163">
                  <c:v>4.0528612534205095</c:v>
                </c:pt>
                <c:pt idx="164">
                  <c:v>4.2321142454942065</c:v>
                </c:pt>
                <c:pt idx="165">
                  <c:v>2.5714358637730177</c:v>
                </c:pt>
                <c:pt idx="166">
                  <c:v>4.0215631425380733</c:v>
                </c:pt>
                <c:pt idx="167">
                  <c:v>3.3759070436159799</c:v>
                </c:pt>
                <c:pt idx="168">
                  <c:v>3.43276570154273</c:v>
                </c:pt>
                <c:pt idx="169">
                  <c:v>3.5491230189800493</c:v>
                </c:pt>
                <c:pt idx="170">
                  <c:v>3.8876083989937977</c:v>
                </c:pt>
                <c:pt idx="171">
                  <c:v>3.3448454936345096</c:v>
                </c:pt>
                <c:pt idx="172">
                  <c:v>3.2786650955676997</c:v>
                </c:pt>
                <c:pt idx="173">
                  <c:v>3.4126078983147767</c:v>
                </c:pt>
                <c:pt idx="174">
                  <c:v>4.0610378384589687</c:v>
                </c:pt>
                <c:pt idx="175">
                  <c:v>3.0878931184609812</c:v>
                </c:pt>
                <c:pt idx="176">
                  <c:v>2.836072355508771</c:v>
                </c:pt>
                <c:pt idx="177">
                  <c:v>2.7757329642772701</c:v>
                </c:pt>
                <c:pt idx="178">
                  <c:v>3.3751192589601002</c:v>
                </c:pt>
                <c:pt idx="179">
                  <c:v>4.0234770079453765</c:v>
                </c:pt>
                <c:pt idx="180">
                  <c:v>4.6745281716187765</c:v>
                </c:pt>
                <c:pt idx="181">
                  <c:v>4.3555562694866765</c:v>
                </c:pt>
                <c:pt idx="182">
                  <c:v>4.0881550113360055</c:v>
                </c:pt>
                <c:pt idx="183">
                  <c:v>4.4038308858871504</c:v>
                </c:pt>
                <c:pt idx="184">
                  <c:v>3.8221274216969801</c:v>
                </c:pt>
                <c:pt idx="185">
                  <c:v>3.2538973788420669</c:v>
                </c:pt>
                <c:pt idx="186">
                  <c:v>5.0379385749498855</c:v>
                </c:pt>
                <c:pt idx="187">
                  <c:v>4.8235635658105203</c:v>
                </c:pt>
                <c:pt idx="188">
                  <c:v>3.93148051699003</c:v>
                </c:pt>
                <c:pt idx="189">
                  <c:v>4.4215008219083085</c:v>
                </c:pt>
                <c:pt idx="190">
                  <c:v>4.0625690519809696</c:v>
                </c:pt>
                <c:pt idx="191">
                  <c:v>3.7155532340208577</c:v>
                </c:pt>
                <c:pt idx="192">
                  <c:v>3.4799988965193398</c:v>
                </c:pt>
                <c:pt idx="193">
                  <c:v>3.2576893965403202</c:v>
                </c:pt>
                <c:pt idx="194">
                  <c:v>4.4682798882325514</c:v>
                </c:pt>
                <c:pt idx="195">
                  <c:v>4.1903103291988355</c:v>
                </c:pt>
                <c:pt idx="196">
                  <c:v>3.940611282984436</c:v>
                </c:pt>
                <c:pt idx="197">
                  <c:v>4.16847801208496</c:v>
                </c:pt>
                <c:pt idx="198">
                  <c:v>3.34856034318606</c:v>
                </c:pt>
                <c:pt idx="199">
                  <c:v>3.3825403054555268</c:v>
                </c:pt>
                <c:pt idx="200">
                  <c:v>4.5107990403970097</c:v>
                </c:pt>
                <c:pt idx="201">
                  <c:v>5.6340798139572055</c:v>
                </c:pt>
                <c:pt idx="202">
                  <c:v>3.7333876689275467</c:v>
                </c:pt>
                <c:pt idx="203">
                  <c:v>3.1036534408728298</c:v>
                </c:pt>
                <c:pt idx="204">
                  <c:v>3.5610531866550397</c:v>
                </c:pt>
                <c:pt idx="205">
                  <c:v>3.6920009652773502</c:v>
                </c:pt>
                <c:pt idx="206">
                  <c:v>5.0864935715993198</c:v>
                </c:pt>
                <c:pt idx="207">
                  <c:v>3.84868182738622</c:v>
                </c:pt>
                <c:pt idx="208">
                  <c:v>3.3192662000655977</c:v>
                </c:pt>
                <c:pt idx="209">
                  <c:v>2.7528736988703399</c:v>
                </c:pt>
                <c:pt idx="210">
                  <c:v>5.0722468992074301</c:v>
                </c:pt>
                <c:pt idx="211">
                  <c:v>3.8253871897856397</c:v>
                </c:pt>
                <c:pt idx="212">
                  <c:v>2.8905849059422799</c:v>
                </c:pt>
                <c:pt idx="213">
                  <c:v>4.8535119791825245</c:v>
                </c:pt>
                <c:pt idx="214">
                  <c:v>4.5873054762681296</c:v>
                </c:pt>
                <c:pt idx="215">
                  <c:v>4.9633739888668114</c:v>
                </c:pt>
                <c:pt idx="216">
                  <c:v>3.4543899695078477</c:v>
                </c:pt>
                <c:pt idx="217">
                  <c:v>4.7605786522229465</c:v>
                </c:pt>
                <c:pt idx="218">
                  <c:v>4.9156447286191334</c:v>
                </c:pt>
                <c:pt idx="219">
                  <c:v>3.7583190302054099</c:v>
                </c:pt>
                <c:pt idx="220">
                  <c:v>3.4794388016064999</c:v>
                </c:pt>
                <c:pt idx="221">
                  <c:v>3.9239758551120802</c:v>
                </c:pt>
                <c:pt idx="222">
                  <c:v>3.7731309632460412</c:v>
                </c:pt>
                <c:pt idx="223">
                  <c:v>3.9272987743218701</c:v>
                </c:pt>
                <c:pt idx="224">
                  <c:v>3.8489743967851</c:v>
                </c:pt>
                <c:pt idx="225">
                  <c:v>4.0388905568556295</c:v>
                </c:pt>
                <c:pt idx="226">
                  <c:v>4.3530207971731834</c:v>
                </c:pt>
                <c:pt idx="227">
                  <c:v>4.2713040610154485</c:v>
                </c:pt>
                <c:pt idx="228">
                  <c:v>4.02105489373207</c:v>
                </c:pt>
                <c:pt idx="229">
                  <c:v>3.84480717778206</c:v>
                </c:pt>
                <c:pt idx="230">
                  <c:v>3.8332025905450187</c:v>
                </c:pt>
                <c:pt idx="231">
                  <c:v>3.3072876830895677</c:v>
                </c:pt>
                <c:pt idx="232">
                  <c:v>3.4657312830289202</c:v>
                </c:pt>
                <c:pt idx="233">
                  <c:v>3.3882365226745601</c:v>
                </c:pt>
                <c:pt idx="234">
                  <c:v>3.42849096655846</c:v>
                </c:pt>
                <c:pt idx="235">
                  <c:v>3.7439322868983096</c:v>
                </c:pt>
                <c:pt idx="236">
                  <c:v>4.0612025856972034</c:v>
                </c:pt>
                <c:pt idx="237">
                  <c:v>3.8012667795022277</c:v>
                </c:pt>
                <c:pt idx="238">
                  <c:v>4.5272829234600085</c:v>
                </c:pt>
                <c:pt idx="239">
                  <c:v>4.1533701221148434</c:v>
                </c:pt>
                <c:pt idx="240">
                  <c:v>3.7900929649670898</c:v>
                </c:pt>
                <c:pt idx="241">
                  <c:v>3.2305750846862797</c:v>
                </c:pt>
                <c:pt idx="242">
                  <c:v>3.5328545371691367</c:v>
                </c:pt>
                <c:pt idx="243">
                  <c:v>3.5322903891404467</c:v>
                </c:pt>
                <c:pt idx="244">
                  <c:v>3.2223213016986811</c:v>
                </c:pt>
                <c:pt idx="245">
                  <c:v>3.8536638716856597</c:v>
                </c:pt>
                <c:pt idx="246">
                  <c:v>3.9421337445577196</c:v>
                </c:pt>
                <c:pt idx="247">
                  <c:v>4.0768508911132804</c:v>
                </c:pt>
                <c:pt idx="248">
                  <c:v>2.7969197134176902</c:v>
                </c:pt>
                <c:pt idx="249">
                  <c:v>3.2366265157858467</c:v>
                </c:pt>
                <c:pt idx="250">
                  <c:v>2.9827424834171681</c:v>
                </c:pt>
                <c:pt idx="251">
                  <c:v>3.4734511971473698</c:v>
                </c:pt>
                <c:pt idx="252">
                  <c:v>3.6612569689750698</c:v>
                </c:pt>
                <c:pt idx="253">
                  <c:v>3.7305272916952812</c:v>
                </c:pt>
                <c:pt idx="254">
                  <c:v>3.0361683368682622</c:v>
                </c:pt>
                <c:pt idx="255">
                  <c:v>3.1862525443235987</c:v>
                </c:pt>
                <c:pt idx="256">
                  <c:v>3.9939224720001198</c:v>
                </c:pt>
                <c:pt idx="257">
                  <c:v>4.22172566254934</c:v>
                </c:pt>
                <c:pt idx="258">
                  <c:v>2.9267561833063787</c:v>
                </c:pt>
                <c:pt idx="259">
                  <c:v>2.9325947364171299</c:v>
                </c:pt>
                <c:pt idx="260">
                  <c:v>3.2957386473814796</c:v>
                </c:pt>
                <c:pt idx="261">
                  <c:v>3.9921462933222367</c:v>
                </c:pt>
                <c:pt idx="262">
                  <c:v>3.4424684941768291</c:v>
                </c:pt>
                <c:pt idx="263">
                  <c:v>3.745340377092381</c:v>
                </c:pt>
                <c:pt idx="264">
                  <c:v>3.3179943660895002</c:v>
                </c:pt>
                <c:pt idx="265">
                  <c:v>3.9296377599239412</c:v>
                </c:pt>
                <c:pt idx="266">
                  <c:v>3.1225740611553405</c:v>
                </c:pt>
                <c:pt idx="267">
                  <c:v>3.3512432177861387</c:v>
                </c:pt>
                <c:pt idx="268">
                  <c:v>4.0531431833903513</c:v>
                </c:pt>
                <c:pt idx="269">
                  <c:v>2.9086863199869799</c:v>
                </c:pt>
                <c:pt idx="270">
                  <c:v>3.97391453385353</c:v>
                </c:pt>
                <c:pt idx="271">
                  <c:v>4.1860920548439013</c:v>
                </c:pt>
                <c:pt idx="272">
                  <c:v>3.8871384660402901</c:v>
                </c:pt>
                <c:pt idx="273">
                  <c:v>4.0590827365716304</c:v>
                </c:pt>
                <c:pt idx="274">
                  <c:v>3.1758156319459268</c:v>
                </c:pt>
                <c:pt idx="275">
                  <c:v>3.1480539739131768</c:v>
                </c:pt>
                <c:pt idx="276">
                  <c:v>3.2734520335991983</c:v>
                </c:pt>
                <c:pt idx="277">
                  <c:v>3.5583849052588077</c:v>
                </c:pt>
                <c:pt idx="278">
                  <c:v>3.5377561251322387</c:v>
                </c:pt>
                <c:pt idx="279">
                  <c:v>3.4142617086569693</c:v>
                </c:pt>
                <c:pt idx="280">
                  <c:v>3.7070650358994799</c:v>
                </c:pt>
                <c:pt idx="281">
                  <c:v>3.5213813483715426</c:v>
                </c:pt>
                <c:pt idx="282">
                  <c:v>3.6233348349730212</c:v>
                </c:pt>
                <c:pt idx="283">
                  <c:v>3.2958658337592892</c:v>
                </c:pt>
                <c:pt idx="284">
                  <c:v>4.1587264736493399</c:v>
                </c:pt>
                <c:pt idx="285">
                  <c:v>4.2320138712723985</c:v>
                </c:pt>
                <c:pt idx="286">
                  <c:v>3.5934067765871802</c:v>
                </c:pt>
                <c:pt idx="287">
                  <c:v>4.2981969714164645</c:v>
                </c:pt>
                <c:pt idx="288">
                  <c:v>4.0084676543871733</c:v>
                </c:pt>
                <c:pt idx="289">
                  <c:v>4.3268810510635385</c:v>
                </c:pt>
                <c:pt idx="290">
                  <c:v>4.0104448099931096</c:v>
                </c:pt>
                <c:pt idx="291">
                  <c:v>3.8184549113114667</c:v>
                </c:pt>
                <c:pt idx="292">
                  <c:v>3.499878883361796</c:v>
                </c:pt>
                <c:pt idx="293">
                  <c:v>3.7330549061298397</c:v>
                </c:pt>
                <c:pt idx="294">
                  <c:v>4.0050239066282876</c:v>
                </c:pt>
                <c:pt idx="295">
                  <c:v>4.7668060163656865</c:v>
                </c:pt>
                <c:pt idx="296">
                  <c:v>3.7366541822751387</c:v>
                </c:pt>
                <c:pt idx="297">
                  <c:v>3.9877749085426522</c:v>
                </c:pt>
                <c:pt idx="298">
                  <c:v>2.2354782174030867</c:v>
                </c:pt>
                <c:pt idx="299">
                  <c:v>4.4162388741970098</c:v>
                </c:pt>
                <c:pt idx="300">
                  <c:v>5.1274171670277227</c:v>
                </c:pt>
                <c:pt idx="301">
                  <c:v>4.2811012764771785</c:v>
                </c:pt>
                <c:pt idx="302">
                  <c:v>3.0349453091621377</c:v>
                </c:pt>
                <c:pt idx="303">
                  <c:v>2.8865314722061202</c:v>
                </c:pt>
                <c:pt idx="304">
                  <c:v>3.36341300606728</c:v>
                </c:pt>
                <c:pt idx="305">
                  <c:v>2.40211214125156</c:v>
                </c:pt>
                <c:pt idx="306">
                  <c:v>4.3931711018085497</c:v>
                </c:pt>
                <c:pt idx="307">
                  <c:v>4.6293968160947045</c:v>
                </c:pt>
                <c:pt idx="308">
                  <c:v>4.0319611430168534</c:v>
                </c:pt>
                <c:pt idx="309">
                  <c:v>3.9768264094988148</c:v>
                </c:pt>
                <c:pt idx="310">
                  <c:v>5.5605050524075645</c:v>
                </c:pt>
                <c:pt idx="311">
                  <c:v>2.6611252129078093</c:v>
                </c:pt>
                <c:pt idx="312">
                  <c:v>4.0139968097209655</c:v>
                </c:pt>
                <c:pt idx="313">
                  <c:v>4.9361711839835518</c:v>
                </c:pt>
                <c:pt idx="314">
                  <c:v>4.0093488693237314</c:v>
                </c:pt>
                <c:pt idx="315">
                  <c:v>4.2001505096753355</c:v>
                </c:pt>
                <c:pt idx="316">
                  <c:v>3.2905488908290867</c:v>
                </c:pt>
                <c:pt idx="317">
                  <c:v>3.9407481501499797</c:v>
                </c:pt>
                <c:pt idx="318">
                  <c:v>1.9256834040085582</c:v>
                </c:pt>
                <c:pt idx="319">
                  <c:v>3.7683078746001075</c:v>
                </c:pt>
                <c:pt idx="320">
                  <c:v>2.54596368471781</c:v>
                </c:pt>
                <c:pt idx="321">
                  <c:v>2.3882732143004701</c:v>
                </c:pt>
                <c:pt idx="322">
                  <c:v>4.4002773761749303</c:v>
                </c:pt>
                <c:pt idx="323">
                  <c:v>4.2809617420037824</c:v>
                </c:pt>
                <c:pt idx="324">
                  <c:v>4.43114290634791</c:v>
                </c:pt>
                <c:pt idx="325">
                  <c:v>1.8158237114548608</c:v>
                </c:pt>
                <c:pt idx="326">
                  <c:v>2.6302809615930003</c:v>
                </c:pt>
                <c:pt idx="327">
                  <c:v>2.5860160142183277</c:v>
                </c:pt>
                <c:pt idx="328">
                  <c:v>4.5676084160804695</c:v>
                </c:pt>
                <c:pt idx="329">
                  <c:v>3.5460096895694577</c:v>
                </c:pt>
                <c:pt idx="330">
                  <c:v>4.3150418003400155</c:v>
                </c:pt>
                <c:pt idx="331">
                  <c:v>3.6554269790649387</c:v>
                </c:pt>
                <c:pt idx="333">
                  <c:v>4.1341501275698285</c:v>
                </c:pt>
                <c:pt idx="334">
                  <c:v>3.5529500998948569</c:v>
                </c:pt>
                <c:pt idx="336">
                  <c:v>3.3341301083564812</c:v>
                </c:pt>
                <c:pt idx="337">
                  <c:v>3.7698652942975399</c:v>
                </c:pt>
                <c:pt idx="338">
                  <c:v>4.5376482605934099</c:v>
                </c:pt>
                <c:pt idx="339">
                  <c:v>3.9327159523963902</c:v>
                </c:pt>
                <c:pt idx="340">
                  <c:v>3.5716075102488167</c:v>
                </c:pt>
                <c:pt idx="341">
                  <c:v>4.0118934313456434</c:v>
                </c:pt>
                <c:pt idx="342">
                  <c:v>4.0591649810473101</c:v>
                </c:pt>
                <c:pt idx="343">
                  <c:v>3.9858566919962577</c:v>
                </c:pt>
                <c:pt idx="344">
                  <c:v>4.7094224890073519</c:v>
                </c:pt>
                <c:pt idx="345">
                  <c:v>5.3922114372253365</c:v>
                </c:pt>
                <c:pt idx="346">
                  <c:v>3.9059162338574702</c:v>
                </c:pt>
                <c:pt idx="347">
                  <c:v>4.1363106568653958</c:v>
                </c:pt>
                <c:pt idx="348">
                  <c:v>4.3005403975645704</c:v>
                </c:pt>
                <c:pt idx="349">
                  <c:v>4.8287177681922655</c:v>
                </c:pt>
                <c:pt idx="350">
                  <c:v>4.0979379514852647</c:v>
                </c:pt>
                <c:pt idx="351">
                  <c:v>3.4438277184963511</c:v>
                </c:pt>
                <c:pt idx="352">
                  <c:v>4.4677226543426514</c:v>
                </c:pt>
                <c:pt idx="353">
                  <c:v>3.98249552647273</c:v>
                </c:pt>
                <c:pt idx="354">
                  <c:v>3.9122715691725398</c:v>
                </c:pt>
                <c:pt idx="355">
                  <c:v>4.6811624268690704</c:v>
                </c:pt>
                <c:pt idx="356">
                  <c:v>4.7657554944356324</c:v>
                </c:pt>
                <c:pt idx="357">
                  <c:v>4.8727180659771001</c:v>
                </c:pt>
                <c:pt idx="358">
                  <c:v>3.7857343951861289</c:v>
                </c:pt>
                <c:pt idx="359">
                  <c:v>2.9970451295375633</c:v>
                </c:pt>
                <c:pt idx="360">
                  <c:v>4.4997349083423597</c:v>
                </c:pt>
                <c:pt idx="361">
                  <c:v>4.8081790904204098</c:v>
                </c:pt>
                <c:pt idx="362">
                  <c:v>5.0272990564505298</c:v>
                </c:pt>
                <c:pt idx="363">
                  <c:v>4.0385066966215799</c:v>
                </c:pt>
                <c:pt idx="364">
                  <c:v>4.0205506285031545</c:v>
                </c:pt>
              </c:numCache>
            </c:numRef>
          </c:val>
        </c:ser>
        <c:marker val="1"/>
        <c:axId val="135373952"/>
        <c:axId val="135375488"/>
      </c:lineChart>
      <c:catAx>
        <c:axId val="135373952"/>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ro-RO"/>
          </a:p>
        </c:txPr>
        <c:crossAx val="135375488"/>
        <c:crosses val="autoZero"/>
        <c:auto val="1"/>
        <c:lblAlgn val="ctr"/>
        <c:lblOffset val="100"/>
        <c:tickLblSkip val="2"/>
        <c:tickMarkSkip val="1"/>
      </c:catAx>
      <c:valAx>
        <c:axId val="135375488"/>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o-RO"/>
          </a:p>
        </c:txPr>
        <c:crossAx val="135373952"/>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89866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ro-RO"/>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a:latin typeface="Arial" pitchFamily="34" charset="0"/>
                <a:cs typeface="Arial" pitchFamily="34" charset="0"/>
              </a:rPr>
              <a:t>Contribuţia</a:t>
            </a:r>
            <a:r>
              <a:rPr lang="ro-RO" sz="1000" b="1" baseline="0">
                <a:latin typeface="Arial" pitchFamily="34" charset="0"/>
                <a:cs typeface="Arial" pitchFamily="34" charset="0"/>
              </a:rPr>
              <a:t> sectoarelor de activitate din energie la emisiile de particule primare în suspensie</a:t>
            </a:r>
            <a:endParaRPr lang="ro-RO" sz="1000" b="1">
              <a:latin typeface="Arial" pitchFamily="34" charset="0"/>
              <a:cs typeface="Arial" pitchFamily="34" charset="0"/>
            </a:endParaRPr>
          </a:p>
        </c:rich>
      </c:tx>
    </c:title>
    <c:plotArea>
      <c:layout/>
      <c:barChart>
        <c:barDir val="col"/>
        <c:grouping val="clustered"/>
        <c:ser>
          <c:idx val="0"/>
          <c:order val="0"/>
          <c:tx>
            <c:strRef>
              <c:f>Sheet1!$C$87</c:f>
              <c:strCache>
                <c:ptCount val="1"/>
                <c:pt idx="0">
                  <c:v>PM2,5</c:v>
                </c:pt>
              </c:strCache>
            </c:strRef>
          </c:tx>
          <c:cat>
            <c:strRef>
              <c:f>Sheet1!$B$88:$B$92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Sheet1!$C$88:$C$92</c:f>
              <c:numCache>
                <c:formatCode>General</c:formatCode>
                <c:ptCount val="5"/>
                <c:pt idx="0">
                  <c:v>0.11</c:v>
                </c:pt>
                <c:pt idx="1">
                  <c:v>4.0000000000000022E-2</c:v>
                </c:pt>
                <c:pt idx="2">
                  <c:v>0.87000000000000188</c:v>
                </c:pt>
                <c:pt idx="3">
                  <c:v>0.24000000000000021</c:v>
                </c:pt>
                <c:pt idx="4">
                  <c:v>98.740000000000023</c:v>
                </c:pt>
              </c:numCache>
            </c:numRef>
          </c:val>
        </c:ser>
        <c:ser>
          <c:idx val="1"/>
          <c:order val="1"/>
          <c:tx>
            <c:strRef>
              <c:f>Sheet1!$D$87</c:f>
              <c:strCache>
                <c:ptCount val="1"/>
                <c:pt idx="0">
                  <c:v>PM10</c:v>
                </c:pt>
              </c:strCache>
            </c:strRef>
          </c:tx>
          <c:cat>
            <c:strRef>
              <c:f>Sheet1!$B$88:$B$92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Sheet1!$D$88:$D$92</c:f>
              <c:numCache>
                <c:formatCode>General</c:formatCode>
                <c:ptCount val="5"/>
                <c:pt idx="0">
                  <c:v>0.12000000000000002</c:v>
                </c:pt>
                <c:pt idx="1">
                  <c:v>0.05</c:v>
                </c:pt>
                <c:pt idx="2">
                  <c:v>0.32000000000000106</c:v>
                </c:pt>
                <c:pt idx="3">
                  <c:v>0.25</c:v>
                </c:pt>
                <c:pt idx="4">
                  <c:v>99.26</c:v>
                </c:pt>
              </c:numCache>
            </c:numRef>
          </c:val>
        </c:ser>
        <c:axId val="159699712"/>
        <c:axId val="159701248"/>
      </c:barChart>
      <c:catAx>
        <c:axId val="159699712"/>
        <c:scaling>
          <c:orientation val="minMax"/>
        </c:scaling>
        <c:axPos val="b"/>
        <c:majorTickMark val="none"/>
        <c:tickLblPos val="nextTo"/>
        <c:crossAx val="159701248"/>
        <c:crosses val="autoZero"/>
        <c:auto val="1"/>
        <c:lblAlgn val="ctr"/>
        <c:lblOffset val="100"/>
      </c:catAx>
      <c:valAx>
        <c:axId val="159701248"/>
        <c:scaling>
          <c:orientation val="minMax"/>
          <c:max val="100"/>
        </c:scaling>
        <c:axPos val="l"/>
        <c:majorGridlines/>
        <c:title>
          <c:tx>
            <c:rich>
              <a:bodyPr rot="0" vert="horz"/>
              <a:lstStyle/>
              <a:p>
                <a:pPr>
                  <a:defRPr/>
                </a:pPr>
                <a:r>
                  <a:rPr lang="ro-RO"/>
                  <a:t>%</a:t>
                </a:r>
              </a:p>
            </c:rich>
          </c:tx>
          <c:layout>
            <c:manualLayout>
              <c:xMode val="edge"/>
              <c:yMode val="edge"/>
              <c:x val="0.12686084142394818"/>
              <c:y val="0.10138545181852271"/>
            </c:manualLayout>
          </c:layout>
        </c:title>
        <c:numFmt formatCode="General" sourceLinked="1"/>
        <c:tickLblPos val="nextTo"/>
        <c:crossAx val="159699712"/>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a:latin typeface="Arial" pitchFamily="34" charset="0"/>
                <a:cs typeface="Arial" pitchFamily="34" charset="0"/>
              </a:rPr>
              <a:t>Contribuţia</a:t>
            </a:r>
            <a:r>
              <a:rPr lang="ro-RO" sz="1000" b="1" baseline="0">
                <a:latin typeface="Arial" pitchFamily="34" charset="0"/>
                <a:cs typeface="Arial" pitchFamily="34" charset="0"/>
              </a:rPr>
              <a:t> sectoarelor de activitate din energie la emisiile de metale grele</a:t>
            </a:r>
            <a:endParaRPr lang="ro-RO" sz="1000" b="1">
              <a:latin typeface="Arial" pitchFamily="34" charset="0"/>
              <a:cs typeface="Arial" pitchFamily="34" charset="0"/>
            </a:endParaRPr>
          </a:p>
        </c:rich>
      </c:tx>
    </c:title>
    <c:plotArea>
      <c:layout/>
      <c:barChart>
        <c:barDir val="col"/>
        <c:grouping val="clustered"/>
        <c:ser>
          <c:idx val="0"/>
          <c:order val="0"/>
          <c:tx>
            <c:strRef>
              <c:f>Sheet1!$C$117</c:f>
              <c:strCache>
                <c:ptCount val="1"/>
                <c:pt idx="0">
                  <c:v>Pb</c:v>
                </c:pt>
              </c:strCache>
            </c:strRef>
          </c:tx>
          <c:cat>
            <c:strRef>
              <c:f>Sheet1!$B$118:$B$122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Sheet1!$C$118:$C$122</c:f>
              <c:numCache>
                <c:formatCode>General</c:formatCode>
                <c:ptCount val="5"/>
                <c:pt idx="0">
                  <c:v>0.67000000000000248</c:v>
                </c:pt>
                <c:pt idx="1">
                  <c:v>0.98</c:v>
                </c:pt>
                <c:pt idx="2">
                  <c:v>3.19</c:v>
                </c:pt>
                <c:pt idx="3">
                  <c:v>1.26</c:v>
                </c:pt>
                <c:pt idx="4">
                  <c:v>93.9</c:v>
                </c:pt>
              </c:numCache>
            </c:numRef>
          </c:val>
        </c:ser>
        <c:ser>
          <c:idx val="1"/>
          <c:order val="1"/>
          <c:tx>
            <c:strRef>
              <c:f>Sheet1!$D$117</c:f>
              <c:strCache>
                <c:ptCount val="1"/>
                <c:pt idx="0">
                  <c:v>Cd</c:v>
                </c:pt>
              </c:strCache>
            </c:strRef>
          </c:tx>
          <c:cat>
            <c:strRef>
              <c:f>Sheet1!$B$118:$B$122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Sheet1!$D$118:$D$122</c:f>
              <c:numCache>
                <c:formatCode>General</c:formatCode>
                <c:ptCount val="5"/>
                <c:pt idx="0">
                  <c:v>5.38</c:v>
                </c:pt>
                <c:pt idx="1">
                  <c:v>1.33</c:v>
                </c:pt>
                <c:pt idx="2">
                  <c:v>9.8000000000000007</c:v>
                </c:pt>
                <c:pt idx="3">
                  <c:v>8.19</c:v>
                </c:pt>
                <c:pt idx="4">
                  <c:v>75.3</c:v>
                </c:pt>
              </c:numCache>
            </c:numRef>
          </c:val>
        </c:ser>
        <c:ser>
          <c:idx val="2"/>
          <c:order val="2"/>
          <c:tx>
            <c:strRef>
              <c:f>Sheet1!$E$117</c:f>
              <c:strCache>
                <c:ptCount val="1"/>
                <c:pt idx="0">
                  <c:v>Hg</c:v>
                </c:pt>
              </c:strCache>
            </c:strRef>
          </c:tx>
          <c:cat>
            <c:strRef>
              <c:f>Sheet1!$B$118:$B$122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Sheet1!$E$118:$E$122</c:f>
              <c:numCache>
                <c:formatCode>General</c:formatCode>
                <c:ptCount val="5"/>
                <c:pt idx="0">
                  <c:v>5.9</c:v>
                </c:pt>
                <c:pt idx="1">
                  <c:v>4.7</c:v>
                </c:pt>
                <c:pt idx="2">
                  <c:v>10</c:v>
                </c:pt>
                <c:pt idx="3">
                  <c:v>8.7000000000000011</c:v>
                </c:pt>
                <c:pt idx="4">
                  <c:v>70.7</c:v>
                </c:pt>
              </c:numCache>
            </c:numRef>
          </c:val>
        </c:ser>
        <c:axId val="159719424"/>
        <c:axId val="159720960"/>
      </c:barChart>
      <c:catAx>
        <c:axId val="159719424"/>
        <c:scaling>
          <c:orientation val="minMax"/>
        </c:scaling>
        <c:axPos val="b"/>
        <c:majorTickMark val="none"/>
        <c:tickLblPos val="nextTo"/>
        <c:crossAx val="159720960"/>
        <c:crosses val="autoZero"/>
        <c:auto val="1"/>
        <c:lblAlgn val="ctr"/>
        <c:lblOffset val="100"/>
      </c:catAx>
      <c:valAx>
        <c:axId val="159720960"/>
        <c:scaling>
          <c:orientation val="minMax"/>
        </c:scaling>
        <c:axPos val="l"/>
        <c:majorGridlines/>
        <c:title>
          <c:tx>
            <c:rich>
              <a:bodyPr rot="0" vert="horz"/>
              <a:lstStyle/>
              <a:p>
                <a:pPr>
                  <a:defRPr/>
                </a:pPr>
                <a:r>
                  <a:rPr lang="ro-RO"/>
                  <a:t>%</a:t>
                </a:r>
              </a:p>
            </c:rich>
          </c:tx>
          <c:layout>
            <c:manualLayout>
              <c:xMode val="edge"/>
              <c:yMode val="edge"/>
              <c:x val="0.1131167268351387"/>
              <c:y val="0.10784128835747382"/>
            </c:manualLayout>
          </c:layout>
        </c:title>
        <c:numFmt formatCode="General" sourceLinked="1"/>
        <c:tickLblPos val="nextTo"/>
        <c:crossAx val="159719424"/>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a:latin typeface="Arial" pitchFamily="34" charset="0"/>
                <a:cs typeface="Arial" pitchFamily="34" charset="0"/>
              </a:rPr>
              <a:t>Contribuţia</a:t>
            </a:r>
            <a:r>
              <a:rPr lang="ro-RO" sz="1000" b="1" baseline="0">
                <a:latin typeface="Arial" pitchFamily="34" charset="0"/>
                <a:cs typeface="Arial" pitchFamily="34" charset="0"/>
              </a:rPr>
              <a:t> sectoarelor de activitate din energie la emisiile de poluanţi organici persistenţi</a:t>
            </a:r>
            <a:endParaRPr lang="ro-RO" sz="1000" b="1">
              <a:latin typeface="Arial" pitchFamily="34" charset="0"/>
              <a:cs typeface="Arial" pitchFamily="34" charset="0"/>
            </a:endParaRPr>
          </a:p>
        </c:rich>
      </c:tx>
    </c:title>
    <c:plotArea>
      <c:layout/>
      <c:barChart>
        <c:barDir val="col"/>
        <c:grouping val="clustered"/>
        <c:ser>
          <c:idx val="0"/>
          <c:order val="0"/>
          <c:tx>
            <c:strRef>
              <c:f>Sheet1!$C$147</c:f>
              <c:strCache>
                <c:ptCount val="1"/>
                <c:pt idx="0">
                  <c:v>PCDD/PCDF</c:v>
                </c:pt>
              </c:strCache>
            </c:strRef>
          </c:tx>
          <c:cat>
            <c:strRef>
              <c:f>Sheet1!$B$148:$B$152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Sheet1!$C$148:$C$152</c:f>
              <c:numCache>
                <c:formatCode>General</c:formatCode>
                <c:ptCount val="5"/>
                <c:pt idx="0">
                  <c:v>0.2</c:v>
                </c:pt>
                <c:pt idx="1">
                  <c:v>9.0000000000000024E-2</c:v>
                </c:pt>
                <c:pt idx="2">
                  <c:v>1.8</c:v>
                </c:pt>
                <c:pt idx="3">
                  <c:v>0.51</c:v>
                </c:pt>
                <c:pt idx="4">
                  <c:v>97.4</c:v>
                </c:pt>
              </c:numCache>
            </c:numRef>
          </c:val>
        </c:ser>
        <c:ser>
          <c:idx val="1"/>
          <c:order val="1"/>
          <c:tx>
            <c:strRef>
              <c:f>Sheet1!$D$147</c:f>
              <c:strCache>
                <c:ptCount val="1"/>
                <c:pt idx="0">
                  <c:v>PAH</c:v>
                </c:pt>
              </c:strCache>
            </c:strRef>
          </c:tx>
          <c:cat>
            <c:strRef>
              <c:f>Sheet1!$B$148:$B$152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Sheet1!$D$148:$D$152</c:f>
              <c:numCache>
                <c:formatCode>General</c:formatCode>
                <c:ptCount val="5"/>
                <c:pt idx="0">
                  <c:v>0.98</c:v>
                </c:pt>
                <c:pt idx="1">
                  <c:v>0.5</c:v>
                </c:pt>
                <c:pt idx="2">
                  <c:v>8.1</c:v>
                </c:pt>
                <c:pt idx="3">
                  <c:v>2.0000000000000011E-2</c:v>
                </c:pt>
                <c:pt idx="4">
                  <c:v>90.4</c:v>
                </c:pt>
              </c:numCache>
            </c:numRef>
          </c:val>
        </c:ser>
        <c:ser>
          <c:idx val="2"/>
          <c:order val="2"/>
          <c:tx>
            <c:strRef>
              <c:f>Sheet1!$E$147</c:f>
              <c:strCache>
                <c:ptCount val="1"/>
                <c:pt idx="0">
                  <c:v>HCB</c:v>
                </c:pt>
              </c:strCache>
            </c:strRef>
          </c:tx>
          <c:cat>
            <c:strRef>
              <c:f>Sheet1!$B$148:$B$152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Sheet1!$E$148:$E$152</c:f>
              <c:numCache>
                <c:formatCode>General</c:formatCode>
                <c:ptCount val="5"/>
                <c:pt idx="0">
                  <c:v>0.5</c:v>
                </c:pt>
                <c:pt idx="1">
                  <c:v>0</c:v>
                </c:pt>
                <c:pt idx="2">
                  <c:v>4.5</c:v>
                </c:pt>
                <c:pt idx="3">
                  <c:v>0</c:v>
                </c:pt>
                <c:pt idx="4">
                  <c:v>95</c:v>
                </c:pt>
              </c:numCache>
            </c:numRef>
          </c:val>
        </c:ser>
        <c:ser>
          <c:idx val="3"/>
          <c:order val="3"/>
          <c:tx>
            <c:strRef>
              <c:f>Sheet1!$F$147</c:f>
              <c:strCache>
                <c:ptCount val="1"/>
                <c:pt idx="0">
                  <c:v>PCBDs</c:v>
                </c:pt>
              </c:strCache>
            </c:strRef>
          </c:tx>
          <c:cat>
            <c:strRef>
              <c:f>Sheet1!$B$148:$B$152</c:f>
              <c:strCache>
                <c:ptCount val="5"/>
                <c:pt idx="0">
                  <c:v>PROD. ENERGIE ELECTRICA SI TERMICA</c:v>
                </c:pt>
                <c:pt idx="1">
                  <c:v>ARDERI ÎN METALURGIE</c:v>
                </c:pt>
                <c:pt idx="2">
                  <c:v>ARDERI ÎN IND. ALIMENTARĂ</c:v>
                </c:pt>
                <c:pt idx="3">
                  <c:v>ARDERI ÎN ALTE DOMENII </c:v>
                </c:pt>
                <c:pt idx="4">
                  <c:v>ÎNCĂLZIRE REZIDENŢIALĂ</c:v>
                </c:pt>
              </c:strCache>
            </c:strRef>
          </c:cat>
          <c:val>
            <c:numRef>
              <c:f>Sheet1!$F$148:$F$152</c:f>
              <c:numCache>
                <c:formatCode>General</c:formatCode>
                <c:ptCount val="5"/>
                <c:pt idx="0">
                  <c:v>0.5</c:v>
                </c:pt>
                <c:pt idx="1">
                  <c:v>0</c:v>
                </c:pt>
                <c:pt idx="2">
                  <c:v>4.4000000000000004</c:v>
                </c:pt>
                <c:pt idx="3">
                  <c:v>1.1000000000000001</c:v>
                </c:pt>
                <c:pt idx="4">
                  <c:v>94</c:v>
                </c:pt>
              </c:numCache>
            </c:numRef>
          </c:val>
        </c:ser>
        <c:axId val="159760384"/>
        <c:axId val="159761920"/>
      </c:barChart>
      <c:catAx>
        <c:axId val="159760384"/>
        <c:scaling>
          <c:orientation val="minMax"/>
        </c:scaling>
        <c:axPos val="b"/>
        <c:majorTickMark val="none"/>
        <c:tickLblPos val="nextTo"/>
        <c:crossAx val="159761920"/>
        <c:crosses val="autoZero"/>
        <c:auto val="1"/>
        <c:lblAlgn val="ctr"/>
        <c:lblOffset val="100"/>
      </c:catAx>
      <c:valAx>
        <c:axId val="159761920"/>
        <c:scaling>
          <c:orientation val="minMax"/>
          <c:max val="100"/>
        </c:scaling>
        <c:axPos val="l"/>
        <c:majorGridlines/>
        <c:title>
          <c:tx>
            <c:rich>
              <a:bodyPr rot="0" vert="horz"/>
              <a:lstStyle/>
              <a:p>
                <a:pPr>
                  <a:defRPr/>
                </a:pPr>
                <a:r>
                  <a:rPr lang="ro-RO"/>
                  <a:t>%</a:t>
                </a:r>
              </a:p>
            </c:rich>
          </c:tx>
          <c:layout>
            <c:manualLayout>
              <c:xMode val="edge"/>
              <c:yMode val="edge"/>
              <c:x val="0.10716510903426812"/>
              <c:y val="0.12051777618706751"/>
            </c:manualLayout>
          </c:layout>
        </c:title>
        <c:numFmt formatCode="General" sourceLinked="1"/>
        <c:tickLblPos val="nextTo"/>
        <c:crossAx val="159760384"/>
        <c:crosses val="autoZero"/>
        <c:crossBetween val="between"/>
        <c:minorUnit val="1.0000000000000005E-2"/>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a:t>
            </a:r>
            <a:r>
              <a:rPr lang="en-US" sz="1000">
                <a:latin typeface="Arial" pitchFamily="34" charset="0"/>
                <a:cs typeface="Arial" pitchFamily="34" charset="0"/>
              </a:rPr>
              <a:t>ontribu</a:t>
            </a:r>
            <a:r>
              <a:rPr lang="ro-RO" sz="1000">
                <a:latin typeface="Arial" pitchFamily="34" charset="0"/>
                <a:cs typeface="Arial" pitchFamily="34" charset="0"/>
              </a:rPr>
              <a:t>ţia</a:t>
            </a:r>
            <a:r>
              <a:rPr lang="ro-RO" sz="1000" baseline="0">
                <a:latin typeface="Arial" pitchFamily="34" charset="0"/>
                <a:cs typeface="Arial" pitchFamily="34" charset="0"/>
              </a:rPr>
              <a:t> sectoarelor de activitate la emisiile de poluanţi cu efect acidifiant</a:t>
            </a:r>
            <a:endParaRPr lang="ro-RO" sz="1000">
              <a:latin typeface="Arial" pitchFamily="34" charset="0"/>
              <a:cs typeface="Arial" pitchFamily="34" charset="0"/>
            </a:endParaRPr>
          </a:p>
        </c:rich>
      </c:tx>
    </c:title>
    <c:plotArea>
      <c:layout/>
      <c:barChart>
        <c:barDir val="col"/>
        <c:grouping val="clustered"/>
        <c:ser>
          <c:idx val="0"/>
          <c:order val="0"/>
          <c:tx>
            <c:strRef>
              <c:f>Sheet1!$C$5</c:f>
              <c:strCache>
                <c:ptCount val="1"/>
                <c:pt idx="0">
                  <c:v>SOx</c:v>
                </c:pt>
              </c:strCache>
            </c:strRef>
          </c:tx>
          <c:cat>
            <c:strRef>
              <c:f>Sheet1!$B$6:$B$10</c:f>
              <c:strCache>
                <c:ptCount val="5"/>
                <c:pt idx="0">
                  <c:v>ENERGIE</c:v>
                </c:pt>
                <c:pt idx="1">
                  <c:v>TRANSPORTURI</c:v>
                </c:pt>
                <c:pt idx="2">
                  <c:v>INDUSTRIE</c:v>
                </c:pt>
                <c:pt idx="3">
                  <c:v>AGRICULTURA</c:v>
                </c:pt>
                <c:pt idx="4">
                  <c:v>DESEURI</c:v>
                </c:pt>
              </c:strCache>
            </c:strRef>
          </c:cat>
          <c:val>
            <c:numRef>
              <c:f>Sheet1!$C$6:$C$10</c:f>
              <c:numCache>
                <c:formatCode>General</c:formatCode>
                <c:ptCount val="5"/>
                <c:pt idx="0">
                  <c:v>79.400000000000006</c:v>
                </c:pt>
                <c:pt idx="1">
                  <c:v>0.1</c:v>
                </c:pt>
                <c:pt idx="2">
                  <c:v>20.5</c:v>
                </c:pt>
                <c:pt idx="3">
                  <c:v>0</c:v>
                </c:pt>
                <c:pt idx="4">
                  <c:v>0</c:v>
                </c:pt>
              </c:numCache>
            </c:numRef>
          </c:val>
        </c:ser>
        <c:ser>
          <c:idx val="1"/>
          <c:order val="1"/>
          <c:tx>
            <c:strRef>
              <c:f>Sheet1!$D$5</c:f>
              <c:strCache>
                <c:ptCount val="1"/>
                <c:pt idx="0">
                  <c:v>NOx</c:v>
                </c:pt>
              </c:strCache>
            </c:strRef>
          </c:tx>
          <c:cat>
            <c:strRef>
              <c:f>Sheet1!$B$6:$B$10</c:f>
              <c:strCache>
                <c:ptCount val="5"/>
                <c:pt idx="0">
                  <c:v>ENERGIE</c:v>
                </c:pt>
                <c:pt idx="1">
                  <c:v>TRANSPORTURI</c:v>
                </c:pt>
                <c:pt idx="2">
                  <c:v>INDUSTRIE</c:v>
                </c:pt>
                <c:pt idx="3">
                  <c:v>AGRICULTURA</c:v>
                </c:pt>
                <c:pt idx="4">
                  <c:v>DESEURI</c:v>
                </c:pt>
              </c:strCache>
            </c:strRef>
          </c:cat>
          <c:val>
            <c:numRef>
              <c:f>Sheet1!$D$6:$D$10</c:f>
              <c:numCache>
                <c:formatCode>General</c:formatCode>
                <c:ptCount val="5"/>
                <c:pt idx="0">
                  <c:v>64.900000000000006</c:v>
                </c:pt>
                <c:pt idx="1">
                  <c:v>22</c:v>
                </c:pt>
                <c:pt idx="2">
                  <c:v>13.1</c:v>
                </c:pt>
                <c:pt idx="3">
                  <c:v>0</c:v>
                </c:pt>
                <c:pt idx="4">
                  <c:v>0</c:v>
                </c:pt>
              </c:numCache>
            </c:numRef>
          </c:val>
        </c:ser>
        <c:ser>
          <c:idx val="2"/>
          <c:order val="2"/>
          <c:tx>
            <c:strRef>
              <c:f>Sheet1!$E$5</c:f>
              <c:strCache>
                <c:ptCount val="1"/>
                <c:pt idx="0">
                  <c:v>NH3</c:v>
                </c:pt>
              </c:strCache>
            </c:strRef>
          </c:tx>
          <c:cat>
            <c:strRef>
              <c:f>Sheet1!$B$6:$B$10</c:f>
              <c:strCache>
                <c:ptCount val="5"/>
                <c:pt idx="0">
                  <c:v>ENERGIE</c:v>
                </c:pt>
                <c:pt idx="1">
                  <c:v>TRANSPORTURI</c:v>
                </c:pt>
                <c:pt idx="2">
                  <c:v>INDUSTRIE</c:v>
                </c:pt>
                <c:pt idx="3">
                  <c:v>AGRICULTURA</c:v>
                </c:pt>
                <c:pt idx="4">
                  <c:v>DESEURI</c:v>
                </c:pt>
              </c:strCache>
            </c:strRef>
          </c:cat>
          <c:val>
            <c:numRef>
              <c:f>Sheet1!$E$6:$E$10</c:f>
              <c:numCache>
                <c:formatCode>General</c:formatCode>
                <c:ptCount val="5"/>
                <c:pt idx="0">
                  <c:v>0.36000000000000032</c:v>
                </c:pt>
                <c:pt idx="1">
                  <c:v>0</c:v>
                </c:pt>
                <c:pt idx="2">
                  <c:v>0</c:v>
                </c:pt>
                <c:pt idx="3">
                  <c:v>99.64</c:v>
                </c:pt>
                <c:pt idx="4">
                  <c:v>0</c:v>
                </c:pt>
              </c:numCache>
            </c:numRef>
          </c:val>
        </c:ser>
        <c:axId val="159804416"/>
        <c:axId val="159814400"/>
      </c:barChart>
      <c:catAx>
        <c:axId val="159804416"/>
        <c:scaling>
          <c:orientation val="minMax"/>
        </c:scaling>
        <c:axPos val="b"/>
        <c:majorTickMark val="none"/>
        <c:tickLblPos val="nextTo"/>
        <c:crossAx val="159814400"/>
        <c:crosses val="autoZero"/>
        <c:auto val="1"/>
        <c:lblAlgn val="ctr"/>
        <c:lblOffset val="100"/>
      </c:catAx>
      <c:valAx>
        <c:axId val="159814400"/>
        <c:scaling>
          <c:orientation val="minMax"/>
          <c:max val="100"/>
        </c:scaling>
        <c:axPos val="l"/>
        <c:majorGridlines/>
        <c:title>
          <c:tx>
            <c:rich>
              <a:bodyPr rot="0" vert="horz"/>
              <a:lstStyle/>
              <a:p>
                <a:pPr>
                  <a:defRPr/>
                </a:pPr>
                <a:r>
                  <a:rPr lang="en-US"/>
                  <a:t>%</a:t>
                </a:r>
                <a:endParaRPr lang="ro-RO"/>
              </a:p>
            </c:rich>
          </c:tx>
          <c:layout>
            <c:manualLayout>
              <c:xMode val="edge"/>
              <c:yMode val="edge"/>
              <c:x val="0.12222222222222309"/>
              <c:y val="0.11856955380577425"/>
            </c:manualLayout>
          </c:layout>
        </c:title>
        <c:numFmt formatCode="General" sourceLinked="1"/>
        <c:tickLblPos val="nextTo"/>
        <c:crossAx val="159804416"/>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Contribuţia</a:t>
            </a:r>
            <a:r>
              <a:rPr lang="ro-RO" sz="1000" baseline="0">
                <a:latin typeface="Arial" pitchFamily="34" charset="0"/>
                <a:cs typeface="Arial" pitchFamily="34" charset="0"/>
              </a:rPr>
              <a:t> sectoarelor de activitate din industrie la emisiile de poluanţi cu efect de acidifiere</a:t>
            </a:r>
            <a:endParaRPr lang="ro-RO" sz="1000">
              <a:latin typeface="Arial" pitchFamily="34" charset="0"/>
              <a:cs typeface="Arial" pitchFamily="34" charset="0"/>
            </a:endParaRPr>
          </a:p>
        </c:rich>
      </c:tx>
    </c:title>
    <c:plotArea>
      <c:layout/>
      <c:barChart>
        <c:barDir val="col"/>
        <c:grouping val="clustered"/>
        <c:ser>
          <c:idx val="0"/>
          <c:order val="0"/>
          <c:tx>
            <c:strRef>
              <c:f>Sheet1!$C$30</c:f>
              <c:strCache>
                <c:ptCount val="1"/>
                <c:pt idx="0">
                  <c:v>SOx</c:v>
                </c:pt>
              </c:strCache>
            </c:strRef>
          </c:tx>
          <c:cat>
            <c:strRef>
              <c:f>Sheet1!$B$31:$B$35</c:f>
              <c:strCache>
                <c:ptCount val="5"/>
                <c:pt idx="0">
                  <c:v>IND. METALURGICĂ</c:v>
                </c:pt>
                <c:pt idx="1">
                  <c:v>IND. ALIMENTARĂ</c:v>
                </c:pt>
                <c:pt idx="2">
                  <c:v>EXTRACŢIE PETROL ŞI GAZE</c:v>
                </c:pt>
                <c:pt idx="3">
                  <c:v>PRODUCŢIE ASFALT</c:v>
                </c:pt>
                <c:pt idx="4">
                  <c:v>ALTELE</c:v>
                </c:pt>
              </c:strCache>
            </c:strRef>
          </c:cat>
          <c:val>
            <c:numRef>
              <c:f>Sheet1!$C$31:$C$35</c:f>
              <c:numCache>
                <c:formatCode>General</c:formatCode>
                <c:ptCount val="5"/>
                <c:pt idx="0">
                  <c:v>47.8</c:v>
                </c:pt>
                <c:pt idx="1">
                  <c:v>40.6</c:v>
                </c:pt>
                <c:pt idx="2">
                  <c:v>0.30000000000000032</c:v>
                </c:pt>
                <c:pt idx="3">
                  <c:v>3</c:v>
                </c:pt>
                <c:pt idx="4">
                  <c:v>8.3000000000000007</c:v>
                </c:pt>
              </c:numCache>
            </c:numRef>
          </c:val>
        </c:ser>
        <c:ser>
          <c:idx val="1"/>
          <c:order val="1"/>
          <c:tx>
            <c:strRef>
              <c:f>Sheet1!$D$30</c:f>
              <c:strCache>
                <c:ptCount val="1"/>
                <c:pt idx="0">
                  <c:v>NOx</c:v>
                </c:pt>
              </c:strCache>
            </c:strRef>
          </c:tx>
          <c:cat>
            <c:strRef>
              <c:f>Sheet1!$B$31:$B$35</c:f>
              <c:strCache>
                <c:ptCount val="5"/>
                <c:pt idx="0">
                  <c:v>IND. METALURGICĂ</c:v>
                </c:pt>
                <c:pt idx="1">
                  <c:v>IND. ALIMENTARĂ</c:v>
                </c:pt>
                <c:pt idx="2">
                  <c:v>EXTRACŢIE PETROL ŞI GAZE</c:v>
                </c:pt>
                <c:pt idx="3">
                  <c:v>PRODUCŢIE ASFALT</c:v>
                </c:pt>
                <c:pt idx="4">
                  <c:v>ALTELE</c:v>
                </c:pt>
              </c:strCache>
            </c:strRef>
          </c:cat>
          <c:val>
            <c:numRef>
              <c:f>Sheet1!$D$31:$D$35</c:f>
              <c:numCache>
                <c:formatCode>General</c:formatCode>
                <c:ptCount val="5"/>
                <c:pt idx="0">
                  <c:v>3.2</c:v>
                </c:pt>
                <c:pt idx="1">
                  <c:v>12.8</c:v>
                </c:pt>
                <c:pt idx="2">
                  <c:v>1.9000000000000001</c:v>
                </c:pt>
                <c:pt idx="3">
                  <c:v>0.30000000000000032</c:v>
                </c:pt>
                <c:pt idx="4">
                  <c:v>81.8</c:v>
                </c:pt>
              </c:numCache>
            </c:numRef>
          </c:val>
        </c:ser>
        <c:ser>
          <c:idx val="2"/>
          <c:order val="2"/>
          <c:tx>
            <c:strRef>
              <c:f>Sheet1!$E$30</c:f>
              <c:strCache>
                <c:ptCount val="1"/>
                <c:pt idx="0">
                  <c:v>NH3</c:v>
                </c:pt>
              </c:strCache>
            </c:strRef>
          </c:tx>
          <c:cat>
            <c:strRef>
              <c:f>Sheet1!$B$31:$B$35</c:f>
              <c:strCache>
                <c:ptCount val="5"/>
                <c:pt idx="0">
                  <c:v>IND. METALURGICĂ</c:v>
                </c:pt>
                <c:pt idx="1">
                  <c:v>IND. ALIMENTARĂ</c:v>
                </c:pt>
                <c:pt idx="2">
                  <c:v>EXTRACŢIE PETROL ŞI GAZE</c:v>
                </c:pt>
                <c:pt idx="3">
                  <c:v>PRODUCŢIE ASFALT</c:v>
                </c:pt>
                <c:pt idx="4">
                  <c:v>ALTELE</c:v>
                </c:pt>
              </c:strCache>
            </c:strRef>
          </c:cat>
          <c:val>
            <c:numRef>
              <c:f>Sheet1!$E$31:$E$35</c:f>
              <c:numCache>
                <c:formatCode>General</c:formatCode>
                <c:ptCount val="5"/>
                <c:pt idx="0">
                  <c:v>0</c:v>
                </c:pt>
                <c:pt idx="1">
                  <c:v>0</c:v>
                </c:pt>
                <c:pt idx="2">
                  <c:v>0</c:v>
                </c:pt>
                <c:pt idx="3">
                  <c:v>0</c:v>
                </c:pt>
                <c:pt idx="4">
                  <c:v>0</c:v>
                </c:pt>
              </c:numCache>
            </c:numRef>
          </c:val>
        </c:ser>
        <c:axId val="159832320"/>
        <c:axId val="159846400"/>
      </c:barChart>
      <c:catAx>
        <c:axId val="159832320"/>
        <c:scaling>
          <c:orientation val="minMax"/>
        </c:scaling>
        <c:axPos val="b"/>
        <c:majorTickMark val="none"/>
        <c:tickLblPos val="nextTo"/>
        <c:crossAx val="159846400"/>
        <c:crosses val="autoZero"/>
        <c:auto val="1"/>
        <c:lblAlgn val="ctr"/>
        <c:lblOffset val="100"/>
      </c:catAx>
      <c:valAx>
        <c:axId val="159846400"/>
        <c:scaling>
          <c:orientation val="minMax"/>
          <c:max val="100"/>
        </c:scaling>
        <c:axPos val="l"/>
        <c:majorGridlines/>
        <c:title>
          <c:tx>
            <c:rich>
              <a:bodyPr rot="0" vert="horz"/>
              <a:lstStyle/>
              <a:p>
                <a:pPr>
                  <a:defRPr/>
                </a:pPr>
                <a:r>
                  <a:rPr lang="ro-RO"/>
                  <a:t>%</a:t>
                </a:r>
              </a:p>
            </c:rich>
          </c:tx>
          <c:layout>
            <c:manualLayout>
              <c:xMode val="edge"/>
              <c:yMode val="edge"/>
              <c:x val="0.13055555555555537"/>
              <c:y val="0.12412510936133062"/>
            </c:manualLayout>
          </c:layout>
        </c:title>
        <c:numFmt formatCode="General" sourceLinked="1"/>
        <c:tickLblPos val="nextTo"/>
        <c:crossAx val="159832320"/>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1000">
                <a:latin typeface="Arial" pitchFamily="34" charset="0"/>
                <a:cs typeface="Arial" pitchFamily="34" charset="0"/>
              </a:rPr>
              <a:t>Evolu</a:t>
            </a:r>
            <a:r>
              <a:rPr lang="ro-RO" sz="1000">
                <a:latin typeface="Arial" pitchFamily="34" charset="0"/>
                <a:cs typeface="Arial" pitchFamily="34" charset="0"/>
              </a:rPr>
              <a:t>ţ</a:t>
            </a:r>
            <a:r>
              <a:rPr lang="en-US" sz="1000">
                <a:latin typeface="Arial" pitchFamily="34" charset="0"/>
                <a:cs typeface="Arial" pitchFamily="34" charset="0"/>
              </a:rPr>
              <a:t>ia</a:t>
            </a:r>
            <a:r>
              <a:rPr lang="en-US" sz="1000" baseline="0">
                <a:latin typeface="Arial" pitchFamily="34" charset="0"/>
                <a:cs typeface="Arial" pitchFamily="34" charset="0"/>
              </a:rPr>
              <a:t> emisiilor de poluan</a:t>
            </a:r>
            <a:r>
              <a:rPr lang="ro-RO" sz="1000" baseline="0">
                <a:latin typeface="Arial" pitchFamily="34" charset="0"/>
                <a:cs typeface="Arial" pitchFamily="34" charset="0"/>
              </a:rPr>
              <a:t>ţi cu efect de acidifiere</a:t>
            </a:r>
            <a:endParaRPr lang="ro-RO" sz="1000">
              <a:latin typeface="Arial" pitchFamily="34" charset="0"/>
              <a:cs typeface="Arial" pitchFamily="34" charset="0"/>
            </a:endParaRPr>
          </a:p>
        </c:rich>
      </c:tx>
    </c:title>
    <c:plotArea>
      <c:layout>
        <c:manualLayout>
          <c:layoutTarget val="inner"/>
          <c:xMode val="edge"/>
          <c:yMode val="edge"/>
          <c:x val="0.15293285214348298"/>
          <c:y val="0.21795166229221349"/>
          <c:w val="0.58088801399825019"/>
          <c:h val="0.60956364829396326"/>
        </c:manualLayout>
      </c:layout>
      <c:barChart>
        <c:barDir val="col"/>
        <c:grouping val="clustered"/>
        <c:ser>
          <c:idx val="0"/>
          <c:order val="0"/>
          <c:tx>
            <c:strRef>
              <c:f>Sheet1!$I$56</c:f>
              <c:strCache>
                <c:ptCount val="1"/>
                <c:pt idx="0">
                  <c:v>NOx</c:v>
                </c:pt>
              </c:strCache>
            </c:strRef>
          </c:tx>
          <c:cat>
            <c:strRef>
              <c:f>Sheet1!$J$55:$L$55</c:f>
              <c:strCache>
                <c:ptCount val="3"/>
                <c:pt idx="0">
                  <c:v>2012'</c:v>
                </c:pt>
                <c:pt idx="1">
                  <c:v>2013'</c:v>
                </c:pt>
                <c:pt idx="2">
                  <c:v>2014'</c:v>
                </c:pt>
              </c:strCache>
            </c:strRef>
          </c:cat>
          <c:val>
            <c:numRef>
              <c:f>Sheet1!$J$56:$L$56</c:f>
              <c:numCache>
                <c:formatCode>General</c:formatCode>
                <c:ptCount val="3"/>
                <c:pt idx="0">
                  <c:v>0.47550364048841526</c:v>
                </c:pt>
                <c:pt idx="1">
                  <c:v>0.15208670267083599</c:v>
                </c:pt>
                <c:pt idx="2">
                  <c:v>0.16585802774395367</c:v>
                </c:pt>
              </c:numCache>
            </c:numRef>
          </c:val>
        </c:ser>
        <c:ser>
          <c:idx val="1"/>
          <c:order val="1"/>
          <c:tx>
            <c:strRef>
              <c:f>Sheet1!$I$57</c:f>
              <c:strCache>
                <c:ptCount val="1"/>
                <c:pt idx="0">
                  <c:v>SOx</c:v>
                </c:pt>
              </c:strCache>
            </c:strRef>
          </c:tx>
          <c:cat>
            <c:strRef>
              <c:f>Sheet1!$J$55:$L$55</c:f>
              <c:strCache>
                <c:ptCount val="3"/>
                <c:pt idx="0">
                  <c:v>2012'</c:v>
                </c:pt>
                <c:pt idx="1">
                  <c:v>2013'</c:v>
                </c:pt>
                <c:pt idx="2">
                  <c:v>2014'</c:v>
                </c:pt>
              </c:strCache>
            </c:strRef>
          </c:cat>
          <c:val>
            <c:numRef>
              <c:f>Sheet1!$J$57:$L$57</c:f>
              <c:numCache>
                <c:formatCode>General</c:formatCode>
                <c:ptCount val="3"/>
                <c:pt idx="0">
                  <c:v>2.6378367876835399E-2</c:v>
                </c:pt>
                <c:pt idx="1">
                  <c:v>2.968870026298627E-2</c:v>
                </c:pt>
                <c:pt idx="2">
                  <c:v>5.1547850426988756E-2</c:v>
                </c:pt>
              </c:numCache>
            </c:numRef>
          </c:val>
        </c:ser>
        <c:ser>
          <c:idx val="2"/>
          <c:order val="2"/>
          <c:tx>
            <c:strRef>
              <c:f>Sheet1!$I$58</c:f>
              <c:strCache>
                <c:ptCount val="1"/>
                <c:pt idx="0">
                  <c:v>NH3</c:v>
                </c:pt>
              </c:strCache>
            </c:strRef>
          </c:tx>
          <c:cat>
            <c:strRef>
              <c:f>Sheet1!$J$55:$L$55</c:f>
              <c:strCache>
                <c:ptCount val="3"/>
                <c:pt idx="0">
                  <c:v>2012'</c:v>
                </c:pt>
                <c:pt idx="1">
                  <c:v>2013'</c:v>
                </c:pt>
                <c:pt idx="2">
                  <c:v>2014'</c:v>
                </c:pt>
              </c:strCache>
            </c:strRef>
          </c:cat>
          <c:val>
            <c:numRef>
              <c:f>Sheet1!$J$58:$L$58</c:f>
              <c:numCache>
                <c:formatCode>General</c:formatCode>
                <c:ptCount val="3"/>
                <c:pt idx="0">
                  <c:v>6.9074500000000262E-5</c:v>
                </c:pt>
                <c:pt idx="1">
                  <c:v>4.10058E-5</c:v>
                </c:pt>
                <c:pt idx="2">
                  <c:v>1.9000000000000121E-6</c:v>
                </c:pt>
              </c:numCache>
            </c:numRef>
          </c:val>
        </c:ser>
        <c:ser>
          <c:idx val="3"/>
          <c:order val="3"/>
          <c:tx>
            <c:strRef>
              <c:f>Sheet1!$I$59</c:f>
              <c:strCache>
                <c:ptCount val="1"/>
                <c:pt idx="0">
                  <c:v>echivalent acidifiere</c:v>
                </c:pt>
              </c:strCache>
            </c:strRef>
          </c:tx>
          <c:cat>
            <c:strRef>
              <c:f>Sheet1!$J$55:$L$55</c:f>
              <c:strCache>
                <c:ptCount val="3"/>
                <c:pt idx="0">
                  <c:v>2012'</c:v>
                </c:pt>
                <c:pt idx="1">
                  <c:v>2013'</c:v>
                </c:pt>
                <c:pt idx="2">
                  <c:v>2014'</c:v>
                </c:pt>
              </c:strCache>
            </c:strRef>
          </c:cat>
          <c:val>
            <c:numRef>
              <c:f>Sheet1!$J$59:$L$59</c:f>
              <c:numCache>
                <c:formatCode>General</c:formatCode>
                <c:ptCount val="3"/>
                <c:pt idx="0">
                  <c:v>1.1134000000000003E-2</c:v>
                </c:pt>
                <c:pt idx="1">
                  <c:v>4.2300000000000124E-3</c:v>
                </c:pt>
                <c:pt idx="2">
                  <c:v>5.1999999999999998E-3</c:v>
                </c:pt>
              </c:numCache>
            </c:numRef>
          </c:val>
        </c:ser>
        <c:axId val="159869184"/>
        <c:axId val="159883264"/>
      </c:barChart>
      <c:catAx>
        <c:axId val="159869184"/>
        <c:scaling>
          <c:orientation val="minMax"/>
        </c:scaling>
        <c:axPos val="b"/>
        <c:numFmt formatCode="General" sourceLinked="1"/>
        <c:majorTickMark val="none"/>
        <c:tickLblPos val="nextTo"/>
        <c:crossAx val="159883264"/>
        <c:crosses val="autoZero"/>
        <c:auto val="1"/>
        <c:lblAlgn val="ctr"/>
        <c:lblOffset val="100"/>
      </c:catAx>
      <c:valAx>
        <c:axId val="159883264"/>
        <c:scaling>
          <c:orientation val="minMax"/>
        </c:scaling>
        <c:axPos val="l"/>
        <c:majorGridlines/>
        <c:title>
          <c:tx>
            <c:rich>
              <a:bodyPr rot="0" vert="horz"/>
              <a:lstStyle/>
              <a:p>
                <a:pPr>
                  <a:defRPr/>
                </a:pPr>
                <a:r>
                  <a:rPr lang="en-US"/>
                  <a:t>mii</a:t>
                </a:r>
                <a:r>
                  <a:rPr lang="en-US" baseline="0"/>
                  <a:t> tone</a:t>
                </a:r>
                <a:endParaRPr lang="ro-RO"/>
              </a:p>
            </c:rich>
          </c:tx>
          <c:layout>
            <c:manualLayout>
              <c:xMode val="edge"/>
              <c:yMode val="edge"/>
              <c:x val="0.11388888888888885"/>
              <c:y val="0.13105497229512977"/>
            </c:manualLayout>
          </c:layout>
        </c:title>
        <c:numFmt formatCode="General" sourceLinked="1"/>
        <c:tickLblPos val="nextTo"/>
        <c:crossAx val="159869184"/>
        <c:crosses val="autoZero"/>
        <c:crossBetween val="between"/>
      </c:valAx>
    </c:plotArea>
    <c:legend>
      <c:legendPos val="r"/>
      <c:layout>
        <c:manualLayout>
          <c:xMode val="edge"/>
          <c:yMode val="edge"/>
          <c:x val="0.72548753280839895"/>
          <c:y val="0.33019284047827357"/>
          <c:w val="0.27451246719160338"/>
          <c:h val="0.33486876640420277"/>
        </c:manualLayout>
      </c:layou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a:t>
            </a:r>
            <a:r>
              <a:rPr lang="en-US" sz="1000">
                <a:latin typeface="Arial" pitchFamily="34" charset="0"/>
                <a:cs typeface="Arial" pitchFamily="34" charset="0"/>
              </a:rPr>
              <a:t>ontribu</a:t>
            </a:r>
            <a:r>
              <a:rPr lang="ro-RO" sz="1000">
                <a:latin typeface="Arial" pitchFamily="34" charset="0"/>
                <a:cs typeface="Arial" pitchFamily="34" charset="0"/>
              </a:rPr>
              <a:t>ţia</a:t>
            </a:r>
            <a:r>
              <a:rPr lang="ro-RO" sz="1000" baseline="0">
                <a:latin typeface="Arial" pitchFamily="34" charset="0"/>
                <a:cs typeface="Arial" pitchFamily="34" charset="0"/>
              </a:rPr>
              <a:t> sectoarelor de activitate la emisiile de precursori ai ozonului</a:t>
            </a:r>
            <a:endParaRPr lang="ro-RO" sz="1000">
              <a:latin typeface="Arial" pitchFamily="34" charset="0"/>
              <a:cs typeface="Arial" pitchFamily="34" charset="0"/>
            </a:endParaRPr>
          </a:p>
        </c:rich>
      </c:tx>
    </c:title>
    <c:plotArea>
      <c:layout/>
      <c:barChart>
        <c:barDir val="col"/>
        <c:grouping val="clustered"/>
        <c:ser>
          <c:idx val="0"/>
          <c:order val="0"/>
          <c:tx>
            <c:strRef>
              <c:f>Sheet1!$C$81</c:f>
              <c:strCache>
                <c:ptCount val="1"/>
                <c:pt idx="0">
                  <c:v>NOx</c:v>
                </c:pt>
              </c:strCache>
            </c:strRef>
          </c:tx>
          <c:cat>
            <c:strRef>
              <c:f>Sheet1!$B$82:$B$87</c:f>
              <c:strCache>
                <c:ptCount val="6"/>
                <c:pt idx="0">
                  <c:v>UTILIZAREA PRODUSELOR</c:v>
                </c:pt>
                <c:pt idx="1">
                  <c:v>ENERGIE</c:v>
                </c:pt>
                <c:pt idx="2">
                  <c:v>TRANSPORTURI</c:v>
                </c:pt>
                <c:pt idx="3">
                  <c:v>INDUSTRIE</c:v>
                </c:pt>
                <c:pt idx="4">
                  <c:v>AGRICULTURA</c:v>
                </c:pt>
                <c:pt idx="5">
                  <c:v>DESEURI</c:v>
                </c:pt>
              </c:strCache>
            </c:strRef>
          </c:cat>
          <c:val>
            <c:numRef>
              <c:f>Sheet1!$C$82:$C$87</c:f>
              <c:numCache>
                <c:formatCode>General</c:formatCode>
                <c:ptCount val="6"/>
                <c:pt idx="0">
                  <c:v>0</c:v>
                </c:pt>
                <c:pt idx="1">
                  <c:v>64.8</c:v>
                </c:pt>
                <c:pt idx="2">
                  <c:v>22</c:v>
                </c:pt>
                <c:pt idx="3">
                  <c:v>13.2</c:v>
                </c:pt>
                <c:pt idx="4">
                  <c:v>0</c:v>
                </c:pt>
                <c:pt idx="5">
                  <c:v>0</c:v>
                </c:pt>
              </c:numCache>
            </c:numRef>
          </c:val>
        </c:ser>
        <c:ser>
          <c:idx val="1"/>
          <c:order val="1"/>
          <c:tx>
            <c:strRef>
              <c:f>Sheet1!$D$81</c:f>
              <c:strCache>
                <c:ptCount val="1"/>
                <c:pt idx="0">
                  <c:v>CO</c:v>
                </c:pt>
              </c:strCache>
            </c:strRef>
          </c:tx>
          <c:cat>
            <c:strRef>
              <c:f>Sheet1!$B$82:$B$87</c:f>
              <c:strCache>
                <c:ptCount val="6"/>
                <c:pt idx="0">
                  <c:v>UTILIZAREA PRODUSELOR</c:v>
                </c:pt>
                <c:pt idx="1">
                  <c:v>ENERGIE</c:v>
                </c:pt>
                <c:pt idx="2">
                  <c:v>TRANSPORTURI</c:v>
                </c:pt>
                <c:pt idx="3">
                  <c:v>INDUSTRIE</c:v>
                </c:pt>
                <c:pt idx="4">
                  <c:v>AGRICULTURA</c:v>
                </c:pt>
                <c:pt idx="5">
                  <c:v>DESEURI</c:v>
                </c:pt>
              </c:strCache>
            </c:strRef>
          </c:cat>
          <c:val>
            <c:numRef>
              <c:f>Sheet1!$D$82:$D$87</c:f>
              <c:numCache>
                <c:formatCode>General</c:formatCode>
                <c:ptCount val="6"/>
                <c:pt idx="0">
                  <c:v>0</c:v>
                </c:pt>
                <c:pt idx="1">
                  <c:v>98.4</c:v>
                </c:pt>
                <c:pt idx="2">
                  <c:v>0.2</c:v>
                </c:pt>
                <c:pt idx="3">
                  <c:v>1.4</c:v>
                </c:pt>
                <c:pt idx="4">
                  <c:v>0</c:v>
                </c:pt>
                <c:pt idx="5">
                  <c:v>0</c:v>
                </c:pt>
              </c:numCache>
            </c:numRef>
          </c:val>
        </c:ser>
        <c:ser>
          <c:idx val="2"/>
          <c:order val="2"/>
          <c:tx>
            <c:strRef>
              <c:f>Sheet1!$E$81</c:f>
              <c:strCache>
                <c:ptCount val="1"/>
                <c:pt idx="0">
                  <c:v>NMVOC</c:v>
                </c:pt>
              </c:strCache>
            </c:strRef>
          </c:tx>
          <c:cat>
            <c:strRef>
              <c:f>Sheet1!$B$82:$B$87</c:f>
              <c:strCache>
                <c:ptCount val="6"/>
                <c:pt idx="0">
                  <c:v>UTILIZAREA PRODUSELOR</c:v>
                </c:pt>
                <c:pt idx="1">
                  <c:v>ENERGIE</c:v>
                </c:pt>
                <c:pt idx="2">
                  <c:v>TRANSPORTURI</c:v>
                </c:pt>
                <c:pt idx="3">
                  <c:v>INDUSTRIE</c:v>
                </c:pt>
                <c:pt idx="4">
                  <c:v>AGRICULTURA</c:v>
                </c:pt>
                <c:pt idx="5">
                  <c:v>DESEURI</c:v>
                </c:pt>
              </c:strCache>
            </c:strRef>
          </c:cat>
          <c:val>
            <c:numRef>
              <c:f>Sheet1!$E$82:$E$87</c:f>
              <c:numCache>
                <c:formatCode>General</c:formatCode>
                <c:ptCount val="6"/>
                <c:pt idx="0">
                  <c:v>4.3</c:v>
                </c:pt>
                <c:pt idx="1">
                  <c:v>56.6</c:v>
                </c:pt>
                <c:pt idx="2">
                  <c:v>0.2</c:v>
                </c:pt>
                <c:pt idx="3">
                  <c:v>36.200000000000003</c:v>
                </c:pt>
                <c:pt idx="4">
                  <c:v>2.64</c:v>
                </c:pt>
                <c:pt idx="5">
                  <c:v>6.0000000000000032E-2</c:v>
                </c:pt>
              </c:numCache>
            </c:numRef>
          </c:val>
        </c:ser>
        <c:axId val="159917568"/>
        <c:axId val="159919104"/>
      </c:barChart>
      <c:catAx>
        <c:axId val="159917568"/>
        <c:scaling>
          <c:orientation val="minMax"/>
        </c:scaling>
        <c:axPos val="b"/>
        <c:majorTickMark val="none"/>
        <c:tickLblPos val="nextTo"/>
        <c:crossAx val="159919104"/>
        <c:crosses val="autoZero"/>
        <c:auto val="1"/>
        <c:lblAlgn val="ctr"/>
        <c:lblOffset val="100"/>
      </c:catAx>
      <c:valAx>
        <c:axId val="159919104"/>
        <c:scaling>
          <c:orientation val="minMax"/>
          <c:max val="100"/>
        </c:scaling>
        <c:axPos val="l"/>
        <c:majorGridlines/>
        <c:title>
          <c:tx>
            <c:rich>
              <a:bodyPr rot="0" vert="horz"/>
              <a:lstStyle/>
              <a:p>
                <a:pPr>
                  <a:defRPr/>
                </a:pPr>
                <a:r>
                  <a:rPr lang="en-US"/>
                  <a:t>%</a:t>
                </a:r>
                <a:endParaRPr lang="ro-RO"/>
              </a:p>
            </c:rich>
          </c:tx>
          <c:layout>
            <c:manualLayout>
              <c:xMode val="edge"/>
              <c:yMode val="edge"/>
              <c:x val="0.11388888888888885"/>
              <c:y val="0.12782881306503352"/>
            </c:manualLayout>
          </c:layout>
        </c:title>
        <c:numFmt formatCode="General" sourceLinked="1"/>
        <c:tickLblPos val="nextTo"/>
        <c:crossAx val="159917568"/>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Contribuţii</a:t>
            </a:r>
            <a:r>
              <a:rPr lang="ro-RO" sz="1000" baseline="0">
                <a:latin typeface="Arial" pitchFamily="34" charset="0"/>
                <a:cs typeface="Arial" pitchFamily="34" charset="0"/>
              </a:rPr>
              <a:t> ale sectoarelor de activitate din industrie la emisiile de precursori ai ozonului</a:t>
            </a:r>
            <a:endParaRPr lang="ro-RO" sz="1000">
              <a:latin typeface="Arial" pitchFamily="34" charset="0"/>
              <a:cs typeface="Arial" pitchFamily="34" charset="0"/>
            </a:endParaRPr>
          </a:p>
        </c:rich>
      </c:tx>
    </c:title>
    <c:plotArea>
      <c:layout/>
      <c:barChart>
        <c:barDir val="col"/>
        <c:grouping val="clustered"/>
        <c:ser>
          <c:idx val="0"/>
          <c:order val="0"/>
          <c:tx>
            <c:strRef>
              <c:f>Sheet1!$C$109</c:f>
              <c:strCache>
                <c:ptCount val="1"/>
                <c:pt idx="0">
                  <c:v>CO</c:v>
                </c:pt>
              </c:strCache>
            </c:strRef>
          </c:tx>
          <c:cat>
            <c:strRef>
              <c:f>Sheet1!$B$110:$B$114</c:f>
              <c:strCache>
                <c:ptCount val="5"/>
                <c:pt idx="0">
                  <c:v>IND. METALURGICĂ</c:v>
                </c:pt>
                <c:pt idx="1">
                  <c:v>IND. ALIMENTARĂ</c:v>
                </c:pt>
                <c:pt idx="2">
                  <c:v>EXTRACŢIE PETROL ŞI GAZE</c:v>
                </c:pt>
                <c:pt idx="3">
                  <c:v>PRODUCŢIE ASFALT</c:v>
                </c:pt>
                <c:pt idx="4">
                  <c:v>ALTELE</c:v>
                </c:pt>
              </c:strCache>
            </c:strRef>
          </c:cat>
          <c:val>
            <c:numRef>
              <c:f>Sheet1!$C$110:$C$114</c:f>
              <c:numCache>
                <c:formatCode>General</c:formatCode>
                <c:ptCount val="5"/>
                <c:pt idx="0">
                  <c:v>4.8499999999999996</c:v>
                </c:pt>
                <c:pt idx="1">
                  <c:v>86.9</c:v>
                </c:pt>
                <c:pt idx="2">
                  <c:v>1.1000000000000001</c:v>
                </c:pt>
                <c:pt idx="3">
                  <c:v>2.4</c:v>
                </c:pt>
                <c:pt idx="4">
                  <c:v>4.75</c:v>
                </c:pt>
              </c:numCache>
            </c:numRef>
          </c:val>
        </c:ser>
        <c:ser>
          <c:idx val="1"/>
          <c:order val="1"/>
          <c:tx>
            <c:strRef>
              <c:f>Sheet1!$D$109</c:f>
              <c:strCache>
                <c:ptCount val="1"/>
                <c:pt idx="0">
                  <c:v>NMVOC</c:v>
                </c:pt>
              </c:strCache>
            </c:strRef>
          </c:tx>
          <c:cat>
            <c:strRef>
              <c:f>Sheet1!$B$110:$B$114</c:f>
              <c:strCache>
                <c:ptCount val="5"/>
                <c:pt idx="0">
                  <c:v>IND. METALURGICĂ</c:v>
                </c:pt>
                <c:pt idx="1">
                  <c:v>IND. ALIMENTARĂ</c:v>
                </c:pt>
                <c:pt idx="2">
                  <c:v>EXTRACŢIE PETROL ŞI GAZE</c:v>
                </c:pt>
                <c:pt idx="3">
                  <c:v>PRODUCŢIE ASFALT</c:v>
                </c:pt>
                <c:pt idx="4">
                  <c:v>ALTELE</c:v>
                </c:pt>
              </c:strCache>
            </c:strRef>
          </c:cat>
          <c:val>
            <c:numRef>
              <c:f>Sheet1!$D$110:$D$114</c:f>
              <c:numCache>
                <c:formatCode>General</c:formatCode>
                <c:ptCount val="5"/>
                <c:pt idx="0">
                  <c:v>0.11</c:v>
                </c:pt>
                <c:pt idx="1">
                  <c:v>82.3</c:v>
                </c:pt>
                <c:pt idx="2">
                  <c:v>6.7</c:v>
                </c:pt>
                <c:pt idx="3">
                  <c:v>3.0000000000000002E-2</c:v>
                </c:pt>
                <c:pt idx="4">
                  <c:v>10.860000000000024</c:v>
                </c:pt>
              </c:numCache>
            </c:numRef>
          </c:val>
        </c:ser>
        <c:ser>
          <c:idx val="2"/>
          <c:order val="2"/>
          <c:tx>
            <c:strRef>
              <c:f>Sheet1!$E$109</c:f>
              <c:strCache>
                <c:ptCount val="1"/>
                <c:pt idx="0">
                  <c:v>NOx</c:v>
                </c:pt>
              </c:strCache>
            </c:strRef>
          </c:tx>
          <c:cat>
            <c:strRef>
              <c:f>Sheet1!$B$110:$B$114</c:f>
              <c:strCache>
                <c:ptCount val="5"/>
                <c:pt idx="0">
                  <c:v>IND. METALURGICĂ</c:v>
                </c:pt>
                <c:pt idx="1">
                  <c:v>IND. ALIMENTARĂ</c:v>
                </c:pt>
                <c:pt idx="2">
                  <c:v>EXTRACŢIE PETROL ŞI GAZE</c:v>
                </c:pt>
                <c:pt idx="3">
                  <c:v>PRODUCŢIE ASFALT</c:v>
                </c:pt>
                <c:pt idx="4">
                  <c:v>ALTELE</c:v>
                </c:pt>
              </c:strCache>
            </c:strRef>
          </c:cat>
          <c:val>
            <c:numRef>
              <c:f>Sheet1!$E$110:$E$114</c:f>
              <c:numCache>
                <c:formatCode>General</c:formatCode>
                <c:ptCount val="5"/>
                <c:pt idx="0">
                  <c:v>12.2</c:v>
                </c:pt>
                <c:pt idx="1">
                  <c:v>47.9</c:v>
                </c:pt>
                <c:pt idx="2">
                  <c:v>7.25</c:v>
                </c:pt>
                <c:pt idx="3">
                  <c:v>1.1000000000000001</c:v>
                </c:pt>
                <c:pt idx="4">
                  <c:v>31.55</c:v>
                </c:pt>
              </c:numCache>
            </c:numRef>
          </c:val>
        </c:ser>
        <c:axId val="159970048"/>
        <c:axId val="159971584"/>
      </c:barChart>
      <c:catAx>
        <c:axId val="159970048"/>
        <c:scaling>
          <c:orientation val="minMax"/>
        </c:scaling>
        <c:axPos val="b"/>
        <c:majorTickMark val="none"/>
        <c:tickLblPos val="nextTo"/>
        <c:crossAx val="159971584"/>
        <c:crosses val="autoZero"/>
        <c:auto val="1"/>
        <c:lblAlgn val="ctr"/>
        <c:lblOffset val="100"/>
      </c:catAx>
      <c:valAx>
        <c:axId val="159971584"/>
        <c:scaling>
          <c:orientation val="minMax"/>
        </c:scaling>
        <c:axPos val="l"/>
        <c:majorGridlines/>
        <c:title>
          <c:tx>
            <c:rich>
              <a:bodyPr rot="0" vert="horz"/>
              <a:lstStyle/>
              <a:p>
                <a:pPr>
                  <a:defRPr/>
                </a:pPr>
                <a:r>
                  <a:rPr lang="ro-RO"/>
                  <a:t>%</a:t>
                </a:r>
              </a:p>
            </c:rich>
          </c:tx>
          <c:layout>
            <c:manualLayout>
              <c:xMode val="edge"/>
              <c:yMode val="edge"/>
              <c:x val="0.11388888888888885"/>
              <c:y val="0.12875473899095938"/>
            </c:manualLayout>
          </c:layout>
        </c:title>
        <c:numFmt formatCode="General" sourceLinked="1"/>
        <c:tickLblPos val="nextTo"/>
        <c:crossAx val="159970048"/>
        <c:crosses val="autoZero"/>
        <c:crossBetween val="between"/>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Contribuţiile</a:t>
            </a:r>
            <a:r>
              <a:rPr lang="ro-RO" sz="1000" baseline="0">
                <a:latin typeface="Arial" pitchFamily="34" charset="0"/>
                <a:cs typeface="Arial" pitchFamily="34" charset="0"/>
              </a:rPr>
              <a:t> sectoarelor de activitate la emisiile de particule în suspensie</a:t>
            </a:r>
            <a:endParaRPr lang="ro-RO" sz="1000">
              <a:latin typeface="Arial" pitchFamily="34" charset="0"/>
              <a:cs typeface="Arial" pitchFamily="34" charset="0"/>
            </a:endParaRPr>
          </a:p>
        </c:rich>
      </c:tx>
    </c:title>
    <c:plotArea>
      <c:layout/>
      <c:barChart>
        <c:barDir val="col"/>
        <c:grouping val="clustered"/>
        <c:ser>
          <c:idx val="0"/>
          <c:order val="0"/>
          <c:tx>
            <c:strRef>
              <c:f>Sheet1!$C$138</c:f>
              <c:strCache>
                <c:ptCount val="1"/>
                <c:pt idx="0">
                  <c:v>PM2,5</c:v>
                </c:pt>
              </c:strCache>
            </c:strRef>
          </c:tx>
          <c:cat>
            <c:strRef>
              <c:f>Sheet1!$B$139:$B$143</c:f>
              <c:strCache>
                <c:ptCount val="5"/>
                <c:pt idx="0">
                  <c:v>ENERGIE</c:v>
                </c:pt>
                <c:pt idx="1">
                  <c:v>TRANSPORTURI</c:v>
                </c:pt>
                <c:pt idx="2">
                  <c:v>INDUSTRIE</c:v>
                </c:pt>
                <c:pt idx="3">
                  <c:v>AGRICULTURA</c:v>
                </c:pt>
                <c:pt idx="4">
                  <c:v>DESEURI</c:v>
                </c:pt>
              </c:strCache>
            </c:strRef>
          </c:cat>
          <c:val>
            <c:numRef>
              <c:f>Sheet1!$C$139:$C$143</c:f>
              <c:numCache>
                <c:formatCode>General</c:formatCode>
                <c:ptCount val="5"/>
                <c:pt idx="0">
                  <c:v>97.1</c:v>
                </c:pt>
                <c:pt idx="1">
                  <c:v>0.2</c:v>
                </c:pt>
                <c:pt idx="2">
                  <c:v>2</c:v>
                </c:pt>
                <c:pt idx="3">
                  <c:v>0.5</c:v>
                </c:pt>
                <c:pt idx="4">
                  <c:v>0.2</c:v>
                </c:pt>
              </c:numCache>
            </c:numRef>
          </c:val>
        </c:ser>
        <c:ser>
          <c:idx val="1"/>
          <c:order val="1"/>
          <c:tx>
            <c:strRef>
              <c:f>Sheet1!$D$138</c:f>
              <c:strCache>
                <c:ptCount val="1"/>
                <c:pt idx="0">
                  <c:v>PM10</c:v>
                </c:pt>
              </c:strCache>
            </c:strRef>
          </c:tx>
          <c:cat>
            <c:strRef>
              <c:f>Sheet1!$B$139:$B$143</c:f>
              <c:strCache>
                <c:ptCount val="5"/>
                <c:pt idx="0">
                  <c:v>ENERGIE</c:v>
                </c:pt>
                <c:pt idx="1">
                  <c:v>TRANSPORTURI</c:v>
                </c:pt>
                <c:pt idx="2">
                  <c:v>INDUSTRIE</c:v>
                </c:pt>
                <c:pt idx="3">
                  <c:v>AGRICULTURA</c:v>
                </c:pt>
                <c:pt idx="4">
                  <c:v>DESEURI</c:v>
                </c:pt>
              </c:strCache>
            </c:strRef>
          </c:cat>
          <c:val>
            <c:numRef>
              <c:f>Sheet1!$D$139:$D$143</c:f>
              <c:numCache>
                <c:formatCode>General</c:formatCode>
                <c:ptCount val="5"/>
                <c:pt idx="0">
                  <c:v>87</c:v>
                </c:pt>
                <c:pt idx="1">
                  <c:v>0.2</c:v>
                </c:pt>
                <c:pt idx="2">
                  <c:v>7.5</c:v>
                </c:pt>
                <c:pt idx="3">
                  <c:v>5.2</c:v>
                </c:pt>
                <c:pt idx="4">
                  <c:v>0.1</c:v>
                </c:pt>
              </c:numCache>
            </c:numRef>
          </c:val>
        </c:ser>
        <c:axId val="159992832"/>
        <c:axId val="160002816"/>
      </c:barChart>
      <c:catAx>
        <c:axId val="159992832"/>
        <c:scaling>
          <c:orientation val="minMax"/>
        </c:scaling>
        <c:axPos val="b"/>
        <c:majorTickMark val="none"/>
        <c:tickLblPos val="nextTo"/>
        <c:crossAx val="160002816"/>
        <c:crosses val="autoZero"/>
        <c:auto val="1"/>
        <c:lblAlgn val="ctr"/>
        <c:lblOffset val="100"/>
      </c:catAx>
      <c:valAx>
        <c:axId val="160002816"/>
        <c:scaling>
          <c:orientation val="minMax"/>
          <c:max val="100"/>
        </c:scaling>
        <c:axPos val="l"/>
        <c:majorGridlines/>
        <c:title>
          <c:tx>
            <c:rich>
              <a:bodyPr rot="0" vert="horz"/>
              <a:lstStyle/>
              <a:p>
                <a:pPr>
                  <a:defRPr/>
                </a:pPr>
                <a:r>
                  <a:rPr lang="ro-RO"/>
                  <a:t>%</a:t>
                </a:r>
              </a:p>
            </c:rich>
          </c:tx>
          <c:layout>
            <c:manualLayout>
              <c:xMode val="edge"/>
              <c:yMode val="edge"/>
              <c:x val="0.11388888888888885"/>
              <c:y val="0.11393992417614461"/>
            </c:manualLayout>
          </c:layout>
        </c:title>
        <c:numFmt formatCode="General" sourceLinked="1"/>
        <c:tickLblPos val="nextTo"/>
        <c:crossAx val="159992832"/>
        <c:crosses val="autoZero"/>
        <c:crossBetween val="between"/>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Contribuţia</a:t>
            </a:r>
            <a:r>
              <a:rPr lang="ro-RO" sz="1000" baseline="0">
                <a:latin typeface="Arial" pitchFamily="34" charset="0"/>
                <a:cs typeface="Arial" pitchFamily="34" charset="0"/>
              </a:rPr>
              <a:t> sectoarelor de activitate din industrie la emisiile de particule în suspensie</a:t>
            </a:r>
            <a:endParaRPr lang="ro-RO" sz="1000">
              <a:latin typeface="Arial" pitchFamily="34" charset="0"/>
              <a:cs typeface="Arial" pitchFamily="34" charset="0"/>
            </a:endParaRPr>
          </a:p>
        </c:rich>
      </c:tx>
    </c:title>
    <c:plotArea>
      <c:layout/>
      <c:barChart>
        <c:barDir val="col"/>
        <c:grouping val="clustered"/>
        <c:ser>
          <c:idx val="0"/>
          <c:order val="0"/>
          <c:tx>
            <c:strRef>
              <c:f>Sheet1!$C$164</c:f>
              <c:strCache>
                <c:ptCount val="1"/>
                <c:pt idx="0">
                  <c:v>PM2,5</c:v>
                </c:pt>
              </c:strCache>
            </c:strRef>
          </c:tx>
          <c:cat>
            <c:strRef>
              <c:f>Sheet1!$B$165:$B$169</c:f>
              <c:strCache>
                <c:ptCount val="5"/>
                <c:pt idx="0">
                  <c:v>IND. METALURGICĂ</c:v>
                </c:pt>
                <c:pt idx="1">
                  <c:v>IND. ALIMENTARĂ</c:v>
                </c:pt>
                <c:pt idx="2">
                  <c:v>EXTRACŢIE PETROL ŞI GAZE</c:v>
                </c:pt>
                <c:pt idx="3">
                  <c:v>PRODUCŢIE ASFALT</c:v>
                </c:pt>
                <c:pt idx="4">
                  <c:v>ALTELE</c:v>
                </c:pt>
              </c:strCache>
            </c:strRef>
          </c:cat>
          <c:val>
            <c:numRef>
              <c:f>Sheet1!$C$165:$C$169</c:f>
              <c:numCache>
                <c:formatCode>General</c:formatCode>
                <c:ptCount val="5"/>
                <c:pt idx="0">
                  <c:v>4.8</c:v>
                </c:pt>
                <c:pt idx="1">
                  <c:v>56.6</c:v>
                </c:pt>
                <c:pt idx="2">
                  <c:v>0.12000000000000002</c:v>
                </c:pt>
                <c:pt idx="3">
                  <c:v>33.839999999999996</c:v>
                </c:pt>
                <c:pt idx="4">
                  <c:v>4.6399999999999997</c:v>
                </c:pt>
              </c:numCache>
            </c:numRef>
          </c:val>
        </c:ser>
        <c:ser>
          <c:idx val="1"/>
          <c:order val="1"/>
          <c:tx>
            <c:strRef>
              <c:f>Sheet1!$D$164</c:f>
              <c:strCache>
                <c:ptCount val="1"/>
                <c:pt idx="0">
                  <c:v>PM10</c:v>
                </c:pt>
              </c:strCache>
            </c:strRef>
          </c:tx>
          <c:cat>
            <c:strRef>
              <c:f>Sheet1!$B$165:$B$169</c:f>
              <c:strCache>
                <c:ptCount val="5"/>
                <c:pt idx="0">
                  <c:v>IND. METALURGICĂ</c:v>
                </c:pt>
                <c:pt idx="1">
                  <c:v>IND. ALIMENTARĂ</c:v>
                </c:pt>
                <c:pt idx="2">
                  <c:v>EXTRACŢIE PETROL ŞI GAZE</c:v>
                </c:pt>
                <c:pt idx="3">
                  <c:v>PRODUCŢIE ASFALT</c:v>
                </c:pt>
                <c:pt idx="4">
                  <c:v>ALTELE</c:v>
                </c:pt>
              </c:strCache>
            </c:strRef>
          </c:cat>
          <c:val>
            <c:numRef>
              <c:f>Sheet1!$D$165:$D$169</c:f>
              <c:numCache>
                <c:formatCode>General</c:formatCode>
                <c:ptCount val="5"/>
                <c:pt idx="0">
                  <c:v>1.7</c:v>
                </c:pt>
                <c:pt idx="1">
                  <c:v>10</c:v>
                </c:pt>
                <c:pt idx="2">
                  <c:v>4.0000000000000022E-2</c:v>
                </c:pt>
                <c:pt idx="3">
                  <c:v>86.4</c:v>
                </c:pt>
                <c:pt idx="4">
                  <c:v>1.86</c:v>
                </c:pt>
              </c:numCache>
            </c:numRef>
          </c:val>
        </c:ser>
        <c:axId val="160032256"/>
        <c:axId val="160033792"/>
      </c:barChart>
      <c:catAx>
        <c:axId val="160032256"/>
        <c:scaling>
          <c:orientation val="minMax"/>
        </c:scaling>
        <c:axPos val="b"/>
        <c:majorTickMark val="none"/>
        <c:tickLblPos val="nextTo"/>
        <c:crossAx val="160033792"/>
        <c:crosses val="autoZero"/>
        <c:auto val="1"/>
        <c:lblAlgn val="ctr"/>
        <c:lblOffset val="100"/>
      </c:catAx>
      <c:valAx>
        <c:axId val="160033792"/>
        <c:scaling>
          <c:orientation val="minMax"/>
        </c:scaling>
        <c:axPos val="l"/>
        <c:majorGridlines/>
        <c:title>
          <c:tx>
            <c:rich>
              <a:bodyPr rot="0" vert="horz"/>
              <a:lstStyle/>
              <a:p>
                <a:pPr>
                  <a:defRPr/>
                </a:pPr>
                <a:r>
                  <a:rPr lang="ro-RO"/>
                  <a:t>%</a:t>
                </a:r>
              </a:p>
            </c:rich>
          </c:tx>
          <c:layout>
            <c:manualLayout>
              <c:xMode val="edge"/>
              <c:yMode val="edge"/>
              <c:x val="0.12222222222222298"/>
              <c:y val="0.11949547973170063"/>
            </c:manualLayout>
          </c:layout>
        </c:title>
        <c:numFmt formatCode="General" sourceLinked="1"/>
        <c:tickLblPos val="nextTo"/>
        <c:crossAx val="16003225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b="1" i="0" u="none" strike="noStrike" baseline="0">
                <a:solidFill>
                  <a:srgbClr val="000000"/>
                </a:solidFill>
                <a:latin typeface="Arial"/>
                <a:ea typeface="Arial"/>
                <a:cs typeface="Arial"/>
              </a:defRPr>
            </a:pPr>
            <a:endParaRPr lang="ro-RO"/>
          </a:p>
          <a:p>
            <a:pPr>
              <a:defRPr sz="1100" b="1" i="0" u="none" strike="noStrike" baseline="0">
                <a:solidFill>
                  <a:srgbClr val="000000"/>
                </a:solidFill>
                <a:latin typeface="Arial"/>
                <a:ea typeface="Arial"/>
                <a:cs typeface="Arial"/>
              </a:defRPr>
            </a:pPr>
            <a:endParaRPr lang="ro-RO"/>
          </a:p>
        </c:rich>
      </c:tx>
      <c:layout>
        <c:manualLayout>
          <c:xMode val="edge"/>
          <c:yMode val="edge"/>
          <c:x val="0.49948293691830692"/>
          <c:y val="5.0847457627119013E-3"/>
        </c:manualLayout>
      </c:layout>
      <c:spPr>
        <a:noFill/>
        <a:ln w="25400">
          <a:noFill/>
        </a:ln>
      </c:spPr>
    </c:title>
    <c:plotArea>
      <c:layout>
        <c:manualLayout>
          <c:layoutTarget val="inner"/>
          <c:xMode val="edge"/>
          <c:yMode val="edge"/>
          <c:x val="8.4798345398140129E-2"/>
          <c:y val="0.17627118644067796"/>
          <c:w val="0.91313340227508133"/>
          <c:h val="0.59661016949152457"/>
        </c:manualLayout>
      </c:layout>
      <c:lineChart>
        <c:grouping val="standard"/>
        <c:ser>
          <c:idx val="0"/>
          <c:order val="0"/>
          <c:tx>
            <c:strRef>
              <c:f>Data!$B$1</c:f>
              <c:strCache>
                <c:ptCount val="1"/>
                <c:pt idx="0">
                  <c:v>PM10grv (ug/m3)  - </c:v>
                </c:pt>
              </c:strCache>
            </c:strRef>
          </c:tx>
          <c:spPr>
            <a:ln w="25400">
              <a:solidFill>
                <a:srgbClr val="008000"/>
              </a:solidFill>
              <a:prstDash val="solid"/>
            </a:ln>
          </c:spPr>
          <c:marker>
            <c:symbol val="none"/>
          </c:marker>
          <c:cat>
            <c:strRef>
              <c:f>Data!$A$2:$A$366</c:f>
              <c:strCache>
                <c:ptCount val="365"/>
                <c:pt idx="0">
                  <c:v>01 Jan 2014</c:v>
                </c:pt>
                <c:pt idx="1">
                  <c:v>02 Jan 2014</c:v>
                </c:pt>
                <c:pt idx="2">
                  <c:v>03 Jan 2014</c:v>
                </c:pt>
                <c:pt idx="3">
                  <c:v>04 Jan 2014</c:v>
                </c:pt>
                <c:pt idx="4">
                  <c:v>05 Jan 2014</c:v>
                </c:pt>
                <c:pt idx="5">
                  <c:v>06 Jan 2014</c:v>
                </c:pt>
                <c:pt idx="6">
                  <c:v>07 Jan 2014</c:v>
                </c:pt>
                <c:pt idx="7">
                  <c:v>08 Jan 2014</c:v>
                </c:pt>
                <c:pt idx="8">
                  <c:v>09 Jan 2014</c:v>
                </c:pt>
                <c:pt idx="9">
                  <c:v>10 Jan 2014</c:v>
                </c:pt>
                <c:pt idx="10">
                  <c:v>11 Jan 2014</c:v>
                </c:pt>
                <c:pt idx="11">
                  <c:v>12 Jan 2014</c:v>
                </c:pt>
                <c:pt idx="12">
                  <c:v>13 Jan 2014</c:v>
                </c:pt>
                <c:pt idx="13">
                  <c:v>14 Jan 2014</c:v>
                </c:pt>
                <c:pt idx="14">
                  <c:v>15 Jan 2014</c:v>
                </c:pt>
                <c:pt idx="15">
                  <c:v>16 Jan 2014</c:v>
                </c:pt>
                <c:pt idx="16">
                  <c:v>17 Jan 2014</c:v>
                </c:pt>
                <c:pt idx="17">
                  <c:v>18 Jan 2014</c:v>
                </c:pt>
                <c:pt idx="18">
                  <c:v>19 Jan 2014</c:v>
                </c:pt>
                <c:pt idx="19">
                  <c:v>20 Jan 2014</c:v>
                </c:pt>
                <c:pt idx="20">
                  <c:v>21 Jan 2014</c:v>
                </c:pt>
                <c:pt idx="21">
                  <c:v>22 Jan 2014</c:v>
                </c:pt>
                <c:pt idx="22">
                  <c:v>23 Jan 2014</c:v>
                </c:pt>
                <c:pt idx="23">
                  <c:v>24 Jan 2014</c:v>
                </c:pt>
                <c:pt idx="24">
                  <c:v>25 Jan 2014</c:v>
                </c:pt>
                <c:pt idx="25">
                  <c:v>26 Jan 2014</c:v>
                </c:pt>
                <c:pt idx="26">
                  <c:v>27 Jan 2014</c:v>
                </c:pt>
                <c:pt idx="27">
                  <c:v>28 Jan 2014</c:v>
                </c:pt>
                <c:pt idx="28">
                  <c:v>29 Jan 2014</c:v>
                </c:pt>
                <c:pt idx="29">
                  <c:v>30 Jan 2014</c:v>
                </c:pt>
                <c:pt idx="30">
                  <c:v>31 Jan 2014</c:v>
                </c:pt>
                <c:pt idx="31">
                  <c:v>01 Feb 2014</c:v>
                </c:pt>
                <c:pt idx="32">
                  <c:v>02 Feb 2014</c:v>
                </c:pt>
                <c:pt idx="33">
                  <c:v>03 Feb 2014</c:v>
                </c:pt>
                <c:pt idx="34">
                  <c:v>04 Feb 2014</c:v>
                </c:pt>
                <c:pt idx="35">
                  <c:v>05 Feb 2014</c:v>
                </c:pt>
                <c:pt idx="36">
                  <c:v>06 Feb 2014</c:v>
                </c:pt>
                <c:pt idx="37">
                  <c:v>07 Feb 2014</c:v>
                </c:pt>
                <c:pt idx="38">
                  <c:v>08 Feb 2014</c:v>
                </c:pt>
                <c:pt idx="39">
                  <c:v>09 Feb 2014</c:v>
                </c:pt>
                <c:pt idx="40">
                  <c:v>10 Feb 2014</c:v>
                </c:pt>
                <c:pt idx="41">
                  <c:v>11 Feb 2014</c:v>
                </c:pt>
                <c:pt idx="42">
                  <c:v>12 Feb 2014</c:v>
                </c:pt>
                <c:pt idx="43">
                  <c:v>13 Feb 2014</c:v>
                </c:pt>
                <c:pt idx="44">
                  <c:v>14 Feb 2014</c:v>
                </c:pt>
                <c:pt idx="45">
                  <c:v>15 Feb 2014</c:v>
                </c:pt>
                <c:pt idx="46">
                  <c:v>16 Feb 2014</c:v>
                </c:pt>
                <c:pt idx="47">
                  <c:v>17 Feb 2014</c:v>
                </c:pt>
                <c:pt idx="48">
                  <c:v>18 Feb 2014</c:v>
                </c:pt>
                <c:pt idx="49">
                  <c:v>19 Feb 2014</c:v>
                </c:pt>
                <c:pt idx="50">
                  <c:v>20 Feb 2014</c:v>
                </c:pt>
                <c:pt idx="51">
                  <c:v>21 Feb 2014</c:v>
                </c:pt>
                <c:pt idx="52">
                  <c:v>22 Feb 2014</c:v>
                </c:pt>
                <c:pt idx="53">
                  <c:v>23 Feb 2014</c:v>
                </c:pt>
                <c:pt idx="54">
                  <c:v>24 Feb 2014</c:v>
                </c:pt>
                <c:pt idx="55">
                  <c:v>25 Feb 2014</c:v>
                </c:pt>
                <c:pt idx="56">
                  <c:v>26 Feb 2014</c:v>
                </c:pt>
                <c:pt idx="57">
                  <c:v>27 Feb 2014</c:v>
                </c:pt>
                <c:pt idx="58">
                  <c:v>28 Feb 2014</c:v>
                </c:pt>
                <c:pt idx="59">
                  <c:v>01 Mar 2014</c:v>
                </c:pt>
                <c:pt idx="60">
                  <c:v>02 Mar 2014</c:v>
                </c:pt>
                <c:pt idx="61">
                  <c:v>03 Mar 2014</c:v>
                </c:pt>
                <c:pt idx="62">
                  <c:v>04 Mar 2014</c:v>
                </c:pt>
                <c:pt idx="63">
                  <c:v>05 Mar 2014</c:v>
                </c:pt>
                <c:pt idx="64">
                  <c:v>06 Mar 2014</c:v>
                </c:pt>
                <c:pt idx="65">
                  <c:v>07 Mar 2014</c:v>
                </c:pt>
                <c:pt idx="66">
                  <c:v>08 Mar 2014</c:v>
                </c:pt>
                <c:pt idx="67">
                  <c:v>09 Mar 2014</c:v>
                </c:pt>
                <c:pt idx="68">
                  <c:v>10 Mar 2014</c:v>
                </c:pt>
                <c:pt idx="69">
                  <c:v>11 Mar 2014</c:v>
                </c:pt>
                <c:pt idx="70">
                  <c:v>12 Mar 2014</c:v>
                </c:pt>
                <c:pt idx="71">
                  <c:v>13 Mar 2014</c:v>
                </c:pt>
                <c:pt idx="72">
                  <c:v>14 Mar 2014</c:v>
                </c:pt>
                <c:pt idx="73">
                  <c:v>15 Mar 2014</c:v>
                </c:pt>
                <c:pt idx="74">
                  <c:v>16 Mar 2014</c:v>
                </c:pt>
                <c:pt idx="75">
                  <c:v>17 Mar 2014</c:v>
                </c:pt>
                <c:pt idx="76">
                  <c:v>18 Mar 2014</c:v>
                </c:pt>
                <c:pt idx="77">
                  <c:v>19 Mar 2014</c:v>
                </c:pt>
                <c:pt idx="78">
                  <c:v>20 Mar 2014</c:v>
                </c:pt>
                <c:pt idx="79">
                  <c:v>21 Mar 2014</c:v>
                </c:pt>
                <c:pt idx="80">
                  <c:v>22 Mar 2014</c:v>
                </c:pt>
                <c:pt idx="81">
                  <c:v>23 Mar 2014</c:v>
                </c:pt>
                <c:pt idx="82">
                  <c:v>24 Mar 2014</c:v>
                </c:pt>
                <c:pt idx="83">
                  <c:v>25 Mar 2014</c:v>
                </c:pt>
                <c:pt idx="84">
                  <c:v>26 Mar 2014</c:v>
                </c:pt>
                <c:pt idx="85">
                  <c:v>27 Mar 2014</c:v>
                </c:pt>
                <c:pt idx="86">
                  <c:v>28 Mar 2014</c:v>
                </c:pt>
                <c:pt idx="87">
                  <c:v>29 Mar 2014</c:v>
                </c:pt>
                <c:pt idx="88">
                  <c:v>30 Mar 2014</c:v>
                </c:pt>
                <c:pt idx="89">
                  <c:v>31 Mar 2014</c:v>
                </c:pt>
                <c:pt idx="90">
                  <c:v>01 Apr 2014</c:v>
                </c:pt>
                <c:pt idx="91">
                  <c:v>02 Apr 2014</c:v>
                </c:pt>
                <c:pt idx="92">
                  <c:v>03 Apr 2014</c:v>
                </c:pt>
                <c:pt idx="93">
                  <c:v>04 Apr 2014</c:v>
                </c:pt>
                <c:pt idx="94">
                  <c:v>05 Apr 2014</c:v>
                </c:pt>
                <c:pt idx="95">
                  <c:v>06 Apr 2014</c:v>
                </c:pt>
                <c:pt idx="96">
                  <c:v>07 Apr 2014</c:v>
                </c:pt>
                <c:pt idx="97">
                  <c:v>08 Apr 2014</c:v>
                </c:pt>
                <c:pt idx="98">
                  <c:v>09 Apr 2014</c:v>
                </c:pt>
                <c:pt idx="99">
                  <c:v>10 Apr 2014</c:v>
                </c:pt>
                <c:pt idx="100">
                  <c:v>11 Apr 2014</c:v>
                </c:pt>
                <c:pt idx="101">
                  <c:v>12 Apr 2014</c:v>
                </c:pt>
                <c:pt idx="102">
                  <c:v>13 Apr 2014</c:v>
                </c:pt>
                <c:pt idx="103">
                  <c:v>14 Apr 2014</c:v>
                </c:pt>
                <c:pt idx="104">
                  <c:v>15 Apr 2014</c:v>
                </c:pt>
                <c:pt idx="105">
                  <c:v>16 Apr 2014</c:v>
                </c:pt>
                <c:pt idx="106">
                  <c:v>17 Apr 2014</c:v>
                </c:pt>
                <c:pt idx="107">
                  <c:v>18 Apr 2014</c:v>
                </c:pt>
                <c:pt idx="108">
                  <c:v>19 Apr 2014</c:v>
                </c:pt>
                <c:pt idx="109">
                  <c:v>20 Apr 2014</c:v>
                </c:pt>
                <c:pt idx="110">
                  <c:v>21 Apr 2014</c:v>
                </c:pt>
                <c:pt idx="111">
                  <c:v>22 Apr 2014</c:v>
                </c:pt>
                <c:pt idx="112">
                  <c:v>23 Apr 2014</c:v>
                </c:pt>
                <c:pt idx="113">
                  <c:v>24 Apr 2014</c:v>
                </c:pt>
                <c:pt idx="114">
                  <c:v>25 Apr 2014</c:v>
                </c:pt>
                <c:pt idx="115">
                  <c:v>26 Apr 2014</c:v>
                </c:pt>
                <c:pt idx="116">
                  <c:v>27 Apr 2014</c:v>
                </c:pt>
                <c:pt idx="117">
                  <c:v>28 Apr 2014</c:v>
                </c:pt>
                <c:pt idx="118">
                  <c:v>29 Apr 2014</c:v>
                </c:pt>
                <c:pt idx="119">
                  <c:v>30 Apr 2014</c:v>
                </c:pt>
                <c:pt idx="120">
                  <c:v>01 May 2014</c:v>
                </c:pt>
                <c:pt idx="121">
                  <c:v>02 May 2014</c:v>
                </c:pt>
                <c:pt idx="122">
                  <c:v>03 May 2014</c:v>
                </c:pt>
                <c:pt idx="123">
                  <c:v>04 May 2014</c:v>
                </c:pt>
                <c:pt idx="124">
                  <c:v>05 May 2014</c:v>
                </c:pt>
                <c:pt idx="125">
                  <c:v>06 May 2014</c:v>
                </c:pt>
                <c:pt idx="126">
                  <c:v>07 May 2014</c:v>
                </c:pt>
                <c:pt idx="127">
                  <c:v>08 May 2014</c:v>
                </c:pt>
                <c:pt idx="128">
                  <c:v>09 May 2014</c:v>
                </c:pt>
                <c:pt idx="129">
                  <c:v>10 May 2014</c:v>
                </c:pt>
                <c:pt idx="130">
                  <c:v>11 May 2014</c:v>
                </c:pt>
                <c:pt idx="131">
                  <c:v>12 May 2014</c:v>
                </c:pt>
                <c:pt idx="132">
                  <c:v>13 May 2014</c:v>
                </c:pt>
                <c:pt idx="133">
                  <c:v>14 May 2014</c:v>
                </c:pt>
                <c:pt idx="134">
                  <c:v>15 May 2014</c:v>
                </c:pt>
                <c:pt idx="135">
                  <c:v>16 May 2014</c:v>
                </c:pt>
                <c:pt idx="136">
                  <c:v>17 May 2014</c:v>
                </c:pt>
                <c:pt idx="137">
                  <c:v>18 May 2014</c:v>
                </c:pt>
                <c:pt idx="138">
                  <c:v>19 May 2014</c:v>
                </c:pt>
                <c:pt idx="139">
                  <c:v>20 May 2014</c:v>
                </c:pt>
                <c:pt idx="140">
                  <c:v>21 May 2014</c:v>
                </c:pt>
                <c:pt idx="141">
                  <c:v>22 May 2014</c:v>
                </c:pt>
                <c:pt idx="142">
                  <c:v>23 May 2014</c:v>
                </c:pt>
                <c:pt idx="143">
                  <c:v>24 May 2014</c:v>
                </c:pt>
                <c:pt idx="144">
                  <c:v>25 May 2014</c:v>
                </c:pt>
                <c:pt idx="145">
                  <c:v>26 May 2014</c:v>
                </c:pt>
                <c:pt idx="146">
                  <c:v>27 May 2014</c:v>
                </c:pt>
                <c:pt idx="147">
                  <c:v>28 May 2014</c:v>
                </c:pt>
                <c:pt idx="148">
                  <c:v>29 May 2014</c:v>
                </c:pt>
                <c:pt idx="149">
                  <c:v>30 May 2014</c:v>
                </c:pt>
                <c:pt idx="150">
                  <c:v>31 May 2014</c:v>
                </c:pt>
                <c:pt idx="151">
                  <c:v>01 Jun 2014</c:v>
                </c:pt>
                <c:pt idx="152">
                  <c:v>02 Jun 2014</c:v>
                </c:pt>
                <c:pt idx="153">
                  <c:v>03 Jun 2014</c:v>
                </c:pt>
                <c:pt idx="154">
                  <c:v>04 Jun 2014</c:v>
                </c:pt>
                <c:pt idx="155">
                  <c:v>05 Jun 2014</c:v>
                </c:pt>
                <c:pt idx="156">
                  <c:v>06 Jun 2014</c:v>
                </c:pt>
                <c:pt idx="157">
                  <c:v>07 Jun 2014</c:v>
                </c:pt>
                <c:pt idx="158">
                  <c:v>08 Jun 2014</c:v>
                </c:pt>
                <c:pt idx="159">
                  <c:v>09 Jun 2014</c:v>
                </c:pt>
                <c:pt idx="160">
                  <c:v>10 Jun 2014</c:v>
                </c:pt>
                <c:pt idx="161">
                  <c:v>11 Jun 2014</c:v>
                </c:pt>
                <c:pt idx="162">
                  <c:v>12 Jun 2014</c:v>
                </c:pt>
                <c:pt idx="163">
                  <c:v>13 Jun 2014</c:v>
                </c:pt>
                <c:pt idx="164">
                  <c:v>14 Jun 2014</c:v>
                </c:pt>
                <c:pt idx="165">
                  <c:v>15 Jun 2014</c:v>
                </c:pt>
                <c:pt idx="166">
                  <c:v>16 Jun 2014</c:v>
                </c:pt>
                <c:pt idx="167">
                  <c:v>17 Jun 2014</c:v>
                </c:pt>
                <c:pt idx="168">
                  <c:v>18 Jun 2014</c:v>
                </c:pt>
                <c:pt idx="169">
                  <c:v>19 Jun 2014</c:v>
                </c:pt>
                <c:pt idx="170">
                  <c:v>20 Jun 2014</c:v>
                </c:pt>
                <c:pt idx="171">
                  <c:v>21 Jun 2014</c:v>
                </c:pt>
                <c:pt idx="172">
                  <c:v>22 Jun 2014</c:v>
                </c:pt>
                <c:pt idx="173">
                  <c:v>23 Jun 2014</c:v>
                </c:pt>
                <c:pt idx="174">
                  <c:v>24 Jun 2014</c:v>
                </c:pt>
                <c:pt idx="175">
                  <c:v>25 Jun 2014</c:v>
                </c:pt>
                <c:pt idx="176">
                  <c:v>26 Jun 2014</c:v>
                </c:pt>
                <c:pt idx="177">
                  <c:v>27 Jun 2014</c:v>
                </c:pt>
                <c:pt idx="178">
                  <c:v>28 Jun 2014</c:v>
                </c:pt>
                <c:pt idx="179">
                  <c:v>29 Jun 2014</c:v>
                </c:pt>
                <c:pt idx="180">
                  <c:v>30 Jun 2014</c:v>
                </c:pt>
                <c:pt idx="181">
                  <c:v>01 Jul 2014</c:v>
                </c:pt>
                <c:pt idx="182">
                  <c:v>02 Jul 2014</c:v>
                </c:pt>
                <c:pt idx="183">
                  <c:v>03 Jul 2014</c:v>
                </c:pt>
                <c:pt idx="184">
                  <c:v>04 Jul 2014</c:v>
                </c:pt>
                <c:pt idx="185">
                  <c:v>05 Jul 2014</c:v>
                </c:pt>
                <c:pt idx="186">
                  <c:v>06 Jul 2014</c:v>
                </c:pt>
                <c:pt idx="187">
                  <c:v>07 Jul 2014</c:v>
                </c:pt>
                <c:pt idx="188">
                  <c:v>08 Jul 2014</c:v>
                </c:pt>
                <c:pt idx="189">
                  <c:v>09 Jul 2014</c:v>
                </c:pt>
                <c:pt idx="190">
                  <c:v>10 Jul 2014</c:v>
                </c:pt>
                <c:pt idx="191">
                  <c:v>11 Jul 2014</c:v>
                </c:pt>
                <c:pt idx="192">
                  <c:v>12 Jul 2014</c:v>
                </c:pt>
                <c:pt idx="193">
                  <c:v>13 Jul 2014</c:v>
                </c:pt>
                <c:pt idx="194">
                  <c:v>14 Jul 2014</c:v>
                </c:pt>
                <c:pt idx="195">
                  <c:v>15 Jul 2014</c:v>
                </c:pt>
                <c:pt idx="196">
                  <c:v>16 Jul 2014</c:v>
                </c:pt>
                <c:pt idx="197">
                  <c:v>17 Jul 2014</c:v>
                </c:pt>
                <c:pt idx="198">
                  <c:v>18 Jul 2014</c:v>
                </c:pt>
                <c:pt idx="199">
                  <c:v>19 Jul 2014</c:v>
                </c:pt>
                <c:pt idx="200">
                  <c:v>20 Jul 2014</c:v>
                </c:pt>
                <c:pt idx="201">
                  <c:v>21 Jul 2014</c:v>
                </c:pt>
                <c:pt idx="202">
                  <c:v>22 Jul 2014</c:v>
                </c:pt>
                <c:pt idx="203">
                  <c:v>23 Jul 2014</c:v>
                </c:pt>
                <c:pt idx="204">
                  <c:v>24 Jul 2014</c:v>
                </c:pt>
                <c:pt idx="205">
                  <c:v>25 Jul 2014</c:v>
                </c:pt>
                <c:pt idx="206">
                  <c:v>26 Jul 2014</c:v>
                </c:pt>
                <c:pt idx="207">
                  <c:v>27 Jul 2014</c:v>
                </c:pt>
                <c:pt idx="208">
                  <c:v>28 Jul 2014</c:v>
                </c:pt>
                <c:pt idx="209">
                  <c:v>29 Jul 2014</c:v>
                </c:pt>
                <c:pt idx="210">
                  <c:v>30 Jul 2014</c:v>
                </c:pt>
                <c:pt idx="211">
                  <c:v>31 Jul 2014</c:v>
                </c:pt>
                <c:pt idx="212">
                  <c:v>01 Aug 2014</c:v>
                </c:pt>
                <c:pt idx="213">
                  <c:v>02 Aug 2014</c:v>
                </c:pt>
                <c:pt idx="214">
                  <c:v>03 Aug 2014</c:v>
                </c:pt>
                <c:pt idx="215">
                  <c:v>04 Aug 2014</c:v>
                </c:pt>
                <c:pt idx="216">
                  <c:v>05 Aug 2014</c:v>
                </c:pt>
                <c:pt idx="217">
                  <c:v>06 Aug 2014</c:v>
                </c:pt>
                <c:pt idx="218">
                  <c:v>07 Aug 2014</c:v>
                </c:pt>
                <c:pt idx="219">
                  <c:v>08 Aug 2014</c:v>
                </c:pt>
                <c:pt idx="220">
                  <c:v>09 Aug 2014</c:v>
                </c:pt>
                <c:pt idx="221">
                  <c:v>10 Aug 2014</c:v>
                </c:pt>
                <c:pt idx="222">
                  <c:v>11 Aug 2014</c:v>
                </c:pt>
                <c:pt idx="223">
                  <c:v>12 Aug 2014</c:v>
                </c:pt>
                <c:pt idx="224">
                  <c:v>13 Aug 2014</c:v>
                </c:pt>
                <c:pt idx="225">
                  <c:v>14 Aug 2014</c:v>
                </c:pt>
                <c:pt idx="226">
                  <c:v>15 Aug 2014</c:v>
                </c:pt>
                <c:pt idx="227">
                  <c:v>16 Aug 2014</c:v>
                </c:pt>
                <c:pt idx="228">
                  <c:v>17 Aug 2014</c:v>
                </c:pt>
                <c:pt idx="229">
                  <c:v>18 Aug 2014</c:v>
                </c:pt>
                <c:pt idx="230">
                  <c:v>19 Aug 2014</c:v>
                </c:pt>
                <c:pt idx="231">
                  <c:v>20 Aug 2014</c:v>
                </c:pt>
                <c:pt idx="232">
                  <c:v>21 Aug 2014</c:v>
                </c:pt>
                <c:pt idx="233">
                  <c:v>22 Aug 2014</c:v>
                </c:pt>
                <c:pt idx="234">
                  <c:v>23 Aug 2014</c:v>
                </c:pt>
                <c:pt idx="235">
                  <c:v>24 Aug 2014</c:v>
                </c:pt>
                <c:pt idx="236">
                  <c:v>25 Aug 2014</c:v>
                </c:pt>
                <c:pt idx="237">
                  <c:v>26 Aug 2014</c:v>
                </c:pt>
                <c:pt idx="238">
                  <c:v>27 Aug 2014</c:v>
                </c:pt>
                <c:pt idx="239">
                  <c:v>28 Aug 2014</c:v>
                </c:pt>
                <c:pt idx="240">
                  <c:v>29 Aug 2014</c:v>
                </c:pt>
                <c:pt idx="241">
                  <c:v>30 Aug 2014</c:v>
                </c:pt>
                <c:pt idx="242">
                  <c:v>31 Aug 2014</c:v>
                </c:pt>
                <c:pt idx="243">
                  <c:v>01 Sep 2014</c:v>
                </c:pt>
                <c:pt idx="244">
                  <c:v>02 Sep 2014</c:v>
                </c:pt>
                <c:pt idx="245">
                  <c:v>03 Sep 2014</c:v>
                </c:pt>
                <c:pt idx="246">
                  <c:v>04 Sep 2014</c:v>
                </c:pt>
                <c:pt idx="247">
                  <c:v>05 Sep 2014</c:v>
                </c:pt>
                <c:pt idx="248">
                  <c:v>06 Sep 2014</c:v>
                </c:pt>
                <c:pt idx="249">
                  <c:v>07 Sep 2014</c:v>
                </c:pt>
                <c:pt idx="250">
                  <c:v>08 Sep 2014</c:v>
                </c:pt>
                <c:pt idx="251">
                  <c:v>09 Sep 2014</c:v>
                </c:pt>
                <c:pt idx="252">
                  <c:v>10 Sep 2014</c:v>
                </c:pt>
                <c:pt idx="253">
                  <c:v>11 Sep 2014</c:v>
                </c:pt>
                <c:pt idx="254">
                  <c:v>12 Sep 2014</c:v>
                </c:pt>
                <c:pt idx="255">
                  <c:v>13 Sep 2014</c:v>
                </c:pt>
                <c:pt idx="256">
                  <c:v>14 Sep 2014</c:v>
                </c:pt>
                <c:pt idx="257">
                  <c:v>15 Sep 2014</c:v>
                </c:pt>
                <c:pt idx="258">
                  <c:v>16 Sep 2014</c:v>
                </c:pt>
                <c:pt idx="259">
                  <c:v>17 Sep 2014</c:v>
                </c:pt>
                <c:pt idx="260">
                  <c:v>18 Sep 2014</c:v>
                </c:pt>
                <c:pt idx="261">
                  <c:v>19 Sep 2014</c:v>
                </c:pt>
                <c:pt idx="262">
                  <c:v>20 Sep 2014</c:v>
                </c:pt>
                <c:pt idx="263">
                  <c:v>21 Sep 2014</c:v>
                </c:pt>
                <c:pt idx="264">
                  <c:v>22 Sep 2014</c:v>
                </c:pt>
                <c:pt idx="265">
                  <c:v>23 Sep 2014</c:v>
                </c:pt>
                <c:pt idx="266">
                  <c:v>24 Sep 2014</c:v>
                </c:pt>
                <c:pt idx="267">
                  <c:v>25 Sep 2014</c:v>
                </c:pt>
                <c:pt idx="268">
                  <c:v>26 Sep 2014</c:v>
                </c:pt>
                <c:pt idx="269">
                  <c:v>27 Sep 2014</c:v>
                </c:pt>
                <c:pt idx="270">
                  <c:v>28 Sep 2014</c:v>
                </c:pt>
                <c:pt idx="271">
                  <c:v>29 Sep 2014</c:v>
                </c:pt>
                <c:pt idx="272">
                  <c:v>30 Sep 2014</c:v>
                </c:pt>
                <c:pt idx="273">
                  <c:v>01 Oct 2014</c:v>
                </c:pt>
                <c:pt idx="274">
                  <c:v>02 Oct 2014</c:v>
                </c:pt>
                <c:pt idx="275">
                  <c:v>03 Oct 2014</c:v>
                </c:pt>
                <c:pt idx="276">
                  <c:v>04 Oct 2014</c:v>
                </c:pt>
                <c:pt idx="277">
                  <c:v>05 Oct 2014</c:v>
                </c:pt>
                <c:pt idx="278">
                  <c:v>06 Oct 2014</c:v>
                </c:pt>
                <c:pt idx="279">
                  <c:v>07 Oct 2014</c:v>
                </c:pt>
                <c:pt idx="280">
                  <c:v>08 Oct 2014</c:v>
                </c:pt>
                <c:pt idx="281">
                  <c:v>09 Oct 2014</c:v>
                </c:pt>
                <c:pt idx="282">
                  <c:v>10 Oct 2014</c:v>
                </c:pt>
                <c:pt idx="283">
                  <c:v>11 Oct 2014</c:v>
                </c:pt>
                <c:pt idx="284">
                  <c:v>12 Oct 2014</c:v>
                </c:pt>
                <c:pt idx="285">
                  <c:v>13 Oct 2014</c:v>
                </c:pt>
                <c:pt idx="286">
                  <c:v>14 Oct 2014</c:v>
                </c:pt>
                <c:pt idx="287">
                  <c:v>15 Oct 2014</c:v>
                </c:pt>
                <c:pt idx="288">
                  <c:v>16 Oct 2014</c:v>
                </c:pt>
                <c:pt idx="289">
                  <c:v>17 Oct 2014</c:v>
                </c:pt>
                <c:pt idx="290">
                  <c:v>18 Oct 2014</c:v>
                </c:pt>
                <c:pt idx="291">
                  <c:v>19 Oct 2014</c:v>
                </c:pt>
                <c:pt idx="292">
                  <c:v>20 Oct 2014</c:v>
                </c:pt>
                <c:pt idx="293">
                  <c:v>21 Oct 2014</c:v>
                </c:pt>
                <c:pt idx="294">
                  <c:v>22 Oct 2014</c:v>
                </c:pt>
                <c:pt idx="295">
                  <c:v>23 Oct 2014</c:v>
                </c:pt>
                <c:pt idx="296">
                  <c:v>24 Oct 2014</c:v>
                </c:pt>
                <c:pt idx="297">
                  <c:v>25 Oct 2014</c:v>
                </c:pt>
                <c:pt idx="298">
                  <c:v>26 Oct 2014</c:v>
                </c:pt>
                <c:pt idx="299">
                  <c:v>27 Oct 2014</c:v>
                </c:pt>
                <c:pt idx="300">
                  <c:v>28 Oct 2014</c:v>
                </c:pt>
                <c:pt idx="301">
                  <c:v>29 Oct 2014</c:v>
                </c:pt>
                <c:pt idx="302">
                  <c:v>30 Oct 2014</c:v>
                </c:pt>
                <c:pt idx="303">
                  <c:v>31 Oct 2014</c:v>
                </c:pt>
                <c:pt idx="304">
                  <c:v>01 Nov 2014</c:v>
                </c:pt>
                <c:pt idx="305">
                  <c:v>02 Nov 2014</c:v>
                </c:pt>
                <c:pt idx="306">
                  <c:v>03 Nov 2014</c:v>
                </c:pt>
                <c:pt idx="307">
                  <c:v>04 Nov 2014</c:v>
                </c:pt>
                <c:pt idx="308">
                  <c:v>05 Nov 2014</c:v>
                </c:pt>
                <c:pt idx="309">
                  <c:v>06 Nov 2014</c:v>
                </c:pt>
                <c:pt idx="310">
                  <c:v>07 Nov 2014</c:v>
                </c:pt>
                <c:pt idx="311">
                  <c:v>08 Nov 2014</c:v>
                </c:pt>
                <c:pt idx="312">
                  <c:v>09 Nov 2014</c:v>
                </c:pt>
                <c:pt idx="313">
                  <c:v>10 Nov 2014</c:v>
                </c:pt>
                <c:pt idx="314">
                  <c:v>11 Nov 2014</c:v>
                </c:pt>
                <c:pt idx="315">
                  <c:v>12 Nov 2014</c:v>
                </c:pt>
                <c:pt idx="316">
                  <c:v>13 Nov 2014</c:v>
                </c:pt>
                <c:pt idx="317">
                  <c:v>14 Nov 2014</c:v>
                </c:pt>
                <c:pt idx="318">
                  <c:v>15 Nov 2014</c:v>
                </c:pt>
                <c:pt idx="319">
                  <c:v>16 Nov 2014</c:v>
                </c:pt>
                <c:pt idx="320">
                  <c:v>17 Nov 2014</c:v>
                </c:pt>
                <c:pt idx="321">
                  <c:v>18 Nov 2014</c:v>
                </c:pt>
                <c:pt idx="322">
                  <c:v>19 Nov 2014</c:v>
                </c:pt>
                <c:pt idx="323">
                  <c:v>20 Nov 2014</c:v>
                </c:pt>
                <c:pt idx="324">
                  <c:v>21 Nov 2014</c:v>
                </c:pt>
                <c:pt idx="325">
                  <c:v>22 Nov 2014</c:v>
                </c:pt>
                <c:pt idx="326">
                  <c:v>23 Nov 2014</c:v>
                </c:pt>
                <c:pt idx="327">
                  <c:v>24 Nov 2014</c:v>
                </c:pt>
                <c:pt idx="328">
                  <c:v>25 Nov 2014</c:v>
                </c:pt>
                <c:pt idx="329">
                  <c:v>26 Nov 2014</c:v>
                </c:pt>
                <c:pt idx="330">
                  <c:v>27 Nov 2014</c:v>
                </c:pt>
                <c:pt idx="331">
                  <c:v>28 Nov 2014</c:v>
                </c:pt>
                <c:pt idx="332">
                  <c:v>29 Nov 2014</c:v>
                </c:pt>
                <c:pt idx="333">
                  <c:v>30 Nov 2014</c:v>
                </c:pt>
                <c:pt idx="334">
                  <c:v>01 Dec 2014</c:v>
                </c:pt>
                <c:pt idx="335">
                  <c:v>02 Dec 2014</c:v>
                </c:pt>
                <c:pt idx="336">
                  <c:v>03 Dec 2014</c:v>
                </c:pt>
                <c:pt idx="337">
                  <c:v>04 Dec 2014</c:v>
                </c:pt>
                <c:pt idx="338">
                  <c:v>05 Dec 2014</c:v>
                </c:pt>
                <c:pt idx="339">
                  <c:v>06 Dec 2014</c:v>
                </c:pt>
                <c:pt idx="340">
                  <c:v>07 Dec 2014</c:v>
                </c:pt>
                <c:pt idx="341">
                  <c:v>08 Dec 2014</c:v>
                </c:pt>
                <c:pt idx="342">
                  <c:v>09 Dec 2014</c:v>
                </c:pt>
                <c:pt idx="343">
                  <c:v>10 Dec 2014</c:v>
                </c:pt>
                <c:pt idx="344">
                  <c:v>11 Dec 2014</c:v>
                </c:pt>
                <c:pt idx="345">
                  <c:v>12 Dec 2014</c:v>
                </c:pt>
                <c:pt idx="346">
                  <c:v>13 Dec 2014</c:v>
                </c:pt>
                <c:pt idx="347">
                  <c:v>14 Dec 2014</c:v>
                </c:pt>
                <c:pt idx="348">
                  <c:v>15 Dec 2014</c:v>
                </c:pt>
                <c:pt idx="349">
                  <c:v>16 Dec 2014</c:v>
                </c:pt>
                <c:pt idx="350">
                  <c:v>17 Dec 2014</c:v>
                </c:pt>
                <c:pt idx="351">
                  <c:v>18 Dec 2014</c:v>
                </c:pt>
                <c:pt idx="352">
                  <c:v>19 Dec 2014</c:v>
                </c:pt>
                <c:pt idx="353">
                  <c:v>20 Dec 2014</c:v>
                </c:pt>
                <c:pt idx="354">
                  <c:v>21 Dec 2014</c:v>
                </c:pt>
                <c:pt idx="355">
                  <c:v>22 Dec 2014</c:v>
                </c:pt>
                <c:pt idx="356">
                  <c:v>23 Dec 2014</c:v>
                </c:pt>
                <c:pt idx="357">
                  <c:v>24 Dec 2014</c:v>
                </c:pt>
                <c:pt idx="358">
                  <c:v>25 Dec 2014</c:v>
                </c:pt>
                <c:pt idx="359">
                  <c:v>26 Dec 2014</c:v>
                </c:pt>
                <c:pt idx="360">
                  <c:v>27 Dec 2014</c:v>
                </c:pt>
                <c:pt idx="361">
                  <c:v>28 Dec 2014</c:v>
                </c:pt>
                <c:pt idx="362">
                  <c:v>29 Dec 2014</c:v>
                </c:pt>
                <c:pt idx="363">
                  <c:v>30 Dec 2014</c:v>
                </c:pt>
                <c:pt idx="364">
                  <c:v>31 Dec 2014</c:v>
                </c:pt>
              </c:strCache>
            </c:strRef>
          </c:cat>
          <c:val>
            <c:numRef>
              <c:f>Data!$B$2:$B$366</c:f>
              <c:numCache>
                <c:formatCode>General</c:formatCode>
                <c:ptCount val="365"/>
                <c:pt idx="0">
                  <c:v>9.9899997711181605</c:v>
                </c:pt>
                <c:pt idx="1">
                  <c:v>20.170000076293899</c:v>
                </c:pt>
                <c:pt idx="2">
                  <c:v>49.060001373290994</c:v>
                </c:pt>
                <c:pt idx="3" formatCode="0.00E+00">
                  <c:v>32.880001068114971</c:v>
                </c:pt>
                <c:pt idx="4">
                  <c:v>90.48000335693358</c:v>
                </c:pt>
                <c:pt idx="5">
                  <c:v>42.509998321533203</c:v>
                </c:pt>
                <c:pt idx="6">
                  <c:v>30.889999389648388</c:v>
                </c:pt>
                <c:pt idx="7">
                  <c:v>15.439999580383304</c:v>
                </c:pt>
                <c:pt idx="8" formatCode="0.00E+00">
                  <c:v>23.799999237060486</c:v>
                </c:pt>
                <c:pt idx="9" formatCode="0.00E+00">
                  <c:v>22.530000686645501</c:v>
                </c:pt>
                <c:pt idx="10">
                  <c:v>22.709999084472699</c:v>
                </c:pt>
                <c:pt idx="11">
                  <c:v>18.899999618530288</c:v>
                </c:pt>
                <c:pt idx="12">
                  <c:v>6.1799998283386204</c:v>
                </c:pt>
                <c:pt idx="13">
                  <c:v>26.340000152587887</c:v>
                </c:pt>
                <c:pt idx="14">
                  <c:v>27.440000534057589</c:v>
                </c:pt>
                <c:pt idx="15">
                  <c:v>47.240001678466797</c:v>
                </c:pt>
                <c:pt idx="16">
                  <c:v>44.700000762939503</c:v>
                </c:pt>
                <c:pt idx="17" formatCode="0.00E+00">
                  <c:v>38.700000762939503</c:v>
                </c:pt>
                <c:pt idx="18">
                  <c:v>41.970001220703097</c:v>
                </c:pt>
                <c:pt idx="19">
                  <c:v>8.5399999618530185</c:v>
                </c:pt>
                <c:pt idx="20">
                  <c:v>6.1799998283386204</c:v>
                </c:pt>
                <c:pt idx="21">
                  <c:v>15.6300001144409</c:v>
                </c:pt>
                <c:pt idx="22">
                  <c:v>25.440000534057589</c:v>
                </c:pt>
                <c:pt idx="23">
                  <c:v>14.5299997329712</c:v>
                </c:pt>
                <c:pt idx="24">
                  <c:v>7.2699999809265101</c:v>
                </c:pt>
                <c:pt idx="25">
                  <c:v>9.0799999237060547</c:v>
                </c:pt>
                <c:pt idx="26">
                  <c:v>14.5299997329712</c:v>
                </c:pt>
                <c:pt idx="27">
                  <c:v>39.970001220703097</c:v>
                </c:pt>
                <c:pt idx="28">
                  <c:v>10.899999618530362</c:v>
                </c:pt>
                <c:pt idx="29">
                  <c:v>14.539999961853001</c:v>
                </c:pt>
                <c:pt idx="30">
                  <c:v>16.350000381469702</c:v>
                </c:pt>
                <c:pt idx="31">
                  <c:v>10.899999618530362</c:v>
                </c:pt>
                <c:pt idx="32">
                  <c:v>3.6300001144409197</c:v>
                </c:pt>
                <c:pt idx="33">
                  <c:v>7.2699999809265101</c:v>
                </c:pt>
                <c:pt idx="34">
                  <c:v>12.7200002670288</c:v>
                </c:pt>
                <c:pt idx="35">
                  <c:v>50.869998931885036</c:v>
                </c:pt>
                <c:pt idx="36">
                  <c:v>69.040000915527301</c:v>
                </c:pt>
                <c:pt idx="37">
                  <c:v>58.139999389648395</c:v>
                </c:pt>
                <c:pt idx="38">
                  <c:v>127.18000030517598</c:v>
                </c:pt>
                <c:pt idx="39">
                  <c:v>130.82000732422009</c:v>
                </c:pt>
                <c:pt idx="40">
                  <c:v>45.419998168945298</c:v>
                </c:pt>
                <c:pt idx="41">
                  <c:v>30.889999389648388</c:v>
                </c:pt>
                <c:pt idx="42">
                  <c:v>49.049999237060497</c:v>
                </c:pt>
                <c:pt idx="43">
                  <c:v>41.790000915527528</c:v>
                </c:pt>
                <c:pt idx="44">
                  <c:v>32.700000762939503</c:v>
                </c:pt>
                <c:pt idx="45">
                  <c:v>56.319999694824197</c:v>
                </c:pt>
                <c:pt idx="46">
                  <c:v>45.419998168945298</c:v>
                </c:pt>
                <c:pt idx="47">
                  <c:v>34.520000457763317</c:v>
                </c:pt>
                <c:pt idx="48">
                  <c:v>23.620000839233267</c:v>
                </c:pt>
                <c:pt idx="49">
                  <c:v>30.520000457763686</c:v>
                </c:pt>
                <c:pt idx="50">
                  <c:v>31.069999694824187</c:v>
                </c:pt>
                <c:pt idx="51">
                  <c:v>23.799999237060486</c:v>
                </c:pt>
                <c:pt idx="52">
                  <c:v>21.799999237060486</c:v>
                </c:pt>
                <c:pt idx="53">
                  <c:v>16.350000381469702</c:v>
                </c:pt>
                <c:pt idx="54">
                  <c:v>16.170000076293899</c:v>
                </c:pt>
                <c:pt idx="55">
                  <c:v>23.979999542236289</c:v>
                </c:pt>
                <c:pt idx="56">
                  <c:v>31.979999542236289</c:v>
                </c:pt>
                <c:pt idx="57">
                  <c:v>31.610000610351605</c:v>
                </c:pt>
                <c:pt idx="58">
                  <c:v>39.419998168945298</c:v>
                </c:pt>
                <c:pt idx="59">
                  <c:v>42.700000762939503</c:v>
                </c:pt>
                <c:pt idx="60">
                  <c:v>13.6300001144409</c:v>
                </c:pt>
                <c:pt idx="61">
                  <c:v>8.3599996566773456</c:v>
                </c:pt>
                <c:pt idx="62">
                  <c:v>13.989999771118224</c:v>
                </c:pt>
                <c:pt idx="63">
                  <c:v>6.5399999618530424</c:v>
                </c:pt>
                <c:pt idx="64">
                  <c:v>9.6300001144409197</c:v>
                </c:pt>
                <c:pt idx="65">
                  <c:v>12.899999618530362</c:v>
                </c:pt>
                <c:pt idx="66">
                  <c:v>14.7200002670288</c:v>
                </c:pt>
                <c:pt idx="67">
                  <c:v>13.079999923706104</c:v>
                </c:pt>
                <c:pt idx="68">
                  <c:v>9.0799999237060547</c:v>
                </c:pt>
                <c:pt idx="69">
                  <c:v>23.799999237060486</c:v>
                </c:pt>
                <c:pt idx="70">
                  <c:v>30.700000762939499</c:v>
                </c:pt>
                <c:pt idx="71">
                  <c:v>29.799999237060486</c:v>
                </c:pt>
                <c:pt idx="72">
                  <c:v>44.509998321533203</c:v>
                </c:pt>
                <c:pt idx="73">
                  <c:v>35.430000305176009</c:v>
                </c:pt>
                <c:pt idx="74">
                  <c:v>4.1799998283386204</c:v>
                </c:pt>
                <c:pt idx="75">
                  <c:v>6.7199997901916948</c:v>
                </c:pt>
                <c:pt idx="76">
                  <c:v>12.350000381469762</c:v>
                </c:pt>
                <c:pt idx="77">
                  <c:v>47.419998168945298</c:v>
                </c:pt>
                <c:pt idx="78">
                  <c:v>16.530000686645501</c:v>
                </c:pt>
                <c:pt idx="79">
                  <c:v>18.170000076293899</c:v>
                </c:pt>
                <c:pt idx="80">
                  <c:v>20.709999084472699</c:v>
                </c:pt>
                <c:pt idx="81">
                  <c:v>25.069999694824187</c:v>
                </c:pt>
                <c:pt idx="82">
                  <c:v>28.159999847412131</c:v>
                </c:pt>
                <c:pt idx="83">
                  <c:v>14.899999618530362</c:v>
                </c:pt>
                <c:pt idx="84">
                  <c:v>11.079999923706104</c:v>
                </c:pt>
                <c:pt idx="85">
                  <c:v>26.340000152587887</c:v>
                </c:pt>
                <c:pt idx="86">
                  <c:v>25.979999542236289</c:v>
                </c:pt>
                <c:pt idx="87">
                  <c:v>33.610000610351598</c:v>
                </c:pt>
                <c:pt idx="88">
                  <c:v>20.709999084472699</c:v>
                </c:pt>
                <c:pt idx="89">
                  <c:v>29.610000610351605</c:v>
                </c:pt>
                <c:pt idx="90">
                  <c:v>31.430000305175689</c:v>
                </c:pt>
                <c:pt idx="91">
                  <c:v>8.5399999618530185</c:v>
                </c:pt>
                <c:pt idx="92">
                  <c:v>10.899999618530362</c:v>
                </c:pt>
                <c:pt idx="93">
                  <c:v>40.330001831054702</c:v>
                </c:pt>
                <c:pt idx="94">
                  <c:v>17.620000839233267</c:v>
                </c:pt>
                <c:pt idx="95">
                  <c:v>11.6300001144409</c:v>
                </c:pt>
                <c:pt idx="96">
                  <c:v>23.799999237060486</c:v>
                </c:pt>
                <c:pt idx="97">
                  <c:v>20.709999084472699</c:v>
                </c:pt>
                <c:pt idx="98">
                  <c:v>24.709999084472699</c:v>
                </c:pt>
                <c:pt idx="99">
                  <c:v>6.1799998283386204</c:v>
                </c:pt>
                <c:pt idx="100">
                  <c:v>6.9000000953674334</c:v>
                </c:pt>
                <c:pt idx="101">
                  <c:v>16.350000381469702</c:v>
                </c:pt>
                <c:pt idx="102">
                  <c:v>7.8099999427795401</c:v>
                </c:pt>
                <c:pt idx="103">
                  <c:v>31.790000915527155</c:v>
                </c:pt>
                <c:pt idx="104">
                  <c:v>29.799999237060486</c:v>
                </c:pt>
                <c:pt idx="105">
                  <c:v>5.2699999809265101</c:v>
                </c:pt>
                <c:pt idx="106">
                  <c:v>14.170000076293899</c:v>
                </c:pt>
                <c:pt idx="107">
                  <c:v>25.620000839233267</c:v>
                </c:pt>
                <c:pt idx="108">
                  <c:v>11.079999923706104</c:v>
                </c:pt>
                <c:pt idx="109">
                  <c:v>12.899999618530362</c:v>
                </c:pt>
                <c:pt idx="110">
                  <c:v>17.440000534057589</c:v>
                </c:pt>
                <c:pt idx="111">
                  <c:v>21.440000534057589</c:v>
                </c:pt>
                <c:pt idx="112">
                  <c:v>22.860000610351602</c:v>
                </c:pt>
                <c:pt idx="113">
                  <c:v>15.810000419616706</c:v>
                </c:pt>
                <c:pt idx="114">
                  <c:v>9.9899997711181605</c:v>
                </c:pt>
                <c:pt idx="115">
                  <c:v>20.889999389648388</c:v>
                </c:pt>
                <c:pt idx="116">
                  <c:v>22.350000381469702</c:v>
                </c:pt>
                <c:pt idx="117">
                  <c:v>19.620000839233267</c:v>
                </c:pt>
                <c:pt idx="118">
                  <c:v>20.170000076293899</c:v>
                </c:pt>
                <c:pt idx="120">
                  <c:v>17.440000534057589</c:v>
                </c:pt>
                <c:pt idx="121">
                  <c:v>25.260000228881786</c:v>
                </c:pt>
                <c:pt idx="122">
                  <c:v>14.539999961853001</c:v>
                </c:pt>
                <c:pt idx="123">
                  <c:v>3.6300001144409197</c:v>
                </c:pt>
                <c:pt idx="124">
                  <c:v>4.5399999618530424</c:v>
                </c:pt>
                <c:pt idx="125">
                  <c:v>14.7200002670288</c:v>
                </c:pt>
                <c:pt idx="126">
                  <c:v>19.260000228881786</c:v>
                </c:pt>
                <c:pt idx="127">
                  <c:v>20.350000381469702</c:v>
                </c:pt>
                <c:pt idx="128">
                  <c:v>28.340000152587887</c:v>
                </c:pt>
                <c:pt idx="129">
                  <c:v>20.889999389648388</c:v>
                </c:pt>
                <c:pt idx="130">
                  <c:v>10.170000076293899</c:v>
                </c:pt>
                <c:pt idx="131">
                  <c:v>16.899999618530288</c:v>
                </c:pt>
                <c:pt idx="132">
                  <c:v>8.3599996566773456</c:v>
                </c:pt>
                <c:pt idx="133">
                  <c:v>6.7199997901916948</c:v>
                </c:pt>
                <c:pt idx="134">
                  <c:v>4</c:v>
                </c:pt>
                <c:pt idx="135">
                  <c:v>5.2699999809265101</c:v>
                </c:pt>
                <c:pt idx="136">
                  <c:v>11.2600002288818</c:v>
                </c:pt>
                <c:pt idx="137">
                  <c:v>8.8999996185303267</c:v>
                </c:pt>
                <c:pt idx="138">
                  <c:v>10.710000038147006</c:v>
                </c:pt>
                <c:pt idx="139">
                  <c:v>16.709999084472699</c:v>
                </c:pt>
                <c:pt idx="140">
                  <c:v>20.709999084472699</c:v>
                </c:pt>
                <c:pt idx="141">
                  <c:v>23.979999542236289</c:v>
                </c:pt>
                <c:pt idx="142">
                  <c:v>31.790000915527155</c:v>
                </c:pt>
                <c:pt idx="143">
                  <c:v>25.25</c:v>
                </c:pt>
                <c:pt idx="144">
                  <c:v>21.620000839233267</c:v>
                </c:pt>
                <c:pt idx="145">
                  <c:v>24.709999084472699</c:v>
                </c:pt>
                <c:pt idx="146">
                  <c:v>22.530000686645501</c:v>
                </c:pt>
                <c:pt idx="147">
                  <c:v>23.620000839233267</c:v>
                </c:pt>
                <c:pt idx="148">
                  <c:v>23.979999542236289</c:v>
                </c:pt>
                <c:pt idx="149">
                  <c:v>11.449999809265124</c:v>
                </c:pt>
                <c:pt idx="150">
                  <c:v>9.4499998092651527</c:v>
                </c:pt>
                <c:pt idx="151">
                  <c:v>11.079999923706104</c:v>
                </c:pt>
                <c:pt idx="152">
                  <c:v>9.9899997711181605</c:v>
                </c:pt>
                <c:pt idx="153">
                  <c:v>13.079999923706104</c:v>
                </c:pt>
                <c:pt idx="154">
                  <c:v>13.6300001144409</c:v>
                </c:pt>
                <c:pt idx="155">
                  <c:v>7.8099999427795401</c:v>
                </c:pt>
                <c:pt idx="156">
                  <c:v>20.350000381469702</c:v>
                </c:pt>
                <c:pt idx="157">
                  <c:v>26.709999084472699</c:v>
                </c:pt>
                <c:pt idx="158">
                  <c:v>16.899999618530288</c:v>
                </c:pt>
                <c:pt idx="159">
                  <c:v>19.260000228881786</c:v>
                </c:pt>
                <c:pt idx="160">
                  <c:v>18.530000686645501</c:v>
                </c:pt>
                <c:pt idx="161">
                  <c:v>15.810000419616706</c:v>
                </c:pt>
                <c:pt idx="162">
                  <c:v>16.350000381469702</c:v>
                </c:pt>
                <c:pt idx="163">
                  <c:v>16.629999160766605</c:v>
                </c:pt>
                <c:pt idx="164">
                  <c:v>13.6300001144409</c:v>
                </c:pt>
                <c:pt idx="165">
                  <c:v>10.899999618530362</c:v>
                </c:pt>
                <c:pt idx="166">
                  <c:v>11.6300001144409</c:v>
                </c:pt>
                <c:pt idx="167">
                  <c:v>8.8999996185303267</c:v>
                </c:pt>
                <c:pt idx="168">
                  <c:v>9.6300001144409197</c:v>
                </c:pt>
                <c:pt idx="169">
                  <c:v>9.0799999237060547</c:v>
                </c:pt>
                <c:pt idx="170">
                  <c:v>13.439999580383304</c:v>
                </c:pt>
                <c:pt idx="171">
                  <c:v>11.079999923706104</c:v>
                </c:pt>
                <c:pt idx="172">
                  <c:v>9.4399995803833008</c:v>
                </c:pt>
                <c:pt idx="173">
                  <c:v>13.439999580383304</c:v>
                </c:pt>
                <c:pt idx="174">
                  <c:v>15.2600002288818</c:v>
                </c:pt>
                <c:pt idx="175">
                  <c:v>20.709999084472699</c:v>
                </c:pt>
                <c:pt idx="176">
                  <c:v>13.6300001144409</c:v>
                </c:pt>
                <c:pt idx="177">
                  <c:v>11.6300001144409</c:v>
                </c:pt>
                <c:pt idx="178">
                  <c:v>15.25</c:v>
                </c:pt>
                <c:pt idx="179">
                  <c:v>15.210000038147006</c:v>
                </c:pt>
                <c:pt idx="180">
                  <c:v>19.799999237060486</c:v>
                </c:pt>
                <c:pt idx="181">
                  <c:v>13.2600002288818</c:v>
                </c:pt>
                <c:pt idx="182">
                  <c:v>11.3900003433228</c:v>
                </c:pt>
                <c:pt idx="183">
                  <c:v>13.970000267028826</c:v>
                </c:pt>
                <c:pt idx="184">
                  <c:v>9.6300001144409197</c:v>
                </c:pt>
                <c:pt idx="185">
                  <c:v>10.7200002670288</c:v>
                </c:pt>
                <c:pt idx="186">
                  <c:v>21.079999923706101</c:v>
                </c:pt>
                <c:pt idx="187">
                  <c:v>23.979999542236289</c:v>
                </c:pt>
                <c:pt idx="188">
                  <c:v>21.979999542236289</c:v>
                </c:pt>
                <c:pt idx="189">
                  <c:v>34.159999847412095</c:v>
                </c:pt>
                <c:pt idx="190">
                  <c:v>19.260000228881786</c:v>
                </c:pt>
                <c:pt idx="191">
                  <c:v>15.6300001144409</c:v>
                </c:pt>
                <c:pt idx="192">
                  <c:v>17.809999465942528</c:v>
                </c:pt>
                <c:pt idx="193">
                  <c:v>11.810000419616706</c:v>
                </c:pt>
                <c:pt idx="194">
                  <c:v>18.530000686645501</c:v>
                </c:pt>
                <c:pt idx="195">
                  <c:v>28.159999847412131</c:v>
                </c:pt>
                <c:pt idx="196">
                  <c:v>17.079999923706101</c:v>
                </c:pt>
                <c:pt idx="197">
                  <c:v>21.979999542236289</c:v>
                </c:pt>
                <c:pt idx="198">
                  <c:v>21.079999923706101</c:v>
                </c:pt>
                <c:pt idx="199">
                  <c:v>15.989999771118224</c:v>
                </c:pt>
                <c:pt idx="200">
                  <c:v>17.440000534057589</c:v>
                </c:pt>
                <c:pt idx="201">
                  <c:v>31.25</c:v>
                </c:pt>
                <c:pt idx="202">
                  <c:v>33.790000915527528</c:v>
                </c:pt>
                <c:pt idx="203">
                  <c:v>11.449999809265124</c:v>
                </c:pt>
                <c:pt idx="204">
                  <c:v>10.899999618530362</c:v>
                </c:pt>
                <c:pt idx="205">
                  <c:v>11.989999771118224</c:v>
                </c:pt>
                <c:pt idx="206">
                  <c:v>18.889999389648388</c:v>
                </c:pt>
                <c:pt idx="207">
                  <c:v>21.979999542236289</c:v>
                </c:pt>
                <c:pt idx="208">
                  <c:v>21.620000839233267</c:v>
                </c:pt>
                <c:pt idx="209">
                  <c:v>18.350000381469702</c:v>
                </c:pt>
                <c:pt idx="210">
                  <c:v>22.530000686645501</c:v>
                </c:pt>
                <c:pt idx="211">
                  <c:v>23.260000228881786</c:v>
                </c:pt>
                <c:pt idx="212">
                  <c:v>23.260000228881786</c:v>
                </c:pt>
                <c:pt idx="213">
                  <c:v>25.069999694824187</c:v>
                </c:pt>
                <c:pt idx="214">
                  <c:v>18.530000686645501</c:v>
                </c:pt>
                <c:pt idx="215">
                  <c:v>26.340000152587887</c:v>
                </c:pt>
                <c:pt idx="216">
                  <c:v>18.170000076293899</c:v>
                </c:pt>
                <c:pt idx="217">
                  <c:v>19.260000228881786</c:v>
                </c:pt>
                <c:pt idx="218">
                  <c:v>24.159999847412131</c:v>
                </c:pt>
                <c:pt idx="219">
                  <c:v>21.620000839233267</c:v>
                </c:pt>
                <c:pt idx="220">
                  <c:v>19.620000839233267</c:v>
                </c:pt>
                <c:pt idx="221">
                  <c:v>17.440000534057589</c:v>
                </c:pt>
                <c:pt idx="222">
                  <c:v>25.620000839233267</c:v>
                </c:pt>
                <c:pt idx="223">
                  <c:v>32.700000762939503</c:v>
                </c:pt>
                <c:pt idx="224">
                  <c:v>32.700000762939503</c:v>
                </c:pt>
                <c:pt idx="225">
                  <c:v>29.430000305175689</c:v>
                </c:pt>
                <c:pt idx="226">
                  <c:v>21.260000228881786</c:v>
                </c:pt>
                <c:pt idx="227">
                  <c:v>12.539999961853001</c:v>
                </c:pt>
                <c:pt idx="228">
                  <c:v>9.4499998092651527</c:v>
                </c:pt>
                <c:pt idx="229">
                  <c:v>15.079999923706104</c:v>
                </c:pt>
                <c:pt idx="230">
                  <c:v>19.079999923706101</c:v>
                </c:pt>
                <c:pt idx="231">
                  <c:v>21.069999694824187</c:v>
                </c:pt>
                <c:pt idx="232">
                  <c:v>21.260000228881786</c:v>
                </c:pt>
                <c:pt idx="233">
                  <c:v>12.899999618530362</c:v>
                </c:pt>
                <c:pt idx="234">
                  <c:v>14.170000076293899</c:v>
                </c:pt>
                <c:pt idx="235">
                  <c:v>8.1800003051757759</c:v>
                </c:pt>
                <c:pt idx="236">
                  <c:v>3.2699999809265212</c:v>
                </c:pt>
                <c:pt idx="237">
                  <c:v>3.8199999332427801</c:v>
                </c:pt>
                <c:pt idx="238">
                  <c:v>20.709999084472699</c:v>
                </c:pt>
                <c:pt idx="239">
                  <c:v>16.350000381469702</c:v>
                </c:pt>
                <c:pt idx="240">
                  <c:v>7.9899997711181934</c:v>
                </c:pt>
                <c:pt idx="241">
                  <c:v>4.9099998474121103</c:v>
                </c:pt>
                <c:pt idx="242">
                  <c:v>14.350000381469762</c:v>
                </c:pt>
                <c:pt idx="243">
                  <c:v>16.350000381469702</c:v>
                </c:pt>
                <c:pt idx="244">
                  <c:v>31.979999542236289</c:v>
                </c:pt>
                <c:pt idx="245">
                  <c:v>41.060001373290994</c:v>
                </c:pt>
                <c:pt idx="246">
                  <c:v>25.979999542236289</c:v>
                </c:pt>
                <c:pt idx="247">
                  <c:v>21.799999237060486</c:v>
                </c:pt>
                <c:pt idx="248">
                  <c:v>19.260000228881786</c:v>
                </c:pt>
                <c:pt idx="249">
                  <c:v>21.799999237060486</c:v>
                </c:pt>
                <c:pt idx="250">
                  <c:v>30.520000457763686</c:v>
                </c:pt>
                <c:pt idx="251">
                  <c:v>25.620000839233267</c:v>
                </c:pt>
                <c:pt idx="252">
                  <c:v>30.340000152587887</c:v>
                </c:pt>
                <c:pt idx="253">
                  <c:v>33.25</c:v>
                </c:pt>
                <c:pt idx="254">
                  <c:v>18.530000686645501</c:v>
                </c:pt>
                <c:pt idx="255">
                  <c:v>32.700000762939503</c:v>
                </c:pt>
                <c:pt idx="256">
                  <c:v>22.709999084472699</c:v>
                </c:pt>
                <c:pt idx="257">
                  <c:v>32.520000457763317</c:v>
                </c:pt>
                <c:pt idx="258">
                  <c:v>31.979999542236289</c:v>
                </c:pt>
                <c:pt idx="259">
                  <c:v>26.889999389648388</c:v>
                </c:pt>
                <c:pt idx="260">
                  <c:v>32.159999847412095</c:v>
                </c:pt>
                <c:pt idx="261">
                  <c:v>29.25</c:v>
                </c:pt>
                <c:pt idx="262">
                  <c:v>33.610000610351598</c:v>
                </c:pt>
                <c:pt idx="263">
                  <c:v>33.069999694824212</c:v>
                </c:pt>
                <c:pt idx="264">
                  <c:v>20.709999084472699</c:v>
                </c:pt>
                <c:pt idx="265">
                  <c:v>12.170000076293899</c:v>
                </c:pt>
                <c:pt idx="266">
                  <c:v>9.6300001144409197</c:v>
                </c:pt>
                <c:pt idx="267">
                  <c:v>18.350000381469702</c:v>
                </c:pt>
                <c:pt idx="268">
                  <c:v>25.25</c:v>
                </c:pt>
                <c:pt idx="269">
                  <c:v>5.6300001144409197</c:v>
                </c:pt>
                <c:pt idx="270">
                  <c:v>13.989999771118224</c:v>
                </c:pt>
                <c:pt idx="271">
                  <c:v>15.810000419616706</c:v>
                </c:pt>
                <c:pt idx="272">
                  <c:v>16.530000686645501</c:v>
                </c:pt>
                <c:pt idx="273">
                  <c:v>24.889999389648388</c:v>
                </c:pt>
                <c:pt idx="274">
                  <c:v>18.709999084472699</c:v>
                </c:pt>
                <c:pt idx="275">
                  <c:v>23.069999694824187</c:v>
                </c:pt>
                <c:pt idx="276">
                  <c:v>25.069999694824187</c:v>
                </c:pt>
                <c:pt idx="277">
                  <c:v>28.159999847412131</c:v>
                </c:pt>
                <c:pt idx="278">
                  <c:v>27.430000305175689</c:v>
                </c:pt>
                <c:pt idx="279">
                  <c:v>12.350000381469762</c:v>
                </c:pt>
                <c:pt idx="280">
                  <c:v>17.799999237060486</c:v>
                </c:pt>
                <c:pt idx="281">
                  <c:v>19.079999923706101</c:v>
                </c:pt>
                <c:pt idx="282">
                  <c:v>24.159999847412131</c:v>
                </c:pt>
                <c:pt idx="283">
                  <c:v>30.889999389648388</c:v>
                </c:pt>
                <c:pt idx="284">
                  <c:v>29.799999237060486</c:v>
                </c:pt>
                <c:pt idx="285">
                  <c:v>33.979999542236094</c:v>
                </c:pt>
                <c:pt idx="286">
                  <c:v>43.599998474121321</c:v>
                </c:pt>
                <c:pt idx="287">
                  <c:v>65.410003662109943</c:v>
                </c:pt>
                <c:pt idx="288">
                  <c:v>47.060001373290994</c:v>
                </c:pt>
                <c:pt idx="289">
                  <c:v>17.260000228881786</c:v>
                </c:pt>
                <c:pt idx="290">
                  <c:v>7.9899997711181934</c:v>
                </c:pt>
                <c:pt idx="291">
                  <c:v>10.359999656677312</c:v>
                </c:pt>
                <c:pt idx="292">
                  <c:v>18.709999084472699</c:v>
                </c:pt>
                <c:pt idx="293">
                  <c:v>23.260000228881786</c:v>
                </c:pt>
                <c:pt idx="294">
                  <c:v>19.989999771118189</c:v>
                </c:pt>
                <c:pt idx="295">
                  <c:v>18.350000381469702</c:v>
                </c:pt>
                <c:pt idx="296">
                  <c:v>5.2699999809265101</c:v>
                </c:pt>
                <c:pt idx="297">
                  <c:v>8.8999996185303267</c:v>
                </c:pt>
                <c:pt idx="298">
                  <c:v>11.6300001144409</c:v>
                </c:pt>
                <c:pt idx="299">
                  <c:v>13.079999923706104</c:v>
                </c:pt>
                <c:pt idx="300">
                  <c:v>19.440000534057589</c:v>
                </c:pt>
                <c:pt idx="301">
                  <c:v>19.620000839233267</c:v>
                </c:pt>
                <c:pt idx="302">
                  <c:v>32.700000762939503</c:v>
                </c:pt>
                <c:pt idx="303">
                  <c:v>37.790000915527528</c:v>
                </c:pt>
                <c:pt idx="304">
                  <c:v>51.779998779296896</c:v>
                </c:pt>
                <c:pt idx="305">
                  <c:v>42.150001525878899</c:v>
                </c:pt>
                <c:pt idx="306">
                  <c:v>38.340000152587898</c:v>
                </c:pt>
                <c:pt idx="307">
                  <c:v>57.779998779296896</c:v>
                </c:pt>
                <c:pt idx="308">
                  <c:v>48.689998626709013</c:v>
                </c:pt>
                <c:pt idx="309">
                  <c:v>44.689998626709013</c:v>
                </c:pt>
                <c:pt idx="310">
                  <c:v>76.489997863769489</c:v>
                </c:pt>
                <c:pt idx="311">
                  <c:v>41.790000915527528</c:v>
                </c:pt>
                <c:pt idx="312">
                  <c:v>22.530000686645501</c:v>
                </c:pt>
                <c:pt idx="313">
                  <c:v>33.069999694824212</c:v>
                </c:pt>
                <c:pt idx="314">
                  <c:v>36.150001525878899</c:v>
                </c:pt>
                <c:pt idx="315">
                  <c:v>34.340000152587898</c:v>
                </c:pt>
                <c:pt idx="316">
                  <c:v>8.3599996566773456</c:v>
                </c:pt>
                <c:pt idx="317">
                  <c:v>19.799999237060486</c:v>
                </c:pt>
                <c:pt idx="318">
                  <c:v>20.350000381469702</c:v>
                </c:pt>
                <c:pt idx="319">
                  <c:v>17.079999923706101</c:v>
                </c:pt>
                <c:pt idx="320">
                  <c:v>12.539999961853001</c:v>
                </c:pt>
                <c:pt idx="321">
                  <c:v>2.1800000667572146</c:v>
                </c:pt>
                <c:pt idx="322">
                  <c:v>3.8199999332427801</c:v>
                </c:pt>
                <c:pt idx="323">
                  <c:v>4.5399999618530424</c:v>
                </c:pt>
                <c:pt idx="324">
                  <c:v>2.1800000667572146</c:v>
                </c:pt>
                <c:pt idx="325">
                  <c:v>9.9899997711181605</c:v>
                </c:pt>
                <c:pt idx="326">
                  <c:v>19.440000534057589</c:v>
                </c:pt>
                <c:pt idx="327">
                  <c:v>5.2699999809265101</c:v>
                </c:pt>
                <c:pt idx="328">
                  <c:v>27.069999694824187</c:v>
                </c:pt>
                <c:pt idx="329">
                  <c:v>19.989999771118189</c:v>
                </c:pt>
                <c:pt idx="330">
                  <c:v>19.799999237060486</c:v>
                </c:pt>
                <c:pt idx="331">
                  <c:v>15.810000419616706</c:v>
                </c:pt>
                <c:pt idx="332">
                  <c:v>21.260000228881786</c:v>
                </c:pt>
                <c:pt idx="333">
                  <c:v>32.159999847412095</c:v>
                </c:pt>
                <c:pt idx="334">
                  <c:v>21.620000839233267</c:v>
                </c:pt>
                <c:pt idx="335">
                  <c:v>24.350000381469702</c:v>
                </c:pt>
                <c:pt idx="336">
                  <c:v>8.8999996185303267</c:v>
                </c:pt>
                <c:pt idx="337">
                  <c:v>12.7200002670288</c:v>
                </c:pt>
                <c:pt idx="338">
                  <c:v>20.889999389648388</c:v>
                </c:pt>
                <c:pt idx="339">
                  <c:v>17.809999465942528</c:v>
                </c:pt>
                <c:pt idx="340">
                  <c:v>7.9899997711181934</c:v>
                </c:pt>
                <c:pt idx="341">
                  <c:v>24.350000381469702</c:v>
                </c:pt>
                <c:pt idx="342">
                  <c:v>3.8199999332427801</c:v>
                </c:pt>
                <c:pt idx="343">
                  <c:v>7.4499998092651403</c:v>
                </c:pt>
                <c:pt idx="344">
                  <c:v>13.810000419616706</c:v>
                </c:pt>
                <c:pt idx="345">
                  <c:v>27.430000305175689</c:v>
                </c:pt>
                <c:pt idx="346">
                  <c:v>20.889999389648388</c:v>
                </c:pt>
                <c:pt idx="347">
                  <c:v>40.150001525878899</c:v>
                </c:pt>
                <c:pt idx="348">
                  <c:v>40.520000457763317</c:v>
                </c:pt>
                <c:pt idx="349">
                  <c:v>15.2600002288818</c:v>
                </c:pt>
                <c:pt idx="350">
                  <c:v>42.880001068114971</c:v>
                </c:pt>
                <c:pt idx="351">
                  <c:v>35.610000610351598</c:v>
                </c:pt>
                <c:pt idx="352">
                  <c:v>19.440000534057589</c:v>
                </c:pt>
                <c:pt idx="353">
                  <c:v>45.599998474121321</c:v>
                </c:pt>
                <c:pt idx="354">
                  <c:v>14.7200002670288</c:v>
                </c:pt>
                <c:pt idx="355">
                  <c:v>19.440000534057589</c:v>
                </c:pt>
                <c:pt idx="356">
                  <c:v>10.539999961853001</c:v>
                </c:pt>
                <c:pt idx="357">
                  <c:v>10.170000076293899</c:v>
                </c:pt>
                <c:pt idx="358">
                  <c:v>28.340000152587887</c:v>
                </c:pt>
                <c:pt idx="359">
                  <c:v>7.9899997711181934</c:v>
                </c:pt>
                <c:pt idx="360">
                  <c:v>8.5399999618530185</c:v>
                </c:pt>
                <c:pt idx="361">
                  <c:v>7.6300001144409197</c:v>
                </c:pt>
                <c:pt idx="362">
                  <c:v>6.3600001335143999</c:v>
                </c:pt>
                <c:pt idx="363">
                  <c:v>8.7200002670288104</c:v>
                </c:pt>
                <c:pt idx="364">
                  <c:v>15.6199998855591</c:v>
                </c:pt>
              </c:numCache>
            </c:numRef>
          </c:val>
        </c:ser>
        <c:ser>
          <c:idx val="1"/>
          <c:order val="1"/>
          <c:tx>
            <c:strRef>
              <c:f>Data!$C$1</c:f>
              <c:strCache>
                <c:ptCount val="1"/>
                <c:pt idx="0">
                  <c:v>PM10grv - daily limit</c:v>
                </c:pt>
              </c:strCache>
            </c:strRef>
          </c:tx>
          <c:spPr>
            <a:ln w="25400">
              <a:solidFill>
                <a:srgbClr val="FF00FF"/>
              </a:solidFill>
              <a:prstDash val="solid"/>
            </a:ln>
          </c:spPr>
          <c:marker>
            <c:symbol val="none"/>
          </c:marker>
          <c:cat>
            <c:strRef>
              <c:f>Data!$A$2:$A$366</c:f>
              <c:strCache>
                <c:ptCount val="365"/>
                <c:pt idx="0">
                  <c:v>01 Jan 2014</c:v>
                </c:pt>
                <c:pt idx="1">
                  <c:v>02 Jan 2014</c:v>
                </c:pt>
                <c:pt idx="2">
                  <c:v>03 Jan 2014</c:v>
                </c:pt>
                <c:pt idx="3">
                  <c:v>04 Jan 2014</c:v>
                </c:pt>
                <c:pt idx="4">
                  <c:v>05 Jan 2014</c:v>
                </c:pt>
                <c:pt idx="5">
                  <c:v>06 Jan 2014</c:v>
                </c:pt>
                <c:pt idx="6">
                  <c:v>07 Jan 2014</c:v>
                </c:pt>
                <c:pt idx="7">
                  <c:v>08 Jan 2014</c:v>
                </c:pt>
                <c:pt idx="8">
                  <c:v>09 Jan 2014</c:v>
                </c:pt>
                <c:pt idx="9">
                  <c:v>10 Jan 2014</c:v>
                </c:pt>
                <c:pt idx="10">
                  <c:v>11 Jan 2014</c:v>
                </c:pt>
                <c:pt idx="11">
                  <c:v>12 Jan 2014</c:v>
                </c:pt>
                <c:pt idx="12">
                  <c:v>13 Jan 2014</c:v>
                </c:pt>
                <c:pt idx="13">
                  <c:v>14 Jan 2014</c:v>
                </c:pt>
                <c:pt idx="14">
                  <c:v>15 Jan 2014</c:v>
                </c:pt>
                <c:pt idx="15">
                  <c:v>16 Jan 2014</c:v>
                </c:pt>
                <c:pt idx="16">
                  <c:v>17 Jan 2014</c:v>
                </c:pt>
                <c:pt idx="17">
                  <c:v>18 Jan 2014</c:v>
                </c:pt>
                <c:pt idx="18">
                  <c:v>19 Jan 2014</c:v>
                </c:pt>
                <c:pt idx="19">
                  <c:v>20 Jan 2014</c:v>
                </c:pt>
                <c:pt idx="20">
                  <c:v>21 Jan 2014</c:v>
                </c:pt>
                <c:pt idx="21">
                  <c:v>22 Jan 2014</c:v>
                </c:pt>
                <c:pt idx="22">
                  <c:v>23 Jan 2014</c:v>
                </c:pt>
                <c:pt idx="23">
                  <c:v>24 Jan 2014</c:v>
                </c:pt>
                <c:pt idx="24">
                  <c:v>25 Jan 2014</c:v>
                </c:pt>
                <c:pt idx="25">
                  <c:v>26 Jan 2014</c:v>
                </c:pt>
                <c:pt idx="26">
                  <c:v>27 Jan 2014</c:v>
                </c:pt>
                <c:pt idx="27">
                  <c:v>28 Jan 2014</c:v>
                </c:pt>
                <c:pt idx="28">
                  <c:v>29 Jan 2014</c:v>
                </c:pt>
                <c:pt idx="29">
                  <c:v>30 Jan 2014</c:v>
                </c:pt>
                <c:pt idx="30">
                  <c:v>31 Jan 2014</c:v>
                </c:pt>
                <c:pt idx="31">
                  <c:v>01 Feb 2014</c:v>
                </c:pt>
                <c:pt idx="32">
                  <c:v>02 Feb 2014</c:v>
                </c:pt>
                <c:pt idx="33">
                  <c:v>03 Feb 2014</c:v>
                </c:pt>
                <c:pt idx="34">
                  <c:v>04 Feb 2014</c:v>
                </c:pt>
                <c:pt idx="35">
                  <c:v>05 Feb 2014</c:v>
                </c:pt>
                <c:pt idx="36">
                  <c:v>06 Feb 2014</c:v>
                </c:pt>
                <c:pt idx="37">
                  <c:v>07 Feb 2014</c:v>
                </c:pt>
                <c:pt idx="38">
                  <c:v>08 Feb 2014</c:v>
                </c:pt>
                <c:pt idx="39">
                  <c:v>09 Feb 2014</c:v>
                </c:pt>
                <c:pt idx="40">
                  <c:v>10 Feb 2014</c:v>
                </c:pt>
                <c:pt idx="41">
                  <c:v>11 Feb 2014</c:v>
                </c:pt>
                <c:pt idx="42">
                  <c:v>12 Feb 2014</c:v>
                </c:pt>
                <c:pt idx="43">
                  <c:v>13 Feb 2014</c:v>
                </c:pt>
                <c:pt idx="44">
                  <c:v>14 Feb 2014</c:v>
                </c:pt>
                <c:pt idx="45">
                  <c:v>15 Feb 2014</c:v>
                </c:pt>
                <c:pt idx="46">
                  <c:v>16 Feb 2014</c:v>
                </c:pt>
                <c:pt idx="47">
                  <c:v>17 Feb 2014</c:v>
                </c:pt>
                <c:pt idx="48">
                  <c:v>18 Feb 2014</c:v>
                </c:pt>
                <c:pt idx="49">
                  <c:v>19 Feb 2014</c:v>
                </c:pt>
                <c:pt idx="50">
                  <c:v>20 Feb 2014</c:v>
                </c:pt>
                <c:pt idx="51">
                  <c:v>21 Feb 2014</c:v>
                </c:pt>
                <c:pt idx="52">
                  <c:v>22 Feb 2014</c:v>
                </c:pt>
                <c:pt idx="53">
                  <c:v>23 Feb 2014</c:v>
                </c:pt>
                <c:pt idx="54">
                  <c:v>24 Feb 2014</c:v>
                </c:pt>
                <c:pt idx="55">
                  <c:v>25 Feb 2014</c:v>
                </c:pt>
                <c:pt idx="56">
                  <c:v>26 Feb 2014</c:v>
                </c:pt>
                <c:pt idx="57">
                  <c:v>27 Feb 2014</c:v>
                </c:pt>
                <c:pt idx="58">
                  <c:v>28 Feb 2014</c:v>
                </c:pt>
                <c:pt idx="59">
                  <c:v>01 Mar 2014</c:v>
                </c:pt>
                <c:pt idx="60">
                  <c:v>02 Mar 2014</c:v>
                </c:pt>
                <c:pt idx="61">
                  <c:v>03 Mar 2014</c:v>
                </c:pt>
                <c:pt idx="62">
                  <c:v>04 Mar 2014</c:v>
                </c:pt>
                <c:pt idx="63">
                  <c:v>05 Mar 2014</c:v>
                </c:pt>
                <c:pt idx="64">
                  <c:v>06 Mar 2014</c:v>
                </c:pt>
                <c:pt idx="65">
                  <c:v>07 Mar 2014</c:v>
                </c:pt>
                <c:pt idx="66">
                  <c:v>08 Mar 2014</c:v>
                </c:pt>
                <c:pt idx="67">
                  <c:v>09 Mar 2014</c:v>
                </c:pt>
                <c:pt idx="68">
                  <c:v>10 Mar 2014</c:v>
                </c:pt>
                <c:pt idx="69">
                  <c:v>11 Mar 2014</c:v>
                </c:pt>
                <c:pt idx="70">
                  <c:v>12 Mar 2014</c:v>
                </c:pt>
                <c:pt idx="71">
                  <c:v>13 Mar 2014</c:v>
                </c:pt>
                <c:pt idx="72">
                  <c:v>14 Mar 2014</c:v>
                </c:pt>
                <c:pt idx="73">
                  <c:v>15 Mar 2014</c:v>
                </c:pt>
                <c:pt idx="74">
                  <c:v>16 Mar 2014</c:v>
                </c:pt>
                <c:pt idx="75">
                  <c:v>17 Mar 2014</c:v>
                </c:pt>
                <c:pt idx="76">
                  <c:v>18 Mar 2014</c:v>
                </c:pt>
                <c:pt idx="77">
                  <c:v>19 Mar 2014</c:v>
                </c:pt>
                <c:pt idx="78">
                  <c:v>20 Mar 2014</c:v>
                </c:pt>
                <c:pt idx="79">
                  <c:v>21 Mar 2014</c:v>
                </c:pt>
                <c:pt idx="80">
                  <c:v>22 Mar 2014</c:v>
                </c:pt>
                <c:pt idx="81">
                  <c:v>23 Mar 2014</c:v>
                </c:pt>
                <c:pt idx="82">
                  <c:v>24 Mar 2014</c:v>
                </c:pt>
                <c:pt idx="83">
                  <c:v>25 Mar 2014</c:v>
                </c:pt>
                <c:pt idx="84">
                  <c:v>26 Mar 2014</c:v>
                </c:pt>
                <c:pt idx="85">
                  <c:v>27 Mar 2014</c:v>
                </c:pt>
                <c:pt idx="86">
                  <c:v>28 Mar 2014</c:v>
                </c:pt>
                <c:pt idx="87">
                  <c:v>29 Mar 2014</c:v>
                </c:pt>
                <c:pt idx="88">
                  <c:v>30 Mar 2014</c:v>
                </c:pt>
                <c:pt idx="89">
                  <c:v>31 Mar 2014</c:v>
                </c:pt>
                <c:pt idx="90">
                  <c:v>01 Apr 2014</c:v>
                </c:pt>
                <c:pt idx="91">
                  <c:v>02 Apr 2014</c:v>
                </c:pt>
                <c:pt idx="92">
                  <c:v>03 Apr 2014</c:v>
                </c:pt>
                <c:pt idx="93">
                  <c:v>04 Apr 2014</c:v>
                </c:pt>
                <c:pt idx="94">
                  <c:v>05 Apr 2014</c:v>
                </c:pt>
                <c:pt idx="95">
                  <c:v>06 Apr 2014</c:v>
                </c:pt>
                <c:pt idx="96">
                  <c:v>07 Apr 2014</c:v>
                </c:pt>
                <c:pt idx="97">
                  <c:v>08 Apr 2014</c:v>
                </c:pt>
                <c:pt idx="98">
                  <c:v>09 Apr 2014</c:v>
                </c:pt>
                <c:pt idx="99">
                  <c:v>10 Apr 2014</c:v>
                </c:pt>
                <c:pt idx="100">
                  <c:v>11 Apr 2014</c:v>
                </c:pt>
                <c:pt idx="101">
                  <c:v>12 Apr 2014</c:v>
                </c:pt>
                <c:pt idx="102">
                  <c:v>13 Apr 2014</c:v>
                </c:pt>
                <c:pt idx="103">
                  <c:v>14 Apr 2014</c:v>
                </c:pt>
                <c:pt idx="104">
                  <c:v>15 Apr 2014</c:v>
                </c:pt>
                <c:pt idx="105">
                  <c:v>16 Apr 2014</c:v>
                </c:pt>
                <c:pt idx="106">
                  <c:v>17 Apr 2014</c:v>
                </c:pt>
                <c:pt idx="107">
                  <c:v>18 Apr 2014</c:v>
                </c:pt>
                <c:pt idx="108">
                  <c:v>19 Apr 2014</c:v>
                </c:pt>
                <c:pt idx="109">
                  <c:v>20 Apr 2014</c:v>
                </c:pt>
                <c:pt idx="110">
                  <c:v>21 Apr 2014</c:v>
                </c:pt>
                <c:pt idx="111">
                  <c:v>22 Apr 2014</c:v>
                </c:pt>
                <c:pt idx="112">
                  <c:v>23 Apr 2014</c:v>
                </c:pt>
                <c:pt idx="113">
                  <c:v>24 Apr 2014</c:v>
                </c:pt>
                <c:pt idx="114">
                  <c:v>25 Apr 2014</c:v>
                </c:pt>
                <c:pt idx="115">
                  <c:v>26 Apr 2014</c:v>
                </c:pt>
                <c:pt idx="116">
                  <c:v>27 Apr 2014</c:v>
                </c:pt>
                <c:pt idx="117">
                  <c:v>28 Apr 2014</c:v>
                </c:pt>
                <c:pt idx="118">
                  <c:v>29 Apr 2014</c:v>
                </c:pt>
                <c:pt idx="119">
                  <c:v>30 Apr 2014</c:v>
                </c:pt>
                <c:pt idx="120">
                  <c:v>01 May 2014</c:v>
                </c:pt>
                <c:pt idx="121">
                  <c:v>02 May 2014</c:v>
                </c:pt>
                <c:pt idx="122">
                  <c:v>03 May 2014</c:v>
                </c:pt>
                <c:pt idx="123">
                  <c:v>04 May 2014</c:v>
                </c:pt>
                <c:pt idx="124">
                  <c:v>05 May 2014</c:v>
                </c:pt>
                <c:pt idx="125">
                  <c:v>06 May 2014</c:v>
                </c:pt>
                <c:pt idx="126">
                  <c:v>07 May 2014</c:v>
                </c:pt>
                <c:pt idx="127">
                  <c:v>08 May 2014</c:v>
                </c:pt>
                <c:pt idx="128">
                  <c:v>09 May 2014</c:v>
                </c:pt>
                <c:pt idx="129">
                  <c:v>10 May 2014</c:v>
                </c:pt>
                <c:pt idx="130">
                  <c:v>11 May 2014</c:v>
                </c:pt>
                <c:pt idx="131">
                  <c:v>12 May 2014</c:v>
                </c:pt>
                <c:pt idx="132">
                  <c:v>13 May 2014</c:v>
                </c:pt>
                <c:pt idx="133">
                  <c:v>14 May 2014</c:v>
                </c:pt>
                <c:pt idx="134">
                  <c:v>15 May 2014</c:v>
                </c:pt>
                <c:pt idx="135">
                  <c:v>16 May 2014</c:v>
                </c:pt>
                <c:pt idx="136">
                  <c:v>17 May 2014</c:v>
                </c:pt>
                <c:pt idx="137">
                  <c:v>18 May 2014</c:v>
                </c:pt>
                <c:pt idx="138">
                  <c:v>19 May 2014</c:v>
                </c:pt>
                <c:pt idx="139">
                  <c:v>20 May 2014</c:v>
                </c:pt>
                <c:pt idx="140">
                  <c:v>21 May 2014</c:v>
                </c:pt>
                <c:pt idx="141">
                  <c:v>22 May 2014</c:v>
                </c:pt>
                <c:pt idx="142">
                  <c:v>23 May 2014</c:v>
                </c:pt>
                <c:pt idx="143">
                  <c:v>24 May 2014</c:v>
                </c:pt>
                <c:pt idx="144">
                  <c:v>25 May 2014</c:v>
                </c:pt>
                <c:pt idx="145">
                  <c:v>26 May 2014</c:v>
                </c:pt>
                <c:pt idx="146">
                  <c:v>27 May 2014</c:v>
                </c:pt>
                <c:pt idx="147">
                  <c:v>28 May 2014</c:v>
                </c:pt>
                <c:pt idx="148">
                  <c:v>29 May 2014</c:v>
                </c:pt>
                <c:pt idx="149">
                  <c:v>30 May 2014</c:v>
                </c:pt>
                <c:pt idx="150">
                  <c:v>31 May 2014</c:v>
                </c:pt>
                <c:pt idx="151">
                  <c:v>01 Jun 2014</c:v>
                </c:pt>
                <c:pt idx="152">
                  <c:v>02 Jun 2014</c:v>
                </c:pt>
                <c:pt idx="153">
                  <c:v>03 Jun 2014</c:v>
                </c:pt>
                <c:pt idx="154">
                  <c:v>04 Jun 2014</c:v>
                </c:pt>
                <c:pt idx="155">
                  <c:v>05 Jun 2014</c:v>
                </c:pt>
                <c:pt idx="156">
                  <c:v>06 Jun 2014</c:v>
                </c:pt>
                <c:pt idx="157">
                  <c:v>07 Jun 2014</c:v>
                </c:pt>
                <c:pt idx="158">
                  <c:v>08 Jun 2014</c:v>
                </c:pt>
                <c:pt idx="159">
                  <c:v>09 Jun 2014</c:v>
                </c:pt>
                <c:pt idx="160">
                  <c:v>10 Jun 2014</c:v>
                </c:pt>
                <c:pt idx="161">
                  <c:v>11 Jun 2014</c:v>
                </c:pt>
                <c:pt idx="162">
                  <c:v>12 Jun 2014</c:v>
                </c:pt>
                <c:pt idx="163">
                  <c:v>13 Jun 2014</c:v>
                </c:pt>
                <c:pt idx="164">
                  <c:v>14 Jun 2014</c:v>
                </c:pt>
                <c:pt idx="165">
                  <c:v>15 Jun 2014</c:v>
                </c:pt>
                <c:pt idx="166">
                  <c:v>16 Jun 2014</c:v>
                </c:pt>
                <c:pt idx="167">
                  <c:v>17 Jun 2014</c:v>
                </c:pt>
                <c:pt idx="168">
                  <c:v>18 Jun 2014</c:v>
                </c:pt>
                <c:pt idx="169">
                  <c:v>19 Jun 2014</c:v>
                </c:pt>
                <c:pt idx="170">
                  <c:v>20 Jun 2014</c:v>
                </c:pt>
                <c:pt idx="171">
                  <c:v>21 Jun 2014</c:v>
                </c:pt>
                <c:pt idx="172">
                  <c:v>22 Jun 2014</c:v>
                </c:pt>
                <c:pt idx="173">
                  <c:v>23 Jun 2014</c:v>
                </c:pt>
                <c:pt idx="174">
                  <c:v>24 Jun 2014</c:v>
                </c:pt>
                <c:pt idx="175">
                  <c:v>25 Jun 2014</c:v>
                </c:pt>
                <c:pt idx="176">
                  <c:v>26 Jun 2014</c:v>
                </c:pt>
                <c:pt idx="177">
                  <c:v>27 Jun 2014</c:v>
                </c:pt>
                <c:pt idx="178">
                  <c:v>28 Jun 2014</c:v>
                </c:pt>
                <c:pt idx="179">
                  <c:v>29 Jun 2014</c:v>
                </c:pt>
                <c:pt idx="180">
                  <c:v>30 Jun 2014</c:v>
                </c:pt>
                <c:pt idx="181">
                  <c:v>01 Jul 2014</c:v>
                </c:pt>
                <c:pt idx="182">
                  <c:v>02 Jul 2014</c:v>
                </c:pt>
                <c:pt idx="183">
                  <c:v>03 Jul 2014</c:v>
                </c:pt>
                <c:pt idx="184">
                  <c:v>04 Jul 2014</c:v>
                </c:pt>
                <c:pt idx="185">
                  <c:v>05 Jul 2014</c:v>
                </c:pt>
                <c:pt idx="186">
                  <c:v>06 Jul 2014</c:v>
                </c:pt>
                <c:pt idx="187">
                  <c:v>07 Jul 2014</c:v>
                </c:pt>
                <c:pt idx="188">
                  <c:v>08 Jul 2014</c:v>
                </c:pt>
                <c:pt idx="189">
                  <c:v>09 Jul 2014</c:v>
                </c:pt>
                <c:pt idx="190">
                  <c:v>10 Jul 2014</c:v>
                </c:pt>
                <c:pt idx="191">
                  <c:v>11 Jul 2014</c:v>
                </c:pt>
                <c:pt idx="192">
                  <c:v>12 Jul 2014</c:v>
                </c:pt>
                <c:pt idx="193">
                  <c:v>13 Jul 2014</c:v>
                </c:pt>
                <c:pt idx="194">
                  <c:v>14 Jul 2014</c:v>
                </c:pt>
                <c:pt idx="195">
                  <c:v>15 Jul 2014</c:v>
                </c:pt>
                <c:pt idx="196">
                  <c:v>16 Jul 2014</c:v>
                </c:pt>
                <c:pt idx="197">
                  <c:v>17 Jul 2014</c:v>
                </c:pt>
                <c:pt idx="198">
                  <c:v>18 Jul 2014</c:v>
                </c:pt>
                <c:pt idx="199">
                  <c:v>19 Jul 2014</c:v>
                </c:pt>
                <c:pt idx="200">
                  <c:v>20 Jul 2014</c:v>
                </c:pt>
                <c:pt idx="201">
                  <c:v>21 Jul 2014</c:v>
                </c:pt>
                <c:pt idx="202">
                  <c:v>22 Jul 2014</c:v>
                </c:pt>
                <c:pt idx="203">
                  <c:v>23 Jul 2014</c:v>
                </c:pt>
                <c:pt idx="204">
                  <c:v>24 Jul 2014</c:v>
                </c:pt>
                <c:pt idx="205">
                  <c:v>25 Jul 2014</c:v>
                </c:pt>
                <c:pt idx="206">
                  <c:v>26 Jul 2014</c:v>
                </c:pt>
                <c:pt idx="207">
                  <c:v>27 Jul 2014</c:v>
                </c:pt>
                <c:pt idx="208">
                  <c:v>28 Jul 2014</c:v>
                </c:pt>
                <c:pt idx="209">
                  <c:v>29 Jul 2014</c:v>
                </c:pt>
                <c:pt idx="210">
                  <c:v>30 Jul 2014</c:v>
                </c:pt>
                <c:pt idx="211">
                  <c:v>31 Jul 2014</c:v>
                </c:pt>
                <c:pt idx="212">
                  <c:v>01 Aug 2014</c:v>
                </c:pt>
                <c:pt idx="213">
                  <c:v>02 Aug 2014</c:v>
                </c:pt>
                <c:pt idx="214">
                  <c:v>03 Aug 2014</c:v>
                </c:pt>
                <c:pt idx="215">
                  <c:v>04 Aug 2014</c:v>
                </c:pt>
                <c:pt idx="216">
                  <c:v>05 Aug 2014</c:v>
                </c:pt>
                <c:pt idx="217">
                  <c:v>06 Aug 2014</c:v>
                </c:pt>
                <c:pt idx="218">
                  <c:v>07 Aug 2014</c:v>
                </c:pt>
                <c:pt idx="219">
                  <c:v>08 Aug 2014</c:v>
                </c:pt>
                <c:pt idx="220">
                  <c:v>09 Aug 2014</c:v>
                </c:pt>
                <c:pt idx="221">
                  <c:v>10 Aug 2014</c:v>
                </c:pt>
                <c:pt idx="222">
                  <c:v>11 Aug 2014</c:v>
                </c:pt>
                <c:pt idx="223">
                  <c:v>12 Aug 2014</c:v>
                </c:pt>
                <c:pt idx="224">
                  <c:v>13 Aug 2014</c:v>
                </c:pt>
                <c:pt idx="225">
                  <c:v>14 Aug 2014</c:v>
                </c:pt>
                <c:pt idx="226">
                  <c:v>15 Aug 2014</c:v>
                </c:pt>
                <c:pt idx="227">
                  <c:v>16 Aug 2014</c:v>
                </c:pt>
                <c:pt idx="228">
                  <c:v>17 Aug 2014</c:v>
                </c:pt>
                <c:pt idx="229">
                  <c:v>18 Aug 2014</c:v>
                </c:pt>
                <c:pt idx="230">
                  <c:v>19 Aug 2014</c:v>
                </c:pt>
                <c:pt idx="231">
                  <c:v>20 Aug 2014</c:v>
                </c:pt>
                <c:pt idx="232">
                  <c:v>21 Aug 2014</c:v>
                </c:pt>
                <c:pt idx="233">
                  <c:v>22 Aug 2014</c:v>
                </c:pt>
                <c:pt idx="234">
                  <c:v>23 Aug 2014</c:v>
                </c:pt>
                <c:pt idx="235">
                  <c:v>24 Aug 2014</c:v>
                </c:pt>
                <c:pt idx="236">
                  <c:v>25 Aug 2014</c:v>
                </c:pt>
                <c:pt idx="237">
                  <c:v>26 Aug 2014</c:v>
                </c:pt>
                <c:pt idx="238">
                  <c:v>27 Aug 2014</c:v>
                </c:pt>
                <c:pt idx="239">
                  <c:v>28 Aug 2014</c:v>
                </c:pt>
                <c:pt idx="240">
                  <c:v>29 Aug 2014</c:v>
                </c:pt>
                <c:pt idx="241">
                  <c:v>30 Aug 2014</c:v>
                </c:pt>
                <c:pt idx="242">
                  <c:v>31 Aug 2014</c:v>
                </c:pt>
                <c:pt idx="243">
                  <c:v>01 Sep 2014</c:v>
                </c:pt>
                <c:pt idx="244">
                  <c:v>02 Sep 2014</c:v>
                </c:pt>
                <c:pt idx="245">
                  <c:v>03 Sep 2014</c:v>
                </c:pt>
                <c:pt idx="246">
                  <c:v>04 Sep 2014</c:v>
                </c:pt>
                <c:pt idx="247">
                  <c:v>05 Sep 2014</c:v>
                </c:pt>
                <c:pt idx="248">
                  <c:v>06 Sep 2014</c:v>
                </c:pt>
                <c:pt idx="249">
                  <c:v>07 Sep 2014</c:v>
                </c:pt>
                <c:pt idx="250">
                  <c:v>08 Sep 2014</c:v>
                </c:pt>
                <c:pt idx="251">
                  <c:v>09 Sep 2014</c:v>
                </c:pt>
                <c:pt idx="252">
                  <c:v>10 Sep 2014</c:v>
                </c:pt>
                <c:pt idx="253">
                  <c:v>11 Sep 2014</c:v>
                </c:pt>
                <c:pt idx="254">
                  <c:v>12 Sep 2014</c:v>
                </c:pt>
                <c:pt idx="255">
                  <c:v>13 Sep 2014</c:v>
                </c:pt>
                <c:pt idx="256">
                  <c:v>14 Sep 2014</c:v>
                </c:pt>
                <c:pt idx="257">
                  <c:v>15 Sep 2014</c:v>
                </c:pt>
                <c:pt idx="258">
                  <c:v>16 Sep 2014</c:v>
                </c:pt>
                <c:pt idx="259">
                  <c:v>17 Sep 2014</c:v>
                </c:pt>
                <c:pt idx="260">
                  <c:v>18 Sep 2014</c:v>
                </c:pt>
                <c:pt idx="261">
                  <c:v>19 Sep 2014</c:v>
                </c:pt>
                <c:pt idx="262">
                  <c:v>20 Sep 2014</c:v>
                </c:pt>
                <c:pt idx="263">
                  <c:v>21 Sep 2014</c:v>
                </c:pt>
                <c:pt idx="264">
                  <c:v>22 Sep 2014</c:v>
                </c:pt>
                <c:pt idx="265">
                  <c:v>23 Sep 2014</c:v>
                </c:pt>
                <c:pt idx="266">
                  <c:v>24 Sep 2014</c:v>
                </c:pt>
                <c:pt idx="267">
                  <c:v>25 Sep 2014</c:v>
                </c:pt>
                <c:pt idx="268">
                  <c:v>26 Sep 2014</c:v>
                </c:pt>
                <c:pt idx="269">
                  <c:v>27 Sep 2014</c:v>
                </c:pt>
                <c:pt idx="270">
                  <c:v>28 Sep 2014</c:v>
                </c:pt>
                <c:pt idx="271">
                  <c:v>29 Sep 2014</c:v>
                </c:pt>
                <c:pt idx="272">
                  <c:v>30 Sep 2014</c:v>
                </c:pt>
                <c:pt idx="273">
                  <c:v>01 Oct 2014</c:v>
                </c:pt>
                <c:pt idx="274">
                  <c:v>02 Oct 2014</c:v>
                </c:pt>
                <c:pt idx="275">
                  <c:v>03 Oct 2014</c:v>
                </c:pt>
                <c:pt idx="276">
                  <c:v>04 Oct 2014</c:v>
                </c:pt>
                <c:pt idx="277">
                  <c:v>05 Oct 2014</c:v>
                </c:pt>
                <c:pt idx="278">
                  <c:v>06 Oct 2014</c:v>
                </c:pt>
                <c:pt idx="279">
                  <c:v>07 Oct 2014</c:v>
                </c:pt>
                <c:pt idx="280">
                  <c:v>08 Oct 2014</c:v>
                </c:pt>
                <c:pt idx="281">
                  <c:v>09 Oct 2014</c:v>
                </c:pt>
                <c:pt idx="282">
                  <c:v>10 Oct 2014</c:v>
                </c:pt>
                <c:pt idx="283">
                  <c:v>11 Oct 2014</c:v>
                </c:pt>
                <c:pt idx="284">
                  <c:v>12 Oct 2014</c:v>
                </c:pt>
                <c:pt idx="285">
                  <c:v>13 Oct 2014</c:v>
                </c:pt>
                <c:pt idx="286">
                  <c:v>14 Oct 2014</c:v>
                </c:pt>
                <c:pt idx="287">
                  <c:v>15 Oct 2014</c:v>
                </c:pt>
                <c:pt idx="288">
                  <c:v>16 Oct 2014</c:v>
                </c:pt>
                <c:pt idx="289">
                  <c:v>17 Oct 2014</c:v>
                </c:pt>
                <c:pt idx="290">
                  <c:v>18 Oct 2014</c:v>
                </c:pt>
                <c:pt idx="291">
                  <c:v>19 Oct 2014</c:v>
                </c:pt>
                <c:pt idx="292">
                  <c:v>20 Oct 2014</c:v>
                </c:pt>
                <c:pt idx="293">
                  <c:v>21 Oct 2014</c:v>
                </c:pt>
                <c:pt idx="294">
                  <c:v>22 Oct 2014</c:v>
                </c:pt>
                <c:pt idx="295">
                  <c:v>23 Oct 2014</c:v>
                </c:pt>
                <c:pt idx="296">
                  <c:v>24 Oct 2014</c:v>
                </c:pt>
                <c:pt idx="297">
                  <c:v>25 Oct 2014</c:v>
                </c:pt>
                <c:pt idx="298">
                  <c:v>26 Oct 2014</c:v>
                </c:pt>
                <c:pt idx="299">
                  <c:v>27 Oct 2014</c:v>
                </c:pt>
                <c:pt idx="300">
                  <c:v>28 Oct 2014</c:v>
                </c:pt>
                <c:pt idx="301">
                  <c:v>29 Oct 2014</c:v>
                </c:pt>
                <c:pt idx="302">
                  <c:v>30 Oct 2014</c:v>
                </c:pt>
                <c:pt idx="303">
                  <c:v>31 Oct 2014</c:v>
                </c:pt>
                <c:pt idx="304">
                  <c:v>01 Nov 2014</c:v>
                </c:pt>
                <c:pt idx="305">
                  <c:v>02 Nov 2014</c:v>
                </c:pt>
                <c:pt idx="306">
                  <c:v>03 Nov 2014</c:v>
                </c:pt>
                <c:pt idx="307">
                  <c:v>04 Nov 2014</c:v>
                </c:pt>
                <c:pt idx="308">
                  <c:v>05 Nov 2014</c:v>
                </c:pt>
                <c:pt idx="309">
                  <c:v>06 Nov 2014</c:v>
                </c:pt>
                <c:pt idx="310">
                  <c:v>07 Nov 2014</c:v>
                </c:pt>
                <c:pt idx="311">
                  <c:v>08 Nov 2014</c:v>
                </c:pt>
                <c:pt idx="312">
                  <c:v>09 Nov 2014</c:v>
                </c:pt>
                <c:pt idx="313">
                  <c:v>10 Nov 2014</c:v>
                </c:pt>
                <c:pt idx="314">
                  <c:v>11 Nov 2014</c:v>
                </c:pt>
                <c:pt idx="315">
                  <c:v>12 Nov 2014</c:v>
                </c:pt>
                <c:pt idx="316">
                  <c:v>13 Nov 2014</c:v>
                </c:pt>
                <c:pt idx="317">
                  <c:v>14 Nov 2014</c:v>
                </c:pt>
                <c:pt idx="318">
                  <c:v>15 Nov 2014</c:v>
                </c:pt>
                <c:pt idx="319">
                  <c:v>16 Nov 2014</c:v>
                </c:pt>
                <c:pt idx="320">
                  <c:v>17 Nov 2014</c:v>
                </c:pt>
                <c:pt idx="321">
                  <c:v>18 Nov 2014</c:v>
                </c:pt>
                <c:pt idx="322">
                  <c:v>19 Nov 2014</c:v>
                </c:pt>
                <c:pt idx="323">
                  <c:v>20 Nov 2014</c:v>
                </c:pt>
                <c:pt idx="324">
                  <c:v>21 Nov 2014</c:v>
                </c:pt>
                <c:pt idx="325">
                  <c:v>22 Nov 2014</c:v>
                </c:pt>
                <c:pt idx="326">
                  <c:v>23 Nov 2014</c:v>
                </c:pt>
                <c:pt idx="327">
                  <c:v>24 Nov 2014</c:v>
                </c:pt>
                <c:pt idx="328">
                  <c:v>25 Nov 2014</c:v>
                </c:pt>
                <c:pt idx="329">
                  <c:v>26 Nov 2014</c:v>
                </c:pt>
                <c:pt idx="330">
                  <c:v>27 Nov 2014</c:v>
                </c:pt>
                <c:pt idx="331">
                  <c:v>28 Nov 2014</c:v>
                </c:pt>
                <c:pt idx="332">
                  <c:v>29 Nov 2014</c:v>
                </c:pt>
                <c:pt idx="333">
                  <c:v>30 Nov 2014</c:v>
                </c:pt>
                <c:pt idx="334">
                  <c:v>01 Dec 2014</c:v>
                </c:pt>
                <c:pt idx="335">
                  <c:v>02 Dec 2014</c:v>
                </c:pt>
                <c:pt idx="336">
                  <c:v>03 Dec 2014</c:v>
                </c:pt>
                <c:pt idx="337">
                  <c:v>04 Dec 2014</c:v>
                </c:pt>
                <c:pt idx="338">
                  <c:v>05 Dec 2014</c:v>
                </c:pt>
                <c:pt idx="339">
                  <c:v>06 Dec 2014</c:v>
                </c:pt>
                <c:pt idx="340">
                  <c:v>07 Dec 2014</c:v>
                </c:pt>
                <c:pt idx="341">
                  <c:v>08 Dec 2014</c:v>
                </c:pt>
                <c:pt idx="342">
                  <c:v>09 Dec 2014</c:v>
                </c:pt>
                <c:pt idx="343">
                  <c:v>10 Dec 2014</c:v>
                </c:pt>
                <c:pt idx="344">
                  <c:v>11 Dec 2014</c:v>
                </c:pt>
                <c:pt idx="345">
                  <c:v>12 Dec 2014</c:v>
                </c:pt>
                <c:pt idx="346">
                  <c:v>13 Dec 2014</c:v>
                </c:pt>
                <c:pt idx="347">
                  <c:v>14 Dec 2014</c:v>
                </c:pt>
                <c:pt idx="348">
                  <c:v>15 Dec 2014</c:v>
                </c:pt>
                <c:pt idx="349">
                  <c:v>16 Dec 2014</c:v>
                </c:pt>
                <c:pt idx="350">
                  <c:v>17 Dec 2014</c:v>
                </c:pt>
                <c:pt idx="351">
                  <c:v>18 Dec 2014</c:v>
                </c:pt>
                <c:pt idx="352">
                  <c:v>19 Dec 2014</c:v>
                </c:pt>
                <c:pt idx="353">
                  <c:v>20 Dec 2014</c:v>
                </c:pt>
                <c:pt idx="354">
                  <c:v>21 Dec 2014</c:v>
                </c:pt>
                <c:pt idx="355">
                  <c:v>22 Dec 2014</c:v>
                </c:pt>
                <c:pt idx="356">
                  <c:v>23 Dec 2014</c:v>
                </c:pt>
                <c:pt idx="357">
                  <c:v>24 Dec 2014</c:v>
                </c:pt>
                <c:pt idx="358">
                  <c:v>25 Dec 2014</c:v>
                </c:pt>
                <c:pt idx="359">
                  <c:v>26 Dec 2014</c:v>
                </c:pt>
                <c:pt idx="360">
                  <c:v>27 Dec 2014</c:v>
                </c:pt>
                <c:pt idx="361">
                  <c:v>28 Dec 2014</c:v>
                </c:pt>
                <c:pt idx="362">
                  <c:v>29 Dec 2014</c:v>
                </c:pt>
                <c:pt idx="363">
                  <c:v>30 Dec 2014</c:v>
                </c:pt>
                <c:pt idx="364">
                  <c:v>31 Dec 2014</c:v>
                </c:pt>
              </c:strCache>
            </c:strRef>
          </c:cat>
          <c:val>
            <c:numRef>
              <c:f>Data!$C$2:$C$366</c:f>
              <c:numCache>
                <c:formatCode>General</c:formatCode>
                <c:ptCount val="365"/>
                <c:pt idx="0">
                  <c:v>50</c:v>
                </c:pt>
                <c:pt idx="1">
                  <c:v>50</c:v>
                </c:pt>
                <c:pt idx="2" formatCode="0.00E+00">
                  <c:v>50</c:v>
                </c:pt>
                <c:pt idx="3">
                  <c:v>50</c:v>
                </c:pt>
                <c:pt idx="4">
                  <c:v>50</c:v>
                </c:pt>
                <c:pt idx="5" formatCode="0.00E+00">
                  <c:v>50</c:v>
                </c:pt>
                <c:pt idx="6">
                  <c:v>50</c:v>
                </c:pt>
                <c:pt idx="7">
                  <c:v>50</c:v>
                </c:pt>
                <c:pt idx="8">
                  <c:v>50</c:v>
                </c:pt>
                <c:pt idx="9" formatCode="0.00E+00">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pt idx="133">
                  <c:v>50</c:v>
                </c:pt>
                <c:pt idx="134">
                  <c:v>50</c:v>
                </c:pt>
                <c:pt idx="135">
                  <c:v>50</c:v>
                </c:pt>
                <c:pt idx="136">
                  <c:v>50</c:v>
                </c:pt>
                <c:pt idx="137">
                  <c:v>50</c:v>
                </c:pt>
                <c:pt idx="138">
                  <c:v>50</c:v>
                </c:pt>
                <c:pt idx="139">
                  <c:v>50</c:v>
                </c:pt>
                <c:pt idx="140">
                  <c:v>50</c:v>
                </c:pt>
                <c:pt idx="141">
                  <c:v>50</c:v>
                </c:pt>
                <c:pt idx="142">
                  <c:v>50</c:v>
                </c:pt>
                <c:pt idx="143">
                  <c:v>50</c:v>
                </c:pt>
                <c:pt idx="144">
                  <c:v>50</c:v>
                </c:pt>
                <c:pt idx="145">
                  <c:v>50</c:v>
                </c:pt>
                <c:pt idx="146">
                  <c:v>50</c:v>
                </c:pt>
                <c:pt idx="147">
                  <c:v>50</c:v>
                </c:pt>
                <c:pt idx="148">
                  <c:v>50</c:v>
                </c:pt>
                <c:pt idx="149">
                  <c:v>50</c:v>
                </c:pt>
                <c:pt idx="150">
                  <c:v>50</c:v>
                </c:pt>
                <c:pt idx="151">
                  <c:v>50</c:v>
                </c:pt>
                <c:pt idx="152">
                  <c:v>50</c:v>
                </c:pt>
                <c:pt idx="153">
                  <c:v>50</c:v>
                </c:pt>
                <c:pt idx="154">
                  <c:v>50</c:v>
                </c:pt>
                <c:pt idx="155">
                  <c:v>50</c:v>
                </c:pt>
                <c:pt idx="156">
                  <c:v>50</c:v>
                </c:pt>
                <c:pt idx="157">
                  <c:v>50</c:v>
                </c:pt>
                <c:pt idx="158">
                  <c:v>50</c:v>
                </c:pt>
                <c:pt idx="159">
                  <c:v>50</c:v>
                </c:pt>
                <c:pt idx="160">
                  <c:v>50</c:v>
                </c:pt>
                <c:pt idx="161">
                  <c:v>50</c:v>
                </c:pt>
                <c:pt idx="162">
                  <c:v>50</c:v>
                </c:pt>
                <c:pt idx="163">
                  <c:v>50</c:v>
                </c:pt>
                <c:pt idx="164">
                  <c:v>50</c:v>
                </c:pt>
                <c:pt idx="165">
                  <c:v>50</c:v>
                </c:pt>
                <c:pt idx="166">
                  <c:v>50</c:v>
                </c:pt>
                <c:pt idx="167">
                  <c:v>50</c:v>
                </c:pt>
                <c:pt idx="168">
                  <c:v>50</c:v>
                </c:pt>
                <c:pt idx="169">
                  <c:v>50</c:v>
                </c:pt>
                <c:pt idx="170">
                  <c:v>50</c:v>
                </c:pt>
                <c:pt idx="171">
                  <c:v>50</c:v>
                </c:pt>
                <c:pt idx="172">
                  <c:v>50</c:v>
                </c:pt>
                <c:pt idx="173">
                  <c:v>50</c:v>
                </c:pt>
                <c:pt idx="174">
                  <c:v>50</c:v>
                </c:pt>
                <c:pt idx="175">
                  <c:v>50</c:v>
                </c:pt>
                <c:pt idx="176">
                  <c:v>50</c:v>
                </c:pt>
                <c:pt idx="177">
                  <c:v>50</c:v>
                </c:pt>
                <c:pt idx="178">
                  <c:v>50</c:v>
                </c:pt>
                <c:pt idx="179">
                  <c:v>50</c:v>
                </c:pt>
                <c:pt idx="180">
                  <c:v>50</c:v>
                </c:pt>
                <c:pt idx="181">
                  <c:v>50</c:v>
                </c:pt>
                <c:pt idx="182">
                  <c:v>50</c:v>
                </c:pt>
                <c:pt idx="183">
                  <c:v>50</c:v>
                </c:pt>
                <c:pt idx="184">
                  <c:v>50</c:v>
                </c:pt>
                <c:pt idx="185">
                  <c:v>50</c:v>
                </c:pt>
                <c:pt idx="186">
                  <c:v>50</c:v>
                </c:pt>
                <c:pt idx="187">
                  <c:v>50</c:v>
                </c:pt>
                <c:pt idx="188">
                  <c:v>50</c:v>
                </c:pt>
                <c:pt idx="189">
                  <c:v>50</c:v>
                </c:pt>
                <c:pt idx="190">
                  <c:v>50</c:v>
                </c:pt>
                <c:pt idx="191">
                  <c:v>50</c:v>
                </c:pt>
                <c:pt idx="192">
                  <c:v>50</c:v>
                </c:pt>
                <c:pt idx="193">
                  <c:v>50</c:v>
                </c:pt>
                <c:pt idx="194">
                  <c:v>50</c:v>
                </c:pt>
                <c:pt idx="195">
                  <c:v>50</c:v>
                </c:pt>
                <c:pt idx="196">
                  <c:v>50</c:v>
                </c:pt>
                <c:pt idx="197">
                  <c:v>50</c:v>
                </c:pt>
                <c:pt idx="198">
                  <c:v>50</c:v>
                </c:pt>
                <c:pt idx="199">
                  <c:v>50</c:v>
                </c:pt>
                <c:pt idx="200">
                  <c:v>50</c:v>
                </c:pt>
                <c:pt idx="201">
                  <c:v>50</c:v>
                </c:pt>
                <c:pt idx="202">
                  <c:v>50</c:v>
                </c:pt>
                <c:pt idx="203">
                  <c:v>50</c:v>
                </c:pt>
                <c:pt idx="204">
                  <c:v>50</c:v>
                </c:pt>
                <c:pt idx="205">
                  <c:v>50</c:v>
                </c:pt>
                <c:pt idx="206">
                  <c:v>50</c:v>
                </c:pt>
                <c:pt idx="207">
                  <c:v>50</c:v>
                </c:pt>
                <c:pt idx="208">
                  <c:v>50</c:v>
                </c:pt>
                <c:pt idx="209">
                  <c:v>50</c:v>
                </c:pt>
                <c:pt idx="210">
                  <c:v>50</c:v>
                </c:pt>
                <c:pt idx="211">
                  <c:v>50</c:v>
                </c:pt>
                <c:pt idx="212">
                  <c:v>50</c:v>
                </c:pt>
                <c:pt idx="213">
                  <c:v>50</c:v>
                </c:pt>
                <c:pt idx="214">
                  <c:v>50</c:v>
                </c:pt>
                <c:pt idx="215">
                  <c:v>50</c:v>
                </c:pt>
                <c:pt idx="216">
                  <c:v>50</c:v>
                </c:pt>
                <c:pt idx="217">
                  <c:v>50</c:v>
                </c:pt>
                <c:pt idx="218">
                  <c:v>50</c:v>
                </c:pt>
                <c:pt idx="219">
                  <c:v>50</c:v>
                </c:pt>
                <c:pt idx="220">
                  <c:v>50</c:v>
                </c:pt>
                <c:pt idx="221">
                  <c:v>50</c:v>
                </c:pt>
                <c:pt idx="222">
                  <c:v>50</c:v>
                </c:pt>
                <c:pt idx="223">
                  <c:v>50</c:v>
                </c:pt>
                <c:pt idx="224">
                  <c:v>50</c:v>
                </c:pt>
                <c:pt idx="225">
                  <c:v>50</c:v>
                </c:pt>
                <c:pt idx="226">
                  <c:v>50</c:v>
                </c:pt>
                <c:pt idx="227">
                  <c:v>50</c:v>
                </c:pt>
                <c:pt idx="228">
                  <c:v>50</c:v>
                </c:pt>
                <c:pt idx="229">
                  <c:v>50</c:v>
                </c:pt>
                <c:pt idx="230">
                  <c:v>50</c:v>
                </c:pt>
                <c:pt idx="231">
                  <c:v>50</c:v>
                </c:pt>
                <c:pt idx="232">
                  <c:v>50</c:v>
                </c:pt>
                <c:pt idx="233">
                  <c:v>50</c:v>
                </c:pt>
                <c:pt idx="234">
                  <c:v>50</c:v>
                </c:pt>
                <c:pt idx="235">
                  <c:v>50</c:v>
                </c:pt>
                <c:pt idx="236">
                  <c:v>50</c:v>
                </c:pt>
                <c:pt idx="237">
                  <c:v>50</c:v>
                </c:pt>
                <c:pt idx="238">
                  <c:v>50</c:v>
                </c:pt>
                <c:pt idx="239">
                  <c:v>50</c:v>
                </c:pt>
                <c:pt idx="240">
                  <c:v>50</c:v>
                </c:pt>
                <c:pt idx="241">
                  <c:v>50</c:v>
                </c:pt>
                <c:pt idx="242">
                  <c:v>50</c:v>
                </c:pt>
                <c:pt idx="243">
                  <c:v>50</c:v>
                </c:pt>
                <c:pt idx="244">
                  <c:v>50</c:v>
                </c:pt>
                <c:pt idx="245">
                  <c:v>50</c:v>
                </c:pt>
                <c:pt idx="246">
                  <c:v>50</c:v>
                </c:pt>
                <c:pt idx="247">
                  <c:v>50</c:v>
                </c:pt>
                <c:pt idx="248">
                  <c:v>50</c:v>
                </c:pt>
                <c:pt idx="249">
                  <c:v>50</c:v>
                </c:pt>
                <c:pt idx="250">
                  <c:v>50</c:v>
                </c:pt>
                <c:pt idx="251">
                  <c:v>50</c:v>
                </c:pt>
                <c:pt idx="252">
                  <c:v>50</c:v>
                </c:pt>
                <c:pt idx="253">
                  <c:v>50</c:v>
                </c:pt>
                <c:pt idx="254">
                  <c:v>50</c:v>
                </c:pt>
                <c:pt idx="255">
                  <c:v>50</c:v>
                </c:pt>
                <c:pt idx="256">
                  <c:v>50</c:v>
                </c:pt>
                <c:pt idx="257">
                  <c:v>50</c:v>
                </c:pt>
                <c:pt idx="258">
                  <c:v>50</c:v>
                </c:pt>
                <c:pt idx="259">
                  <c:v>50</c:v>
                </c:pt>
                <c:pt idx="260">
                  <c:v>50</c:v>
                </c:pt>
                <c:pt idx="261">
                  <c:v>50</c:v>
                </c:pt>
                <c:pt idx="262">
                  <c:v>50</c:v>
                </c:pt>
                <c:pt idx="263">
                  <c:v>50</c:v>
                </c:pt>
                <c:pt idx="264">
                  <c:v>50</c:v>
                </c:pt>
                <c:pt idx="265">
                  <c:v>50</c:v>
                </c:pt>
                <c:pt idx="266">
                  <c:v>50</c:v>
                </c:pt>
                <c:pt idx="267">
                  <c:v>50</c:v>
                </c:pt>
                <c:pt idx="268">
                  <c:v>50</c:v>
                </c:pt>
                <c:pt idx="269">
                  <c:v>50</c:v>
                </c:pt>
                <c:pt idx="270">
                  <c:v>50</c:v>
                </c:pt>
                <c:pt idx="271">
                  <c:v>50</c:v>
                </c:pt>
                <c:pt idx="272">
                  <c:v>50</c:v>
                </c:pt>
                <c:pt idx="273">
                  <c:v>50</c:v>
                </c:pt>
                <c:pt idx="274">
                  <c:v>50</c:v>
                </c:pt>
                <c:pt idx="275">
                  <c:v>50</c:v>
                </c:pt>
                <c:pt idx="276">
                  <c:v>50</c:v>
                </c:pt>
                <c:pt idx="277">
                  <c:v>50</c:v>
                </c:pt>
                <c:pt idx="278">
                  <c:v>50</c:v>
                </c:pt>
                <c:pt idx="279">
                  <c:v>50</c:v>
                </c:pt>
                <c:pt idx="280">
                  <c:v>50</c:v>
                </c:pt>
                <c:pt idx="281">
                  <c:v>50</c:v>
                </c:pt>
                <c:pt idx="282">
                  <c:v>50</c:v>
                </c:pt>
                <c:pt idx="283">
                  <c:v>50</c:v>
                </c:pt>
                <c:pt idx="284">
                  <c:v>50</c:v>
                </c:pt>
                <c:pt idx="285">
                  <c:v>50</c:v>
                </c:pt>
                <c:pt idx="286">
                  <c:v>50</c:v>
                </c:pt>
                <c:pt idx="287">
                  <c:v>50</c:v>
                </c:pt>
                <c:pt idx="288">
                  <c:v>50</c:v>
                </c:pt>
                <c:pt idx="289">
                  <c:v>50</c:v>
                </c:pt>
                <c:pt idx="290">
                  <c:v>50</c:v>
                </c:pt>
                <c:pt idx="291">
                  <c:v>50</c:v>
                </c:pt>
                <c:pt idx="292">
                  <c:v>50</c:v>
                </c:pt>
                <c:pt idx="293">
                  <c:v>50</c:v>
                </c:pt>
                <c:pt idx="294">
                  <c:v>50</c:v>
                </c:pt>
                <c:pt idx="295">
                  <c:v>50</c:v>
                </c:pt>
                <c:pt idx="296">
                  <c:v>50</c:v>
                </c:pt>
                <c:pt idx="297">
                  <c:v>50</c:v>
                </c:pt>
                <c:pt idx="298">
                  <c:v>50</c:v>
                </c:pt>
                <c:pt idx="299">
                  <c:v>50</c:v>
                </c:pt>
                <c:pt idx="300">
                  <c:v>50</c:v>
                </c:pt>
                <c:pt idx="301">
                  <c:v>50</c:v>
                </c:pt>
                <c:pt idx="302">
                  <c:v>50</c:v>
                </c:pt>
                <c:pt idx="303">
                  <c:v>50</c:v>
                </c:pt>
                <c:pt idx="304">
                  <c:v>50</c:v>
                </c:pt>
                <c:pt idx="305">
                  <c:v>50</c:v>
                </c:pt>
                <c:pt idx="306">
                  <c:v>50</c:v>
                </c:pt>
                <c:pt idx="307">
                  <c:v>50</c:v>
                </c:pt>
                <c:pt idx="308">
                  <c:v>50</c:v>
                </c:pt>
                <c:pt idx="309">
                  <c:v>50</c:v>
                </c:pt>
                <c:pt idx="310">
                  <c:v>50</c:v>
                </c:pt>
                <c:pt idx="311">
                  <c:v>50</c:v>
                </c:pt>
                <c:pt idx="312">
                  <c:v>50</c:v>
                </c:pt>
                <c:pt idx="313">
                  <c:v>50</c:v>
                </c:pt>
                <c:pt idx="314">
                  <c:v>50</c:v>
                </c:pt>
                <c:pt idx="315">
                  <c:v>50</c:v>
                </c:pt>
                <c:pt idx="316">
                  <c:v>50</c:v>
                </c:pt>
                <c:pt idx="317">
                  <c:v>50</c:v>
                </c:pt>
                <c:pt idx="318">
                  <c:v>50</c:v>
                </c:pt>
                <c:pt idx="319">
                  <c:v>50</c:v>
                </c:pt>
                <c:pt idx="320">
                  <c:v>50</c:v>
                </c:pt>
                <c:pt idx="321">
                  <c:v>50</c:v>
                </c:pt>
                <c:pt idx="322">
                  <c:v>50</c:v>
                </c:pt>
                <c:pt idx="323">
                  <c:v>50</c:v>
                </c:pt>
                <c:pt idx="324">
                  <c:v>50</c:v>
                </c:pt>
                <c:pt idx="325">
                  <c:v>50</c:v>
                </c:pt>
                <c:pt idx="326">
                  <c:v>50</c:v>
                </c:pt>
                <c:pt idx="327">
                  <c:v>50</c:v>
                </c:pt>
                <c:pt idx="328">
                  <c:v>50</c:v>
                </c:pt>
                <c:pt idx="329">
                  <c:v>50</c:v>
                </c:pt>
                <c:pt idx="330">
                  <c:v>50</c:v>
                </c:pt>
                <c:pt idx="331">
                  <c:v>50</c:v>
                </c:pt>
                <c:pt idx="332">
                  <c:v>50</c:v>
                </c:pt>
                <c:pt idx="333">
                  <c:v>50</c:v>
                </c:pt>
                <c:pt idx="334">
                  <c:v>50</c:v>
                </c:pt>
                <c:pt idx="335">
                  <c:v>50</c:v>
                </c:pt>
                <c:pt idx="336">
                  <c:v>50</c:v>
                </c:pt>
                <c:pt idx="337">
                  <c:v>50</c:v>
                </c:pt>
                <c:pt idx="338">
                  <c:v>50</c:v>
                </c:pt>
                <c:pt idx="339">
                  <c:v>50</c:v>
                </c:pt>
                <c:pt idx="340">
                  <c:v>50</c:v>
                </c:pt>
                <c:pt idx="341">
                  <c:v>50</c:v>
                </c:pt>
                <c:pt idx="342">
                  <c:v>50</c:v>
                </c:pt>
                <c:pt idx="343">
                  <c:v>50</c:v>
                </c:pt>
                <c:pt idx="344">
                  <c:v>50</c:v>
                </c:pt>
                <c:pt idx="345">
                  <c:v>50</c:v>
                </c:pt>
                <c:pt idx="346">
                  <c:v>50</c:v>
                </c:pt>
                <c:pt idx="347">
                  <c:v>50</c:v>
                </c:pt>
                <c:pt idx="348">
                  <c:v>50</c:v>
                </c:pt>
                <c:pt idx="349">
                  <c:v>50</c:v>
                </c:pt>
                <c:pt idx="350">
                  <c:v>50</c:v>
                </c:pt>
                <c:pt idx="351">
                  <c:v>50</c:v>
                </c:pt>
                <c:pt idx="352">
                  <c:v>50</c:v>
                </c:pt>
                <c:pt idx="353">
                  <c:v>50</c:v>
                </c:pt>
                <c:pt idx="354">
                  <c:v>50</c:v>
                </c:pt>
                <c:pt idx="355">
                  <c:v>50</c:v>
                </c:pt>
                <c:pt idx="356">
                  <c:v>50</c:v>
                </c:pt>
                <c:pt idx="357">
                  <c:v>50</c:v>
                </c:pt>
                <c:pt idx="358">
                  <c:v>50</c:v>
                </c:pt>
                <c:pt idx="359">
                  <c:v>50</c:v>
                </c:pt>
                <c:pt idx="360">
                  <c:v>50</c:v>
                </c:pt>
                <c:pt idx="361">
                  <c:v>50</c:v>
                </c:pt>
                <c:pt idx="362">
                  <c:v>50</c:v>
                </c:pt>
                <c:pt idx="363">
                  <c:v>50</c:v>
                </c:pt>
                <c:pt idx="364">
                  <c:v>50</c:v>
                </c:pt>
              </c:numCache>
            </c:numRef>
          </c:val>
        </c:ser>
        <c:marker val="1"/>
        <c:axId val="123923456"/>
        <c:axId val="124461824"/>
      </c:lineChart>
      <c:catAx>
        <c:axId val="123923456"/>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ro-RO"/>
          </a:p>
        </c:txPr>
        <c:crossAx val="124461824"/>
        <c:crosses val="autoZero"/>
        <c:auto val="1"/>
        <c:lblAlgn val="ctr"/>
        <c:lblOffset val="100"/>
        <c:tickLblSkip val="2"/>
        <c:tickMarkSkip val="1"/>
      </c:catAx>
      <c:valAx>
        <c:axId val="124461824"/>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ro-RO"/>
          </a:p>
        </c:txPr>
        <c:crossAx val="123923456"/>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1E-2"/>
          <c:y val="0.90677966101694918"/>
          <c:w val="0.98552223371251257"/>
          <c:h val="8.1355932203389866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ro-RO"/>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ro-RO"/>
    </a:p>
  </c:tx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a:t>
            </a:r>
            <a:r>
              <a:rPr lang="en-US" sz="1000">
                <a:latin typeface="Arial" pitchFamily="34" charset="0"/>
                <a:cs typeface="Arial" pitchFamily="34" charset="0"/>
              </a:rPr>
              <a:t>ontribu</a:t>
            </a:r>
            <a:r>
              <a:rPr lang="ro-RO" sz="1000">
                <a:latin typeface="Arial" pitchFamily="34" charset="0"/>
                <a:cs typeface="Arial" pitchFamily="34" charset="0"/>
              </a:rPr>
              <a:t>ţiile</a:t>
            </a:r>
            <a:r>
              <a:rPr lang="ro-RO" sz="1000" baseline="0">
                <a:latin typeface="Arial" pitchFamily="34" charset="0"/>
                <a:cs typeface="Arial" pitchFamily="34" charset="0"/>
              </a:rPr>
              <a:t> sectoarelor de activitate la emisiile de metale grele</a:t>
            </a:r>
            <a:endParaRPr lang="ro-RO" sz="1000">
              <a:latin typeface="Arial" pitchFamily="34" charset="0"/>
              <a:cs typeface="Arial" pitchFamily="34" charset="0"/>
            </a:endParaRPr>
          </a:p>
        </c:rich>
      </c:tx>
    </c:title>
    <c:plotArea>
      <c:layout/>
      <c:barChart>
        <c:barDir val="col"/>
        <c:grouping val="clustered"/>
        <c:ser>
          <c:idx val="0"/>
          <c:order val="0"/>
          <c:tx>
            <c:strRef>
              <c:f>Sheet1!$C$192</c:f>
              <c:strCache>
                <c:ptCount val="1"/>
                <c:pt idx="0">
                  <c:v>Pb</c:v>
                </c:pt>
              </c:strCache>
            </c:strRef>
          </c:tx>
          <c:cat>
            <c:strRef>
              <c:f>Sheet1!$B$193:$B$195</c:f>
              <c:strCache>
                <c:ptCount val="3"/>
                <c:pt idx="0">
                  <c:v>ENERGIE</c:v>
                </c:pt>
                <c:pt idx="1">
                  <c:v>TRANSPORTURI</c:v>
                </c:pt>
                <c:pt idx="2">
                  <c:v>INDUSTRIE</c:v>
                </c:pt>
              </c:strCache>
            </c:strRef>
          </c:cat>
          <c:val>
            <c:numRef>
              <c:f>Sheet1!$C$193:$C$195</c:f>
              <c:numCache>
                <c:formatCode>General</c:formatCode>
                <c:ptCount val="3"/>
                <c:pt idx="0">
                  <c:v>61.5</c:v>
                </c:pt>
                <c:pt idx="1">
                  <c:v>18</c:v>
                </c:pt>
                <c:pt idx="2">
                  <c:v>20.5</c:v>
                </c:pt>
              </c:numCache>
            </c:numRef>
          </c:val>
        </c:ser>
        <c:ser>
          <c:idx val="1"/>
          <c:order val="1"/>
          <c:tx>
            <c:strRef>
              <c:f>Sheet1!$D$192</c:f>
              <c:strCache>
                <c:ptCount val="1"/>
                <c:pt idx="0">
                  <c:v>Cd</c:v>
                </c:pt>
              </c:strCache>
            </c:strRef>
          </c:tx>
          <c:cat>
            <c:strRef>
              <c:f>Sheet1!$B$193:$B$195</c:f>
              <c:strCache>
                <c:ptCount val="3"/>
                <c:pt idx="0">
                  <c:v>ENERGIE</c:v>
                </c:pt>
                <c:pt idx="1">
                  <c:v>TRANSPORTURI</c:v>
                </c:pt>
                <c:pt idx="2">
                  <c:v>INDUSTRIE</c:v>
                </c:pt>
              </c:strCache>
            </c:strRef>
          </c:cat>
          <c:val>
            <c:numRef>
              <c:f>Sheet1!$D$193:$D$195</c:f>
              <c:numCache>
                <c:formatCode>General</c:formatCode>
                <c:ptCount val="3"/>
                <c:pt idx="0">
                  <c:v>66</c:v>
                </c:pt>
                <c:pt idx="1">
                  <c:v>13.2</c:v>
                </c:pt>
                <c:pt idx="2">
                  <c:v>20.8</c:v>
                </c:pt>
              </c:numCache>
            </c:numRef>
          </c:val>
        </c:ser>
        <c:ser>
          <c:idx val="2"/>
          <c:order val="2"/>
          <c:tx>
            <c:strRef>
              <c:f>Sheet1!$E$192</c:f>
              <c:strCache>
                <c:ptCount val="1"/>
                <c:pt idx="0">
                  <c:v>Hg</c:v>
                </c:pt>
              </c:strCache>
            </c:strRef>
          </c:tx>
          <c:cat>
            <c:strRef>
              <c:f>Sheet1!$B$193:$B$195</c:f>
              <c:strCache>
                <c:ptCount val="3"/>
                <c:pt idx="0">
                  <c:v>ENERGIE</c:v>
                </c:pt>
                <c:pt idx="1">
                  <c:v>TRANSPORTURI</c:v>
                </c:pt>
                <c:pt idx="2">
                  <c:v>INDUSTRIE</c:v>
                </c:pt>
              </c:strCache>
            </c:strRef>
          </c:cat>
          <c:val>
            <c:numRef>
              <c:f>Sheet1!$E$193:$E$195</c:f>
              <c:numCache>
                <c:formatCode>General</c:formatCode>
                <c:ptCount val="3"/>
                <c:pt idx="0">
                  <c:v>65.7</c:v>
                </c:pt>
                <c:pt idx="1">
                  <c:v>13.4</c:v>
                </c:pt>
                <c:pt idx="2">
                  <c:v>20.9</c:v>
                </c:pt>
              </c:numCache>
            </c:numRef>
          </c:val>
        </c:ser>
        <c:axId val="160088832"/>
        <c:axId val="160090368"/>
      </c:barChart>
      <c:catAx>
        <c:axId val="160088832"/>
        <c:scaling>
          <c:orientation val="minMax"/>
        </c:scaling>
        <c:axPos val="b"/>
        <c:majorTickMark val="none"/>
        <c:tickLblPos val="nextTo"/>
        <c:crossAx val="160090368"/>
        <c:crosses val="autoZero"/>
        <c:auto val="1"/>
        <c:lblAlgn val="ctr"/>
        <c:lblOffset val="100"/>
      </c:catAx>
      <c:valAx>
        <c:axId val="160090368"/>
        <c:scaling>
          <c:orientation val="minMax"/>
          <c:max val="100"/>
        </c:scaling>
        <c:axPos val="l"/>
        <c:majorGridlines/>
        <c:title>
          <c:tx>
            <c:rich>
              <a:bodyPr rot="0" vert="horz"/>
              <a:lstStyle/>
              <a:p>
                <a:pPr>
                  <a:defRPr/>
                </a:pPr>
                <a:r>
                  <a:rPr lang="en-US"/>
                  <a:t>%</a:t>
                </a:r>
                <a:endParaRPr lang="ro-RO"/>
              </a:p>
            </c:rich>
          </c:tx>
          <c:layout>
            <c:manualLayout>
              <c:xMode val="edge"/>
              <c:yMode val="edge"/>
              <c:x val="0.12222222222222294"/>
              <c:y val="0.11206219014289855"/>
            </c:manualLayout>
          </c:layout>
        </c:title>
        <c:numFmt formatCode="General" sourceLinked="1"/>
        <c:tickLblPos val="nextTo"/>
        <c:crossAx val="160088832"/>
        <c:crosses val="autoZero"/>
        <c:crossBetween val="between"/>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Contribuţia</a:t>
            </a:r>
            <a:r>
              <a:rPr lang="ro-RO" sz="1000" baseline="0">
                <a:latin typeface="Arial" pitchFamily="34" charset="0"/>
                <a:cs typeface="Arial" pitchFamily="34" charset="0"/>
              </a:rPr>
              <a:t> sectoarelor de activitate din industrie la emisiile de metale grele</a:t>
            </a:r>
            <a:endParaRPr lang="ro-RO" sz="1000">
              <a:latin typeface="Arial" pitchFamily="34" charset="0"/>
              <a:cs typeface="Arial" pitchFamily="34" charset="0"/>
            </a:endParaRPr>
          </a:p>
        </c:rich>
      </c:tx>
    </c:title>
    <c:plotArea>
      <c:layout/>
      <c:barChart>
        <c:barDir val="col"/>
        <c:grouping val="clustered"/>
        <c:ser>
          <c:idx val="0"/>
          <c:order val="0"/>
          <c:tx>
            <c:strRef>
              <c:f>Sheet1!$C$215</c:f>
              <c:strCache>
                <c:ptCount val="1"/>
                <c:pt idx="0">
                  <c:v>Pb</c:v>
                </c:pt>
              </c:strCache>
            </c:strRef>
          </c:tx>
          <c:cat>
            <c:strRef>
              <c:f>Sheet1!$B$216:$B$219</c:f>
              <c:strCache>
                <c:ptCount val="4"/>
                <c:pt idx="0">
                  <c:v>IND. METALURGICĂ</c:v>
                </c:pt>
                <c:pt idx="1">
                  <c:v>IND. ALIMENTARĂ</c:v>
                </c:pt>
                <c:pt idx="2">
                  <c:v>EXTRACŢIE PETROL ŞI GAZE</c:v>
                </c:pt>
                <c:pt idx="3">
                  <c:v>ALTELE</c:v>
                </c:pt>
              </c:strCache>
            </c:strRef>
          </c:cat>
          <c:val>
            <c:numRef>
              <c:f>Sheet1!$C$216:$C$219</c:f>
              <c:numCache>
                <c:formatCode>General</c:formatCode>
                <c:ptCount val="4"/>
                <c:pt idx="0">
                  <c:v>18.7</c:v>
                </c:pt>
                <c:pt idx="1">
                  <c:v>60</c:v>
                </c:pt>
                <c:pt idx="2">
                  <c:v>1.6</c:v>
                </c:pt>
                <c:pt idx="3">
                  <c:v>19.7</c:v>
                </c:pt>
              </c:numCache>
            </c:numRef>
          </c:val>
        </c:ser>
        <c:ser>
          <c:idx val="1"/>
          <c:order val="1"/>
          <c:tx>
            <c:strRef>
              <c:f>Sheet1!$D$215</c:f>
              <c:strCache>
                <c:ptCount val="1"/>
                <c:pt idx="0">
                  <c:v>Cd</c:v>
                </c:pt>
              </c:strCache>
            </c:strRef>
          </c:tx>
          <c:cat>
            <c:strRef>
              <c:f>Sheet1!$B$216:$B$219</c:f>
              <c:strCache>
                <c:ptCount val="4"/>
                <c:pt idx="0">
                  <c:v>IND. METALURGICĂ</c:v>
                </c:pt>
                <c:pt idx="1">
                  <c:v>IND. ALIMENTARĂ</c:v>
                </c:pt>
                <c:pt idx="2">
                  <c:v>EXTRACŢIE PETROL ŞI GAZE</c:v>
                </c:pt>
                <c:pt idx="3">
                  <c:v>ALTELE</c:v>
                </c:pt>
              </c:strCache>
            </c:strRef>
          </c:cat>
          <c:val>
            <c:numRef>
              <c:f>Sheet1!$D$216:$D$219</c:f>
              <c:numCache>
                <c:formatCode>General</c:formatCode>
                <c:ptCount val="4"/>
                <c:pt idx="0">
                  <c:v>7.2</c:v>
                </c:pt>
                <c:pt idx="1">
                  <c:v>52.3</c:v>
                </c:pt>
                <c:pt idx="2">
                  <c:v>6.3</c:v>
                </c:pt>
                <c:pt idx="3">
                  <c:v>34.200000000000003</c:v>
                </c:pt>
              </c:numCache>
            </c:numRef>
          </c:val>
        </c:ser>
        <c:ser>
          <c:idx val="2"/>
          <c:order val="2"/>
          <c:tx>
            <c:strRef>
              <c:f>Sheet1!$E$215</c:f>
              <c:strCache>
                <c:ptCount val="1"/>
                <c:pt idx="0">
                  <c:v>Hg</c:v>
                </c:pt>
              </c:strCache>
            </c:strRef>
          </c:tx>
          <c:cat>
            <c:strRef>
              <c:f>Sheet1!$B$216:$B$219</c:f>
              <c:strCache>
                <c:ptCount val="4"/>
                <c:pt idx="0">
                  <c:v>IND. METALURGICĂ</c:v>
                </c:pt>
                <c:pt idx="1">
                  <c:v>IND. ALIMENTARĂ</c:v>
                </c:pt>
                <c:pt idx="2">
                  <c:v>EXTRACŢIE PETROL ŞI GAZE</c:v>
                </c:pt>
                <c:pt idx="3">
                  <c:v>ALTELE</c:v>
                </c:pt>
              </c:strCache>
            </c:strRef>
          </c:cat>
          <c:val>
            <c:numRef>
              <c:f>Sheet1!$E$216:$E$219</c:f>
              <c:numCache>
                <c:formatCode>General</c:formatCode>
                <c:ptCount val="4"/>
                <c:pt idx="0">
                  <c:v>20.6</c:v>
                </c:pt>
                <c:pt idx="1">
                  <c:v>43.7</c:v>
                </c:pt>
                <c:pt idx="2">
                  <c:v>5.7</c:v>
                </c:pt>
                <c:pt idx="3">
                  <c:v>30</c:v>
                </c:pt>
              </c:numCache>
            </c:numRef>
          </c:val>
        </c:ser>
        <c:axId val="160120832"/>
        <c:axId val="160122368"/>
      </c:barChart>
      <c:catAx>
        <c:axId val="160120832"/>
        <c:scaling>
          <c:orientation val="minMax"/>
        </c:scaling>
        <c:axPos val="b"/>
        <c:majorTickMark val="none"/>
        <c:tickLblPos val="nextTo"/>
        <c:crossAx val="160122368"/>
        <c:crosses val="autoZero"/>
        <c:auto val="1"/>
        <c:lblAlgn val="ctr"/>
        <c:lblOffset val="100"/>
      </c:catAx>
      <c:valAx>
        <c:axId val="160122368"/>
        <c:scaling>
          <c:orientation val="minMax"/>
          <c:max val="100"/>
        </c:scaling>
        <c:axPos val="l"/>
        <c:majorGridlines/>
        <c:title>
          <c:tx>
            <c:rich>
              <a:bodyPr rot="0" vert="horz"/>
              <a:lstStyle/>
              <a:p>
                <a:pPr>
                  <a:defRPr/>
                </a:pPr>
                <a:r>
                  <a:rPr lang="ro-RO"/>
                  <a:t>%</a:t>
                </a:r>
              </a:p>
            </c:rich>
          </c:tx>
          <c:layout>
            <c:manualLayout>
              <c:xMode val="edge"/>
              <c:yMode val="edge"/>
              <c:x val="0.125"/>
              <c:y val="0.12595107903178768"/>
            </c:manualLayout>
          </c:layout>
        </c:title>
        <c:numFmt formatCode="General" sourceLinked="1"/>
        <c:tickLblPos val="nextTo"/>
        <c:crossAx val="160120832"/>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Contribuţia</a:t>
            </a:r>
            <a:r>
              <a:rPr lang="ro-RO" sz="1000" baseline="0">
                <a:latin typeface="Arial" pitchFamily="34" charset="0"/>
                <a:cs typeface="Arial" pitchFamily="34" charset="0"/>
              </a:rPr>
              <a:t> sectoarelor de activitate la emisiile de poluanţi organici persistenţi</a:t>
            </a:r>
            <a:endParaRPr lang="ro-RO" sz="1000">
              <a:latin typeface="Arial" pitchFamily="34" charset="0"/>
              <a:cs typeface="Arial" pitchFamily="34" charset="0"/>
            </a:endParaRPr>
          </a:p>
        </c:rich>
      </c:tx>
    </c:title>
    <c:plotArea>
      <c:layout/>
      <c:barChart>
        <c:barDir val="col"/>
        <c:grouping val="clustered"/>
        <c:ser>
          <c:idx val="0"/>
          <c:order val="0"/>
          <c:tx>
            <c:strRef>
              <c:f>Sheet1!$C$241</c:f>
              <c:strCache>
                <c:ptCount val="1"/>
                <c:pt idx="0">
                  <c:v>PCDD/PCDF </c:v>
                </c:pt>
              </c:strCache>
            </c:strRef>
          </c:tx>
          <c:cat>
            <c:strRef>
              <c:f>Sheet1!$B$242:$B$244</c:f>
              <c:strCache>
                <c:ptCount val="3"/>
                <c:pt idx="0">
                  <c:v>ENERGIE</c:v>
                </c:pt>
                <c:pt idx="1">
                  <c:v>INDUSTRIE</c:v>
                </c:pt>
                <c:pt idx="2">
                  <c:v>TRANSPORTURI</c:v>
                </c:pt>
              </c:strCache>
            </c:strRef>
          </c:cat>
          <c:val>
            <c:numRef>
              <c:f>Sheet1!$C$242:$C$244</c:f>
              <c:numCache>
                <c:formatCode>General</c:formatCode>
                <c:ptCount val="3"/>
                <c:pt idx="0">
                  <c:v>97.596999999999994</c:v>
                </c:pt>
                <c:pt idx="1">
                  <c:v>2.4</c:v>
                </c:pt>
                <c:pt idx="2">
                  <c:v>3.000000000000007E-3</c:v>
                </c:pt>
              </c:numCache>
            </c:numRef>
          </c:val>
        </c:ser>
        <c:ser>
          <c:idx val="1"/>
          <c:order val="1"/>
          <c:tx>
            <c:strRef>
              <c:f>Sheet1!$D$241</c:f>
              <c:strCache>
                <c:ptCount val="1"/>
                <c:pt idx="0">
                  <c:v>HCB</c:v>
                </c:pt>
              </c:strCache>
            </c:strRef>
          </c:tx>
          <c:cat>
            <c:strRef>
              <c:f>Sheet1!$B$242:$B$244</c:f>
              <c:strCache>
                <c:ptCount val="3"/>
                <c:pt idx="0">
                  <c:v>ENERGIE</c:v>
                </c:pt>
                <c:pt idx="1">
                  <c:v>INDUSTRIE</c:v>
                </c:pt>
                <c:pt idx="2">
                  <c:v>TRANSPORTURI</c:v>
                </c:pt>
              </c:strCache>
            </c:strRef>
          </c:cat>
          <c:val>
            <c:numRef>
              <c:f>Sheet1!$D$242:$D$244</c:f>
              <c:numCache>
                <c:formatCode>General</c:formatCode>
                <c:ptCount val="3"/>
                <c:pt idx="0">
                  <c:v>51.2</c:v>
                </c:pt>
                <c:pt idx="1">
                  <c:v>48.8</c:v>
                </c:pt>
                <c:pt idx="2">
                  <c:v>0</c:v>
                </c:pt>
              </c:numCache>
            </c:numRef>
          </c:val>
        </c:ser>
        <c:ser>
          <c:idx val="2"/>
          <c:order val="2"/>
          <c:tx>
            <c:strRef>
              <c:f>Sheet1!$E$241</c:f>
              <c:strCache>
                <c:ptCount val="1"/>
                <c:pt idx="0">
                  <c:v>PCBs </c:v>
                </c:pt>
              </c:strCache>
            </c:strRef>
          </c:tx>
          <c:cat>
            <c:strRef>
              <c:f>Sheet1!$B$242:$B$244</c:f>
              <c:strCache>
                <c:ptCount val="3"/>
                <c:pt idx="0">
                  <c:v>ENERGIE</c:v>
                </c:pt>
                <c:pt idx="1">
                  <c:v>INDUSTRIE</c:v>
                </c:pt>
                <c:pt idx="2">
                  <c:v>TRANSPORTURI</c:v>
                </c:pt>
              </c:strCache>
            </c:strRef>
          </c:cat>
          <c:val>
            <c:numRef>
              <c:f>Sheet1!$E$242:$E$244</c:f>
              <c:numCache>
                <c:formatCode>General</c:formatCode>
                <c:ptCount val="3"/>
                <c:pt idx="0">
                  <c:v>56</c:v>
                </c:pt>
                <c:pt idx="1">
                  <c:v>44</c:v>
                </c:pt>
                <c:pt idx="2">
                  <c:v>0</c:v>
                </c:pt>
              </c:numCache>
            </c:numRef>
          </c:val>
        </c:ser>
        <c:ser>
          <c:idx val="3"/>
          <c:order val="3"/>
          <c:tx>
            <c:strRef>
              <c:f>Sheet1!$F$241</c:f>
              <c:strCache>
                <c:ptCount val="1"/>
                <c:pt idx="0">
                  <c:v>PAH</c:v>
                </c:pt>
              </c:strCache>
            </c:strRef>
          </c:tx>
          <c:cat>
            <c:strRef>
              <c:f>Sheet1!$B$242:$B$244</c:f>
              <c:strCache>
                <c:ptCount val="3"/>
                <c:pt idx="0">
                  <c:v>ENERGIE</c:v>
                </c:pt>
                <c:pt idx="1">
                  <c:v>INDUSTRIE</c:v>
                </c:pt>
                <c:pt idx="2">
                  <c:v>TRANSPORTURI</c:v>
                </c:pt>
              </c:strCache>
            </c:strRef>
          </c:cat>
          <c:val>
            <c:numRef>
              <c:f>Sheet1!$F$242:$F$244</c:f>
              <c:numCache>
                <c:formatCode>General</c:formatCode>
                <c:ptCount val="3"/>
                <c:pt idx="0">
                  <c:v>99.1</c:v>
                </c:pt>
                <c:pt idx="1">
                  <c:v>0</c:v>
                </c:pt>
                <c:pt idx="2">
                  <c:v>0.9</c:v>
                </c:pt>
              </c:numCache>
            </c:numRef>
          </c:val>
        </c:ser>
        <c:axId val="160165888"/>
        <c:axId val="160167424"/>
      </c:barChart>
      <c:catAx>
        <c:axId val="160165888"/>
        <c:scaling>
          <c:orientation val="minMax"/>
        </c:scaling>
        <c:axPos val="b"/>
        <c:majorTickMark val="none"/>
        <c:tickLblPos val="nextTo"/>
        <c:crossAx val="160167424"/>
        <c:crosses val="autoZero"/>
        <c:auto val="1"/>
        <c:lblAlgn val="ctr"/>
        <c:lblOffset val="100"/>
      </c:catAx>
      <c:valAx>
        <c:axId val="160167424"/>
        <c:scaling>
          <c:orientation val="minMax"/>
          <c:max val="100"/>
        </c:scaling>
        <c:axPos val="l"/>
        <c:majorGridlines/>
        <c:title>
          <c:tx>
            <c:rich>
              <a:bodyPr rot="0" vert="horz"/>
              <a:lstStyle/>
              <a:p>
                <a:pPr>
                  <a:defRPr/>
                </a:pPr>
                <a:r>
                  <a:rPr lang="ro-RO"/>
                  <a:t>%</a:t>
                </a:r>
              </a:p>
            </c:rich>
          </c:tx>
          <c:layout>
            <c:manualLayout>
              <c:xMode val="edge"/>
              <c:yMode val="edge"/>
              <c:x val="0.11666666666666672"/>
              <c:y val="0.12595107903178768"/>
            </c:manualLayout>
          </c:layout>
        </c:title>
        <c:numFmt formatCode="General" sourceLinked="1"/>
        <c:tickLblPos val="nextTo"/>
        <c:crossAx val="160165888"/>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Contribuţii</a:t>
            </a:r>
            <a:r>
              <a:rPr lang="ro-RO" sz="1000" baseline="0">
                <a:latin typeface="Arial" pitchFamily="34" charset="0"/>
                <a:cs typeface="Arial" pitchFamily="34" charset="0"/>
              </a:rPr>
              <a:t> ale sectoarelor din industrie la emisiile de poluanţi organici persistenţi</a:t>
            </a:r>
            <a:endParaRPr lang="ro-RO" sz="1000">
              <a:latin typeface="Arial" pitchFamily="34" charset="0"/>
              <a:cs typeface="Arial" pitchFamily="34" charset="0"/>
            </a:endParaRPr>
          </a:p>
        </c:rich>
      </c:tx>
    </c:title>
    <c:plotArea>
      <c:layout/>
      <c:barChart>
        <c:barDir val="col"/>
        <c:grouping val="clustered"/>
        <c:ser>
          <c:idx val="0"/>
          <c:order val="0"/>
          <c:tx>
            <c:strRef>
              <c:f>Sheet1!$C$264</c:f>
              <c:strCache>
                <c:ptCount val="1"/>
                <c:pt idx="0">
                  <c:v>PCDD/PCDF </c:v>
                </c:pt>
              </c:strCache>
            </c:strRef>
          </c:tx>
          <c:cat>
            <c:strRef>
              <c:f>Sheet1!$B$265:$B$268</c:f>
              <c:strCache>
                <c:ptCount val="4"/>
                <c:pt idx="0">
                  <c:v>IND. METALURGICĂ</c:v>
                </c:pt>
                <c:pt idx="1">
                  <c:v>IND. ALIMENTARĂ</c:v>
                </c:pt>
                <c:pt idx="2">
                  <c:v>EXTRACŢIE PETROL ŞI GAZE</c:v>
                </c:pt>
                <c:pt idx="3">
                  <c:v>ALTELE</c:v>
                </c:pt>
              </c:strCache>
            </c:strRef>
          </c:cat>
          <c:val>
            <c:numRef>
              <c:f>Sheet1!$C$265:$C$268</c:f>
              <c:numCache>
                <c:formatCode>General</c:formatCode>
                <c:ptCount val="4"/>
                <c:pt idx="0">
                  <c:v>24</c:v>
                </c:pt>
                <c:pt idx="1">
                  <c:v>74.2</c:v>
                </c:pt>
                <c:pt idx="2">
                  <c:v>0.36000000000000032</c:v>
                </c:pt>
                <c:pt idx="3">
                  <c:v>1.44</c:v>
                </c:pt>
              </c:numCache>
            </c:numRef>
          </c:val>
        </c:ser>
        <c:ser>
          <c:idx val="1"/>
          <c:order val="1"/>
          <c:tx>
            <c:strRef>
              <c:f>Sheet1!$D$264</c:f>
              <c:strCache>
                <c:ptCount val="1"/>
                <c:pt idx="0">
                  <c:v>HCB</c:v>
                </c:pt>
              </c:strCache>
            </c:strRef>
          </c:tx>
          <c:cat>
            <c:strRef>
              <c:f>Sheet1!$B$265:$B$268</c:f>
              <c:strCache>
                <c:ptCount val="4"/>
                <c:pt idx="0">
                  <c:v>IND. METALURGICĂ</c:v>
                </c:pt>
                <c:pt idx="1">
                  <c:v>IND. ALIMENTARĂ</c:v>
                </c:pt>
                <c:pt idx="2">
                  <c:v>EXTRACŢIE PETROL ŞI GAZE</c:v>
                </c:pt>
                <c:pt idx="3">
                  <c:v>ALTELE</c:v>
                </c:pt>
              </c:strCache>
            </c:strRef>
          </c:cat>
          <c:val>
            <c:numRef>
              <c:f>Sheet1!$D$265:$D$268</c:f>
              <c:numCache>
                <c:formatCode>General</c:formatCode>
                <c:ptCount val="4"/>
                <c:pt idx="0">
                  <c:v>0</c:v>
                </c:pt>
                <c:pt idx="1">
                  <c:v>100</c:v>
                </c:pt>
                <c:pt idx="2">
                  <c:v>0</c:v>
                </c:pt>
                <c:pt idx="3">
                  <c:v>0</c:v>
                </c:pt>
              </c:numCache>
            </c:numRef>
          </c:val>
        </c:ser>
        <c:ser>
          <c:idx val="2"/>
          <c:order val="2"/>
          <c:tx>
            <c:strRef>
              <c:f>Sheet1!$E$264</c:f>
              <c:strCache>
                <c:ptCount val="1"/>
                <c:pt idx="0">
                  <c:v>PCBs </c:v>
                </c:pt>
              </c:strCache>
            </c:strRef>
          </c:tx>
          <c:cat>
            <c:strRef>
              <c:f>Sheet1!$B$265:$B$268</c:f>
              <c:strCache>
                <c:ptCount val="4"/>
                <c:pt idx="0">
                  <c:v>IND. METALURGICĂ</c:v>
                </c:pt>
                <c:pt idx="1">
                  <c:v>IND. ALIMENTARĂ</c:v>
                </c:pt>
                <c:pt idx="2">
                  <c:v>EXTRACŢIE PETROL ŞI GAZE</c:v>
                </c:pt>
                <c:pt idx="3">
                  <c:v>ALTELE</c:v>
                </c:pt>
              </c:strCache>
            </c:strRef>
          </c:cat>
          <c:val>
            <c:numRef>
              <c:f>Sheet1!$E$265:$E$268</c:f>
              <c:numCache>
                <c:formatCode>General</c:formatCode>
                <c:ptCount val="4"/>
                <c:pt idx="0">
                  <c:v>0</c:v>
                </c:pt>
                <c:pt idx="1">
                  <c:v>100</c:v>
                </c:pt>
                <c:pt idx="2">
                  <c:v>0</c:v>
                </c:pt>
                <c:pt idx="3">
                  <c:v>0</c:v>
                </c:pt>
              </c:numCache>
            </c:numRef>
          </c:val>
        </c:ser>
        <c:ser>
          <c:idx val="3"/>
          <c:order val="3"/>
          <c:tx>
            <c:strRef>
              <c:f>Sheet1!$F$264</c:f>
              <c:strCache>
                <c:ptCount val="1"/>
                <c:pt idx="0">
                  <c:v>PAH</c:v>
                </c:pt>
              </c:strCache>
            </c:strRef>
          </c:tx>
          <c:cat>
            <c:strRef>
              <c:f>Sheet1!$B$265:$B$268</c:f>
              <c:strCache>
                <c:ptCount val="4"/>
                <c:pt idx="0">
                  <c:v>IND. METALURGICĂ</c:v>
                </c:pt>
                <c:pt idx="1">
                  <c:v>IND. ALIMENTARĂ</c:v>
                </c:pt>
                <c:pt idx="2">
                  <c:v>EXTRACŢIE PETROL ŞI GAZE</c:v>
                </c:pt>
                <c:pt idx="3">
                  <c:v>ALTELE</c:v>
                </c:pt>
              </c:strCache>
            </c:strRef>
          </c:cat>
          <c:val>
            <c:numRef>
              <c:f>Sheet1!$F$265:$F$268</c:f>
              <c:numCache>
                <c:formatCode>General</c:formatCode>
                <c:ptCount val="4"/>
                <c:pt idx="0">
                  <c:v>5.7</c:v>
                </c:pt>
                <c:pt idx="1">
                  <c:v>94.293000000000006</c:v>
                </c:pt>
                <c:pt idx="2">
                  <c:v>1.0000000000000035E-3</c:v>
                </c:pt>
                <c:pt idx="3">
                  <c:v>6.0000000000000114E-3</c:v>
                </c:pt>
              </c:numCache>
            </c:numRef>
          </c:val>
        </c:ser>
        <c:axId val="135229440"/>
        <c:axId val="135230976"/>
      </c:barChart>
      <c:catAx>
        <c:axId val="135229440"/>
        <c:scaling>
          <c:orientation val="minMax"/>
        </c:scaling>
        <c:axPos val="b"/>
        <c:majorTickMark val="none"/>
        <c:tickLblPos val="nextTo"/>
        <c:crossAx val="135230976"/>
        <c:crosses val="autoZero"/>
        <c:auto val="1"/>
        <c:lblAlgn val="ctr"/>
        <c:lblOffset val="100"/>
      </c:catAx>
      <c:valAx>
        <c:axId val="135230976"/>
        <c:scaling>
          <c:orientation val="minMax"/>
          <c:max val="100"/>
        </c:scaling>
        <c:axPos val="l"/>
        <c:majorGridlines/>
        <c:title>
          <c:tx>
            <c:rich>
              <a:bodyPr rot="0" vert="horz"/>
              <a:lstStyle/>
              <a:p>
                <a:pPr>
                  <a:defRPr/>
                </a:pPr>
                <a:r>
                  <a:rPr lang="ro-RO"/>
                  <a:t>%</a:t>
                </a:r>
              </a:p>
            </c:rich>
          </c:tx>
          <c:layout>
            <c:manualLayout>
              <c:xMode val="edge"/>
              <c:yMode val="edge"/>
              <c:x val="0.12222222222222294"/>
              <c:y val="0.10686862058909302"/>
            </c:manualLayout>
          </c:layout>
        </c:title>
        <c:numFmt formatCode="General" sourceLinked="1"/>
        <c:tickLblPos val="nextTo"/>
        <c:crossAx val="135229440"/>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1000">
                <a:latin typeface="Arial" pitchFamily="34" charset="0"/>
                <a:cs typeface="Arial" pitchFamily="34" charset="0"/>
              </a:rPr>
              <a:t>Contribu</a:t>
            </a:r>
            <a:r>
              <a:rPr lang="ro-RO" sz="1000">
                <a:latin typeface="Arial" pitchFamily="34" charset="0"/>
                <a:cs typeface="Arial" pitchFamily="34" charset="0"/>
              </a:rPr>
              <a:t>ţia</a:t>
            </a:r>
            <a:r>
              <a:rPr lang="ro-RO" sz="1000" baseline="0">
                <a:latin typeface="Arial" pitchFamily="34" charset="0"/>
                <a:cs typeface="Arial" pitchFamily="34" charset="0"/>
              </a:rPr>
              <a:t> diverselor tipuri de vehicule la emisiile de poluanţi cu efect de acidifiere</a:t>
            </a:r>
            <a:endParaRPr lang="ro-RO" sz="1000">
              <a:latin typeface="Arial" pitchFamily="34" charset="0"/>
              <a:cs typeface="Arial" pitchFamily="34" charset="0"/>
            </a:endParaRPr>
          </a:p>
        </c:rich>
      </c:tx>
    </c:title>
    <c:plotArea>
      <c:layout/>
      <c:barChart>
        <c:barDir val="col"/>
        <c:grouping val="clustered"/>
        <c:ser>
          <c:idx val="0"/>
          <c:order val="0"/>
          <c:tx>
            <c:strRef>
              <c:f>TRANSPORT!$T$7</c:f>
              <c:strCache>
                <c:ptCount val="1"/>
                <c:pt idx="0">
                  <c:v>SO2</c:v>
                </c:pt>
              </c:strCache>
            </c:strRef>
          </c:tx>
          <c:cat>
            <c:strRef>
              <c:f>TRANSPORT!$U$6:$X$6</c:f>
              <c:strCache>
                <c:ptCount val="4"/>
                <c:pt idx="0">
                  <c:v>PASAGERI</c:v>
                </c:pt>
                <c:pt idx="1">
                  <c:v>VEH USOARE</c:v>
                </c:pt>
                <c:pt idx="2">
                  <c:v>VEH GRELE</c:v>
                </c:pt>
                <c:pt idx="3">
                  <c:v>MOTORETE</c:v>
                </c:pt>
              </c:strCache>
            </c:strRef>
          </c:cat>
          <c:val>
            <c:numRef>
              <c:f>TRANSPORT!$U$7:$X$7</c:f>
              <c:numCache>
                <c:formatCode>General</c:formatCode>
                <c:ptCount val="4"/>
              </c:numCache>
            </c:numRef>
          </c:val>
        </c:ser>
        <c:ser>
          <c:idx val="1"/>
          <c:order val="1"/>
          <c:tx>
            <c:strRef>
              <c:f>TRANSPORT!$T$8</c:f>
              <c:strCache>
                <c:ptCount val="1"/>
                <c:pt idx="0">
                  <c:v>Nox</c:v>
                </c:pt>
              </c:strCache>
            </c:strRef>
          </c:tx>
          <c:cat>
            <c:strRef>
              <c:f>TRANSPORT!$U$6:$X$6</c:f>
              <c:strCache>
                <c:ptCount val="4"/>
                <c:pt idx="0">
                  <c:v>PASAGERI</c:v>
                </c:pt>
                <c:pt idx="1">
                  <c:v>VEH USOARE</c:v>
                </c:pt>
                <c:pt idx="2">
                  <c:v>VEH GRELE</c:v>
                </c:pt>
                <c:pt idx="3">
                  <c:v>MOTORETE</c:v>
                </c:pt>
              </c:strCache>
            </c:strRef>
          </c:cat>
          <c:val>
            <c:numRef>
              <c:f>TRANSPORT!$U$8:$X$8</c:f>
              <c:numCache>
                <c:formatCode>General</c:formatCode>
                <c:ptCount val="4"/>
                <c:pt idx="0">
                  <c:v>32.200000000000003</c:v>
                </c:pt>
                <c:pt idx="1">
                  <c:v>11.2</c:v>
                </c:pt>
                <c:pt idx="2">
                  <c:v>56.2</c:v>
                </c:pt>
                <c:pt idx="3">
                  <c:v>0.4</c:v>
                </c:pt>
              </c:numCache>
            </c:numRef>
          </c:val>
        </c:ser>
        <c:ser>
          <c:idx val="2"/>
          <c:order val="2"/>
          <c:tx>
            <c:strRef>
              <c:f>TRANSPORT!$T$9</c:f>
              <c:strCache>
                <c:ptCount val="1"/>
                <c:pt idx="0">
                  <c:v>NH3</c:v>
                </c:pt>
              </c:strCache>
            </c:strRef>
          </c:tx>
          <c:cat>
            <c:strRef>
              <c:f>TRANSPORT!$U$6:$X$6</c:f>
              <c:strCache>
                <c:ptCount val="4"/>
                <c:pt idx="0">
                  <c:v>PASAGERI</c:v>
                </c:pt>
                <c:pt idx="1">
                  <c:v>VEH USOARE</c:v>
                </c:pt>
                <c:pt idx="2">
                  <c:v>VEH GRELE</c:v>
                </c:pt>
                <c:pt idx="3">
                  <c:v>MOTORETE</c:v>
                </c:pt>
              </c:strCache>
            </c:strRef>
          </c:cat>
          <c:val>
            <c:numRef>
              <c:f>TRANSPORT!$U$9:$X$9</c:f>
              <c:numCache>
                <c:formatCode>General</c:formatCode>
                <c:ptCount val="4"/>
                <c:pt idx="0">
                  <c:v>89</c:v>
                </c:pt>
                <c:pt idx="1">
                  <c:v>6.6</c:v>
                </c:pt>
                <c:pt idx="2">
                  <c:v>4</c:v>
                </c:pt>
                <c:pt idx="3">
                  <c:v>0.4</c:v>
                </c:pt>
              </c:numCache>
            </c:numRef>
          </c:val>
        </c:ser>
        <c:axId val="135257088"/>
        <c:axId val="159335168"/>
      </c:barChart>
      <c:catAx>
        <c:axId val="135257088"/>
        <c:scaling>
          <c:orientation val="minMax"/>
        </c:scaling>
        <c:axPos val="b"/>
        <c:majorTickMark val="none"/>
        <c:tickLblPos val="nextTo"/>
        <c:crossAx val="159335168"/>
        <c:crosses val="autoZero"/>
        <c:auto val="1"/>
        <c:lblAlgn val="ctr"/>
        <c:lblOffset val="100"/>
      </c:catAx>
      <c:valAx>
        <c:axId val="159335168"/>
        <c:scaling>
          <c:orientation val="minMax"/>
        </c:scaling>
        <c:axPos val="l"/>
        <c:majorGridlines/>
        <c:title>
          <c:tx>
            <c:rich>
              <a:bodyPr rot="0" vert="horz"/>
              <a:lstStyle/>
              <a:p>
                <a:pPr>
                  <a:defRPr/>
                </a:pPr>
                <a:r>
                  <a:rPr lang="en-US"/>
                  <a:t>%</a:t>
                </a:r>
                <a:endParaRPr lang="ro-RO"/>
              </a:p>
            </c:rich>
          </c:tx>
          <c:layout>
            <c:manualLayout>
              <c:xMode val="edge"/>
              <c:yMode val="edge"/>
              <c:x val="0.12222222222222294"/>
              <c:y val="0.12179571303587106"/>
            </c:manualLayout>
          </c:layout>
        </c:title>
        <c:numFmt formatCode="General" sourceLinked="1"/>
        <c:tickLblPos val="nextTo"/>
        <c:crossAx val="135257088"/>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Contribuţia</a:t>
            </a:r>
            <a:r>
              <a:rPr lang="ro-RO" sz="1000" baseline="0">
                <a:latin typeface="Arial" pitchFamily="34" charset="0"/>
                <a:cs typeface="Arial" pitchFamily="34" charset="0"/>
              </a:rPr>
              <a:t> tipurilor de vehicule la emisiile de poluanţi precursori ai ozonului</a:t>
            </a:r>
            <a:endParaRPr lang="ro-RO" sz="1000">
              <a:latin typeface="Arial" pitchFamily="34" charset="0"/>
              <a:cs typeface="Arial" pitchFamily="34" charset="0"/>
            </a:endParaRPr>
          </a:p>
        </c:rich>
      </c:tx>
    </c:title>
    <c:plotArea>
      <c:layout/>
      <c:barChart>
        <c:barDir val="col"/>
        <c:grouping val="clustered"/>
        <c:ser>
          <c:idx val="0"/>
          <c:order val="0"/>
          <c:tx>
            <c:strRef>
              <c:f>TRANSPORT!$V$36</c:f>
              <c:strCache>
                <c:ptCount val="1"/>
                <c:pt idx="0">
                  <c:v>CO</c:v>
                </c:pt>
              </c:strCache>
            </c:strRef>
          </c:tx>
          <c:cat>
            <c:strRef>
              <c:f>TRANSPORT!$W$35:$Z$35</c:f>
              <c:strCache>
                <c:ptCount val="4"/>
                <c:pt idx="0">
                  <c:v>PASAGERI</c:v>
                </c:pt>
                <c:pt idx="1">
                  <c:v>VEH USOARE</c:v>
                </c:pt>
                <c:pt idx="2">
                  <c:v>VEH GRELE</c:v>
                </c:pt>
                <c:pt idx="3">
                  <c:v>MOTORETE</c:v>
                </c:pt>
              </c:strCache>
            </c:strRef>
          </c:cat>
          <c:val>
            <c:numRef>
              <c:f>TRANSPORT!$W$36:$Z$36</c:f>
              <c:numCache>
                <c:formatCode>General</c:formatCode>
                <c:ptCount val="4"/>
                <c:pt idx="0">
                  <c:v>80</c:v>
                </c:pt>
                <c:pt idx="1">
                  <c:v>13</c:v>
                </c:pt>
                <c:pt idx="2">
                  <c:v>6.3</c:v>
                </c:pt>
                <c:pt idx="3">
                  <c:v>0.70000000000000062</c:v>
                </c:pt>
              </c:numCache>
            </c:numRef>
          </c:val>
        </c:ser>
        <c:ser>
          <c:idx val="1"/>
          <c:order val="1"/>
          <c:tx>
            <c:strRef>
              <c:f>TRANSPORT!$V$37</c:f>
              <c:strCache>
                <c:ptCount val="1"/>
                <c:pt idx="0">
                  <c:v>NMVOC</c:v>
                </c:pt>
              </c:strCache>
            </c:strRef>
          </c:tx>
          <c:cat>
            <c:strRef>
              <c:f>TRANSPORT!$W$35:$Z$35</c:f>
              <c:strCache>
                <c:ptCount val="4"/>
                <c:pt idx="0">
                  <c:v>PASAGERI</c:v>
                </c:pt>
                <c:pt idx="1">
                  <c:v>VEH USOARE</c:v>
                </c:pt>
                <c:pt idx="2">
                  <c:v>VEH GRELE</c:v>
                </c:pt>
                <c:pt idx="3">
                  <c:v>MOTORETE</c:v>
                </c:pt>
              </c:strCache>
            </c:strRef>
          </c:cat>
          <c:val>
            <c:numRef>
              <c:f>TRANSPORT!$W$37:$Z$37</c:f>
              <c:numCache>
                <c:formatCode>General</c:formatCode>
                <c:ptCount val="4"/>
                <c:pt idx="0">
                  <c:v>75</c:v>
                </c:pt>
                <c:pt idx="1">
                  <c:v>11</c:v>
                </c:pt>
                <c:pt idx="2">
                  <c:v>12.3</c:v>
                </c:pt>
                <c:pt idx="3">
                  <c:v>1.7</c:v>
                </c:pt>
              </c:numCache>
            </c:numRef>
          </c:val>
        </c:ser>
        <c:ser>
          <c:idx val="2"/>
          <c:order val="2"/>
          <c:tx>
            <c:strRef>
              <c:f>TRANSPORT!$V$38</c:f>
              <c:strCache>
                <c:ptCount val="1"/>
                <c:pt idx="0">
                  <c:v>NOx</c:v>
                </c:pt>
              </c:strCache>
            </c:strRef>
          </c:tx>
          <c:cat>
            <c:strRef>
              <c:f>TRANSPORT!$W$35:$Z$35</c:f>
              <c:strCache>
                <c:ptCount val="4"/>
                <c:pt idx="0">
                  <c:v>PASAGERI</c:v>
                </c:pt>
                <c:pt idx="1">
                  <c:v>VEH USOARE</c:v>
                </c:pt>
                <c:pt idx="2">
                  <c:v>VEH GRELE</c:v>
                </c:pt>
                <c:pt idx="3">
                  <c:v>MOTORETE</c:v>
                </c:pt>
              </c:strCache>
            </c:strRef>
          </c:cat>
          <c:val>
            <c:numRef>
              <c:f>TRANSPORT!$W$38:$Z$38</c:f>
              <c:numCache>
                <c:formatCode>General</c:formatCode>
                <c:ptCount val="4"/>
                <c:pt idx="0">
                  <c:v>32.200000000000003</c:v>
                </c:pt>
                <c:pt idx="1">
                  <c:v>11.2</c:v>
                </c:pt>
                <c:pt idx="2">
                  <c:v>56.2</c:v>
                </c:pt>
                <c:pt idx="3">
                  <c:v>0.4</c:v>
                </c:pt>
              </c:numCache>
            </c:numRef>
          </c:val>
        </c:ser>
        <c:axId val="159348992"/>
        <c:axId val="159371264"/>
      </c:barChart>
      <c:catAx>
        <c:axId val="159348992"/>
        <c:scaling>
          <c:orientation val="minMax"/>
        </c:scaling>
        <c:axPos val="b"/>
        <c:majorTickMark val="none"/>
        <c:tickLblPos val="nextTo"/>
        <c:crossAx val="159371264"/>
        <c:crosses val="autoZero"/>
        <c:auto val="1"/>
        <c:lblAlgn val="ctr"/>
        <c:lblOffset val="100"/>
      </c:catAx>
      <c:valAx>
        <c:axId val="159371264"/>
        <c:scaling>
          <c:orientation val="minMax"/>
          <c:max val="100"/>
        </c:scaling>
        <c:axPos val="l"/>
        <c:majorGridlines/>
        <c:title>
          <c:tx>
            <c:rich>
              <a:bodyPr rot="0" vert="horz"/>
              <a:lstStyle/>
              <a:p>
                <a:pPr>
                  <a:defRPr/>
                </a:pPr>
                <a:r>
                  <a:rPr lang="ro-RO"/>
                  <a:t>%</a:t>
                </a:r>
              </a:p>
            </c:rich>
          </c:tx>
          <c:layout>
            <c:manualLayout>
              <c:xMode val="edge"/>
              <c:yMode val="edge"/>
              <c:x val="0.11944444444444446"/>
              <c:y val="0.13105497229512975"/>
            </c:manualLayout>
          </c:layout>
        </c:title>
        <c:numFmt formatCode="General" sourceLinked="1"/>
        <c:tickLblPos val="nextTo"/>
        <c:crossAx val="159348992"/>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Contribuţii</a:t>
            </a:r>
            <a:r>
              <a:rPr lang="ro-RO" sz="1000" baseline="0">
                <a:latin typeface="Arial" pitchFamily="34" charset="0"/>
                <a:cs typeface="Arial" pitchFamily="34" charset="0"/>
              </a:rPr>
              <a:t> ale tipurilor de vehicule la emisiile de particule primare în suspensie</a:t>
            </a:r>
            <a:endParaRPr lang="ro-RO" sz="1000">
              <a:latin typeface="Arial" pitchFamily="34" charset="0"/>
              <a:cs typeface="Arial" pitchFamily="34" charset="0"/>
            </a:endParaRPr>
          </a:p>
        </c:rich>
      </c:tx>
    </c:title>
    <c:plotArea>
      <c:layout/>
      <c:barChart>
        <c:barDir val="col"/>
        <c:grouping val="clustered"/>
        <c:ser>
          <c:idx val="0"/>
          <c:order val="0"/>
          <c:tx>
            <c:strRef>
              <c:f>TRANSPORT!$X$65</c:f>
              <c:strCache>
                <c:ptCount val="1"/>
                <c:pt idx="0">
                  <c:v>PM10</c:v>
                </c:pt>
              </c:strCache>
            </c:strRef>
          </c:tx>
          <c:cat>
            <c:strRef>
              <c:f>TRANSPORT!$Y$64:$AB$64</c:f>
              <c:strCache>
                <c:ptCount val="4"/>
                <c:pt idx="0">
                  <c:v>PASAGERI</c:v>
                </c:pt>
                <c:pt idx="1">
                  <c:v>VEH USOARE</c:v>
                </c:pt>
                <c:pt idx="2">
                  <c:v>VEH GRELE</c:v>
                </c:pt>
                <c:pt idx="3">
                  <c:v>MOTORETE</c:v>
                </c:pt>
              </c:strCache>
            </c:strRef>
          </c:cat>
          <c:val>
            <c:numRef>
              <c:f>TRANSPORT!$Y$65:$AB$65</c:f>
              <c:numCache>
                <c:formatCode>General</c:formatCode>
                <c:ptCount val="4"/>
                <c:pt idx="0">
                  <c:v>40.4</c:v>
                </c:pt>
                <c:pt idx="1">
                  <c:v>22.4</c:v>
                </c:pt>
                <c:pt idx="2">
                  <c:v>36.9</c:v>
                </c:pt>
                <c:pt idx="3">
                  <c:v>0.30000000000000032</c:v>
                </c:pt>
              </c:numCache>
            </c:numRef>
          </c:val>
        </c:ser>
        <c:ser>
          <c:idx val="1"/>
          <c:order val="1"/>
          <c:tx>
            <c:strRef>
              <c:f>TRANSPORT!$X$66</c:f>
              <c:strCache>
                <c:ptCount val="1"/>
                <c:pt idx="0">
                  <c:v>PM2,5</c:v>
                </c:pt>
              </c:strCache>
            </c:strRef>
          </c:tx>
          <c:cat>
            <c:strRef>
              <c:f>TRANSPORT!$Y$64:$AB$64</c:f>
              <c:strCache>
                <c:ptCount val="4"/>
                <c:pt idx="0">
                  <c:v>PASAGERI</c:v>
                </c:pt>
                <c:pt idx="1">
                  <c:v>VEH USOARE</c:v>
                </c:pt>
                <c:pt idx="2">
                  <c:v>VEH GRELE</c:v>
                </c:pt>
                <c:pt idx="3">
                  <c:v>MOTORETE</c:v>
                </c:pt>
              </c:strCache>
            </c:strRef>
          </c:cat>
          <c:val>
            <c:numRef>
              <c:f>TRANSPORT!$Y$66:$AB$66</c:f>
              <c:numCache>
                <c:formatCode>General</c:formatCode>
                <c:ptCount val="4"/>
                <c:pt idx="0">
                  <c:v>40.200000000000003</c:v>
                </c:pt>
                <c:pt idx="1">
                  <c:v>23</c:v>
                </c:pt>
                <c:pt idx="2">
                  <c:v>36.6</c:v>
                </c:pt>
                <c:pt idx="3">
                  <c:v>0.2</c:v>
                </c:pt>
              </c:numCache>
            </c:numRef>
          </c:val>
        </c:ser>
        <c:axId val="160256768"/>
        <c:axId val="160258304"/>
      </c:barChart>
      <c:catAx>
        <c:axId val="160256768"/>
        <c:scaling>
          <c:orientation val="minMax"/>
        </c:scaling>
        <c:axPos val="b"/>
        <c:majorTickMark val="none"/>
        <c:tickLblPos val="nextTo"/>
        <c:crossAx val="160258304"/>
        <c:crosses val="autoZero"/>
        <c:auto val="1"/>
        <c:lblAlgn val="ctr"/>
        <c:lblOffset val="100"/>
      </c:catAx>
      <c:valAx>
        <c:axId val="160258304"/>
        <c:scaling>
          <c:orientation val="minMax"/>
          <c:max val="100"/>
        </c:scaling>
        <c:axPos val="l"/>
        <c:majorGridlines/>
        <c:title>
          <c:tx>
            <c:rich>
              <a:bodyPr rot="0" vert="horz"/>
              <a:lstStyle/>
              <a:p>
                <a:pPr>
                  <a:defRPr/>
                </a:pPr>
                <a:r>
                  <a:rPr lang="ro-RO"/>
                  <a:t>%</a:t>
                </a:r>
              </a:p>
            </c:rich>
          </c:tx>
          <c:layout>
            <c:manualLayout>
              <c:xMode val="edge"/>
              <c:yMode val="edge"/>
              <c:x val="0.11388888888888885"/>
              <c:y val="0.12179571303587106"/>
            </c:manualLayout>
          </c:layout>
        </c:title>
        <c:numFmt formatCode="General" sourceLinked="1"/>
        <c:tickLblPos val="nextTo"/>
        <c:crossAx val="160256768"/>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000">
                <a:latin typeface="Arial" pitchFamily="34" charset="0"/>
                <a:cs typeface="Arial" pitchFamily="34" charset="0"/>
              </a:rPr>
              <a:t>Contribuţia</a:t>
            </a:r>
            <a:r>
              <a:rPr lang="ro-RO" sz="1000" baseline="0">
                <a:latin typeface="Arial" pitchFamily="34" charset="0"/>
                <a:cs typeface="Arial" pitchFamily="34" charset="0"/>
              </a:rPr>
              <a:t> tipurilor de vehicule la emisiile de metale grele</a:t>
            </a:r>
            <a:endParaRPr lang="ro-RO" sz="1000">
              <a:latin typeface="Arial" pitchFamily="34" charset="0"/>
              <a:cs typeface="Arial" pitchFamily="34" charset="0"/>
            </a:endParaRPr>
          </a:p>
        </c:rich>
      </c:tx>
    </c:title>
    <c:plotArea>
      <c:layout/>
      <c:barChart>
        <c:barDir val="col"/>
        <c:grouping val="clustered"/>
        <c:ser>
          <c:idx val="0"/>
          <c:order val="0"/>
          <c:tx>
            <c:strRef>
              <c:f>TRANSPORT!$X$101</c:f>
              <c:strCache>
                <c:ptCount val="1"/>
                <c:pt idx="0">
                  <c:v>Pb</c:v>
                </c:pt>
              </c:strCache>
            </c:strRef>
          </c:tx>
          <c:cat>
            <c:strRef>
              <c:f>TRANSPORT!$Y$100:$AB$100</c:f>
              <c:strCache>
                <c:ptCount val="4"/>
                <c:pt idx="0">
                  <c:v>PASAGERI</c:v>
                </c:pt>
                <c:pt idx="1">
                  <c:v>VEH USOARE</c:v>
                </c:pt>
                <c:pt idx="2">
                  <c:v>VEH GRELE</c:v>
                </c:pt>
                <c:pt idx="3">
                  <c:v>MOTORETE</c:v>
                </c:pt>
              </c:strCache>
            </c:strRef>
          </c:cat>
          <c:val>
            <c:numRef>
              <c:f>TRANSPORT!$Y$101:$AB$101</c:f>
              <c:numCache>
                <c:formatCode>General</c:formatCode>
                <c:ptCount val="4"/>
                <c:pt idx="0">
                  <c:v>26.9</c:v>
                </c:pt>
                <c:pt idx="1">
                  <c:v>9.7000000000000011</c:v>
                </c:pt>
                <c:pt idx="2">
                  <c:v>43.4</c:v>
                </c:pt>
                <c:pt idx="3">
                  <c:v>20</c:v>
                </c:pt>
              </c:numCache>
            </c:numRef>
          </c:val>
        </c:ser>
        <c:ser>
          <c:idx val="1"/>
          <c:order val="1"/>
          <c:tx>
            <c:strRef>
              <c:f>TRANSPORT!$X$102</c:f>
              <c:strCache>
                <c:ptCount val="1"/>
                <c:pt idx="0">
                  <c:v>Cd</c:v>
                </c:pt>
              </c:strCache>
            </c:strRef>
          </c:tx>
          <c:cat>
            <c:strRef>
              <c:f>TRANSPORT!$Y$100:$AB$100</c:f>
              <c:strCache>
                <c:ptCount val="4"/>
                <c:pt idx="0">
                  <c:v>PASAGERI</c:v>
                </c:pt>
                <c:pt idx="1">
                  <c:v>VEH USOARE</c:v>
                </c:pt>
                <c:pt idx="2">
                  <c:v>VEH GRELE</c:v>
                </c:pt>
                <c:pt idx="3">
                  <c:v>MOTORETE</c:v>
                </c:pt>
              </c:strCache>
            </c:strRef>
          </c:cat>
          <c:val>
            <c:numRef>
              <c:f>TRANSPORT!$Y$102:$AB$102</c:f>
              <c:numCache>
                <c:formatCode>General</c:formatCode>
                <c:ptCount val="4"/>
                <c:pt idx="0">
                  <c:v>45.6</c:v>
                </c:pt>
                <c:pt idx="1">
                  <c:v>13.2</c:v>
                </c:pt>
                <c:pt idx="2">
                  <c:v>30.8</c:v>
                </c:pt>
                <c:pt idx="3">
                  <c:v>10.4</c:v>
                </c:pt>
              </c:numCache>
            </c:numRef>
          </c:val>
        </c:ser>
        <c:axId val="160271360"/>
        <c:axId val="160293632"/>
      </c:barChart>
      <c:catAx>
        <c:axId val="160271360"/>
        <c:scaling>
          <c:orientation val="minMax"/>
        </c:scaling>
        <c:axPos val="b"/>
        <c:majorTickMark val="none"/>
        <c:tickLblPos val="nextTo"/>
        <c:crossAx val="160293632"/>
        <c:crosses val="autoZero"/>
        <c:auto val="1"/>
        <c:lblAlgn val="ctr"/>
        <c:lblOffset val="100"/>
      </c:catAx>
      <c:valAx>
        <c:axId val="160293632"/>
        <c:scaling>
          <c:orientation val="minMax"/>
          <c:max val="100"/>
        </c:scaling>
        <c:axPos val="l"/>
        <c:majorGridlines/>
        <c:title>
          <c:tx>
            <c:rich>
              <a:bodyPr rot="0" vert="horz"/>
              <a:lstStyle/>
              <a:p>
                <a:pPr>
                  <a:defRPr/>
                </a:pPr>
                <a:r>
                  <a:rPr lang="ro-RO"/>
                  <a:t>%</a:t>
                </a:r>
              </a:p>
            </c:rich>
          </c:tx>
          <c:layout>
            <c:manualLayout>
              <c:xMode val="edge"/>
              <c:yMode val="edge"/>
              <c:x val="0.11388888888888885"/>
              <c:y val="0.12179571303587108"/>
            </c:manualLayout>
          </c:layout>
        </c:title>
        <c:numFmt formatCode="General" sourceLinked="1"/>
        <c:tickLblPos val="nextTo"/>
        <c:crossAx val="160271360"/>
        <c:crosses val="autoZero"/>
        <c:crossBetween val="between"/>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Contribuţii</a:t>
            </a:r>
            <a:r>
              <a:rPr lang="ro-RO" sz="1000" baseline="0">
                <a:latin typeface="Arial" pitchFamily="34" charset="0"/>
                <a:cs typeface="Arial" pitchFamily="34" charset="0"/>
              </a:rPr>
              <a:t> ale sectoarelor de activitate din agricultură la emisiile de poluanţi cu efect de acidifiere</a:t>
            </a:r>
            <a:endParaRPr lang="ro-RO" sz="1000">
              <a:latin typeface="Arial" pitchFamily="34" charset="0"/>
              <a:cs typeface="Arial" pitchFamily="34" charset="0"/>
            </a:endParaRPr>
          </a:p>
        </c:rich>
      </c:tx>
    </c:title>
    <c:plotArea>
      <c:layout/>
      <c:barChart>
        <c:barDir val="col"/>
        <c:grouping val="clustered"/>
        <c:ser>
          <c:idx val="0"/>
          <c:order val="0"/>
          <c:tx>
            <c:strRef>
              <c:f>'SUBSTANTE ACIDIFIANTE'!$R$22</c:f>
              <c:strCache>
                <c:ptCount val="1"/>
                <c:pt idx="0">
                  <c:v>NOx, %</c:v>
                </c:pt>
              </c:strCache>
            </c:strRef>
          </c:tx>
          <c:cat>
            <c:strRef>
              <c:f>'SUBSTANTE ACIDIFIANTE'!$S$21:$Y$21</c:f>
              <c:strCache>
                <c:ptCount val="7"/>
                <c:pt idx="0">
                  <c:v>VACI LAPTE</c:v>
                </c:pt>
                <c:pt idx="1">
                  <c:v>BOVINE NON LAPTE</c:v>
                </c:pt>
                <c:pt idx="2">
                  <c:v>PORCINE</c:v>
                </c:pt>
                <c:pt idx="3">
                  <c:v>PUI CARNE</c:v>
                </c:pt>
                <c:pt idx="4">
                  <c:v>GAINI DE OUA</c:v>
                </c:pt>
                <c:pt idx="5">
                  <c:v>INCALZIRE HALE</c:v>
                </c:pt>
                <c:pt idx="6">
                  <c:v>INGRASAMINTE SINTETICE</c:v>
                </c:pt>
              </c:strCache>
            </c:strRef>
          </c:cat>
          <c:val>
            <c:numRef>
              <c:f>'SUBSTANTE ACIDIFIANTE'!$S$22:$Y$22</c:f>
              <c:numCache>
                <c:formatCode>General</c:formatCode>
                <c:ptCount val="7"/>
                <c:pt idx="5">
                  <c:v>100</c:v>
                </c:pt>
              </c:numCache>
            </c:numRef>
          </c:val>
        </c:ser>
        <c:ser>
          <c:idx val="1"/>
          <c:order val="1"/>
          <c:tx>
            <c:strRef>
              <c:f>'SUBSTANTE ACIDIFIANTE'!$R$23</c:f>
              <c:strCache>
                <c:ptCount val="1"/>
                <c:pt idx="0">
                  <c:v>NH3, %</c:v>
                </c:pt>
              </c:strCache>
            </c:strRef>
          </c:tx>
          <c:cat>
            <c:strRef>
              <c:f>'SUBSTANTE ACIDIFIANTE'!$S$21:$Y$21</c:f>
              <c:strCache>
                <c:ptCount val="7"/>
                <c:pt idx="0">
                  <c:v>VACI LAPTE</c:v>
                </c:pt>
                <c:pt idx="1">
                  <c:v>BOVINE NON LAPTE</c:v>
                </c:pt>
                <c:pt idx="2">
                  <c:v>PORCINE</c:v>
                </c:pt>
                <c:pt idx="3">
                  <c:v>PUI CARNE</c:v>
                </c:pt>
                <c:pt idx="4">
                  <c:v>GAINI DE OUA</c:v>
                </c:pt>
                <c:pt idx="5">
                  <c:v>INCALZIRE HALE</c:v>
                </c:pt>
                <c:pt idx="6">
                  <c:v>INGRASAMINTE SINTETICE</c:v>
                </c:pt>
              </c:strCache>
            </c:strRef>
          </c:cat>
          <c:val>
            <c:numRef>
              <c:f>'SUBSTANTE ACIDIFIANTE'!$S$23:$Y$23</c:f>
              <c:numCache>
                <c:formatCode>General</c:formatCode>
                <c:ptCount val="7"/>
                <c:pt idx="0">
                  <c:v>0.27</c:v>
                </c:pt>
                <c:pt idx="1">
                  <c:v>7.0000000000000034E-2</c:v>
                </c:pt>
                <c:pt idx="2">
                  <c:v>4.72</c:v>
                </c:pt>
                <c:pt idx="3">
                  <c:v>20.43</c:v>
                </c:pt>
                <c:pt idx="4">
                  <c:v>0.91</c:v>
                </c:pt>
                <c:pt idx="6">
                  <c:v>73.599999999999994</c:v>
                </c:pt>
              </c:numCache>
            </c:numRef>
          </c:val>
        </c:ser>
        <c:ser>
          <c:idx val="2"/>
          <c:order val="2"/>
          <c:tx>
            <c:strRef>
              <c:f>'SUBSTANTE ACIDIFIANTE'!$R$24</c:f>
              <c:strCache>
                <c:ptCount val="1"/>
                <c:pt idx="0">
                  <c:v>SOx, %</c:v>
                </c:pt>
              </c:strCache>
            </c:strRef>
          </c:tx>
          <c:cat>
            <c:strRef>
              <c:f>'SUBSTANTE ACIDIFIANTE'!$S$21:$Y$21</c:f>
              <c:strCache>
                <c:ptCount val="7"/>
                <c:pt idx="0">
                  <c:v>VACI LAPTE</c:v>
                </c:pt>
                <c:pt idx="1">
                  <c:v>BOVINE NON LAPTE</c:v>
                </c:pt>
                <c:pt idx="2">
                  <c:v>PORCINE</c:v>
                </c:pt>
                <c:pt idx="3">
                  <c:v>PUI CARNE</c:v>
                </c:pt>
                <c:pt idx="4">
                  <c:v>GAINI DE OUA</c:v>
                </c:pt>
                <c:pt idx="5">
                  <c:v>INCALZIRE HALE</c:v>
                </c:pt>
                <c:pt idx="6">
                  <c:v>INGRASAMINTE SINTETICE</c:v>
                </c:pt>
              </c:strCache>
            </c:strRef>
          </c:cat>
          <c:val>
            <c:numRef>
              <c:f>'SUBSTANTE ACIDIFIANTE'!$S$24:$Y$24</c:f>
              <c:numCache>
                <c:formatCode>General</c:formatCode>
                <c:ptCount val="7"/>
                <c:pt idx="5">
                  <c:v>100</c:v>
                </c:pt>
              </c:numCache>
            </c:numRef>
          </c:val>
        </c:ser>
        <c:axId val="160372992"/>
        <c:axId val="160399360"/>
      </c:barChart>
      <c:catAx>
        <c:axId val="160372992"/>
        <c:scaling>
          <c:orientation val="minMax"/>
        </c:scaling>
        <c:axPos val="b"/>
        <c:majorTickMark val="none"/>
        <c:tickLblPos val="nextTo"/>
        <c:crossAx val="160399360"/>
        <c:crosses val="autoZero"/>
        <c:auto val="1"/>
        <c:lblAlgn val="ctr"/>
        <c:lblOffset val="100"/>
      </c:catAx>
      <c:valAx>
        <c:axId val="160399360"/>
        <c:scaling>
          <c:orientation val="minMax"/>
          <c:max val="100"/>
          <c:min val="0"/>
        </c:scaling>
        <c:axPos val="l"/>
        <c:majorGridlines/>
        <c:title>
          <c:tx>
            <c:rich>
              <a:bodyPr rot="0" vert="horz"/>
              <a:lstStyle/>
              <a:p>
                <a:pPr>
                  <a:defRPr b="1"/>
                </a:pPr>
                <a:r>
                  <a:rPr lang="ro-RO" b="1" baseline="0"/>
                  <a:t>      %</a:t>
                </a:r>
                <a:endParaRPr lang="ro-RO" b="1"/>
              </a:p>
            </c:rich>
          </c:tx>
          <c:layout>
            <c:manualLayout>
              <c:xMode val="edge"/>
              <c:yMode val="edge"/>
              <c:x val="0.10553410553410562"/>
              <c:y val="0.11879788530707168"/>
            </c:manualLayout>
          </c:layout>
        </c:title>
        <c:numFmt formatCode="General" sourceLinked="1"/>
        <c:tickLblPos val="nextTo"/>
        <c:crossAx val="160372992"/>
        <c:crosses val="autoZero"/>
        <c:crossBetween val="between"/>
        <c:majorUnit val="10"/>
      </c:valAx>
    </c:plotArea>
    <c:legend>
      <c:legendPos val="r"/>
      <c:layout>
        <c:manualLayout>
          <c:xMode val="edge"/>
          <c:yMode val="edge"/>
          <c:x val="0.86191894932052415"/>
          <c:y val="0.22602328555084494"/>
          <c:w val="0.12006303266145812"/>
          <c:h val="0.20607308701796948"/>
        </c:manualLayout>
      </c:layout>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000" b="1" i="0" kern="1200" baseline="0">
                <a:solidFill>
                  <a:srgbClr val="000000"/>
                </a:solidFill>
                <a:latin typeface="Arial"/>
                <a:cs typeface="Arial"/>
              </a:rPr>
              <a:t>Contribuţii ale sectoarelor de activitate din agricultură la emisiile de poluanţi precursori ai ozonului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sz="1000">
              <a:latin typeface="Arial" pitchFamily="34" charset="0"/>
              <a:cs typeface="Arial" pitchFamily="34" charset="0"/>
            </a:endParaRPr>
          </a:p>
        </c:rich>
      </c:tx>
    </c:title>
    <c:plotArea>
      <c:layout>
        <c:manualLayout>
          <c:layoutTarget val="inner"/>
          <c:xMode val="edge"/>
          <c:yMode val="edge"/>
          <c:x val="0.14497462817147871"/>
          <c:y val="0.21875544836174832"/>
          <c:w val="0.67063903539572256"/>
          <c:h val="0.53288185823619183"/>
        </c:manualLayout>
      </c:layout>
      <c:barChart>
        <c:barDir val="col"/>
        <c:grouping val="clustered"/>
        <c:ser>
          <c:idx val="0"/>
          <c:order val="0"/>
          <c:tx>
            <c:strRef>
              <c:f>'PRECURSORI AI OZONULUI'!$O$23</c:f>
              <c:strCache>
                <c:ptCount val="1"/>
                <c:pt idx="0">
                  <c:v>NOx, %</c:v>
                </c:pt>
              </c:strCache>
            </c:strRef>
          </c:tx>
          <c:cat>
            <c:strRef>
              <c:f>'PRECURSORI AI OZONULUI'!$P$22:$U$22</c:f>
              <c:strCache>
                <c:ptCount val="6"/>
                <c:pt idx="0">
                  <c:v>VACI LAPTE</c:v>
                </c:pt>
                <c:pt idx="1">
                  <c:v>BOVINE NON LAPTE</c:v>
                </c:pt>
                <c:pt idx="2">
                  <c:v>PORCINE</c:v>
                </c:pt>
                <c:pt idx="3">
                  <c:v>PUI CARNE</c:v>
                </c:pt>
                <c:pt idx="4">
                  <c:v>GAINI DE OUA</c:v>
                </c:pt>
                <c:pt idx="5">
                  <c:v>INCALZIRE HALE</c:v>
                </c:pt>
              </c:strCache>
            </c:strRef>
          </c:cat>
          <c:val>
            <c:numRef>
              <c:f>'PRECURSORI AI OZONULUI'!$P$23:$U$23</c:f>
              <c:numCache>
                <c:formatCode>General</c:formatCode>
                <c:ptCount val="6"/>
                <c:pt idx="5">
                  <c:v>100</c:v>
                </c:pt>
              </c:numCache>
            </c:numRef>
          </c:val>
        </c:ser>
        <c:ser>
          <c:idx val="1"/>
          <c:order val="1"/>
          <c:tx>
            <c:strRef>
              <c:f>'PRECURSORI AI OZONULUI'!$O$24</c:f>
              <c:strCache>
                <c:ptCount val="1"/>
                <c:pt idx="0">
                  <c:v>NMVOC, %</c:v>
                </c:pt>
              </c:strCache>
            </c:strRef>
          </c:tx>
          <c:cat>
            <c:strRef>
              <c:f>'PRECURSORI AI OZONULUI'!$P$22:$U$22</c:f>
              <c:strCache>
                <c:ptCount val="6"/>
                <c:pt idx="0">
                  <c:v>VACI LAPTE</c:v>
                </c:pt>
                <c:pt idx="1">
                  <c:v>BOVINE NON LAPTE</c:v>
                </c:pt>
                <c:pt idx="2">
                  <c:v>PORCINE</c:v>
                </c:pt>
                <c:pt idx="3">
                  <c:v>PUI CARNE</c:v>
                </c:pt>
                <c:pt idx="4">
                  <c:v>GAINI DE OUA</c:v>
                </c:pt>
                <c:pt idx="5">
                  <c:v>INCALZIRE HALE</c:v>
                </c:pt>
              </c:strCache>
            </c:strRef>
          </c:cat>
          <c:val>
            <c:numRef>
              <c:f>'PRECURSORI AI OZONULUI'!$P$24:$U$24</c:f>
              <c:numCache>
                <c:formatCode>General</c:formatCode>
                <c:ptCount val="6"/>
                <c:pt idx="0">
                  <c:v>0.98</c:v>
                </c:pt>
                <c:pt idx="1">
                  <c:v>0.42000000000000032</c:v>
                </c:pt>
                <c:pt idx="2">
                  <c:v>22.01</c:v>
                </c:pt>
                <c:pt idx="3">
                  <c:v>72.19</c:v>
                </c:pt>
                <c:pt idx="4">
                  <c:v>4.1599999999999975</c:v>
                </c:pt>
                <c:pt idx="5">
                  <c:v>0.24000000000000021</c:v>
                </c:pt>
              </c:numCache>
            </c:numRef>
          </c:val>
        </c:ser>
        <c:axId val="160170752"/>
        <c:axId val="160172288"/>
      </c:barChart>
      <c:catAx>
        <c:axId val="160170752"/>
        <c:scaling>
          <c:orientation val="minMax"/>
        </c:scaling>
        <c:axPos val="b"/>
        <c:majorTickMark val="none"/>
        <c:tickLblPos val="nextTo"/>
        <c:crossAx val="160172288"/>
        <c:crosses val="autoZero"/>
        <c:auto val="1"/>
        <c:lblAlgn val="ctr"/>
        <c:lblOffset val="100"/>
      </c:catAx>
      <c:valAx>
        <c:axId val="160172288"/>
        <c:scaling>
          <c:orientation val="minMax"/>
        </c:scaling>
        <c:axPos val="l"/>
        <c:majorGridlines/>
        <c:title>
          <c:tx>
            <c:rich>
              <a:bodyPr rot="0" vert="horz"/>
              <a:lstStyle/>
              <a:p>
                <a:pPr>
                  <a:defRPr/>
                </a:pPr>
                <a:r>
                  <a:rPr lang="ro-RO"/>
                  <a:t>%</a:t>
                </a:r>
              </a:p>
            </c:rich>
          </c:tx>
          <c:layout>
            <c:manualLayout>
              <c:xMode val="edge"/>
              <c:yMode val="edge"/>
              <c:x val="0.12150647203255227"/>
              <c:y val="0.1784795819441489"/>
            </c:manualLayout>
          </c:layout>
        </c:title>
        <c:numFmt formatCode="General" sourceLinked="1"/>
        <c:tickLblPos val="nextTo"/>
        <c:crossAx val="160170752"/>
        <c:crosses val="autoZero"/>
        <c:crossBetween val="between"/>
      </c:valAx>
    </c:plotArea>
    <c:legend>
      <c:legendPos val="r"/>
      <c:layout>
        <c:manualLayout>
          <c:xMode val="edge"/>
          <c:yMode val="edge"/>
          <c:x val="0.81905242869309525"/>
          <c:y val="0.34651470368005988"/>
          <c:w val="0.17841752703113312"/>
          <c:h val="0.144808115201816"/>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4.1411690530489494E-2"/>
          <c:y val="5.1489955766738447E-2"/>
          <c:w val="0.94412057453788789"/>
          <c:h val="0.73700472203669465"/>
        </c:manualLayout>
      </c:layout>
      <c:lineChart>
        <c:grouping val="standard"/>
        <c:ser>
          <c:idx val="0"/>
          <c:order val="0"/>
          <c:tx>
            <c:strRef>
              <c:f>'2014'!$B$2:$B$6</c:f>
              <c:strCache>
                <c:ptCount val="1"/>
                <c:pt idx="0">
                  <c:v>01.01. 02.01. 03.01. 04.01. 05.01.</c:v>
                </c:pt>
              </c:strCache>
            </c:strRef>
          </c:tx>
          <c:marker>
            <c:symbol val="none"/>
          </c:marker>
          <c:cat>
            <c:strRef>
              <c:f>'2014'!$A$2:$A$366</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'2014'!$B$7:$B$366</c:f>
              <c:numCache>
                <c:formatCode>General</c:formatCode>
                <c:ptCount val="360"/>
                <c:pt idx="0">
                  <c:v>60.09</c:v>
                </c:pt>
                <c:pt idx="1">
                  <c:v>43.51</c:v>
                </c:pt>
                <c:pt idx="2">
                  <c:v>36.36</c:v>
                </c:pt>
                <c:pt idx="3">
                  <c:v>56.2</c:v>
                </c:pt>
                <c:pt idx="4">
                  <c:v>41.7</c:v>
                </c:pt>
                <c:pt idx="7">
                  <c:v>23.56</c:v>
                </c:pt>
                <c:pt idx="8">
                  <c:v>27.45</c:v>
                </c:pt>
                <c:pt idx="9">
                  <c:v>45.32</c:v>
                </c:pt>
                <c:pt idx="11" formatCode="0.00">
                  <c:v>72.52</c:v>
                </c:pt>
                <c:pt idx="14" formatCode="0.00">
                  <c:v>5.44</c:v>
                </c:pt>
                <c:pt idx="23" formatCode="0.00">
                  <c:v>18.130000000000031</c:v>
                </c:pt>
                <c:pt idx="28" formatCode="0.00">
                  <c:v>23.57</c:v>
                </c:pt>
                <c:pt idx="29" formatCode="0.00">
                  <c:v>32.630000000000003</c:v>
                </c:pt>
                <c:pt idx="30" formatCode="0.00">
                  <c:v>74.540000000000006</c:v>
                </c:pt>
                <c:pt idx="31" formatCode="0.00">
                  <c:v>123.28</c:v>
                </c:pt>
                <c:pt idx="32" formatCode="0.00">
                  <c:v>106.98</c:v>
                </c:pt>
                <c:pt idx="35" formatCode="0.00">
                  <c:v>87.02</c:v>
                </c:pt>
                <c:pt idx="36" formatCode="0.00">
                  <c:v>63.44</c:v>
                </c:pt>
                <c:pt idx="37" formatCode="0.00">
                  <c:v>106.11</c:v>
                </c:pt>
                <c:pt idx="38" formatCode="0.00">
                  <c:v>68.89</c:v>
                </c:pt>
                <c:pt idx="39" formatCode="0.00">
                  <c:v>59.83</c:v>
                </c:pt>
                <c:pt idx="42" formatCode="0.00">
                  <c:v>48.949999999999996</c:v>
                </c:pt>
                <c:pt idx="43" formatCode="0.00">
                  <c:v>29.14</c:v>
                </c:pt>
                <c:pt idx="44" formatCode="0.00">
                  <c:v>43.56</c:v>
                </c:pt>
                <c:pt idx="45" formatCode="0.00">
                  <c:v>48.949999999999996</c:v>
                </c:pt>
                <c:pt idx="46" formatCode="0.00">
                  <c:v>68.89</c:v>
                </c:pt>
                <c:pt idx="49" formatCode="0.00">
                  <c:v>43.51</c:v>
                </c:pt>
                <c:pt idx="50" formatCode="0.00">
                  <c:v>38.07</c:v>
                </c:pt>
                <c:pt idx="51" formatCode="0.00">
                  <c:v>47.52</c:v>
                </c:pt>
                <c:pt idx="52" formatCode="0.00">
                  <c:v>48.96</c:v>
                </c:pt>
                <c:pt idx="53" formatCode="0.00">
                  <c:v>58.01</c:v>
                </c:pt>
                <c:pt idx="56" formatCode="0.00">
                  <c:v>29.02</c:v>
                </c:pt>
                <c:pt idx="57" formatCode="0.00">
                  <c:v>29.14</c:v>
                </c:pt>
                <c:pt idx="58" formatCode="0.00">
                  <c:v>14.5</c:v>
                </c:pt>
                <c:pt idx="59" formatCode="0.00">
                  <c:v>9.06</c:v>
                </c:pt>
                <c:pt idx="63" formatCode="0.00">
                  <c:v>48.949999999999996</c:v>
                </c:pt>
                <c:pt idx="64">
                  <c:v>59.83</c:v>
                </c:pt>
                <c:pt idx="65" formatCode="0.00">
                  <c:v>45.57</c:v>
                </c:pt>
                <c:pt idx="66" formatCode="0.00">
                  <c:v>56.2</c:v>
                </c:pt>
                <c:pt idx="67" formatCode="0.00">
                  <c:v>48.96</c:v>
                </c:pt>
                <c:pt idx="70" formatCode="0.00">
                  <c:v>19.989999999999888</c:v>
                </c:pt>
                <c:pt idx="71" formatCode="0.00">
                  <c:v>30.82</c:v>
                </c:pt>
                <c:pt idx="72" formatCode="0.00">
                  <c:v>34.44</c:v>
                </c:pt>
                <c:pt idx="73" formatCode="0.00">
                  <c:v>14.57</c:v>
                </c:pt>
                <c:pt idx="74" formatCode="0.00">
                  <c:v>32.64</c:v>
                </c:pt>
                <c:pt idx="79" formatCode="0.00">
                  <c:v>35.379999999999995</c:v>
                </c:pt>
                <c:pt idx="80" formatCode="0.00">
                  <c:v>38.200000000000003</c:v>
                </c:pt>
                <c:pt idx="81" formatCode="0.00">
                  <c:v>48.94</c:v>
                </c:pt>
                <c:pt idx="84" formatCode="0.00">
                  <c:v>45.32</c:v>
                </c:pt>
                <c:pt idx="85">
                  <c:v>43.51</c:v>
                </c:pt>
                <c:pt idx="86" formatCode="0.00">
                  <c:v>25.38</c:v>
                </c:pt>
                <c:pt idx="87" formatCode="0.00">
                  <c:v>38.18</c:v>
                </c:pt>
                <c:pt idx="88" formatCode="0.00">
                  <c:v>48.949999999999996</c:v>
                </c:pt>
                <c:pt idx="91" formatCode="0.00">
                  <c:v>34.49</c:v>
                </c:pt>
                <c:pt idx="92" formatCode="0.00">
                  <c:v>30.82</c:v>
                </c:pt>
                <c:pt idx="94" formatCode="0.00">
                  <c:v>14.5</c:v>
                </c:pt>
                <c:pt idx="95" formatCode="0.00">
                  <c:v>16.309999999999999</c:v>
                </c:pt>
                <c:pt idx="98" formatCode="0.00">
                  <c:v>34.44</c:v>
                </c:pt>
                <c:pt idx="99" formatCode="0.00">
                  <c:v>21.8</c:v>
                </c:pt>
                <c:pt idx="100" formatCode="0.00">
                  <c:v>7.25</c:v>
                </c:pt>
                <c:pt idx="101" formatCode="0.00">
                  <c:v>27.19</c:v>
                </c:pt>
                <c:pt idx="107" formatCode="0.00">
                  <c:v>32.630000000000003</c:v>
                </c:pt>
                <c:pt idx="108" formatCode="0.00">
                  <c:v>21.75</c:v>
                </c:pt>
                <c:pt idx="109" formatCode="0.00">
                  <c:v>21.75</c:v>
                </c:pt>
                <c:pt idx="112" formatCode="0.00">
                  <c:v>21.8</c:v>
                </c:pt>
                <c:pt idx="113" formatCode="0.00">
                  <c:v>32.630000000000003</c:v>
                </c:pt>
                <c:pt idx="114" formatCode="0.00">
                  <c:v>21.75</c:v>
                </c:pt>
                <c:pt idx="119" formatCode="0.00">
                  <c:v>25.49</c:v>
                </c:pt>
                <c:pt idx="120" formatCode="0.00">
                  <c:v>25.38</c:v>
                </c:pt>
                <c:pt idx="121" formatCode="0.00">
                  <c:v>21.82</c:v>
                </c:pt>
                <c:pt idx="122" formatCode="0.00">
                  <c:v>29.05</c:v>
                </c:pt>
                <c:pt idx="123" formatCode="0.00">
                  <c:v>32.630000000000003</c:v>
                </c:pt>
                <c:pt idx="126" formatCode="0.00">
                  <c:v>16.32</c:v>
                </c:pt>
                <c:pt idx="127" formatCode="0.00">
                  <c:v>18.130000000000031</c:v>
                </c:pt>
                <c:pt idx="128" formatCode="0.00">
                  <c:v>7.25</c:v>
                </c:pt>
                <c:pt idx="129" formatCode="0.00">
                  <c:v>18.2</c:v>
                </c:pt>
                <c:pt idx="130" formatCode="0.00">
                  <c:v>12.69</c:v>
                </c:pt>
                <c:pt idx="133" formatCode="0.00">
                  <c:v>23.57</c:v>
                </c:pt>
                <c:pt idx="134" formatCode="0.00">
                  <c:v>27.19</c:v>
                </c:pt>
                <c:pt idx="135" formatCode="0.00">
                  <c:v>29.04</c:v>
                </c:pt>
                <c:pt idx="136" formatCode="0.00">
                  <c:v>32.660000000000011</c:v>
                </c:pt>
                <c:pt idx="137" formatCode="0.00">
                  <c:v>36.230000000000011</c:v>
                </c:pt>
                <c:pt idx="140" formatCode="0.00">
                  <c:v>32.630000000000003</c:v>
                </c:pt>
                <c:pt idx="141" formatCode="0.00">
                  <c:v>27.19</c:v>
                </c:pt>
                <c:pt idx="143" formatCode="0.00">
                  <c:v>27.03</c:v>
                </c:pt>
                <c:pt idx="144" formatCode="0.00">
                  <c:v>27.19</c:v>
                </c:pt>
                <c:pt idx="147" formatCode="0.00">
                  <c:v>11.55</c:v>
                </c:pt>
                <c:pt idx="148" formatCode="0.00">
                  <c:v>19.939999999999987</c:v>
                </c:pt>
                <c:pt idx="149" formatCode="0.00">
                  <c:v>10.89</c:v>
                </c:pt>
                <c:pt idx="150">
                  <c:v>16.32</c:v>
                </c:pt>
                <c:pt idx="155" formatCode="0.00">
                  <c:v>25.38</c:v>
                </c:pt>
                <c:pt idx="156" formatCode="0.00">
                  <c:v>23.66</c:v>
                </c:pt>
                <c:pt idx="157" formatCode="0.00">
                  <c:v>25.5</c:v>
                </c:pt>
                <c:pt idx="158" formatCode="0.00">
                  <c:v>23.56</c:v>
                </c:pt>
                <c:pt idx="161" formatCode="0.00">
                  <c:v>21.79</c:v>
                </c:pt>
                <c:pt idx="162" formatCode="0.00">
                  <c:v>13.04</c:v>
                </c:pt>
                <c:pt idx="163" formatCode="0.00">
                  <c:v>27.72</c:v>
                </c:pt>
                <c:pt idx="164" formatCode="0.00">
                  <c:v>12.69</c:v>
                </c:pt>
                <c:pt idx="165" formatCode="0.00">
                  <c:v>34.449999999999996</c:v>
                </c:pt>
                <c:pt idx="168" formatCode="0.00">
                  <c:v>27.19</c:v>
                </c:pt>
                <c:pt idx="169" formatCode="0.00">
                  <c:v>29</c:v>
                </c:pt>
                <c:pt idx="171" formatCode="0.00">
                  <c:v>18.8</c:v>
                </c:pt>
                <c:pt idx="172" formatCode="0.00">
                  <c:v>14.5</c:v>
                </c:pt>
                <c:pt idx="182" formatCode="0.00">
                  <c:v>34.449999999999996</c:v>
                </c:pt>
                <c:pt idx="183" formatCode="0.00">
                  <c:v>28.99</c:v>
                </c:pt>
                <c:pt idx="184" formatCode="0.00">
                  <c:v>27.479999999999986</c:v>
                </c:pt>
                <c:pt idx="185" formatCode="0.00">
                  <c:v>37.82</c:v>
                </c:pt>
                <c:pt idx="186" formatCode="0.00">
                  <c:v>16.309999999999999</c:v>
                </c:pt>
                <c:pt idx="189" formatCode="0.00">
                  <c:v>29.130000000000031</c:v>
                </c:pt>
                <c:pt idx="190" formatCode="0.00">
                  <c:v>32.630000000000003</c:v>
                </c:pt>
                <c:pt idx="191" formatCode="0.00">
                  <c:v>30.939999999999987</c:v>
                </c:pt>
                <c:pt idx="192" formatCode="0.00">
                  <c:v>16.32</c:v>
                </c:pt>
                <c:pt idx="193" formatCode="0.00">
                  <c:v>18.130000000000031</c:v>
                </c:pt>
                <c:pt idx="196" formatCode="0.00">
                  <c:v>34.480000000000004</c:v>
                </c:pt>
                <c:pt idx="197" formatCode="0.00">
                  <c:v>34.449999999999996</c:v>
                </c:pt>
                <c:pt idx="198" formatCode="0.00">
                  <c:v>19.939999999999987</c:v>
                </c:pt>
                <c:pt idx="206" formatCode="0.00">
                  <c:v>38.760000000000012</c:v>
                </c:pt>
                <c:pt idx="207" formatCode="0.00">
                  <c:v>34.449999999999996</c:v>
                </c:pt>
                <c:pt idx="210" formatCode="0.00">
                  <c:v>30.830000000000005</c:v>
                </c:pt>
                <c:pt idx="211" formatCode="0.00">
                  <c:v>19.939999999999987</c:v>
                </c:pt>
                <c:pt idx="212" formatCode="0.00">
                  <c:v>29.01</c:v>
                </c:pt>
                <c:pt idx="213" formatCode="0.00">
                  <c:v>34.61</c:v>
                </c:pt>
                <c:pt idx="214" formatCode="0.00">
                  <c:v>29</c:v>
                </c:pt>
                <c:pt idx="231" formatCode="0.00">
                  <c:v>9.06</c:v>
                </c:pt>
                <c:pt idx="232" formatCode="0.00">
                  <c:v>23.66</c:v>
                </c:pt>
                <c:pt idx="233" formatCode="0.00">
                  <c:v>27.279999999999987</c:v>
                </c:pt>
                <c:pt idx="234" formatCode="0.00">
                  <c:v>22.14</c:v>
                </c:pt>
                <c:pt idx="235" formatCode="0.00">
                  <c:v>16.39</c:v>
                </c:pt>
                <c:pt idx="238" formatCode="0.00">
                  <c:v>23.66</c:v>
                </c:pt>
                <c:pt idx="239" formatCode="0.00">
                  <c:v>36.270000000000003</c:v>
                </c:pt>
                <c:pt idx="240" formatCode="0.00">
                  <c:v>43.67</c:v>
                </c:pt>
                <c:pt idx="241" formatCode="0.00">
                  <c:v>32.630000000000003</c:v>
                </c:pt>
                <c:pt idx="242" formatCode="0.00">
                  <c:v>29.01</c:v>
                </c:pt>
                <c:pt idx="245" formatCode="0.00">
                  <c:v>34.61</c:v>
                </c:pt>
                <c:pt idx="246" formatCode="0.00">
                  <c:v>12.69</c:v>
                </c:pt>
                <c:pt idx="247" formatCode="0.00">
                  <c:v>18.809999999999999</c:v>
                </c:pt>
                <c:pt idx="248" formatCode="0.00">
                  <c:v>30.830000000000005</c:v>
                </c:pt>
                <c:pt idx="249" formatCode="0.00">
                  <c:v>30.830000000000005</c:v>
                </c:pt>
                <c:pt idx="252" formatCode="0.00">
                  <c:v>39.879999999999995</c:v>
                </c:pt>
                <c:pt idx="253" formatCode="0.00">
                  <c:v>32.630000000000003</c:v>
                </c:pt>
                <c:pt idx="254" formatCode="0.00">
                  <c:v>38.300000000000004</c:v>
                </c:pt>
                <c:pt idx="255" formatCode="0.00">
                  <c:v>34.449999999999996</c:v>
                </c:pt>
                <c:pt idx="256" formatCode="0.00">
                  <c:v>38.07</c:v>
                </c:pt>
                <c:pt idx="259" formatCode="0.00">
                  <c:v>25.479999999999986</c:v>
                </c:pt>
                <c:pt idx="260" formatCode="0.00">
                  <c:v>18.130000000000031</c:v>
                </c:pt>
                <c:pt idx="261" formatCode="0.00">
                  <c:v>16.32</c:v>
                </c:pt>
                <c:pt idx="262" formatCode="0.00">
                  <c:v>18.130000000000031</c:v>
                </c:pt>
                <c:pt idx="263" formatCode="0.00">
                  <c:v>12.69</c:v>
                </c:pt>
                <c:pt idx="266" formatCode="0.00">
                  <c:v>14.5</c:v>
                </c:pt>
                <c:pt idx="267" formatCode="0.00">
                  <c:v>18.130000000000031</c:v>
                </c:pt>
                <c:pt idx="268" formatCode="0.00">
                  <c:v>36.260000000000012</c:v>
                </c:pt>
                <c:pt idx="269" formatCode="0.00">
                  <c:v>32.82</c:v>
                </c:pt>
                <c:pt idx="270" formatCode="0.00">
                  <c:v>32.630000000000003</c:v>
                </c:pt>
                <c:pt idx="273" formatCode="0.00">
                  <c:v>29.04</c:v>
                </c:pt>
                <c:pt idx="274" formatCode="0.00">
                  <c:v>21.89</c:v>
                </c:pt>
                <c:pt idx="275" formatCode="0.00">
                  <c:v>25.41</c:v>
                </c:pt>
                <c:pt idx="276" formatCode="0.00">
                  <c:v>30.88</c:v>
                </c:pt>
                <c:pt idx="277" formatCode="0.00">
                  <c:v>23.57</c:v>
                </c:pt>
                <c:pt idx="280" formatCode="0.00">
                  <c:v>39.93</c:v>
                </c:pt>
                <c:pt idx="281" formatCode="0.00">
                  <c:v>68.900000000000006</c:v>
                </c:pt>
                <c:pt idx="282" formatCode="0.00">
                  <c:v>67.569999999999993</c:v>
                </c:pt>
                <c:pt idx="283" formatCode="0.00">
                  <c:v>34.44</c:v>
                </c:pt>
                <c:pt idx="284" formatCode="0.00">
                  <c:v>18.130000000000031</c:v>
                </c:pt>
                <c:pt idx="287" formatCode="0.00">
                  <c:v>25.38</c:v>
                </c:pt>
                <c:pt idx="289" formatCode="0.00">
                  <c:v>29.09</c:v>
                </c:pt>
                <c:pt idx="290" formatCode="0.00">
                  <c:v>14.5</c:v>
                </c:pt>
                <c:pt idx="291" formatCode="0.00">
                  <c:v>7.25</c:v>
                </c:pt>
                <c:pt idx="294" formatCode="0.00">
                  <c:v>22.650000000000031</c:v>
                </c:pt>
                <c:pt idx="295" formatCode="0.00">
                  <c:v>36.349999999999994</c:v>
                </c:pt>
                <c:pt idx="296" formatCode="0.00">
                  <c:v>34.51</c:v>
                </c:pt>
                <c:pt idx="297" formatCode="0.00">
                  <c:v>48.949999999999996</c:v>
                </c:pt>
                <c:pt idx="298" formatCode="0.00">
                  <c:v>48.949999999999996</c:v>
                </c:pt>
                <c:pt idx="301" formatCode="0.00">
                  <c:v>56.2</c:v>
                </c:pt>
                <c:pt idx="302" formatCode="0.00">
                  <c:v>67.209999999999994</c:v>
                </c:pt>
                <c:pt idx="303" formatCode="0.00">
                  <c:v>61.64</c:v>
                </c:pt>
                <c:pt idx="304" formatCode="0.00">
                  <c:v>117.84</c:v>
                </c:pt>
                <c:pt idx="305" formatCode="0.00">
                  <c:v>110.57</c:v>
                </c:pt>
                <c:pt idx="308" formatCode="0.00">
                  <c:v>50.760000000000012</c:v>
                </c:pt>
                <c:pt idx="309" formatCode="0.00">
                  <c:v>47.27</c:v>
                </c:pt>
                <c:pt idx="310" formatCode="0.00">
                  <c:v>27.19</c:v>
                </c:pt>
                <c:pt idx="311" formatCode="0.00">
                  <c:v>29.09</c:v>
                </c:pt>
                <c:pt idx="312" formatCode="0.00">
                  <c:v>54.39</c:v>
                </c:pt>
                <c:pt idx="315" formatCode="0.00">
                  <c:v>21.75</c:v>
                </c:pt>
                <c:pt idx="316" formatCode="0.00">
                  <c:v>12.729999999999999</c:v>
                </c:pt>
                <c:pt idx="317" formatCode="0.00">
                  <c:v>14.51</c:v>
                </c:pt>
                <c:pt idx="318" formatCode="0.00">
                  <c:v>3.63</c:v>
                </c:pt>
                <c:pt idx="322" formatCode="0.00">
                  <c:v>36.260000000000012</c:v>
                </c:pt>
                <c:pt idx="323" formatCode="0.00">
                  <c:v>43.51</c:v>
                </c:pt>
                <c:pt idx="324" formatCode="0.00">
                  <c:v>25.45</c:v>
                </c:pt>
                <c:pt idx="325" formatCode="0.00">
                  <c:v>32.630000000000003</c:v>
                </c:pt>
                <c:pt idx="326" formatCode="0.00">
                  <c:v>38.07</c:v>
                </c:pt>
                <c:pt idx="330" formatCode="0.00">
                  <c:v>29.02</c:v>
                </c:pt>
                <c:pt idx="331" formatCode="0.00">
                  <c:v>36.36</c:v>
                </c:pt>
                <c:pt idx="332" formatCode="0.00">
                  <c:v>43.51</c:v>
                </c:pt>
                <c:pt idx="333" formatCode="0.00">
                  <c:v>45.32</c:v>
                </c:pt>
                <c:pt idx="336" formatCode="0.00">
                  <c:v>43.51</c:v>
                </c:pt>
                <c:pt idx="337" formatCode="0.00">
                  <c:v>10.88</c:v>
                </c:pt>
                <c:pt idx="338" formatCode="0.00">
                  <c:v>39.879999999999995</c:v>
                </c:pt>
                <c:pt idx="340" formatCode="0.00">
                  <c:v>41.7</c:v>
                </c:pt>
                <c:pt idx="343" formatCode="0.00">
                  <c:v>38.71</c:v>
                </c:pt>
                <c:pt idx="344" formatCode="0.00">
                  <c:v>49.06</c:v>
                </c:pt>
                <c:pt idx="345" formatCode="0.00">
                  <c:v>48.949999999999996</c:v>
                </c:pt>
                <c:pt idx="346" formatCode="0.00">
                  <c:v>45.32</c:v>
                </c:pt>
                <c:pt idx="347" formatCode="0.00">
                  <c:v>48.949999999999996</c:v>
                </c:pt>
                <c:pt idx="358" formatCode="0.00">
                  <c:v>30.82</c:v>
                </c:pt>
              </c:numCache>
            </c:numRef>
          </c:val>
        </c:ser>
        <c:marker val="1"/>
        <c:axId val="124513280"/>
        <c:axId val="136540928"/>
      </c:lineChart>
      <c:catAx>
        <c:axId val="124513280"/>
        <c:scaling>
          <c:orientation val="minMax"/>
        </c:scaling>
        <c:axPos val="b"/>
        <c:numFmt formatCode="General" sourceLinked="1"/>
        <c:tickLblPos val="nextTo"/>
        <c:crossAx val="136540928"/>
        <c:crossesAt val="0"/>
        <c:auto val="1"/>
        <c:lblAlgn val="ctr"/>
        <c:lblOffset val="100"/>
      </c:catAx>
      <c:valAx>
        <c:axId val="136540928"/>
        <c:scaling>
          <c:orientation val="minMax"/>
        </c:scaling>
        <c:axPos val="l"/>
        <c:majorGridlines>
          <c:spPr>
            <a:ln>
              <a:gradFill flip="none" rotWithShape="1">
                <a:gsLst>
                  <a:gs pos="0">
                    <a:srgbClr val="FF0000"/>
                  </a:gs>
                  <a:gs pos="50000">
                    <a:srgbClr val="4F81BD">
                      <a:tint val="44500"/>
                      <a:satMod val="160000"/>
                    </a:srgbClr>
                  </a:gs>
                  <a:gs pos="100000">
                    <a:srgbClr val="4F81BD">
                      <a:tint val="23500"/>
                      <a:satMod val="160000"/>
                    </a:srgbClr>
                  </a:gs>
                </a:gsLst>
                <a:lin ang="16200000" scaled="1"/>
                <a:tileRect/>
              </a:gradFill>
            </a:ln>
          </c:spPr>
        </c:majorGridlines>
        <c:numFmt formatCode="General" sourceLinked="1"/>
        <c:majorTickMark val="in"/>
        <c:tickLblPos val="nextTo"/>
        <c:crossAx val="124513280"/>
        <c:crosses val="autoZero"/>
        <c:crossBetween val="between"/>
        <c:majorUnit val="50"/>
      </c:valAx>
    </c:plotArea>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050" b="1">
                <a:latin typeface="Arial"/>
                <a:ea typeface="Calibri"/>
                <a:cs typeface="Times New Roman"/>
              </a:rPr>
              <a:t>Contribuţii ale sectoarelor de activitate din agricultură la emisiile de particule primare cu diametrul mai mic de 2,5 μm (PM2,5) şi respectiv 10 μm (PM10)</a:t>
            </a:r>
            <a:endParaRPr lang="ro-RO" sz="1050">
              <a:latin typeface="Calibri"/>
              <a:ea typeface="Calibri"/>
              <a:cs typeface="Times New Roman"/>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sz="1050">
              <a:latin typeface="Arial" pitchFamily="34" charset="0"/>
              <a:cs typeface="Arial" pitchFamily="34" charset="0"/>
            </a:endParaRPr>
          </a:p>
        </c:rich>
      </c:tx>
    </c:title>
    <c:plotArea>
      <c:layout>
        <c:manualLayout>
          <c:layoutTarget val="inner"/>
          <c:xMode val="edge"/>
          <c:yMode val="edge"/>
          <c:x val="0.12557174103237095"/>
          <c:y val="0.22950240594925633"/>
          <c:w val="0.7043184601924759"/>
          <c:h val="0.42857648002333082"/>
        </c:manualLayout>
      </c:layout>
      <c:barChart>
        <c:barDir val="col"/>
        <c:grouping val="clustered"/>
        <c:ser>
          <c:idx val="0"/>
          <c:order val="0"/>
          <c:tx>
            <c:strRef>
              <c:f>PARTICULE!$N$20</c:f>
              <c:strCache>
                <c:ptCount val="1"/>
                <c:pt idx="0">
                  <c:v>PM10, %</c:v>
                </c:pt>
              </c:strCache>
            </c:strRef>
          </c:tx>
          <c:cat>
            <c:strRef>
              <c:f>PARTICULE!$O$19:$U$19</c:f>
              <c:strCache>
                <c:ptCount val="7"/>
                <c:pt idx="0">
                  <c:v>VACI LAPTE</c:v>
                </c:pt>
                <c:pt idx="1">
                  <c:v>BOVINE NON LAPTE</c:v>
                </c:pt>
                <c:pt idx="2">
                  <c:v>PORCINE</c:v>
                </c:pt>
                <c:pt idx="3">
                  <c:v>PUI CARNE</c:v>
                </c:pt>
                <c:pt idx="4">
                  <c:v>GAINI DE OUA</c:v>
                </c:pt>
                <c:pt idx="5">
                  <c:v>INCALZIRE HALE</c:v>
                </c:pt>
                <c:pt idx="6">
                  <c:v>OPERATII AGRICOLE</c:v>
                </c:pt>
              </c:strCache>
            </c:strRef>
          </c:cat>
          <c:val>
            <c:numRef>
              <c:f>PARTICULE!$O$20:$U$20</c:f>
              <c:numCache>
                <c:formatCode>General</c:formatCode>
                <c:ptCount val="7"/>
                <c:pt idx="0">
                  <c:v>3.0000000000000002E-2</c:v>
                </c:pt>
                <c:pt idx="1">
                  <c:v>2.0000000000000011E-2</c:v>
                </c:pt>
                <c:pt idx="2">
                  <c:v>3.27</c:v>
                </c:pt>
                <c:pt idx="3">
                  <c:v>43.48</c:v>
                </c:pt>
                <c:pt idx="4">
                  <c:v>0.27</c:v>
                </c:pt>
                <c:pt idx="5">
                  <c:v>0.13</c:v>
                </c:pt>
                <c:pt idx="6">
                  <c:v>52.8</c:v>
                </c:pt>
              </c:numCache>
            </c:numRef>
          </c:val>
        </c:ser>
        <c:ser>
          <c:idx val="1"/>
          <c:order val="1"/>
          <c:tx>
            <c:strRef>
              <c:f>PARTICULE!$N$21</c:f>
              <c:strCache>
                <c:ptCount val="1"/>
                <c:pt idx="0">
                  <c:v>PM2,5, %</c:v>
                </c:pt>
              </c:strCache>
            </c:strRef>
          </c:tx>
          <c:cat>
            <c:strRef>
              <c:f>PARTICULE!$O$19:$U$19</c:f>
              <c:strCache>
                <c:ptCount val="7"/>
                <c:pt idx="0">
                  <c:v>VACI LAPTE</c:v>
                </c:pt>
                <c:pt idx="1">
                  <c:v>BOVINE NON LAPTE</c:v>
                </c:pt>
                <c:pt idx="2">
                  <c:v>PORCINE</c:v>
                </c:pt>
                <c:pt idx="3">
                  <c:v>PUI CARNE</c:v>
                </c:pt>
                <c:pt idx="4">
                  <c:v>GAINI DE OUA</c:v>
                </c:pt>
                <c:pt idx="5">
                  <c:v>INCALZIRE HALE</c:v>
                </c:pt>
                <c:pt idx="6">
                  <c:v>OPERATII AGRICOLE</c:v>
                </c:pt>
              </c:strCache>
            </c:strRef>
          </c:cat>
          <c:val>
            <c:numRef>
              <c:f>PARTICULE!$O$21:$U$21</c:f>
              <c:numCache>
                <c:formatCode>General</c:formatCode>
                <c:ptCount val="7"/>
                <c:pt idx="0">
                  <c:v>0.23</c:v>
                </c:pt>
                <c:pt idx="1">
                  <c:v>0.13</c:v>
                </c:pt>
                <c:pt idx="2">
                  <c:v>6.18</c:v>
                </c:pt>
                <c:pt idx="3">
                  <c:v>69.169999999999987</c:v>
                </c:pt>
                <c:pt idx="4">
                  <c:v>0.38000000000000117</c:v>
                </c:pt>
                <c:pt idx="5">
                  <c:v>1.53</c:v>
                </c:pt>
                <c:pt idx="6">
                  <c:v>22.38</c:v>
                </c:pt>
              </c:numCache>
            </c:numRef>
          </c:val>
        </c:ser>
        <c:axId val="160205824"/>
        <c:axId val="160228096"/>
      </c:barChart>
      <c:catAx>
        <c:axId val="160205824"/>
        <c:scaling>
          <c:orientation val="minMax"/>
        </c:scaling>
        <c:axPos val="b"/>
        <c:majorTickMark val="none"/>
        <c:tickLblPos val="nextTo"/>
        <c:crossAx val="160228096"/>
        <c:crosses val="autoZero"/>
        <c:auto val="1"/>
        <c:lblAlgn val="ctr"/>
        <c:lblOffset val="100"/>
      </c:catAx>
      <c:valAx>
        <c:axId val="160228096"/>
        <c:scaling>
          <c:orientation val="minMax"/>
        </c:scaling>
        <c:axPos val="l"/>
        <c:majorGridlines/>
        <c:title>
          <c:tx>
            <c:rich>
              <a:bodyPr rot="0" vert="horz"/>
              <a:lstStyle/>
              <a:p>
                <a:pPr>
                  <a:defRPr/>
                </a:pPr>
                <a:r>
                  <a:rPr lang="ro-RO"/>
                  <a:t>%</a:t>
                </a:r>
              </a:p>
            </c:rich>
          </c:tx>
          <c:layout>
            <c:manualLayout>
              <c:xMode val="edge"/>
              <c:yMode val="edge"/>
              <c:x val="9.4444444444444525E-2"/>
              <c:y val="0.14355898221055702"/>
            </c:manualLayout>
          </c:layout>
        </c:title>
        <c:numFmt formatCode="General" sourceLinked="1"/>
        <c:tickLblPos val="nextTo"/>
        <c:crossAx val="160205824"/>
        <c:crosses val="autoZero"/>
        <c:crossBetween val="between"/>
      </c:valAx>
    </c:plotArea>
    <c:legend>
      <c:legendPos val="r"/>
      <c:layout>
        <c:manualLayout>
          <c:xMode val="edge"/>
          <c:yMode val="edge"/>
          <c:x val="0.82989020122484958"/>
          <c:y val="0.35835447652376906"/>
          <c:w val="0.15344313210848762"/>
          <c:h val="0.17206401283173001"/>
        </c:manualLayout>
      </c:layout>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00"/>
            </a:pPr>
            <a:r>
              <a:rPr lang="ro-RO" sz="1000"/>
              <a:t>Tendinta emisiilor de poluanti cu efect de acidifiere </a:t>
            </a:r>
          </a:p>
        </c:rich>
      </c:tx>
    </c:title>
    <c:plotArea>
      <c:layout/>
      <c:barChart>
        <c:barDir val="col"/>
        <c:grouping val="clustered"/>
        <c:ser>
          <c:idx val="0"/>
          <c:order val="0"/>
          <c:tx>
            <c:strRef>
              <c:f>'EMISII TOTALE'!$B$25</c:f>
              <c:strCache>
                <c:ptCount val="1"/>
                <c:pt idx="0">
                  <c:v>NOx</c:v>
                </c:pt>
              </c:strCache>
            </c:strRef>
          </c:tx>
          <c:cat>
            <c:strRef>
              <c:f>'EMISII TOTALE'!$C$24:$E$24</c:f>
              <c:strCache>
                <c:ptCount val="3"/>
                <c:pt idx="0">
                  <c:v>2012'</c:v>
                </c:pt>
                <c:pt idx="1">
                  <c:v>2013'</c:v>
                </c:pt>
                <c:pt idx="2">
                  <c:v>2014'</c:v>
                </c:pt>
              </c:strCache>
            </c:strRef>
          </c:cat>
          <c:val>
            <c:numRef>
              <c:f>'EMISII TOTALE'!$C$25:$E$25</c:f>
              <c:numCache>
                <c:formatCode>General</c:formatCode>
                <c:ptCount val="3"/>
                <c:pt idx="0">
                  <c:v>7.78</c:v>
                </c:pt>
                <c:pt idx="1">
                  <c:v>2.52</c:v>
                </c:pt>
                <c:pt idx="2">
                  <c:v>1.1060000000000001</c:v>
                </c:pt>
              </c:numCache>
            </c:numRef>
          </c:val>
        </c:ser>
        <c:ser>
          <c:idx val="1"/>
          <c:order val="1"/>
          <c:tx>
            <c:strRef>
              <c:f>'EMISII TOTALE'!$B$26</c:f>
              <c:strCache>
                <c:ptCount val="1"/>
                <c:pt idx="0">
                  <c:v>SOx</c:v>
                </c:pt>
              </c:strCache>
            </c:strRef>
          </c:tx>
          <c:cat>
            <c:strRef>
              <c:f>'EMISII TOTALE'!$C$24:$E$24</c:f>
              <c:strCache>
                <c:ptCount val="3"/>
                <c:pt idx="0">
                  <c:v>2012'</c:v>
                </c:pt>
                <c:pt idx="1">
                  <c:v>2013'</c:v>
                </c:pt>
                <c:pt idx="2">
                  <c:v>2014'</c:v>
                </c:pt>
              </c:strCache>
            </c:strRef>
          </c:cat>
          <c:val>
            <c:numRef>
              <c:f>'EMISII TOTALE'!$C$26:$E$26</c:f>
              <c:numCache>
                <c:formatCode>General</c:formatCode>
                <c:ptCount val="3"/>
                <c:pt idx="0">
                  <c:v>0.13400000000000001</c:v>
                </c:pt>
                <c:pt idx="1">
                  <c:v>0.16400000000000001</c:v>
                </c:pt>
                <c:pt idx="2">
                  <c:v>0.19900000000000001</c:v>
                </c:pt>
              </c:numCache>
            </c:numRef>
          </c:val>
        </c:ser>
        <c:ser>
          <c:idx val="2"/>
          <c:order val="2"/>
          <c:tx>
            <c:strRef>
              <c:f>'EMISII TOTALE'!$B$27</c:f>
              <c:strCache>
                <c:ptCount val="1"/>
                <c:pt idx="0">
                  <c:v>NH3</c:v>
                </c:pt>
              </c:strCache>
            </c:strRef>
          </c:tx>
          <c:cat>
            <c:strRef>
              <c:f>'EMISII TOTALE'!$C$24:$E$24</c:f>
              <c:strCache>
                <c:ptCount val="3"/>
                <c:pt idx="0">
                  <c:v>2012'</c:v>
                </c:pt>
                <c:pt idx="1">
                  <c:v>2013'</c:v>
                </c:pt>
                <c:pt idx="2">
                  <c:v>2014'</c:v>
                </c:pt>
              </c:strCache>
            </c:strRef>
          </c:cat>
          <c:val>
            <c:numRef>
              <c:f>'EMISII TOTALE'!$C$27:$E$27</c:f>
              <c:numCache>
                <c:formatCode>General</c:formatCode>
                <c:ptCount val="3"/>
                <c:pt idx="0">
                  <c:v>1.29</c:v>
                </c:pt>
                <c:pt idx="1">
                  <c:v>2.52</c:v>
                </c:pt>
                <c:pt idx="2">
                  <c:v>9.16</c:v>
                </c:pt>
              </c:numCache>
            </c:numRef>
          </c:val>
        </c:ser>
        <c:axId val="136781824"/>
        <c:axId val="136783360"/>
      </c:barChart>
      <c:catAx>
        <c:axId val="136781824"/>
        <c:scaling>
          <c:orientation val="minMax"/>
        </c:scaling>
        <c:axPos val="b"/>
        <c:majorTickMark val="none"/>
        <c:tickLblPos val="nextTo"/>
        <c:crossAx val="136783360"/>
        <c:crosses val="autoZero"/>
        <c:auto val="1"/>
        <c:lblAlgn val="ctr"/>
        <c:lblOffset val="100"/>
      </c:catAx>
      <c:valAx>
        <c:axId val="136783360"/>
        <c:scaling>
          <c:orientation val="minMax"/>
        </c:scaling>
        <c:axPos val="l"/>
        <c:majorGridlines/>
        <c:title>
          <c:tx>
            <c:rich>
              <a:bodyPr rot="0" vert="horz"/>
              <a:lstStyle/>
              <a:p>
                <a:pPr>
                  <a:defRPr/>
                </a:pPr>
                <a:r>
                  <a:rPr lang="en-US"/>
                  <a:t>Gg</a:t>
                </a:r>
                <a:endParaRPr lang="ro-RO"/>
              </a:p>
            </c:rich>
          </c:tx>
          <c:layout>
            <c:manualLayout>
              <c:xMode val="edge"/>
              <c:yMode val="edge"/>
              <c:x val="0.1190170975785796"/>
              <c:y val="9.6226697042546327E-2"/>
            </c:manualLayout>
          </c:layout>
        </c:title>
        <c:numFmt formatCode="General" sourceLinked="1"/>
        <c:tickLblPos val="nextTo"/>
        <c:crossAx val="136781824"/>
        <c:crosses val="autoZero"/>
        <c:crossBetween val="between"/>
      </c:valAx>
    </c:plotArea>
    <c:legend>
      <c:legendPos val="r"/>
    </c:legend>
    <c:plotVisOnly val="1"/>
  </c:chart>
  <c:txPr>
    <a:bodyPr/>
    <a:lstStyle/>
    <a:p>
      <a:pPr>
        <a:defRPr sz="1000">
          <a:latin typeface="Arial" pitchFamily="34" charset="0"/>
          <a:cs typeface="Arial" pitchFamily="34" charset="0"/>
        </a:defRPr>
      </a:pPr>
      <a:endParaRPr lang="ro-RO"/>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Tendinţa emisiilor de poluanţi atmosferici cu efect de acidifiere din sectorul de activitate energie</a:t>
            </a:r>
          </a:p>
        </c:rich>
      </c:tx>
    </c:title>
    <c:plotArea>
      <c:layout/>
      <c:barChart>
        <c:barDir val="col"/>
        <c:grouping val="clustered"/>
        <c:ser>
          <c:idx val="0"/>
          <c:order val="0"/>
          <c:tx>
            <c:strRef>
              <c:f>ENERGIE!$B$24</c:f>
              <c:strCache>
                <c:ptCount val="1"/>
                <c:pt idx="0">
                  <c:v>NOx</c:v>
                </c:pt>
              </c:strCache>
            </c:strRef>
          </c:tx>
          <c:cat>
            <c:strRef>
              <c:f>ENERGIE!$C$23:$E$23</c:f>
              <c:strCache>
                <c:ptCount val="3"/>
                <c:pt idx="0">
                  <c:v>2012'</c:v>
                </c:pt>
                <c:pt idx="1">
                  <c:v>2013'</c:v>
                </c:pt>
                <c:pt idx="2">
                  <c:v>2014'</c:v>
                </c:pt>
              </c:strCache>
            </c:strRef>
          </c:cat>
          <c:val>
            <c:numRef>
              <c:f>ENERGIE!$C$24:$E$24</c:f>
              <c:numCache>
                <c:formatCode>General</c:formatCode>
                <c:ptCount val="3"/>
                <c:pt idx="0">
                  <c:v>4.9892305346371382</c:v>
                </c:pt>
                <c:pt idx="1">
                  <c:v>0.98370905597948488</c:v>
                </c:pt>
                <c:pt idx="2">
                  <c:v>0.81676377694346702</c:v>
                </c:pt>
              </c:numCache>
            </c:numRef>
          </c:val>
        </c:ser>
        <c:ser>
          <c:idx val="1"/>
          <c:order val="1"/>
          <c:tx>
            <c:strRef>
              <c:f>ENERGIE!$B$25</c:f>
              <c:strCache>
                <c:ptCount val="1"/>
                <c:pt idx="0">
                  <c:v>SOx</c:v>
                </c:pt>
              </c:strCache>
            </c:strRef>
          </c:tx>
          <c:cat>
            <c:strRef>
              <c:f>ENERGIE!$C$23:$E$23</c:f>
              <c:strCache>
                <c:ptCount val="3"/>
                <c:pt idx="0">
                  <c:v>2012'</c:v>
                </c:pt>
                <c:pt idx="1">
                  <c:v>2013'</c:v>
                </c:pt>
                <c:pt idx="2">
                  <c:v>2014'</c:v>
                </c:pt>
              </c:strCache>
            </c:strRef>
          </c:cat>
          <c:val>
            <c:numRef>
              <c:f>ENERGIE!$C$25:$E$25</c:f>
              <c:numCache>
                <c:formatCode>General</c:formatCode>
                <c:ptCount val="3"/>
                <c:pt idx="0">
                  <c:v>0.13338133166440799</c:v>
                </c:pt>
                <c:pt idx="1">
                  <c:v>0.16352126009545226</c:v>
                </c:pt>
                <c:pt idx="2">
                  <c:v>0.198104700488831</c:v>
                </c:pt>
              </c:numCache>
            </c:numRef>
          </c:val>
        </c:ser>
        <c:ser>
          <c:idx val="2"/>
          <c:order val="2"/>
          <c:tx>
            <c:strRef>
              <c:f>ENERGIE!$B$26</c:f>
              <c:strCache>
                <c:ptCount val="1"/>
                <c:pt idx="0">
                  <c:v>NH3</c:v>
                </c:pt>
              </c:strCache>
            </c:strRef>
          </c:tx>
          <c:cat>
            <c:strRef>
              <c:f>ENERGIE!$C$23:$E$23</c:f>
              <c:strCache>
                <c:ptCount val="3"/>
                <c:pt idx="0">
                  <c:v>2012'</c:v>
                </c:pt>
                <c:pt idx="1">
                  <c:v>2013'</c:v>
                </c:pt>
                <c:pt idx="2">
                  <c:v>2014'</c:v>
                </c:pt>
              </c:strCache>
            </c:strRef>
          </c:cat>
          <c:val>
            <c:numRef>
              <c:f>ENERGIE!$C$26:$E$26</c:f>
              <c:numCache>
                <c:formatCode>General</c:formatCode>
                <c:ptCount val="3"/>
                <c:pt idx="0">
                  <c:v>1.828718867877004E-2</c:v>
                </c:pt>
                <c:pt idx="1">
                  <c:v>3.0485698359600012E-2</c:v>
                </c:pt>
                <c:pt idx="2">
                  <c:v>3.2894734687500052E-2</c:v>
                </c:pt>
              </c:numCache>
            </c:numRef>
          </c:val>
        </c:ser>
        <c:axId val="136812416"/>
        <c:axId val="136813952"/>
      </c:barChart>
      <c:catAx>
        <c:axId val="136812416"/>
        <c:scaling>
          <c:orientation val="minMax"/>
        </c:scaling>
        <c:axPos val="b"/>
        <c:majorTickMark val="none"/>
        <c:tickLblPos val="nextTo"/>
        <c:crossAx val="136813952"/>
        <c:crosses val="autoZero"/>
        <c:auto val="1"/>
        <c:lblAlgn val="ctr"/>
        <c:lblOffset val="100"/>
      </c:catAx>
      <c:valAx>
        <c:axId val="136813952"/>
        <c:scaling>
          <c:orientation val="minMax"/>
        </c:scaling>
        <c:axPos val="l"/>
        <c:majorGridlines/>
        <c:title>
          <c:tx>
            <c:rich>
              <a:bodyPr rot="0" vert="horz"/>
              <a:lstStyle/>
              <a:p>
                <a:pPr>
                  <a:defRPr/>
                </a:pPr>
                <a:r>
                  <a:rPr lang="en-US"/>
                  <a:t>Gg</a:t>
                </a:r>
                <a:endParaRPr lang="ro-RO"/>
              </a:p>
            </c:rich>
          </c:tx>
          <c:layout>
            <c:manualLayout>
              <c:xMode val="edge"/>
              <c:yMode val="edge"/>
              <c:x val="0.1"/>
              <c:y val="0.13805737824438613"/>
            </c:manualLayout>
          </c:layout>
        </c:title>
        <c:numFmt formatCode="General" sourceLinked="1"/>
        <c:tickLblPos val="nextTo"/>
        <c:crossAx val="136812416"/>
        <c:crosses val="autoZero"/>
        <c:crossBetween val="between"/>
        <c:majorUnit val="1"/>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000" b="1" i="0" u="none" strike="noStrike" baseline="0">
                <a:latin typeface="Arial" pitchFamily="34" charset="0"/>
                <a:cs typeface="Arial" pitchFamily="34" charset="0"/>
              </a:rPr>
              <a:t>Tendinţa emisiilor de poluanţi atmosferici cu efect de acidifiere din sectorul de activitate industrie </a:t>
            </a:r>
            <a:endParaRPr lang="ro-RO" sz="1000" b="1">
              <a:latin typeface="Arial" pitchFamily="34" charset="0"/>
              <a:cs typeface="Arial" pitchFamily="34" charset="0"/>
            </a:endParaRPr>
          </a:p>
        </c:rich>
      </c:tx>
    </c:title>
    <c:plotArea>
      <c:layout/>
      <c:barChart>
        <c:barDir val="col"/>
        <c:grouping val="clustered"/>
        <c:ser>
          <c:idx val="0"/>
          <c:order val="0"/>
          <c:tx>
            <c:strRef>
              <c:f>INDUSTRIE!$B$36</c:f>
              <c:strCache>
                <c:ptCount val="1"/>
                <c:pt idx="0">
                  <c:v>NOx</c:v>
                </c:pt>
              </c:strCache>
            </c:strRef>
          </c:tx>
          <c:cat>
            <c:strRef>
              <c:f>INDUSTRIE!$C$35:$E$35</c:f>
              <c:strCache>
                <c:ptCount val="3"/>
                <c:pt idx="0">
                  <c:v>2012'</c:v>
                </c:pt>
                <c:pt idx="1">
                  <c:v>2013'</c:v>
                </c:pt>
                <c:pt idx="2">
                  <c:v>2014'</c:v>
                </c:pt>
              </c:strCache>
            </c:strRef>
          </c:cat>
          <c:val>
            <c:numRef>
              <c:f>INDUSTRIE!$C$36:$E$36</c:f>
              <c:numCache>
                <c:formatCode>General</c:formatCode>
                <c:ptCount val="3"/>
                <c:pt idx="0">
                  <c:v>0.47550364048841526</c:v>
                </c:pt>
                <c:pt idx="1">
                  <c:v>0.15208670267083599</c:v>
                </c:pt>
                <c:pt idx="2">
                  <c:v>0.16585802774395367</c:v>
                </c:pt>
              </c:numCache>
            </c:numRef>
          </c:val>
        </c:ser>
        <c:ser>
          <c:idx val="1"/>
          <c:order val="1"/>
          <c:tx>
            <c:strRef>
              <c:f>INDUSTRIE!$B$37</c:f>
              <c:strCache>
                <c:ptCount val="1"/>
                <c:pt idx="0">
                  <c:v>SOx</c:v>
                </c:pt>
              </c:strCache>
            </c:strRef>
          </c:tx>
          <c:cat>
            <c:strRef>
              <c:f>INDUSTRIE!$C$35:$E$35</c:f>
              <c:strCache>
                <c:ptCount val="3"/>
                <c:pt idx="0">
                  <c:v>2012'</c:v>
                </c:pt>
                <c:pt idx="1">
                  <c:v>2013'</c:v>
                </c:pt>
                <c:pt idx="2">
                  <c:v>2014'</c:v>
                </c:pt>
              </c:strCache>
            </c:strRef>
          </c:cat>
          <c:val>
            <c:numRef>
              <c:f>INDUSTRIE!$C$37:$E$37</c:f>
              <c:numCache>
                <c:formatCode>General</c:formatCode>
                <c:ptCount val="3"/>
                <c:pt idx="0">
                  <c:v>2.6378367876835344E-2</c:v>
                </c:pt>
                <c:pt idx="1">
                  <c:v>2.968870026298627E-2</c:v>
                </c:pt>
                <c:pt idx="2">
                  <c:v>5.1547850426988756E-2</c:v>
                </c:pt>
              </c:numCache>
            </c:numRef>
          </c:val>
        </c:ser>
        <c:ser>
          <c:idx val="2"/>
          <c:order val="2"/>
          <c:tx>
            <c:strRef>
              <c:f>INDUSTRIE!$B$38</c:f>
              <c:strCache>
                <c:ptCount val="1"/>
                <c:pt idx="0">
                  <c:v>NH3</c:v>
                </c:pt>
              </c:strCache>
            </c:strRef>
          </c:tx>
          <c:cat>
            <c:strRef>
              <c:f>INDUSTRIE!$C$35:$E$35</c:f>
              <c:strCache>
                <c:ptCount val="3"/>
                <c:pt idx="0">
                  <c:v>2012'</c:v>
                </c:pt>
                <c:pt idx="1">
                  <c:v>2013'</c:v>
                </c:pt>
                <c:pt idx="2">
                  <c:v>2014'</c:v>
                </c:pt>
              </c:strCache>
            </c:strRef>
          </c:cat>
          <c:val>
            <c:numRef>
              <c:f>INDUSTRIE!$C$38:$E$38</c:f>
              <c:numCache>
                <c:formatCode>General</c:formatCode>
                <c:ptCount val="3"/>
                <c:pt idx="0">
                  <c:v>6.907450000000018E-5</c:v>
                </c:pt>
                <c:pt idx="1">
                  <c:v>4.10058E-5</c:v>
                </c:pt>
                <c:pt idx="2">
                  <c:v>1.9000000000000089E-6</c:v>
                </c:pt>
              </c:numCache>
            </c:numRef>
          </c:val>
        </c:ser>
        <c:axId val="162681984"/>
        <c:axId val="162683520"/>
      </c:barChart>
      <c:catAx>
        <c:axId val="162681984"/>
        <c:scaling>
          <c:orientation val="minMax"/>
        </c:scaling>
        <c:axPos val="b"/>
        <c:majorTickMark val="none"/>
        <c:tickLblPos val="nextTo"/>
        <c:crossAx val="162683520"/>
        <c:crosses val="autoZero"/>
        <c:auto val="1"/>
        <c:lblAlgn val="ctr"/>
        <c:lblOffset val="100"/>
      </c:catAx>
      <c:valAx>
        <c:axId val="162683520"/>
        <c:scaling>
          <c:orientation val="minMax"/>
        </c:scaling>
        <c:axPos val="l"/>
        <c:majorGridlines/>
        <c:title>
          <c:tx>
            <c:rich>
              <a:bodyPr rot="0" vert="horz"/>
              <a:lstStyle/>
              <a:p>
                <a:pPr>
                  <a:defRPr/>
                </a:pPr>
                <a:r>
                  <a:rPr lang="en-US"/>
                  <a:t>Gg</a:t>
                </a:r>
                <a:endParaRPr lang="ro-RO"/>
              </a:p>
            </c:rich>
          </c:tx>
          <c:layout>
            <c:manualLayout>
              <c:xMode val="edge"/>
              <c:yMode val="edge"/>
              <c:x val="0.13055555555555537"/>
              <c:y val="0.13621719160105047"/>
            </c:manualLayout>
          </c:layout>
        </c:title>
        <c:numFmt formatCode="General" sourceLinked="1"/>
        <c:tickLblPos val="nextTo"/>
        <c:crossAx val="162681984"/>
        <c:crosses val="autoZero"/>
        <c:crossBetween val="between"/>
      </c:val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Tendinţa emisiilor de poluanţi atmosferici cu efect de acidifiere din sectorul de activitate transport </a:t>
            </a:r>
            <a:endParaRPr lang="ro-RO" sz="1000" b="1">
              <a:latin typeface="Arial" pitchFamily="34" charset="0"/>
              <a:cs typeface="Arial" pitchFamily="34" charset="0"/>
            </a:endParaRPr>
          </a:p>
        </c:rich>
      </c:tx>
    </c:title>
    <c:plotArea>
      <c:layout/>
      <c:barChart>
        <c:barDir val="col"/>
        <c:grouping val="clustered"/>
        <c:ser>
          <c:idx val="0"/>
          <c:order val="0"/>
          <c:tx>
            <c:strRef>
              <c:f>TRANSPORT!$B$24</c:f>
              <c:strCache>
                <c:ptCount val="1"/>
                <c:pt idx="0">
                  <c:v>NOx</c:v>
                </c:pt>
              </c:strCache>
            </c:strRef>
          </c:tx>
          <c:cat>
            <c:strRef>
              <c:f>TRANSPORT!$C$23:$E$23</c:f>
              <c:strCache>
                <c:ptCount val="3"/>
                <c:pt idx="0">
                  <c:v>2012'</c:v>
                </c:pt>
                <c:pt idx="1">
                  <c:v>2013'</c:v>
                </c:pt>
                <c:pt idx="2">
                  <c:v>2014'</c:v>
                </c:pt>
              </c:strCache>
            </c:strRef>
          </c:cat>
          <c:val>
            <c:numRef>
              <c:f>TRANSPORT!$C$24:$E$24</c:f>
              <c:numCache>
                <c:formatCode>General</c:formatCode>
                <c:ptCount val="3"/>
                <c:pt idx="0">
                  <c:v>2.4099999999999997</c:v>
                </c:pt>
                <c:pt idx="1">
                  <c:v>6.6992247871383906E-4</c:v>
                </c:pt>
                <c:pt idx="2" formatCode="#0.00000000000000">
                  <c:v>0.27707262427796048</c:v>
                </c:pt>
              </c:numCache>
            </c:numRef>
          </c:val>
        </c:ser>
        <c:ser>
          <c:idx val="1"/>
          <c:order val="1"/>
          <c:tx>
            <c:strRef>
              <c:f>TRANSPORT!$B$25</c:f>
              <c:strCache>
                <c:ptCount val="1"/>
                <c:pt idx="0">
                  <c:v>SOx</c:v>
                </c:pt>
              </c:strCache>
            </c:strRef>
          </c:tx>
          <c:cat>
            <c:strRef>
              <c:f>TRANSPORT!$C$23:$E$23</c:f>
              <c:strCache>
                <c:ptCount val="3"/>
                <c:pt idx="0">
                  <c:v>2012'</c:v>
                </c:pt>
                <c:pt idx="1">
                  <c:v>2013'</c:v>
                </c:pt>
                <c:pt idx="2">
                  <c:v>2014'</c:v>
                </c:pt>
              </c:strCache>
            </c:strRef>
          </c:cat>
          <c:val>
            <c:numRef>
              <c:f>TRANSPORT!$C$25:$E$25</c:f>
              <c:numCache>
                <c:formatCode>General</c:formatCode>
                <c:ptCount val="3"/>
                <c:pt idx="0">
                  <c:v>2.5816339420600067E-3</c:v>
                </c:pt>
                <c:pt idx="1">
                  <c:v>0</c:v>
                </c:pt>
                <c:pt idx="2" formatCode="#0.00000000000000">
                  <c:v>2.4605885439036012E-4</c:v>
                </c:pt>
              </c:numCache>
            </c:numRef>
          </c:val>
        </c:ser>
        <c:ser>
          <c:idx val="2"/>
          <c:order val="2"/>
          <c:tx>
            <c:strRef>
              <c:f>TRANSPORT!$B$26</c:f>
              <c:strCache>
                <c:ptCount val="1"/>
                <c:pt idx="0">
                  <c:v>NH3</c:v>
                </c:pt>
              </c:strCache>
            </c:strRef>
          </c:tx>
          <c:cat>
            <c:strRef>
              <c:f>TRANSPORT!$C$23:$E$23</c:f>
              <c:strCache>
                <c:ptCount val="3"/>
                <c:pt idx="0">
                  <c:v>2012'</c:v>
                </c:pt>
                <c:pt idx="1">
                  <c:v>2013'</c:v>
                </c:pt>
                <c:pt idx="2">
                  <c:v>2014'</c:v>
                </c:pt>
              </c:strCache>
            </c:strRef>
          </c:cat>
          <c:val>
            <c:numRef>
              <c:f>TRANSPORT!$C$26:$E$26</c:f>
              <c:numCache>
                <c:formatCode>General</c:formatCode>
                <c:ptCount val="3"/>
                <c:pt idx="0">
                  <c:v>1.9093841744282934E-2</c:v>
                </c:pt>
                <c:pt idx="1">
                  <c:v>9.0279156035260027E-3</c:v>
                </c:pt>
                <c:pt idx="2" formatCode="#0.00000000000000">
                  <c:v>5.9207030376779126E-5</c:v>
                </c:pt>
              </c:numCache>
            </c:numRef>
          </c:val>
        </c:ser>
        <c:axId val="162722560"/>
        <c:axId val="162724096"/>
      </c:barChart>
      <c:catAx>
        <c:axId val="162722560"/>
        <c:scaling>
          <c:orientation val="minMax"/>
        </c:scaling>
        <c:axPos val="b"/>
        <c:majorTickMark val="none"/>
        <c:tickLblPos val="nextTo"/>
        <c:crossAx val="162724096"/>
        <c:crosses val="autoZero"/>
        <c:auto val="1"/>
        <c:lblAlgn val="ctr"/>
        <c:lblOffset val="100"/>
      </c:catAx>
      <c:valAx>
        <c:axId val="162724096"/>
        <c:scaling>
          <c:orientation val="minMax"/>
        </c:scaling>
        <c:axPos val="l"/>
        <c:majorGridlines/>
        <c:title>
          <c:tx>
            <c:rich>
              <a:bodyPr rot="0" vert="horz"/>
              <a:lstStyle/>
              <a:p>
                <a:pPr>
                  <a:defRPr/>
                </a:pPr>
                <a:r>
                  <a:rPr lang="en-US"/>
                  <a:t>Gg</a:t>
                </a:r>
                <a:endParaRPr lang="ro-RO"/>
              </a:p>
            </c:rich>
          </c:tx>
          <c:layout>
            <c:manualLayout>
              <c:xMode val="edge"/>
              <c:yMode val="edge"/>
              <c:x val="0.10833333333333336"/>
              <c:y val="0.12695793234179131"/>
            </c:manualLayout>
          </c:layout>
        </c:title>
        <c:numFmt formatCode="General" sourceLinked="1"/>
        <c:tickLblPos val="nextTo"/>
        <c:crossAx val="162722560"/>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000">
                <a:latin typeface="Arial" pitchFamily="34" charset="0"/>
                <a:cs typeface="Arial" pitchFamily="34" charset="0"/>
              </a:rPr>
              <a:t>Tendinta emisiilor de poluanti cu efect de acidifiere si</a:t>
            </a:r>
          </a:p>
          <a:p>
            <a:pPr>
              <a:defRPr/>
            </a:pPr>
            <a:r>
              <a:rPr lang="ro-RO" sz="1000">
                <a:latin typeface="Arial" pitchFamily="34" charset="0"/>
                <a:cs typeface="Arial" pitchFamily="34" charset="0"/>
              </a:rPr>
              <a:t>eutrofizare din sectorul de activitate agricultura</a:t>
            </a:r>
          </a:p>
        </c:rich>
      </c:tx>
    </c:title>
    <c:plotArea>
      <c:layout/>
      <c:barChart>
        <c:barDir val="col"/>
        <c:grouping val="clustered"/>
        <c:ser>
          <c:idx val="0"/>
          <c:order val="0"/>
          <c:tx>
            <c:strRef>
              <c:f>AGRICULTURA!$B$7</c:f>
              <c:strCache>
                <c:ptCount val="1"/>
                <c:pt idx="0">
                  <c:v>NOx</c:v>
                </c:pt>
              </c:strCache>
            </c:strRef>
          </c:tx>
          <c:cat>
            <c:strRef>
              <c:f>AGRICULTURA!$C$6:$E$6</c:f>
              <c:strCache>
                <c:ptCount val="3"/>
                <c:pt idx="0">
                  <c:v>2012'</c:v>
                </c:pt>
                <c:pt idx="1">
                  <c:v>2013'</c:v>
                </c:pt>
                <c:pt idx="2">
                  <c:v>2014'</c:v>
                </c:pt>
              </c:strCache>
            </c:strRef>
          </c:cat>
          <c:val>
            <c:numRef>
              <c:f>AGRICULTURA!$C$7:$E$7</c:f>
              <c:numCache>
                <c:formatCode>General</c:formatCode>
                <c:ptCount val="3"/>
                <c:pt idx="0">
                  <c:v>1.4500000000000001E-2</c:v>
                </c:pt>
                <c:pt idx="1">
                  <c:v>8.1000000000000048E-3</c:v>
                </c:pt>
                <c:pt idx="2">
                  <c:v>1.8900000000000038E-2</c:v>
                </c:pt>
              </c:numCache>
            </c:numRef>
          </c:val>
        </c:ser>
        <c:ser>
          <c:idx val="1"/>
          <c:order val="1"/>
          <c:tx>
            <c:strRef>
              <c:f>AGRICULTURA!$B$8</c:f>
              <c:strCache>
                <c:ptCount val="1"/>
                <c:pt idx="0">
                  <c:v>NH3</c:v>
                </c:pt>
              </c:strCache>
            </c:strRef>
          </c:tx>
          <c:cat>
            <c:strRef>
              <c:f>AGRICULTURA!$C$6:$E$6</c:f>
              <c:strCache>
                <c:ptCount val="3"/>
                <c:pt idx="0">
                  <c:v>2012'</c:v>
                </c:pt>
                <c:pt idx="1">
                  <c:v>2013'</c:v>
                </c:pt>
                <c:pt idx="2">
                  <c:v>2014'</c:v>
                </c:pt>
              </c:strCache>
            </c:strRef>
          </c:cat>
          <c:val>
            <c:numRef>
              <c:f>AGRICULTURA!$C$8:$E$8</c:f>
              <c:numCache>
                <c:formatCode>General</c:formatCode>
                <c:ptCount val="3"/>
                <c:pt idx="0">
                  <c:v>1.2531999999999972</c:v>
                </c:pt>
                <c:pt idx="1">
                  <c:v>2.4546999999999977</c:v>
                </c:pt>
                <c:pt idx="2">
                  <c:v>2.9097300000000001</c:v>
                </c:pt>
              </c:numCache>
            </c:numRef>
          </c:val>
        </c:ser>
        <c:axId val="136924160"/>
        <c:axId val="136938240"/>
      </c:barChart>
      <c:catAx>
        <c:axId val="136924160"/>
        <c:scaling>
          <c:orientation val="minMax"/>
        </c:scaling>
        <c:axPos val="b"/>
        <c:majorTickMark val="none"/>
        <c:tickLblPos val="nextTo"/>
        <c:crossAx val="136938240"/>
        <c:crosses val="autoZero"/>
        <c:auto val="1"/>
        <c:lblAlgn val="ctr"/>
        <c:lblOffset val="100"/>
      </c:catAx>
      <c:valAx>
        <c:axId val="136938240"/>
        <c:scaling>
          <c:orientation val="minMax"/>
        </c:scaling>
        <c:axPos val="l"/>
        <c:majorGridlines/>
        <c:title>
          <c:tx>
            <c:rich>
              <a:bodyPr rot="0" vert="horz"/>
              <a:lstStyle/>
              <a:p>
                <a:pPr>
                  <a:defRPr/>
                </a:pPr>
                <a:r>
                  <a:rPr lang="en-US"/>
                  <a:t>Gg</a:t>
                </a:r>
                <a:endParaRPr lang="ro-RO"/>
              </a:p>
            </c:rich>
          </c:tx>
          <c:layout>
            <c:manualLayout>
              <c:xMode val="edge"/>
              <c:yMode val="edge"/>
              <c:x val="0.11666666666666672"/>
              <c:y val="0.13805737824438613"/>
            </c:manualLayout>
          </c:layout>
        </c:title>
        <c:numFmt formatCode="General" sourceLinked="1"/>
        <c:tickLblPos val="nextTo"/>
        <c:crossAx val="136924160"/>
        <c:crosses val="autoZero"/>
        <c:crossBetween val="between"/>
      </c:valAx>
    </c:plotArea>
    <c:legend>
      <c:legendPos val="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000">
                <a:latin typeface="Arial" pitchFamily="34" charset="0"/>
                <a:cs typeface="Arial" pitchFamily="34" charset="0"/>
              </a:rPr>
              <a:t>Tendinta emisiilor de poluanti precursori ai ozonului</a:t>
            </a:r>
          </a:p>
        </c:rich>
      </c:tx>
    </c:title>
    <c:plotArea>
      <c:layout/>
      <c:barChart>
        <c:barDir val="col"/>
        <c:grouping val="clustered"/>
        <c:ser>
          <c:idx val="0"/>
          <c:order val="0"/>
          <c:tx>
            <c:strRef>
              <c:f>'EMISII TOTALE'!$B$51</c:f>
              <c:strCache>
                <c:ptCount val="1"/>
                <c:pt idx="0">
                  <c:v>NOx</c:v>
                </c:pt>
              </c:strCache>
            </c:strRef>
          </c:tx>
          <c:cat>
            <c:strRef>
              <c:f>'EMISII TOTALE'!$C$50:$E$50</c:f>
              <c:strCache>
                <c:ptCount val="3"/>
                <c:pt idx="0">
                  <c:v>2012'</c:v>
                </c:pt>
                <c:pt idx="1">
                  <c:v>2013'</c:v>
                </c:pt>
                <c:pt idx="2">
                  <c:v>2014'</c:v>
                </c:pt>
              </c:strCache>
            </c:strRef>
          </c:cat>
          <c:val>
            <c:numRef>
              <c:f>'EMISII TOTALE'!$C$51:$E$51</c:f>
              <c:numCache>
                <c:formatCode>General</c:formatCode>
                <c:ptCount val="3"/>
                <c:pt idx="0">
                  <c:v>7.78</c:v>
                </c:pt>
                <c:pt idx="1">
                  <c:v>2.52</c:v>
                </c:pt>
                <c:pt idx="2">
                  <c:v>1.1060000000000001</c:v>
                </c:pt>
              </c:numCache>
            </c:numRef>
          </c:val>
        </c:ser>
        <c:ser>
          <c:idx val="1"/>
          <c:order val="1"/>
          <c:tx>
            <c:strRef>
              <c:f>'EMISII TOTALE'!$B$52</c:f>
              <c:strCache>
                <c:ptCount val="1"/>
                <c:pt idx="0">
                  <c:v>NMVOC</c:v>
                </c:pt>
              </c:strCache>
            </c:strRef>
          </c:tx>
          <c:cat>
            <c:strRef>
              <c:f>'EMISII TOTALE'!$C$50:$E$50</c:f>
              <c:strCache>
                <c:ptCount val="3"/>
                <c:pt idx="0">
                  <c:v>2012'</c:v>
                </c:pt>
                <c:pt idx="1">
                  <c:v>2013'</c:v>
                </c:pt>
                <c:pt idx="2">
                  <c:v>2014'</c:v>
                </c:pt>
              </c:strCache>
            </c:strRef>
          </c:cat>
          <c:val>
            <c:numRef>
              <c:f>'EMISII TOTALE'!$C$52:$E$52</c:f>
              <c:numCache>
                <c:formatCode>General</c:formatCode>
                <c:ptCount val="3"/>
                <c:pt idx="0">
                  <c:v>8.8600000000000048</c:v>
                </c:pt>
                <c:pt idx="1">
                  <c:v>13.28</c:v>
                </c:pt>
                <c:pt idx="2">
                  <c:v>13.997</c:v>
                </c:pt>
              </c:numCache>
            </c:numRef>
          </c:val>
        </c:ser>
        <c:ser>
          <c:idx val="2"/>
          <c:order val="2"/>
          <c:tx>
            <c:strRef>
              <c:f>'EMISII TOTALE'!$B$53</c:f>
              <c:strCache>
                <c:ptCount val="1"/>
                <c:pt idx="0">
                  <c:v>CO </c:v>
                </c:pt>
              </c:strCache>
            </c:strRef>
          </c:tx>
          <c:cat>
            <c:strRef>
              <c:f>'EMISII TOTALE'!$C$50:$E$50</c:f>
              <c:strCache>
                <c:ptCount val="3"/>
                <c:pt idx="0">
                  <c:v>2012'</c:v>
                </c:pt>
                <c:pt idx="1">
                  <c:v>2013'</c:v>
                </c:pt>
                <c:pt idx="2">
                  <c:v>2014'</c:v>
                </c:pt>
              </c:strCache>
            </c:strRef>
          </c:cat>
          <c:val>
            <c:numRef>
              <c:f>'EMISII TOTALE'!$C$53:$E$53</c:f>
              <c:numCache>
                <c:formatCode>General</c:formatCode>
                <c:ptCount val="3"/>
                <c:pt idx="0">
                  <c:v>31.12</c:v>
                </c:pt>
                <c:pt idx="1">
                  <c:v>40.08</c:v>
                </c:pt>
                <c:pt idx="2">
                  <c:v>40.520000000000003</c:v>
                </c:pt>
              </c:numCache>
            </c:numRef>
          </c:val>
        </c:ser>
        <c:axId val="136993024"/>
        <c:axId val="136998912"/>
      </c:barChart>
      <c:catAx>
        <c:axId val="136993024"/>
        <c:scaling>
          <c:orientation val="minMax"/>
        </c:scaling>
        <c:axPos val="b"/>
        <c:majorTickMark val="none"/>
        <c:tickLblPos val="nextTo"/>
        <c:crossAx val="136998912"/>
        <c:crosses val="autoZero"/>
        <c:auto val="1"/>
        <c:lblAlgn val="ctr"/>
        <c:lblOffset val="100"/>
      </c:catAx>
      <c:valAx>
        <c:axId val="136998912"/>
        <c:scaling>
          <c:orientation val="minMax"/>
        </c:scaling>
        <c:axPos val="l"/>
        <c:majorGridlines/>
        <c:title>
          <c:tx>
            <c:rich>
              <a:bodyPr rot="0" vert="horz"/>
              <a:lstStyle/>
              <a:p>
                <a:pPr>
                  <a:defRPr/>
                </a:pPr>
                <a:r>
                  <a:rPr lang="en-US"/>
                  <a:t>Gg</a:t>
                </a:r>
                <a:endParaRPr lang="ro-RO"/>
              </a:p>
            </c:rich>
          </c:tx>
          <c:layout>
            <c:manualLayout>
              <c:xMode val="edge"/>
              <c:yMode val="edge"/>
              <c:x val="0.10833333333333336"/>
              <c:y val="0.12179571303587111"/>
            </c:manualLayout>
          </c:layout>
        </c:title>
        <c:numFmt formatCode="General" sourceLinked="1"/>
        <c:tickLblPos val="nextTo"/>
        <c:crossAx val="136993024"/>
        <c:crosses val="autoZero"/>
        <c:crossBetween val="between"/>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Tendinţa emisiilor de poluanţi precursori ai ozonului din sectorul de activitate energie </a:t>
            </a:r>
            <a:endParaRPr lang="ro-RO" sz="1000" b="1">
              <a:latin typeface="Arial" pitchFamily="34" charset="0"/>
              <a:cs typeface="Arial" pitchFamily="34" charset="0"/>
            </a:endParaRPr>
          </a:p>
        </c:rich>
      </c:tx>
    </c:title>
    <c:plotArea>
      <c:layout/>
      <c:barChart>
        <c:barDir val="col"/>
        <c:grouping val="clustered"/>
        <c:ser>
          <c:idx val="0"/>
          <c:order val="0"/>
          <c:tx>
            <c:strRef>
              <c:f>ENERGIE!$B$51</c:f>
              <c:strCache>
                <c:ptCount val="1"/>
                <c:pt idx="0">
                  <c:v>NOx</c:v>
                </c:pt>
              </c:strCache>
            </c:strRef>
          </c:tx>
          <c:cat>
            <c:strRef>
              <c:f>ENERGIE!$C$50:$E$50</c:f>
              <c:strCache>
                <c:ptCount val="3"/>
                <c:pt idx="0">
                  <c:v>2012'</c:v>
                </c:pt>
                <c:pt idx="1">
                  <c:v>2013'</c:v>
                </c:pt>
                <c:pt idx="2">
                  <c:v>2014'</c:v>
                </c:pt>
              </c:strCache>
            </c:strRef>
          </c:cat>
          <c:val>
            <c:numRef>
              <c:f>ENERGIE!$C$51:$E$51</c:f>
              <c:numCache>
                <c:formatCode>General</c:formatCode>
                <c:ptCount val="3"/>
                <c:pt idx="0">
                  <c:v>4.9889999999999999</c:v>
                </c:pt>
                <c:pt idx="1">
                  <c:v>0.98370905597948488</c:v>
                </c:pt>
                <c:pt idx="2">
                  <c:v>0.81676377694346702</c:v>
                </c:pt>
              </c:numCache>
            </c:numRef>
          </c:val>
        </c:ser>
        <c:ser>
          <c:idx val="1"/>
          <c:order val="1"/>
          <c:tx>
            <c:strRef>
              <c:f>ENERGIE!$B$52</c:f>
              <c:strCache>
                <c:ptCount val="1"/>
                <c:pt idx="0">
                  <c:v>NMVOC</c:v>
                </c:pt>
              </c:strCache>
            </c:strRef>
          </c:tx>
          <c:cat>
            <c:strRef>
              <c:f>ENERGIE!$C$50:$E$50</c:f>
              <c:strCache>
                <c:ptCount val="3"/>
                <c:pt idx="0">
                  <c:v>2012'</c:v>
                </c:pt>
                <c:pt idx="1">
                  <c:v>2013'</c:v>
                </c:pt>
                <c:pt idx="2">
                  <c:v>2014'</c:v>
                </c:pt>
              </c:strCache>
            </c:strRef>
          </c:cat>
          <c:val>
            <c:numRef>
              <c:f>ENERGIE!$C$52:$E$52</c:f>
              <c:numCache>
                <c:formatCode>General</c:formatCode>
                <c:ptCount val="3"/>
                <c:pt idx="0">
                  <c:v>4.2759999999999998</c:v>
                </c:pt>
                <c:pt idx="1">
                  <c:v>7.4187135241356339</c:v>
                </c:pt>
                <c:pt idx="2">
                  <c:v>8.0078058528509928</c:v>
                </c:pt>
              </c:numCache>
            </c:numRef>
          </c:val>
        </c:ser>
        <c:ser>
          <c:idx val="2"/>
          <c:order val="2"/>
          <c:tx>
            <c:strRef>
              <c:f>ENERGIE!$B$53</c:f>
              <c:strCache>
                <c:ptCount val="1"/>
                <c:pt idx="0">
                  <c:v>CO </c:v>
                </c:pt>
              </c:strCache>
            </c:strRef>
          </c:tx>
          <c:cat>
            <c:strRef>
              <c:f>ENERGIE!$C$50:$E$50</c:f>
              <c:strCache>
                <c:ptCount val="3"/>
                <c:pt idx="0">
                  <c:v>2012'</c:v>
                </c:pt>
                <c:pt idx="1">
                  <c:v>2013'</c:v>
                </c:pt>
                <c:pt idx="2">
                  <c:v>2014'</c:v>
                </c:pt>
              </c:strCache>
            </c:strRef>
          </c:cat>
          <c:val>
            <c:numRef>
              <c:f>ENERGIE!$C$53:$E$53</c:f>
              <c:numCache>
                <c:formatCode>General</c:formatCode>
                <c:ptCount val="3"/>
                <c:pt idx="0">
                  <c:v>24.204999999999988</c:v>
                </c:pt>
                <c:pt idx="1">
                  <c:v>37.436287446081998</c:v>
                </c:pt>
                <c:pt idx="2">
                  <c:v>40.433999637223394</c:v>
                </c:pt>
              </c:numCache>
            </c:numRef>
          </c:val>
        </c:ser>
        <c:axId val="137025024"/>
        <c:axId val="137026560"/>
      </c:barChart>
      <c:catAx>
        <c:axId val="137025024"/>
        <c:scaling>
          <c:orientation val="minMax"/>
        </c:scaling>
        <c:axPos val="b"/>
        <c:majorTickMark val="none"/>
        <c:tickLblPos val="nextTo"/>
        <c:crossAx val="137026560"/>
        <c:crosses val="autoZero"/>
        <c:auto val="1"/>
        <c:lblAlgn val="ctr"/>
        <c:lblOffset val="100"/>
      </c:catAx>
      <c:valAx>
        <c:axId val="137026560"/>
        <c:scaling>
          <c:orientation val="minMax"/>
        </c:scaling>
        <c:axPos val="l"/>
        <c:majorGridlines/>
        <c:title>
          <c:tx>
            <c:rich>
              <a:bodyPr rot="0" vert="horz"/>
              <a:lstStyle/>
              <a:p>
                <a:pPr>
                  <a:defRPr/>
                </a:pPr>
                <a:r>
                  <a:rPr lang="en-US"/>
                  <a:t>Gg</a:t>
                </a:r>
                <a:endParaRPr lang="ro-RO"/>
              </a:p>
            </c:rich>
          </c:tx>
          <c:layout>
            <c:manualLayout>
              <c:xMode val="edge"/>
              <c:yMode val="edge"/>
              <c:x val="0.11944444444444446"/>
              <c:y val="0.12695793234179131"/>
            </c:manualLayout>
          </c:layout>
        </c:title>
        <c:numFmt formatCode="General" sourceLinked="1"/>
        <c:tickLblPos val="nextTo"/>
        <c:crossAx val="137025024"/>
        <c:crosses val="autoZero"/>
        <c:crossBetween val="between"/>
      </c:valAx>
    </c:plotArea>
    <c:legend>
      <c:legendPos val="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Tendinţa emisiilor de poluanţi precursori ai ozonului din sectorul de activitate industrie </a:t>
            </a:r>
            <a:endParaRPr lang="ro-RO" sz="1000" b="1">
              <a:latin typeface="Arial" pitchFamily="34" charset="0"/>
              <a:cs typeface="Arial" pitchFamily="34" charset="0"/>
            </a:endParaRPr>
          </a:p>
        </c:rich>
      </c:tx>
    </c:title>
    <c:plotArea>
      <c:layout/>
      <c:barChart>
        <c:barDir val="col"/>
        <c:grouping val="clustered"/>
        <c:ser>
          <c:idx val="0"/>
          <c:order val="0"/>
          <c:tx>
            <c:strRef>
              <c:f>INDUSTRIE!$B$61</c:f>
              <c:strCache>
                <c:ptCount val="1"/>
                <c:pt idx="0">
                  <c:v>NOx</c:v>
                </c:pt>
              </c:strCache>
            </c:strRef>
          </c:tx>
          <c:cat>
            <c:strRef>
              <c:f>INDUSTRIE!$C$60:$E$60</c:f>
              <c:strCache>
                <c:ptCount val="3"/>
                <c:pt idx="0">
                  <c:v>2012'</c:v>
                </c:pt>
                <c:pt idx="1">
                  <c:v>2013'</c:v>
                </c:pt>
                <c:pt idx="2">
                  <c:v>2014'</c:v>
                </c:pt>
              </c:strCache>
            </c:strRef>
          </c:cat>
          <c:val>
            <c:numRef>
              <c:f>INDUSTRIE!$C$61:$E$61</c:f>
              <c:numCache>
                <c:formatCode>General</c:formatCode>
                <c:ptCount val="3"/>
                <c:pt idx="0">
                  <c:v>0.47550364048841526</c:v>
                </c:pt>
                <c:pt idx="1">
                  <c:v>0.15208670267083599</c:v>
                </c:pt>
                <c:pt idx="2">
                  <c:v>0.16585802774395367</c:v>
                </c:pt>
              </c:numCache>
            </c:numRef>
          </c:val>
        </c:ser>
        <c:ser>
          <c:idx val="1"/>
          <c:order val="1"/>
          <c:tx>
            <c:strRef>
              <c:f>INDUSTRIE!$B$62</c:f>
              <c:strCache>
                <c:ptCount val="1"/>
                <c:pt idx="0">
                  <c:v>NMVOC</c:v>
                </c:pt>
              </c:strCache>
            </c:strRef>
          </c:tx>
          <c:cat>
            <c:strRef>
              <c:f>INDUSTRIE!$C$60:$E$60</c:f>
              <c:strCache>
                <c:ptCount val="3"/>
                <c:pt idx="0">
                  <c:v>2012'</c:v>
                </c:pt>
                <c:pt idx="1">
                  <c:v>2013'</c:v>
                </c:pt>
                <c:pt idx="2">
                  <c:v>2014'</c:v>
                </c:pt>
              </c:strCache>
            </c:strRef>
          </c:cat>
          <c:val>
            <c:numRef>
              <c:f>INDUSTRIE!$C$62:$E$62</c:f>
              <c:numCache>
                <c:formatCode>General</c:formatCode>
                <c:ptCount val="3"/>
                <c:pt idx="0">
                  <c:v>3.1696093695697667</c:v>
                </c:pt>
                <c:pt idx="1">
                  <c:v>5.1936618582060285</c:v>
                </c:pt>
                <c:pt idx="2">
                  <c:v>5.6193454969952565</c:v>
                </c:pt>
              </c:numCache>
            </c:numRef>
          </c:val>
        </c:ser>
        <c:ser>
          <c:idx val="2"/>
          <c:order val="2"/>
          <c:tx>
            <c:strRef>
              <c:f>INDUSTRIE!$B$63</c:f>
              <c:strCache>
                <c:ptCount val="1"/>
                <c:pt idx="0">
                  <c:v>CO </c:v>
                </c:pt>
              </c:strCache>
            </c:strRef>
          </c:tx>
          <c:cat>
            <c:strRef>
              <c:f>INDUSTRIE!$C$60:$E$60</c:f>
              <c:strCache>
                <c:ptCount val="3"/>
                <c:pt idx="0">
                  <c:v>2012'</c:v>
                </c:pt>
                <c:pt idx="1">
                  <c:v>2013'</c:v>
                </c:pt>
                <c:pt idx="2">
                  <c:v>2014'</c:v>
                </c:pt>
              </c:strCache>
            </c:strRef>
          </c:cat>
          <c:val>
            <c:numRef>
              <c:f>INDUSTRIE!$C$63:$E$63</c:f>
              <c:numCache>
                <c:formatCode>General</c:formatCode>
                <c:ptCount val="3"/>
                <c:pt idx="0">
                  <c:v>0.58573901588583799</c:v>
                </c:pt>
                <c:pt idx="1">
                  <c:v>0.57854798858211387</c:v>
                </c:pt>
                <c:pt idx="2">
                  <c:v>0.57979147434354039</c:v>
                </c:pt>
              </c:numCache>
            </c:numRef>
          </c:val>
        </c:ser>
        <c:axId val="160338688"/>
        <c:axId val="160340224"/>
      </c:barChart>
      <c:catAx>
        <c:axId val="160338688"/>
        <c:scaling>
          <c:orientation val="minMax"/>
        </c:scaling>
        <c:axPos val="b"/>
        <c:majorTickMark val="none"/>
        <c:tickLblPos val="nextTo"/>
        <c:crossAx val="160340224"/>
        <c:crosses val="autoZero"/>
        <c:auto val="1"/>
        <c:lblAlgn val="ctr"/>
        <c:lblOffset val="100"/>
      </c:catAx>
      <c:valAx>
        <c:axId val="160340224"/>
        <c:scaling>
          <c:orientation val="minMax"/>
        </c:scaling>
        <c:axPos val="l"/>
        <c:majorGridlines/>
        <c:title>
          <c:tx>
            <c:rich>
              <a:bodyPr rot="0" vert="horz"/>
              <a:lstStyle/>
              <a:p>
                <a:pPr>
                  <a:defRPr/>
                </a:pPr>
                <a:r>
                  <a:rPr lang="en-US"/>
                  <a:t>Gg</a:t>
                </a:r>
                <a:endParaRPr lang="ro-RO"/>
              </a:p>
            </c:rich>
          </c:tx>
          <c:layout>
            <c:manualLayout>
              <c:xMode val="edge"/>
              <c:yMode val="edge"/>
              <c:x val="0.10277777777777777"/>
              <c:y val="0.12458515602216402"/>
            </c:manualLayout>
          </c:layout>
        </c:title>
        <c:numFmt formatCode="General" sourceLinked="1"/>
        <c:tickLblPos val="nextTo"/>
        <c:crossAx val="160338688"/>
        <c:crosses val="autoZero"/>
        <c:crossBetween val="between"/>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Tendinţa emisiilor de poluanţi precursori ai ozonului din sectorul de activitate transport </a:t>
            </a:r>
            <a:endParaRPr lang="ro-RO" sz="1000" b="1">
              <a:latin typeface="Arial" pitchFamily="34" charset="0"/>
              <a:cs typeface="Arial" pitchFamily="34" charset="0"/>
            </a:endParaRPr>
          </a:p>
        </c:rich>
      </c:tx>
    </c:title>
    <c:plotArea>
      <c:layout/>
      <c:barChart>
        <c:barDir val="col"/>
        <c:grouping val="clustered"/>
        <c:ser>
          <c:idx val="0"/>
          <c:order val="0"/>
          <c:tx>
            <c:strRef>
              <c:f>TRANSPORT!$B$49</c:f>
              <c:strCache>
                <c:ptCount val="1"/>
                <c:pt idx="0">
                  <c:v>NOx</c:v>
                </c:pt>
              </c:strCache>
            </c:strRef>
          </c:tx>
          <c:cat>
            <c:strRef>
              <c:f>TRANSPORT!$C$48:$E$48</c:f>
              <c:strCache>
                <c:ptCount val="3"/>
                <c:pt idx="0">
                  <c:v>2012'</c:v>
                </c:pt>
                <c:pt idx="1">
                  <c:v>2013'</c:v>
                </c:pt>
                <c:pt idx="2">
                  <c:v>2014'</c:v>
                </c:pt>
              </c:strCache>
            </c:strRef>
          </c:cat>
          <c:val>
            <c:numRef>
              <c:f>TRANSPORT!$C$49:$E$49</c:f>
              <c:numCache>
                <c:formatCode>General</c:formatCode>
                <c:ptCount val="3"/>
                <c:pt idx="0">
                  <c:v>2.4099999999999997</c:v>
                </c:pt>
                <c:pt idx="1">
                  <c:v>6.6992247871383906E-4</c:v>
                </c:pt>
                <c:pt idx="2" formatCode="#0.00000000000000">
                  <c:v>0.27707262427796048</c:v>
                </c:pt>
              </c:numCache>
            </c:numRef>
          </c:val>
        </c:ser>
        <c:ser>
          <c:idx val="1"/>
          <c:order val="1"/>
          <c:tx>
            <c:strRef>
              <c:f>TRANSPORT!$B$50</c:f>
              <c:strCache>
                <c:ptCount val="1"/>
                <c:pt idx="0">
                  <c:v>NMVOC</c:v>
                </c:pt>
              </c:strCache>
            </c:strRef>
          </c:tx>
          <c:cat>
            <c:strRef>
              <c:f>TRANSPORT!$C$48:$E$48</c:f>
              <c:strCache>
                <c:ptCount val="3"/>
                <c:pt idx="0">
                  <c:v>2012'</c:v>
                </c:pt>
                <c:pt idx="1">
                  <c:v>2013'</c:v>
                </c:pt>
                <c:pt idx="2">
                  <c:v>2014'</c:v>
                </c:pt>
              </c:strCache>
            </c:strRef>
          </c:cat>
          <c:val>
            <c:numRef>
              <c:f>TRANSPORT!$C$50:$E$50</c:f>
              <c:numCache>
                <c:formatCode>General</c:formatCode>
                <c:ptCount val="3"/>
                <c:pt idx="0">
                  <c:v>1.0112918035672898</c:v>
                </c:pt>
                <c:pt idx="1">
                  <c:v>0.35535943374769785</c:v>
                </c:pt>
                <c:pt idx="2" formatCode="#0.00000000000000">
                  <c:v>2.6389408356885597E-2</c:v>
                </c:pt>
              </c:numCache>
            </c:numRef>
          </c:val>
        </c:ser>
        <c:ser>
          <c:idx val="2"/>
          <c:order val="2"/>
          <c:tx>
            <c:strRef>
              <c:f>TRANSPORT!$B$51</c:f>
              <c:strCache>
                <c:ptCount val="1"/>
                <c:pt idx="0">
                  <c:v>CO </c:v>
                </c:pt>
              </c:strCache>
            </c:strRef>
          </c:tx>
          <c:cat>
            <c:strRef>
              <c:f>TRANSPORT!$C$48:$E$48</c:f>
              <c:strCache>
                <c:ptCount val="3"/>
                <c:pt idx="0">
                  <c:v>2012'</c:v>
                </c:pt>
                <c:pt idx="1">
                  <c:v>2013'</c:v>
                </c:pt>
                <c:pt idx="2">
                  <c:v>2014'</c:v>
                </c:pt>
              </c:strCache>
            </c:strRef>
          </c:cat>
          <c:val>
            <c:numRef>
              <c:f>TRANSPORT!$C$51:$E$51</c:f>
              <c:numCache>
                <c:formatCode>General</c:formatCode>
                <c:ptCount val="3"/>
                <c:pt idx="0">
                  <c:v>6.7938127502691614</c:v>
                </c:pt>
                <c:pt idx="1">
                  <c:v>2.6507112218803193</c:v>
                </c:pt>
                <c:pt idx="2" formatCode="#0.00000000000000">
                  <c:v>8.914227752154516E-2</c:v>
                </c:pt>
              </c:numCache>
            </c:numRef>
          </c:val>
        </c:ser>
        <c:axId val="137048064"/>
        <c:axId val="137049600"/>
      </c:barChart>
      <c:catAx>
        <c:axId val="137048064"/>
        <c:scaling>
          <c:orientation val="minMax"/>
        </c:scaling>
        <c:axPos val="b"/>
        <c:majorTickMark val="none"/>
        <c:tickLblPos val="nextTo"/>
        <c:crossAx val="137049600"/>
        <c:crosses val="autoZero"/>
        <c:auto val="1"/>
        <c:lblAlgn val="ctr"/>
        <c:lblOffset val="100"/>
      </c:catAx>
      <c:valAx>
        <c:axId val="137049600"/>
        <c:scaling>
          <c:orientation val="minMax"/>
        </c:scaling>
        <c:axPos val="l"/>
        <c:majorGridlines/>
        <c:title>
          <c:tx>
            <c:rich>
              <a:bodyPr rot="0" vert="horz"/>
              <a:lstStyle/>
              <a:p>
                <a:pPr>
                  <a:defRPr/>
                </a:pPr>
                <a:r>
                  <a:rPr lang="en-US"/>
                  <a:t>Gg</a:t>
                </a:r>
                <a:endParaRPr lang="ro-RO"/>
              </a:p>
            </c:rich>
          </c:tx>
          <c:layout>
            <c:manualLayout>
              <c:xMode val="edge"/>
              <c:yMode val="edge"/>
              <c:x val="0.1"/>
              <c:y val="0.13158756197142041"/>
            </c:manualLayout>
          </c:layout>
        </c:title>
        <c:numFmt formatCode="General" sourceLinked="1"/>
        <c:tickLblPos val="nextTo"/>
        <c:crossAx val="13704806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1"/>
          <c:order val="0"/>
          <c:tx>
            <c:strRef>
              <c:f>Foaie1!$C$6</c:f>
              <c:strCache>
                <c:ptCount val="1"/>
                <c:pt idx="0">
                  <c:v>CO(mg/m3)</c:v>
                </c:pt>
              </c:strCache>
            </c:strRef>
          </c:tx>
          <c:marker>
            <c:symbol val="none"/>
          </c:marker>
          <c:val>
            <c:numRef>
              <c:f>Foaie1!$C$7:$C$371</c:f>
              <c:numCache>
                <c:formatCode>General</c:formatCode>
                <c:ptCount val="365"/>
                <c:pt idx="0">
                  <c:v>0.26</c:v>
                </c:pt>
                <c:pt idx="1">
                  <c:v>0.62000000000000344</c:v>
                </c:pt>
                <c:pt idx="2">
                  <c:v>0.78</c:v>
                </c:pt>
                <c:pt idx="3">
                  <c:v>0.96000000000000063</c:v>
                </c:pt>
                <c:pt idx="4">
                  <c:v>0.93</c:v>
                </c:pt>
                <c:pt idx="5">
                  <c:v>1.84</c:v>
                </c:pt>
                <c:pt idx="6">
                  <c:v>1.62</c:v>
                </c:pt>
                <c:pt idx="7">
                  <c:v>1.1700000000000021</c:v>
                </c:pt>
                <c:pt idx="8">
                  <c:v>1.8800000000000001</c:v>
                </c:pt>
                <c:pt idx="9">
                  <c:v>1.8</c:v>
                </c:pt>
                <c:pt idx="10">
                  <c:v>0.69000000000000061</c:v>
                </c:pt>
                <c:pt idx="11">
                  <c:v>0.91</c:v>
                </c:pt>
                <c:pt idx="12">
                  <c:v>0.37000000000000038</c:v>
                </c:pt>
                <c:pt idx="13">
                  <c:v>1.01</c:v>
                </c:pt>
                <c:pt idx="14">
                  <c:v>0.97000000000000064</c:v>
                </c:pt>
                <c:pt idx="15">
                  <c:v>1.22</c:v>
                </c:pt>
                <c:pt idx="16">
                  <c:v>1.22</c:v>
                </c:pt>
                <c:pt idx="17">
                  <c:v>1.45</c:v>
                </c:pt>
                <c:pt idx="18">
                  <c:v>0.76000000000000389</c:v>
                </c:pt>
                <c:pt idx="19">
                  <c:v>0.42000000000000032</c:v>
                </c:pt>
                <c:pt idx="20">
                  <c:v>0.2</c:v>
                </c:pt>
                <c:pt idx="21">
                  <c:v>0.67000000000000448</c:v>
                </c:pt>
                <c:pt idx="22">
                  <c:v>0.55000000000000004</c:v>
                </c:pt>
                <c:pt idx="23">
                  <c:v>0.29000000000000031</c:v>
                </c:pt>
                <c:pt idx="24">
                  <c:v>0.1</c:v>
                </c:pt>
                <c:pt idx="25">
                  <c:v>8.0000000000000043E-2</c:v>
                </c:pt>
                <c:pt idx="26">
                  <c:v>0.2</c:v>
                </c:pt>
                <c:pt idx="27">
                  <c:v>0.53</c:v>
                </c:pt>
                <c:pt idx="28">
                  <c:v>0.14000000000000001</c:v>
                </c:pt>
                <c:pt idx="35">
                  <c:v>1.49</c:v>
                </c:pt>
                <c:pt idx="36">
                  <c:v>1.87</c:v>
                </c:pt>
                <c:pt idx="50">
                  <c:v>0.84000000000000064</c:v>
                </c:pt>
                <c:pt idx="51">
                  <c:v>0.4</c:v>
                </c:pt>
                <c:pt idx="52">
                  <c:v>0.49000000000000032</c:v>
                </c:pt>
                <c:pt idx="53">
                  <c:v>0.49000000000000032</c:v>
                </c:pt>
                <c:pt idx="54">
                  <c:v>0.21000000000000021</c:v>
                </c:pt>
                <c:pt idx="55">
                  <c:v>0.27</c:v>
                </c:pt>
                <c:pt idx="56">
                  <c:v>0.38000000000000195</c:v>
                </c:pt>
                <c:pt idx="57">
                  <c:v>0.19</c:v>
                </c:pt>
                <c:pt idx="58">
                  <c:v>0.86000000000000065</c:v>
                </c:pt>
                <c:pt idx="59">
                  <c:v>0.28000000000000008</c:v>
                </c:pt>
                <c:pt idx="60">
                  <c:v>0.22</c:v>
                </c:pt>
                <c:pt idx="61">
                  <c:v>0.2</c:v>
                </c:pt>
                <c:pt idx="62">
                  <c:v>0.21000000000000021</c:v>
                </c:pt>
                <c:pt idx="63">
                  <c:v>0.14000000000000001</c:v>
                </c:pt>
                <c:pt idx="64">
                  <c:v>0.2</c:v>
                </c:pt>
                <c:pt idx="65">
                  <c:v>0.12000000000000002</c:v>
                </c:pt>
                <c:pt idx="66">
                  <c:v>7.0000000000000021E-2</c:v>
                </c:pt>
                <c:pt idx="67">
                  <c:v>8.0000000000000043E-2</c:v>
                </c:pt>
                <c:pt idx="68">
                  <c:v>8.0000000000000043E-2</c:v>
                </c:pt>
                <c:pt idx="69">
                  <c:v>0.11</c:v>
                </c:pt>
                <c:pt idx="70">
                  <c:v>0.15000000000000024</c:v>
                </c:pt>
                <c:pt idx="71">
                  <c:v>0.24000000000000021</c:v>
                </c:pt>
                <c:pt idx="72">
                  <c:v>0.31000000000000172</c:v>
                </c:pt>
                <c:pt idx="73">
                  <c:v>0.37000000000000038</c:v>
                </c:pt>
                <c:pt idx="74">
                  <c:v>0.24000000000000021</c:v>
                </c:pt>
                <c:pt idx="75">
                  <c:v>0.17</c:v>
                </c:pt>
                <c:pt idx="76">
                  <c:v>0.1</c:v>
                </c:pt>
                <c:pt idx="77">
                  <c:v>0.5</c:v>
                </c:pt>
                <c:pt idx="78">
                  <c:v>0.23</c:v>
                </c:pt>
                <c:pt idx="79">
                  <c:v>0.23</c:v>
                </c:pt>
                <c:pt idx="80">
                  <c:v>0.2</c:v>
                </c:pt>
                <c:pt idx="81">
                  <c:v>0.24000000000000021</c:v>
                </c:pt>
                <c:pt idx="82">
                  <c:v>0.26</c:v>
                </c:pt>
                <c:pt idx="83">
                  <c:v>0.26</c:v>
                </c:pt>
                <c:pt idx="84">
                  <c:v>0.29000000000000031</c:v>
                </c:pt>
                <c:pt idx="85">
                  <c:v>0.21000000000000021</c:v>
                </c:pt>
                <c:pt idx="86">
                  <c:v>0.2</c:v>
                </c:pt>
                <c:pt idx="87">
                  <c:v>0.15000000000000024</c:v>
                </c:pt>
                <c:pt idx="88">
                  <c:v>0.16</c:v>
                </c:pt>
                <c:pt idx="89">
                  <c:v>0.21000000000000021</c:v>
                </c:pt>
                <c:pt idx="90">
                  <c:v>0.21000000000000021</c:v>
                </c:pt>
                <c:pt idx="91">
                  <c:v>0.12000000000000002</c:v>
                </c:pt>
                <c:pt idx="92">
                  <c:v>0.1</c:v>
                </c:pt>
                <c:pt idx="93">
                  <c:v>0.34</c:v>
                </c:pt>
                <c:pt idx="94">
                  <c:v>0.1</c:v>
                </c:pt>
                <c:pt idx="95">
                  <c:v>0.13</c:v>
                </c:pt>
                <c:pt idx="96">
                  <c:v>0.27</c:v>
                </c:pt>
                <c:pt idx="97">
                  <c:v>0.19</c:v>
                </c:pt>
                <c:pt idx="98">
                  <c:v>0.16</c:v>
                </c:pt>
                <c:pt idx="99">
                  <c:v>0.17</c:v>
                </c:pt>
                <c:pt idx="100">
                  <c:v>0.49000000000000032</c:v>
                </c:pt>
                <c:pt idx="101">
                  <c:v>0.28000000000000008</c:v>
                </c:pt>
                <c:pt idx="102">
                  <c:v>0.15000000000000024</c:v>
                </c:pt>
                <c:pt idx="103">
                  <c:v>0.30000000000000032</c:v>
                </c:pt>
                <c:pt idx="104">
                  <c:v>0.59</c:v>
                </c:pt>
                <c:pt idx="105">
                  <c:v>0.12000000000000002</c:v>
                </c:pt>
                <c:pt idx="106">
                  <c:v>0.15000000000000024</c:v>
                </c:pt>
                <c:pt idx="107">
                  <c:v>8.0000000000000043E-2</c:v>
                </c:pt>
                <c:pt idx="108">
                  <c:v>0.11</c:v>
                </c:pt>
                <c:pt idx="109">
                  <c:v>0.17</c:v>
                </c:pt>
                <c:pt idx="110">
                  <c:v>0.23</c:v>
                </c:pt>
                <c:pt idx="111">
                  <c:v>0.26</c:v>
                </c:pt>
                <c:pt idx="112">
                  <c:v>0.17</c:v>
                </c:pt>
                <c:pt idx="113">
                  <c:v>0.29000000000000031</c:v>
                </c:pt>
                <c:pt idx="114">
                  <c:v>0.25</c:v>
                </c:pt>
                <c:pt idx="115">
                  <c:v>0.14000000000000001</c:v>
                </c:pt>
                <c:pt idx="116">
                  <c:v>0.65000000000000402</c:v>
                </c:pt>
                <c:pt idx="117">
                  <c:v>1.32</c:v>
                </c:pt>
                <c:pt idx="118">
                  <c:v>0.55000000000000004</c:v>
                </c:pt>
              </c:numCache>
            </c:numRef>
          </c:val>
        </c:ser>
        <c:ser>
          <c:idx val="2"/>
          <c:order val="1"/>
          <c:tx>
            <c:strRef>
              <c:f>Foaie1!$D$6</c:f>
              <c:strCache>
                <c:ptCount val="1"/>
                <c:pt idx="0">
                  <c:v>VL(mg/m3)</c:v>
                </c:pt>
              </c:strCache>
            </c:strRef>
          </c:tx>
          <c:marker>
            <c:symbol val="none"/>
          </c:marker>
          <c:val>
            <c:numRef>
              <c:f>Foaie1!$D$7:$D$371</c:f>
              <c:numCache>
                <c:formatCode>General</c:formatCode>
                <c:ptCount val="36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pt idx="55">
                  <c:v>10</c:v>
                </c:pt>
                <c:pt idx="56">
                  <c:v>10</c:v>
                </c:pt>
                <c:pt idx="57">
                  <c:v>10</c:v>
                </c:pt>
                <c:pt idx="58">
                  <c:v>10</c:v>
                </c:pt>
                <c:pt idx="59">
                  <c:v>10</c:v>
                </c:pt>
                <c:pt idx="60">
                  <c:v>10</c:v>
                </c:pt>
                <c:pt idx="61">
                  <c:v>10</c:v>
                </c:pt>
                <c:pt idx="62">
                  <c:v>10</c:v>
                </c:pt>
                <c:pt idx="63">
                  <c:v>10</c:v>
                </c:pt>
                <c:pt idx="64">
                  <c:v>10</c:v>
                </c:pt>
                <c:pt idx="65">
                  <c:v>10</c:v>
                </c:pt>
                <c:pt idx="66">
                  <c:v>10</c:v>
                </c:pt>
                <c:pt idx="67">
                  <c:v>10</c:v>
                </c:pt>
                <c:pt idx="68">
                  <c:v>10</c:v>
                </c:pt>
                <c:pt idx="69">
                  <c:v>10</c:v>
                </c:pt>
                <c:pt idx="70">
                  <c:v>10</c:v>
                </c:pt>
                <c:pt idx="71">
                  <c:v>10</c:v>
                </c:pt>
                <c:pt idx="72">
                  <c:v>10</c:v>
                </c:pt>
                <c:pt idx="73">
                  <c:v>10</c:v>
                </c:pt>
                <c:pt idx="74">
                  <c:v>10</c:v>
                </c:pt>
                <c:pt idx="75">
                  <c:v>10</c:v>
                </c:pt>
                <c:pt idx="76">
                  <c:v>10</c:v>
                </c:pt>
                <c:pt idx="77">
                  <c:v>10</c:v>
                </c:pt>
                <c:pt idx="78">
                  <c:v>10</c:v>
                </c:pt>
                <c:pt idx="79">
                  <c:v>10</c:v>
                </c:pt>
                <c:pt idx="80">
                  <c:v>10</c:v>
                </c:pt>
                <c:pt idx="81">
                  <c:v>10</c:v>
                </c:pt>
                <c:pt idx="82">
                  <c:v>10</c:v>
                </c:pt>
                <c:pt idx="83">
                  <c:v>10</c:v>
                </c:pt>
                <c:pt idx="84">
                  <c:v>10</c:v>
                </c:pt>
                <c:pt idx="85">
                  <c:v>10</c:v>
                </c:pt>
                <c:pt idx="86">
                  <c:v>10</c:v>
                </c:pt>
                <c:pt idx="87">
                  <c:v>10</c:v>
                </c:pt>
                <c:pt idx="88">
                  <c:v>10</c:v>
                </c:pt>
                <c:pt idx="89">
                  <c:v>10</c:v>
                </c:pt>
                <c:pt idx="90">
                  <c:v>10</c:v>
                </c:pt>
                <c:pt idx="91">
                  <c:v>10</c:v>
                </c:pt>
                <c:pt idx="92">
                  <c:v>10</c:v>
                </c:pt>
                <c:pt idx="93">
                  <c:v>10</c:v>
                </c:pt>
                <c:pt idx="94">
                  <c:v>10</c:v>
                </c:pt>
                <c:pt idx="95">
                  <c:v>10</c:v>
                </c:pt>
                <c:pt idx="96">
                  <c:v>10</c:v>
                </c:pt>
                <c:pt idx="97">
                  <c:v>10</c:v>
                </c:pt>
                <c:pt idx="98">
                  <c:v>10</c:v>
                </c:pt>
                <c:pt idx="99">
                  <c:v>10</c:v>
                </c:pt>
                <c:pt idx="100">
                  <c:v>10</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10</c:v>
                </c:pt>
                <c:pt idx="114">
                  <c:v>10</c:v>
                </c:pt>
                <c:pt idx="115">
                  <c:v>10</c:v>
                </c:pt>
                <c:pt idx="116">
                  <c:v>10</c:v>
                </c:pt>
                <c:pt idx="117">
                  <c:v>10</c:v>
                </c:pt>
                <c:pt idx="118">
                  <c:v>10</c:v>
                </c:pt>
                <c:pt idx="119">
                  <c:v>10</c:v>
                </c:pt>
                <c:pt idx="120">
                  <c:v>10</c:v>
                </c:pt>
                <c:pt idx="121">
                  <c:v>10</c:v>
                </c:pt>
                <c:pt idx="122">
                  <c:v>10</c:v>
                </c:pt>
                <c:pt idx="123">
                  <c:v>10</c:v>
                </c:pt>
                <c:pt idx="124">
                  <c:v>10</c:v>
                </c:pt>
                <c:pt idx="125">
                  <c:v>10</c:v>
                </c:pt>
                <c:pt idx="126">
                  <c:v>10</c:v>
                </c:pt>
                <c:pt idx="127">
                  <c:v>10</c:v>
                </c:pt>
                <c:pt idx="128">
                  <c:v>10</c:v>
                </c:pt>
                <c:pt idx="129">
                  <c:v>10</c:v>
                </c:pt>
                <c:pt idx="130">
                  <c:v>10</c:v>
                </c:pt>
                <c:pt idx="131">
                  <c:v>10</c:v>
                </c:pt>
                <c:pt idx="132">
                  <c:v>10</c:v>
                </c:pt>
                <c:pt idx="133">
                  <c:v>10</c:v>
                </c:pt>
                <c:pt idx="134">
                  <c:v>10</c:v>
                </c:pt>
                <c:pt idx="135">
                  <c:v>10</c:v>
                </c:pt>
                <c:pt idx="136">
                  <c:v>10</c:v>
                </c:pt>
                <c:pt idx="137">
                  <c:v>10</c:v>
                </c:pt>
                <c:pt idx="138">
                  <c:v>10</c:v>
                </c:pt>
                <c:pt idx="139">
                  <c:v>10</c:v>
                </c:pt>
                <c:pt idx="140">
                  <c:v>10</c:v>
                </c:pt>
                <c:pt idx="141">
                  <c:v>10</c:v>
                </c:pt>
                <c:pt idx="142">
                  <c:v>10</c:v>
                </c:pt>
                <c:pt idx="143">
                  <c:v>10</c:v>
                </c:pt>
                <c:pt idx="144">
                  <c:v>10</c:v>
                </c:pt>
                <c:pt idx="145">
                  <c:v>10</c:v>
                </c:pt>
                <c:pt idx="146">
                  <c:v>10</c:v>
                </c:pt>
                <c:pt idx="147">
                  <c:v>10</c:v>
                </c:pt>
                <c:pt idx="148">
                  <c:v>10</c:v>
                </c:pt>
                <c:pt idx="149">
                  <c:v>10</c:v>
                </c:pt>
                <c:pt idx="150">
                  <c:v>10</c:v>
                </c:pt>
                <c:pt idx="151">
                  <c:v>10</c:v>
                </c:pt>
                <c:pt idx="152">
                  <c:v>10</c:v>
                </c:pt>
                <c:pt idx="153">
                  <c:v>10</c:v>
                </c:pt>
                <c:pt idx="154">
                  <c:v>10</c:v>
                </c:pt>
                <c:pt idx="155">
                  <c:v>10</c:v>
                </c:pt>
                <c:pt idx="156">
                  <c:v>10</c:v>
                </c:pt>
                <c:pt idx="157">
                  <c:v>10</c:v>
                </c:pt>
                <c:pt idx="158">
                  <c:v>10</c:v>
                </c:pt>
                <c:pt idx="159">
                  <c:v>10</c:v>
                </c:pt>
                <c:pt idx="160">
                  <c:v>10</c:v>
                </c:pt>
                <c:pt idx="161">
                  <c:v>10</c:v>
                </c:pt>
                <c:pt idx="162">
                  <c:v>10</c:v>
                </c:pt>
                <c:pt idx="163">
                  <c:v>10</c:v>
                </c:pt>
                <c:pt idx="164">
                  <c:v>10</c:v>
                </c:pt>
                <c:pt idx="165">
                  <c:v>10</c:v>
                </c:pt>
                <c:pt idx="166">
                  <c:v>10</c:v>
                </c:pt>
                <c:pt idx="167">
                  <c:v>10</c:v>
                </c:pt>
                <c:pt idx="168">
                  <c:v>10</c:v>
                </c:pt>
                <c:pt idx="169">
                  <c:v>10</c:v>
                </c:pt>
                <c:pt idx="170">
                  <c:v>10</c:v>
                </c:pt>
                <c:pt idx="171">
                  <c:v>10</c:v>
                </c:pt>
                <c:pt idx="172">
                  <c:v>10</c:v>
                </c:pt>
                <c:pt idx="173">
                  <c:v>10</c:v>
                </c:pt>
                <c:pt idx="174">
                  <c:v>10</c:v>
                </c:pt>
                <c:pt idx="175">
                  <c:v>10</c:v>
                </c:pt>
                <c:pt idx="176">
                  <c:v>10</c:v>
                </c:pt>
                <c:pt idx="177">
                  <c:v>10</c:v>
                </c:pt>
                <c:pt idx="178">
                  <c:v>10</c:v>
                </c:pt>
                <c:pt idx="179">
                  <c:v>10</c:v>
                </c:pt>
                <c:pt idx="180">
                  <c:v>10</c:v>
                </c:pt>
                <c:pt idx="181">
                  <c:v>10</c:v>
                </c:pt>
                <c:pt idx="182">
                  <c:v>10</c:v>
                </c:pt>
                <c:pt idx="183">
                  <c:v>10</c:v>
                </c:pt>
                <c:pt idx="184">
                  <c:v>10</c:v>
                </c:pt>
                <c:pt idx="185">
                  <c:v>10</c:v>
                </c:pt>
                <c:pt idx="186">
                  <c:v>10</c:v>
                </c:pt>
                <c:pt idx="187">
                  <c:v>10</c:v>
                </c:pt>
                <c:pt idx="188">
                  <c:v>10</c:v>
                </c:pt>
                <c:pt idx="189">
                  <c:v>10</c:v>
                </c:pt>
                <c:pt idx="190">
                  <c:v>10</c:v>
                </c:pt>
                <c:pt idx="191">
                  <c:v>10</c:v>
                </c:pt>
                <c:pt idx="192">
                  <c:v>10</c:v>
                </c:pt>
                <c:pt idx="193">
                  <c:v>10</c:v>
                </c:pt>
                <c:pt idx="194">
                  <c:v>10</c:v>
                </c:pt>
                <c:pt idx="195">
                  <c:v>10</c:v>
                </c:pt>
                <c:pt idx="196">
                  <c:v>10</c:v>
                </c:pt>
                <c:pt idx="197">
                  <c:v>10</c:v>
                </c:pt>
                <c:pt idx="198">
                  <c:v>10</c:v>
                </c:pt>
                <c:pt idx="199">
                  <c:v>10</c:v>
                </c:pt>
                <c:pt idx="200">
                  <c:v>10</c:v>
                </c:pt>
                <c:pt idx="201">
                  <c:v>10</c:v>
                </c:pt>
                <c:pt idx="202">
                  <c:v>10</c:v>
                </c:pt>
                <c:pt idx="203">
                  <c:v>10</c:v>
                </c:pt>
                <c:pt idx="204">
                  <c:v>10</c:v>
                </c:pt>
                <c:pt idx="205">
                  <c:v>10</c:v>
                </c:pt>
                <c:pt idx="206">
                  <c:v>10</c:v>
                </c:pt>
                <c:pt idx="207">
                  <c:v>10</c:v>
                </c:pt>
                <c:pt idx="208">
                  <c:v>10</c:v>
                </c:pt>
                <c:pt idx="209">
                  <c:v>10</c:v>
                </c:pt>
                <c:pt idx="210">
                  <c:v>10</c:v>
                </c:pt>
                <c:pt idx="211">
                  <c:v>10</c:v>
                </c:pt>
                <c:pt idx="212">
                  <c:v>10</c:v>
                </c:pt>
                <c:pt idx="213">
                  <c:v>10</c:v>
                </c:pt>
                <c:pt idx="214">
                  <c:v>10</c:v>
                </c:pt>
                <c:pt idx="215">
                  <c:v>10</c:v>
                </c:pt>
                <c:pt idx="216">
                  <c:v>10</c:v>
                </c:pt>
                <c:pt idx="217">
                  <c:v>10</c:v>
                </c:pt>
                <c:pt idx="218">
                  <c:v>10</c:v>
                </c:pt>
                <c:pt idx="219">
                  <c:v>10</c:v>
                </c:pt>
                <c:pt idx="220">
                  <c:v>10</c:v>
                </c:pt>
                <c:pt idx="221">
                  <c:v>10</c:v>
                </c:pt>
                <c:pt idx="222">
                  <c:v>10</c:v>
                </c:pt>
                <c:pt idx="223">
                  <c:v>10</c:v>
                </c:pt>
                <c:pt idx="224">
                  <c:v>10</c:v>
                </c:pt>
                <c:pt idx="225">
                  <c:v>10</c:v>
                </c:pt>
                <c:pt idx="226">
                  <c:v>10</c:v>
                </c:pt>
                <c:pt idx="227">
                  <c:v>10</c:v>
                </c:pt>
                <c:pt idx="228">
                  <c:v>10</c:v>
                </c:pt>
                <c:pt idx="229">
                  <c:v>10</c:v>
                </c:pt>
                <c:pt idx="230">
                  <c:v>10</c:v>
                </c:pt>
                <c:pt idx="231">
                  <c:v>10</c:v>
                </c:pt>
                <c:pt idx="232">
                  <c:v>10</c:v>
                </c:pt>
                <c:pt idx="233">
                  <c:v>10</c:v>
                </c:pt>
                <c:pt idx="234">
                  <c:v>10</c:v>
                </c:pt>
                <c:pt idx="235">
                  <c:v>10</c:v>
                </c:pt>
                <c:pt idx="236">
                  <c:v>10</c:v>
                </c:pt>
                <c:pt idx="237">
                  <c:v>10</c:v>
                </c:pt>
                <c:pt idx="238">
                  <c:v>10</c:v>
                </c:pt>
                <c:pt idx="239">
                  <c:v>10</c:v>
                </c:pt>
                <c:pt idx="240">
                  <c:v>10</c:v>
                </c:pt>
                <c:pt idx="241">
                  <c:v>10</c:v>
                </c:pt>
                <c:pt idx="242">
                  <c:v>10</c:v>
                </c:pt>
                <c:pt idx="243">
                  <c:v>10</c:v>
                </c:pt>
                <c:pt idx="244">
                  <c:v>10</c:v>
                </c:pt>
                <c:pt idx="245">
                  <c:v>10</c:v>
                </c:pt>
                <c:pt idx="246">
                  <c:v>10</c:v>
                </c:pt>
                <c:pt idx="247">
                  <c:v>10</c:v>
                </c:pt>
                <c:pt idx="248">
                  <c:v>10</c:v>
                </c:pt>
                <c:pt idx="249">
                  <c:v>10</c:v>
                </c:pt>
                <c:pt idx="250">
                  <c:v>10</c:v>
                </c:pt>
                <c:pt idx="251">
                  <c:v>10</c:v>
                </c:pt>
                <c:pt idx="252">
                  <c:v>10</c:v>
                </c:pt>
                <c:pt idx="253">
                  <c:v>10</c:v>
                </c:pt>
                <c:pt idx="254">
                  <c:v>10</c:v>
                </c:pt>
                <c:pt idx="255">
                  <c:v>10</c:v>
                </c:pt>
                <c:pt idx="256">
                  <c:v>10</c:v>
                </c:pt>
                <c:pt idx="257">
                  <c:v>10</c:v>
                </c:pt>
                <c:pt idx="258">
                  <c:v>10</c:v>
                </c:pt>
                <c:pt idx="259">
                  <c:v>10</c:v>
                </c:pt>
                <c:pt idx="260">
                  <c:v>10</c:v>
                </c:pt>
                <c:pt idx="261">
                  <c:v>10</c:v>
                </c:pt>
                <c:pt idx="262">
                  <c:v>10</c:v>
                </c:pt>
                <c:pt idx="263">
                  <c:v>10</c:v>
                </c:pt>
                <c:pt idx="264">
                  <c:v>10</c:v>
                </c:pt>
                <c:pt idx="265">
                  <c:v>10</c:v>
                </c:pt>
                <c:pt idx="266">
                  <c:v>10</c:v>
                </c:pt>
                <c:pt idx="267">
                  <c:v>10</c:v>
                </c:pt>
                <c:pt idx="268">
                  <c:v>10</c:v>
                </c:pt>
                <c:pt idx="269">
                  <c:v>10</c:v>
                </c:pt>
                <c:pt idx="270">
                  <c:v>10</c:v>
                </c:pt>
                <c:pt idx="271">
                  <c:v>10</c:v>
                </c:pt>
                <c:pt idx="272">
                  <c:v>10</c:v>
                </c:pt>
                <c:pt idx="273">
                  <c:v>10</c:v>
                </c:pt>
                <c:pt idx="274">
                  <c:v>10</c:v>
                </c:pt>
                <c:pt idx="275">
                  <c:v>10</c:v>
                </c:pt>
                <c:pt idx="276">
                  <c:v>10</c:v>
                </c:pt>
                <c:pt idx="277">
                  <c:v>10</c:v>
                </c:pt>
                <c:pt idx="278">
                  <c:v>10</c:v>
                </c:pt>
                <c:pt idx="279">
                  <c:v>10</c:v>
                </c:pt>
                <c:pt idx="280">
                  <c:v>10</c:v>
                </c:pt>
                <c:pt idx="281">
                  <c:v>10</c:v>
                </c:pt>
                <c:pt idx="282">
                  <c:v>10</c:v>
                </c:pt>
                <c:pt idx="283">
                  <c:v>10</c:v>
                </c:pt>
                <c:pt idx="284">
                  <c:v>10</c:v>
                </c:pt>
                <c:pt idx="285">
                  <c:v>10</c:v>
                </c:pt>
                <c:pt idx="286">
                  <c:v>10</c:v>
                </c:pt>
                <c:pt idx="287">
                  <c:v>10</c:v>
                </c:pt>
                <c:pt idx="288">
                  <c:v>10</c:v>
                </c:pt>
                <c:pt idx="289">
                  <c:v>10</c:v>
                </c:pt>
                <c:pt idx="290">
                  <c:v>10</c:v>
                </c:pt>
                <c:pt idx="291">
                  <c:v>10</c:v>
                </c:pt>
                <c:pt idx="292">
                  <c:v>10</c:v>
                </c:pt>
                <c:pt idx="293">
                  <c:v>10</c:v>
                </c:pt>
                <c:pt idx="294">
                  <c:v>10</c:v>
                </c:pt>
                <c:pt idx="295">
                  <c:v>10</c:v>
                </c:pt>
                <c:pt idx="296">
                  <c:v>10</c:v>
                </c:pt>
                <c:pt idx="297">
                  <c:v>10</c:v>
                </c:pt>
                <c:pt idx="298">
                  <c:v>10</c:v>
                </c:pt>
                <c:pt idx="299">
                  <c:v>10</c:v>
                </c:pt>
                <c:pt idx="300">
                  <c:v>10</c:v>
                </c:pt>
                <c:pt idx="301">
                  <c:v>10</c:v>
                </c:pt>
                <c:pt idx="302">
                  <c:v>10</c:v>
                </c:pt>
                <c:pt idx="303">
                  <c:v>10</c:v>
                </c:pt>
                <c:pt idx="304">
                  <c:v>10</c:v>
                </c:pt>
                <c:pt idx="305">
                  <c:v>10</c:v>
                </c:pt>
                <c:pt idx="306">
                  <c:v>10</c:v>
                </c:pt>
                <c:pt idx="307">
                  <c:v>10</c:v>
                </c:pt>
                <c:pt idx="308">
                  <c:v>10</c:v>
                </c:pt>
                <c:pt idx="309">
                  <c:v>10</c:v>
                </c:pt>
                <c:pt idx="310">
                  <c:v>10</c:v>
                </c:pt>
                <c:pt idx="311">
                  <c:v>10</c:v>
                </c:pt>
                <c:pt idx="312">
                  <c:v>10</c:v>
                </c:pt>
                <c:pt idx="313">
                  <c:v>10</c:v>
                </c:pt>
                <c:pt idx="314">
                  <c:v>10</c:v>
                </c:pt>
                <c:pt idx="315">
                  <c:v>10</c:v>
                </c:pt>
                <c:pt idx="316">
                  <c:v>10</c:v>
                </c:pt>
                <c:pt idx="317">
                  <c:v>10</c:v>
                </c:pt>
                <c:pt idx="318">
                  <c:v>10</c:v>
                </c:pt>
                <c:pt idx="319">
                  <c:v>10</c:v>
                </c:pt>
                <c:pt idx="320">
                  <c:v>10</c:v>
                </c:pt>
                <c:pt idx="321">
                  <c:v>10</c:v>
                </c:pt>
                <c:pt idx="322">
                  <c:v>10</c:v>
                </c:pt>
                <c:pt idx="323">
                  <c:v>10</c:v>
                </c:pt>
                <c:pt idx="324">
                  <c:v>10</c:v>
                </c:pt>
                <c:pt idx="325">
                  <c:v>10</c:v>
                </c:pt>
                <c:pt idx="326">
                  <c:v>10</c:v>
                </c:pt>
                <c:pt idx="327">
                  <c:v>10</c:v>
                </c:pt>
                <c:pt idx="328">
                  <c:v>10</c:v>
                </c:pt>
                <c:pt idx="329">
                  <c:v>10</c:v>
                </c:pt>
                <c:pt idx="330">
                  <c:v>10</c:v>
                </c:pt>
                <c:pt idx="331">
                  <c:v>10</c:v>
                </c:pt>
                <c:pt idx="332">
                  <c:v>10</c:v>
                </c:pt>
                <c:pt idx="333">
                  <c:v>10</c:v>
                </c:pt>
                <c:pt idx="334">
                  <c:v>10</c:v>
                </c:pt>
                <c:pt idx="335">
                  <c:v>10</c:v>
                </c:pt>
                <c:pt idx="336">
                  <c:v>10</c:v>
                </c:pt>
                <c:pt idx="337">
                  <c:v>10</c:v>
                </c:pt>
                <c:pt idx="338">
                  <c:v>10</c:v>
                </c:pt>
                <c:pt idx="339">
                  <c:v>10</c:v>
                </c:pt>
                <c:pt idx="340">
                  <c:v>10</c:v>
                </c:pt>
                <c:pt idx="341">
                  <c:v>10</c:v>
                </c:pt>
                <c:pt idx="342">
                  <c:v>10</c:v>
                </c:pt>
                <c:pt idx="343">
                  <c:v>10</c:v>
                </c:pt>
                <c:pt idx="344">
                  <c:v>10</c:v>
                </c:pt>
                <c:pt idx="345">
                  <c:v>10</c:v>
                </c:pt>
                <c:pt idx="346">
                  <c:v>10</c:v>
                </c:pt>
                <c:pt idx="347">
                  <c:v>10</c:v>
                </c:pt>
                <c:pt idx="348">
                  <c:v>10</c:v>
                </c:pt>
                <c:pt idx="349">
                  <c:v>10</c:v>
                </c:pt>
                <c:pt idx="350">
                  <c:v>10</c:v>
                </c:pt>
                <c:pt idx="351">
                  <c:v>10</c:v>
                </c:pt>
                <c:pt idx="352">
                  <c:v>10</c:v>
                </c:pt>
                <c:pt idx="353">
                  <c:v>10</c:v>
                </c:pt>
                <c:pt idx="354">
                  <c:v>10</c:v>
                </c:pt>
                <c:pt idx="355">
                  <c:v>10</c:v>
                </c:pt>
                <c:pt idx="356">
                  <c:v>10</c:v>
                </c:pt>
                <c:pt idx="357">
                  <c:v>10</c:v>
                </c:pt>
                <c:pt idx="358">
                  <c:v>10</c:v>
                </c:pt>
                <c:pt idx="359">
                  <c:v>10</c:v>
                </c:pt>
                <c:pt idx="360">
                  <c:v>10</c:v>
                </c:pt>
                <c:pt idx="361">
                  <c:v>10</c:v>
                </c:pt>
                <c:pt idx="362">
                  <c:v>10</c:v>
                </c:pt>
                <c:pt idx="363">
                  <c:v>10</c:v>
                </c:pt>
                <c:pt idx="364">
                  <c:v>10</c:v>
                </c:pt>
              </c:numCache>
            </c:numRef>
          </c:val>
        </c:ser>
        <c:marker val="1"/>
        <c:axId val="136561024"/>
        <c:axId val="136562560"/>
      </c:lineChart>
      <c:catAx>
        <c:axId val="136561024"/>
        <c:scaling>
          <c:orientation val="minMax"/>
        </c:scaling>
        <c:axPos val="b"/>
        <c:numFmt formatCode="General" sourceLinked="1"/>
        <c:tickLblPos val="nextTo"/>
        <c:crossAx val="136562560"/>
        <c:crosses val="autoZero"/>
        <c:auto val="1"/>
        <c:lblAlgn val="ctr"/>
        <c:lblOffset val="100"/>
      </c:catAx>
      <c:valAx>
        <c:axId val="136562560"/>
        <c:scaling>
          <c:orientation val="minMax"/>
        </c:scaling>
        <c:axPos val="l"/>
        <c:majorGridlines/>
        <c:numFmt formatCode="General" sourceLinked="1"/>
        <c:tickLblPos val="nextTo"/>
        <c:crossAx val="136561024"/>
        <c:crosses val="autoZero"/>
        <c:crossBetween val="between"/>
      </c:valAx>
    </c:plotArea>
    <c:legend>
      <c:legendPos val="r"/>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Tendinta emisiilor precursori ai ozonului</a:t>
            </a:r>
          </a:p>
          <a:p>
            <a:pPr>
              <a:defRPr/>
            </a:pPr>
            <a:r>
              <a:rPr lang="ro-RO" sz="1000">
                <a:latin typeface="Arial" pitchFamily="34" charset="0"/>
                <a:cs typeface="Arial" pitchFamily="34" charset="0"/>
              </a:rPr>
              <a:t>din sectorul de activitate agricultura</a:t>
            </a:r>
          </a:p>
        </c:rich>
      </c:tx>
    </c:title>
    <c:plotArea>
      <c:layout/>
      <c:barChart>
        <c:barDir val="col"/>
        <c:grouping val="clustered"/>
        <c:ser>
          <c:idx val="0"/>
          <c:order val="0"/>
          <c:tx>
            <c:strRef>
              <c:f>AGRICULTURA!$B$34</c:f>
              <c:strCache>
                <c:ptCount val="1"/>
                <c:pt idx="0">
                  <c:v>NOx</c:v>
                </c:pt>
              </c:strCache>
            </c:strRef>
          </c:tx>
          <c:cat>
            <c:strRef>
              <c:f>AGRICULTURA!$C$33:$E$33</c:f>
              <c:strCache>
                <c:ptCount val="3"/>
                <c:pt idx="0">
                  <c:v>2012'</c:v>
                </c:pt>
                <c:pt idx="1">
                  <c:v>2013'</c:v>
                </c:pt>
                <c:pt idx="2">
                  <c:v>2014'</c:v>
                </c:pt>
              </c:strCache>
            </c:strRef>
          </c:cat>
          <c:val>
            <c:numRef>
              <c:f>AGRICULTURA!$C$34:$E$34</c:f>
              <c:numCache>
                <c:formatCode>General</c:formatCode>
                <c:ptCount val="3"/>
                <c:pt idx="0">
                  <c:v>1.4500000000000001E-2</c:v>
                </c:pt>
                <c:pt idx="1">
                  <c:v>8.1000000000000048E-3</c:v>
                </c:pt>
                <c:pt idx="2">
                  <c:v>1.8900000000000038E-2</c:v>
                </c:pt>
              </c:numCache>
            </c:numRef>
          </c:val>
        </c:ser>
        <c:ser>
          <c:idx val="1"/>
          <c:order val="1"/>
          <c:tx>
            <c:strRef>
              <c:f>AGRICULTURA!$B$35</c:f>
              <c:strCache>
                <c:ptCount val="1"/>
                <c:pt idx="0">
                  <c:v>NMVOC</c:v>
                </c:pt>
              </c:strCache>
            </c:strRef>
          </c:tx>
          <c:cat>
            <c:strRef>
              <c:f>AGRICULTURA!$C$33:$E$33</c:f>
              <c:strCache>
                <c:ptCount val="3"/>
                <c:pt idx="0">
                  <c:v>2012'</c:v>
                </c:pt>
                <c:pt idx="1">
                  <c:v>2013'</c:v>
                </c:pt>
                <c:pt idx="2">
                  <c:v>2014'</c:v>
                </c:pt>
              </c:strCache>
            </c:strRef>
          </c:cat>
          <c:val>
            <c:numRef>
              <c:f>AGRICULTURA!$C$35:$E$35</c:f>
              <c:numCache>
                <c:formatCode>General</c:formatCode>
                <c:ptCount val="3"/>
                <c:pt idx="0">
                  <c:v>0.41636900000000032</c:v>
                </c:pt>
                <c:pt idx="1">
                  <c:v>0.34866800000000031</c:v>
                </c:pt>
                <c:pt idx="2">
                  <c:v>0.37478000000000061</c:v>
                </c:pt>
              </c:numCache>
            </c:numRef>
          </c:val>
        </c:ser>
        <c:axId val="137062656"/>
        <c:axId val="137080832"/>
      </c:barChart>
      <c:catAx>
        <c:axId val="137062656"/>
        <c:scaling>
          <c:orientation val="minMax"/>
        </c:scaling>
        <c:axPos val="b"/>
        <c:majorTickMark val="none"/>
        <c:tickLblPos val="nextTo"/>
        <c:crossAx val="137080832"/>
        <c:crosses val="autoZero"/>
        <c:auto val="1"/>
        <c:lblAlgn val="ctr"/>
        <c:lblOffset val="100"/>
      </c:catAx>
      <c:valAx>
        <c:axId val="137080832"/>
        <c:scaling>
          <c:orientation val="minMax"/>
        </c:scaling>
        <c:axPos val="l"/>
        <c:majorGridlines/>
        <c:title>
          <c:tx>
            <c:rich>
              <a:bodyPr rot="0" vert="horz"/>
              <a:lstStyle/>
              <a:p>
                <a:pPr>
                  <a:defRPr/>
                </a:pPr>
                <a:r>
                  <a:rPr lang="en-US"/>
                  <a:t>Gg</a:t>
                </a:r>
                <a:endParaRPr lang="ro-RO"/>
              </a:p>
            </c:rich>
          </c:tx>
          <c:layout>
            <c:manualLayout>
              <c:xMode val="edge"/>
              <c:yMode val="edge"/>
              <c:x val="0.13333333333333341"/>
              <c:y val="0.12232830271216098"/>
            </c:manualLayout>
          </c:layout>
        </c:title>
        <c:numFmt formatCode="General" sourceLinked="1"/>
        <c:tickLblPos val="nextTo"/>
        <c:crossAx val="137062656"/>
        <c:crosses val="autoZero"/>
        <c:crossBetween val="between"/>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000">
                <a:latin typeface="Arial" pitchFamily="34" charset="0"/>
                <a:cs typeface="Arial" pitchFamily="34" charset="0"/>
              </a:rPr>
              <a:t>Tendinta emisiilor de particule primare în suspensie</a:t>
            </a:r>
          </a:p>
        </c:rich>
      </c:tx>
    </c:title>
    <c:plotArea>
      <c:layout/>
      <c:barChart>
        <c:barDir val="col"/>
        <c:grouping val="clustered"/>
        <c:ser>
          <c:idx val="0"/>
          <c:order val="0"/>
          <c:tx>
            <c:strRef>
              <c:f>'EMISII TOTALE'!$B$77</c:f>
              <c:strCache>
                <c:ptCount val="1"/>
                <c:pt idx="0">
                  <c:v>PM2,5 </c:v>
                </c:pt>
              </c:strCache>
            </c:strRef>
          </c:tx>
          <c:cat>
            <c:strRef>
              <c:f>'EMISII TOTALE'!$C$76:$E$76</c:f>
              <c:strCache>
                <c:ptCount val="3"/>
                <c:pt idx="0">
                  <c:v>2012'</c:v>
                </c:pt>
                <c:pt idx="1">
                  <c:v>2013'</c:v>
                </c:pt>
                <c:pt idx="2">
                  <c:v>2014'</c:v>
                </c:pt>
              </c:strCache>
            </c:strRef>
          </c:cat>
          <c:val>
            <c:numRef>
              <c:f>'EMISII TOTALE'!$C$77:$E$77</c:f>
              <c:numCache>
                <c:formatCode>General</c:formatCode>
                <c:ptCount val="3"/>
                <c:pt idx="0">
                  <c:v>3.08</c:v>
                </c:pt>
                <c:pt idx="1">
                  <c:v>5.1199999999999966</c:v>
                </c:pt>
                <c:pt idx="2">
                  <c:v>5.5030000000000001</c:v>
                </c:pt>
              </c:numCache>
            </c:numRef>
          </c:val>
        </c:ser>
        <c:ser>
          <c:idx val="1"/>
          <c:order val="1"/>
          <c:tx>
            <c:strRef>
              <c:f>'EMISII TOTALE'!$B$78</c:f>
              <c:strCache>
                <c:ptCount val="1"/>
                <c:pt idx="0">
                  <c:v>PM10 </c:v>
                </c:pt>
              </c:strCache>
            </c:strRef>
          </c:tx>
          <c:cat>
            <c:strRef>
              <c:f>'EMISII TOTALE'!$C$76:$E$76</c:f>
              <c:strCache>
                <c:ptCount val="3"/>
                <c:pt idx="0">
                  <c:v>2012'</c:v>
                </c:pt>
                <c:pt idx="1">
                  <c:v>2013'</c:v>
                </c:pt>
                <c:pt idx="2">
                  <c:v>2014'</c:v>
                </c:pt>
              </c:strCache>
            </c:strRef>
          </c:cat>
          <c:val>
            <c:numRef>
              <c:f>'EMISII TOTALE'!$C$78:$E$78</c:f>
              <c:numCache>
                <c:formatCode>General</c:formatCode>
                <c:ptCount val="3"/>
                <c:pt idx="0">
                  <c:v>3.4</c:v>
                </c:pt>
                <c:pt idx="1">
                  <c:v>6.2</c:v>
                </c:pt>
                <c:pt idx="2">
                  <c:v>6.1539999999999955</c:v>
                </c:pt>
              </c:numCache>
            </c:numRef>
          </c:val>
        </c:ser>
        <c:axId val="163078912"/>
        <c:axId val="163080448"/>
      </c:barChart>
      <c:catAx>
        <c:axId val="163078912"/>
        <c:scaling>
          <c:orientation val="minMax"/>
        </c:scaling>
        <c:axPos val="b"/>
        <c:majorTickMark val="none"/>
        <c:tickLblPos val="nextTo"/>
        <c:crossAx val="163080448"/>
        <c:crosses val="autoZero"/>
        <c:auto val="1"/>
        <c:lblAlgn val="ctr"/>
        <c:lblOffset val="100"/>
      </c:catAx>
      <c:valAx>
        <c:axId val="163080448"/>
        <c:scaling>
          <c:orientation val="minMax"/>
        </c:scaling>
        <c:axPos val="l"/>
        <c:majorGridlines/>
        <c:title>
          <c:tx>
            <c:rich>
              <a:bodyPr rot="0" vert="horz"/>
              <a:lstStyle/>
              <a:p>
                <a:pPr>
                  <a:defRPr/>
                </a:pPr>
                <a:r>
                  <a:rPr lang="en-US"/>
                  <a:t>Gg</a:t>
                </a:r>
                <a:endParaRPr lang="ro-RO"/>
              </a:p>
            </c:rich>
          </c:tx>
          <c:layout>
            <c:manualLayout>
              <c:xMode val="edge"/>
              <c:yMode val="edge"/>
              <c:x val="9.1666666666667257E-2"/>
              <c:y val="0.13105497229512975"/>
            </c:manualLayout>
          </c:layout>
        </c:title>
        <c:numFmt formatCode="General" sourceLinked="1"/>
        <c:tickLblPos val="nextTo"/>
        <c:crossAx val="163078912"/>
        <c:crosses val="autoZero"/>
        <c:crossBetween val="between"/>
      </c:valAx>
    </c:plotArea>
    <c:legend>
      <c:legendPos val="r"/>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particule primare în suspensie din sectorul de activitate energie </a:t>
            </a:r>
            <a:endParaRPr lang="ro-RO" sz="1000" b="1">
              <a:latin typeface="Arial" pitchFamily="34" charset="0"/>
              <a:cs typeface="Arial" pitchFamily="34" charset="0"/>
            </a:endParaRPr>
          </a:p>
        </c:rich>
      </c:tx>
    </c:title>
    <c:plotArea>
      <c:layout/>
      <c:barChart>
        <c:barDir val="col"/>
        <c:grouping val="clustered"/>
        <c:ser>
          <c:idx val="0"/>
          <c:order val="0"/>
          <c:tx>
            <c:strRef>
              <c:f>ENERGIE!$B$77</c:f>
              <c:strCache>
                <c:ptCount val="1"/>
                <c:pt idx="0">
                  <c:v>PM2,5 </c:v>
                </c:pt>
              </c:strCache>
            </c:strRef>
          </c:tx>
          <c:cat>
            <c:strRef>
              <c:f>ENERGIE!$C$76:$E$76</c:f>
              <c:strCache>
                <c:ptCount val="3"/>
                <c:pt idx="0">
                  <c:v>2012'</c:v>
                </c:pt>
                <c:pt idx="1">
                  <c:v>2013'</c:v>
                </c:pt>
                <c:pt idx="2">
                  <c:v>2014'</c:v>
                </c:pt>
              </c:strCache>
            </c:strRef>
          </c:cat>
          <c:val>
            <c:numRef>
              <c:f>ENERGIE!$C$77:$E$77</c:f>
              <c:numCache>
                <c:formatCode>General</c:formatCode>
                <c:ptCount val="3"/>
                <c:pt idx="0">
                  <c:v>2.9197875506004762</c:v>
                </c:pt>
                <c:pt idx="1">
                  <c:v>4.9980002142509363</c:v>
                </c:pt>
                <c:pt idx="2">
                  <c:v>5.4040834027793334</c:v>
                </c:pt>
              </c:numCache>
            </c:numRef>
          </c:val>
        </c:ser>
        <c:ser>
          <c:idx val="1"/>
          <c:order val="1"/>
          <c:tx>
            <c:strRef>
              <c:f>ENERGIE!$B$78</c:f>
              <c:strCache>
                <c:ptCount val="1"/>
                <c:pt idx="0">
                  <c:v>PM10 </c:v>
                </c:pt>
              </c:strCache>
            </c:strRef>
          </c:tx>
          <c:cat>
            <c:strRef>
              <c:f>ENERGIE!$C$76:$E$76</c:f>
              <c:strCache>
                <c:ptCount val="3"/>
                <c:pt idx="0">
                  <c:v>2012'</c:v>
                </c:pt>
                <c:pt idx="1">
                  <c:v>2013'</c:v>
                </c:pt>
                <c:pt idx="2">
                  <c:v>2014'</c:v>
                </c:pt>
              </c:strCache>
            </c:strRef>
          </c:cat>
          <c:val>
            <c:numRef>
              <c:f>ENERGIE!$C$78:$E$78</c:f>
              <c:numCache>
                <c:formatCode>General</c:formatCode>
                <c:ptCount val="3"/>
                <c:pt idx="0">
                  <c:v>2.9199741745933707</c:v>
                </c:pt>
                <c:pt idx="1">
                  <c:v>4.9984816038511823</c:v>
                </c:pt>
                <c:pt idx="2">
                  <c:v>5.3746028013075362</c:v>
                </c:pt>
              </c:numCache>
            </c:numRef>
          </c:val>
        </c:ser>
        <c:axId val="163097600"/>
        <c:axId val="163103488"/>
      </c:barChart>
      <c:catAx>
        <c:axId val="163097600"/>
        <c:scaling>
          <c:orientation val="minMax"/>
        </c:scaling>
        <c:axPos val="b"/>
        <c:majorTickMark val="none"/>
        <c:tickLblPos val="nextTo"/>
        <c:crossAx val="163103488"/>
        <c:crosses val="autoZero"/>
        <c:auto val="1"/>
        <c:lblAlgn val="ctr"/>
        <c:lblOffset val="100"/>
      </c:catAx>
      <c:valAx>
        <c:axId val="163103488"/>
        <c:scaling>
          <c:orientation val="minMax"/>
        </c:scaling>
        <c:axPos val="l"/>
        <c:majorGridlines/>
        <c:title>
          <c:tx>
            <c:rich>
              <a:bodyPr rot="0" vert="horz"/>
              <a:lstStyle/>
              <a:p>
                <a:pPr>
                  <a:defRPr/>
                </a:pPr>
                <a:r>
                  <a:rPr lang="en-US"/>
                  <a:t>Gg</a:t>
                </a:r>
                <a:endParaRPr lang="ro-RO"/>
              </a:p>
            </c:rich>
          </c:tx>
          <c:layout>
            <c:manualLayout>
              <c:xMode val="edge"/>
              <c:yMode val="edge"/>
              <c:x val="9.7222222222222224E-2"/>
              <c:y val="0.12695793234179131"/>
            </c:manualLayout>
          </c:layout>
        </c:title>
        <c:numFmt formatCode="General" sourceLinked="1"/>
        <c:tickLblPos val="nextTo"/>
        <c:crossAx val="163097600"/>
        <c:crosses val="autoZero"/>
        <c:crossBetween val="between"/>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particule primare în suspensie din sectorul de activitate industrie </a:t>
            </a:r>
            <a:endParaRPr lang="ro-RO" sz="1000" b="1">
              <a:latin typeface="Arial" pitchFamily="34" charset="0"/>
              <a:cs typeface="Arial" pitchFamily="34" charset="0"/>
            </a:endParaRPr>
          </a:p>
        </c:rich>
      </c:tx>
    </c:title>
    <c:plotArea>
      <c:layout/>
      <c:barChart>
        <c:barDir val="col"/>
        <c:grouping val="clustered"/>
        <c:ser>
          <c:idx val="0"/>
          <c:order val="0"/>
          <c:tx>
            <c:strRef>
              <c:f>INDUSTRIE!$B$86</c:f>
              <c:strCache>
                <c:ptCount val="1"/>
                <c:pt idx="0">
                  <c:v>PM2,5 </c:v>
                </c:pt>
              </c:strCache>
            </c:strRef>
          </c:tx>
          <c:cat>
            <c:strRef>
              <c:f>INDUSTRIE!$C$85:$E$85</c:f>
              <c:strCache>
                <c:ptCount val="3"/>
                <c:pt idx="0">
                  <c:v>2012'</c:v>
                </c:pt>
                <c:pt idx="1">
                  <c:v>2013'</c:v>
                </c:pt>
                <c:pt idx="2">
                  <c:v>2014'</c:v>
                </c:pt>
              </c:strCache>
            </c:strRef>
          </c:cat>
          <c:val>
            <c:numRef>
              <c:f>INDUSTRIE!$C$86:$E$86</c:f>
              <c:numCache>
                <c:formatCode>General</c:formatCode>
                <c:ptCount val="3"/>
                <c:pt idx="0">
                  <c:v>3.862923786366209E-2</c:v>
                </c:pt>
                <c:pt idx="1">
                  <c:v>0.10080396107558126</c:v>
                </c:pt>
                <c:pt idx="2">
                  <c:v>0.10848143821267477</c:v>
                </c:pt>
              </c:numCache>
            </c:numRef>
          </c:val>
        </c:ser>
        <c:ser>
          <c:idx val="1"/>
          <c:order val="1"/>
          <c:tx>
            <c:strRef>
              <c:f>INDUSTRIE!$B$87</c:f>
              <c:strCache>
                <c:ptCount val="1"/>
                <c:pt idx="0">
                  <c:v>PM10 </c:v>
                </c:pt>
              </c:strCache>
            </c:strRef>
          </c:tx>
          <c:cat>
            <c:strRef>
              <c:f>INDUSTRIE!$C$85:$E$85</c:f>
              <c:strCache>
                <c:ptCount val="3"/>
                <c:pt idx="0">
                  <c:v>2012'</c:v>
                </c:pt>
                <c:pt idx="1">
                  <c:v>2013'</c:v>
                </c:pt>
                <c:pt idx="2">
                  <c:v>2014'</c:v>
                </c:pt>
              </c:strCache>
            </c:strRef>
          </c:cat>
          <c:val>
            <c:numRef>
              <c:f>INDUSTRIE!$C$87:$E$87</c:f>
              <c:numCache>
                <c:formatCode>General</c:formatCode>
                <c:ptCount val="3"/>
                <c:pt idx="0">
                  <c:v>0.10821009892816129</c:v>
                </c:pt>
                <c:pt idx="1">
                  <c:v>0.93824547224476462</c:v>
                </c:pt>
                <c:pt idx="2">
                  <c:v>0.46411092175491714</c:v>
                </c:pt>
              </c:numCache>
            </c:numRef>
          </c:val>
        </c:ser>
        <c:axId val="163194368"/>
        <c:axId val="163195904"/>
      </c:barChart>
      <c:catAx>
        <c:axId val="163194368"/>
        <c:scaling>
          <c:orientation val="minMax"/>
        </c:scaling>
        <c:axPos val="b"/>
        <c:majorTickMark val="none"/>
        <c:tickLblPos val="nextTo"/>
        <c:crossAx val="163195904"/>
        <c:crosses val="autoZero"/>
        <c:auto val="1"/>
        <c:lblAlgn val="ctr"/>
        <c:lblOffset val="100"/>
      </c:catAx>
      <c:valAx>
        <c:axId val="163195904"/>
        <c:scaling>
          <c:orientation val="minMax"/>
        </c:scaling>
        <c:axPos val="l"/>
        <c:majorGridlines/>
        <c:title>
          <c:tx>
            <c:rich>
              <a:bodyPr rot="0" vert="horz"/>
              <a:lstStyle/>
              <a:p>
                <a:pPr>
                  <a:defRPr/>
                </a:pPr>
                <a:r>
                  <a:rPr lang="en-US"/>
                  <a:t>Gg</a:t>
                </a:r>
                <a:endParaRPr lang="ro-RO"/>
              </a:p>
            </c:rich>
          </c:tx>
          <c:layout>
            <c:manualLayout>
              <c:xMode val="edge"/>
              <c:yMode val="edge"/>
              <c:x val="0.12777777777777777"/>
              <c:y val="0.13621719160105047"/>
            </c:manualLayout>
          </c:layout>
        </c:title>
        <c:numFmt formatCode="General" sourceLinked="1"/>
        <c:tickLblPos val="nextTo"/>
        <c:crossAx val="163194368"/>
        <c:crosses val="autoZero"/>
        <c:crossBetween val="between"/>
      </c:valAx>
    </c:plotArea>
    <c:legend>
      <c:legendPos val="r"/>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particule primare în suspensie din sectorul de activitate transport </a:t>
            </a:r>
            <a:endParaRPr lang="ro-RO" sz="1000" b="1">
              <a:latin typeface="Arial" pitchFamily="34" charset="0"/>
              <a:cs typeface="Arial" pitchFamily="34" charset="0"/>
            </a:endParaRPr>
          </a:p>
        </c:rich>
      </c:tx>
    </c:title>
    <c:plotArea>
      <c:layout/>
      <c:barChart>
        <c:barDir val="col"/>
        <c:grouping val="clustered"/>
        <c:ser>
          <c:idx val="0"/>
          <c:order val="0"/>
          <c:tx>
            <c:strRef>
              <c:f>TRANSPORT!$B$74</c:f>
              <c:strCache>
                <c:ptCount val="1"/>
                <c:pt idx="0">
                  <c:v>PM2,5 </c:v>
                </c:pt>
              </c:strCache>
            </c:strRef>
          </c:tx>
          <c:cat>
            <c:strRef>
              <c:f>TRANSPORT!$C$73:$E$73</c:f>
              <c:strCache>
                <c:ptCount val="3"/>
                <c:pt idx="0">
                  <c:v>2012'</c:v>
                </c:pt>
                <c:pt idx="1">
                  <c:v>2013'</c:v>
                </c:pt>
                <c:pt idx="2">
                  <c:v>2014'</c:v>
                </c:pt>
              </c:strCache>
            </c:strRef>
          </c:cat>
          <c:val>
            <c:numRef>
              <c:f>TRANSPORT!$C$74:$E$74</c:f>
              <c:numCache>
                <c:formatCode>General</c:formatCode>
                <c:ptCount val="3"/>
                <c:pt idx="0">
                  <c:v>9.2220758286028492E-2</c:v>
                </c:pt>
                <c:pt idx="1">
                  <c:v>5.5908152319694045E-2</c:v>
                </c:pt>
                <c:pt idx="2" formatCode="#0.00000000000000">
                  <c:v>1.2955596546414047E-2</c:v>
                </c:pt>
              </c:numCache>
            </c:numRef>
          </c:val>
        </c:ser>
        <c:ser>
          <c:idx val="1"/>
          <c:order val="1"/>
          <c:tx>
            <c:strRef>
              <c:f>TRANSPORT!$B$75</c:f>
              <c:strCache>
                <c:ptCount val="1"/>
                <c:pt idx="0">
                  <c:v>PM10 </c:v>
                </c:pt>
              </c:strCache>
            </c:strRef>
          </c:tx>
          <c:cat>
            <c:strRef>
              <c:f>TRANSPORT!$C$73:$E$73</c:f>
              <c:strCache>
                <c:ptCount val="3"/>
                <c:pt idx="0">
                  <c:v>2012'</c:v>
                </c:pt>
                <c:pt idx="1">
                  <c:v>2013'</c:v>
                </c:pt>
                <c:pt idx="2">
                  <c:v>2014'</c:v>
                </c:pt>
              </c:strCache>
            </c:strRef>
          </c:cat>
          <c:val>
            <c:numRef>
              <c:f>TRANSPORT!$C$75:$E$75</c:f>
              <c:numCache>
                <c:formatCode>General</c:formatCode>
                <c:ptCount val="3"/>
                <c:pt idx="0">
                  <c:v>0.10426405206967378</c:v>
                </c:pt>
                <c:pt idx="1">
                  <c:v>6.3255608926261309E-2</c:v>
                </c:pt>
                <c:pt idx="2" formatCode="#0.00000000000000">
                  <c:v>1.2990898870153766E-2</c:v>
                </c:pt>
              </c:numCache>
            </c:numRef>
          </c:val>
        </c:ser>
        <c:axId val="163241984"/>
        <c:axId val="163243520"/>
      </c:barChart>
      <c:catAx>
        <c:axId val="163241984"/>
        <c:scaling>
          <c:orientation val="minMax"/>
        </c:scaling>
        <c:axPos val="b"/>
        <c:majorTickMark val="none"/>
        <c:tickLblPos val="nextTo"/>
        <c:crossAx val="163243520"/>
        <c:crosses val="autoZero"/>
        <c:auto val="1"/>
        <c:lblAlgn val="ctr"/>
        <c:lblOffset val="100"/>
      </c:catAx>
      <c:valAx>
        <c:axId val="163243520"/>
        <c:scaling>
          <c:orientation val="minMax"/>
        </c:scaling>
        <c:axPos val="l"/>
        <c:majorGridlines/>
        <c:title>
          <c:tx>
            <c:rich>
              <a:bodyPr rot="0" vert="horz"/>
              <a:lstStyle/>
              <a:p>
                <a:pPr>
                  <a:defRPr/>
                </a:pPr>
                <a:r>
                  <a:rPr lang="en-US"/>
                  <a:t>Gg</a:t>
                </a:r>
                <a:endParaRPr lang="ro-RO"/>
              </a:p>
            </c:rich>
          </c:tx>
          <c:layout>
            <c:manualLayout>
              <c:xMode val="edge"/>
              <c:yMode val="edge"/>
              <c:x val="0.13055555555555537"/>
              <c:y val="0.13158756197142041"/>
            </c:manualLayout>
          </c:layout>
        </c:title>
        <c:numFmt formatCode="General" sourceLinked="1"/>
        <c:tickLblPos val="nextTo"/>
        <c:crossAx val="163241984"/>
        <c:crosses val="autoZero"/>
        <c:crossBetween val="between"/>
      </c:valAx>
    </c:plotArea>
    <c:legend>
      <c:legendPos val="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1000">
                <a:latin typeface="Arial" pitchFamily="34" charset="0"/>
                <a:cs typeface="Arial" pitchFamily="34" charset="0"/>
              </a:rPr>
              <a:t>Tendin</a:t>
            </a:r>
            <a:r>
              <a:rPr lang="ro-RO" sz="1000">
                <a:latin typeface="Arial" pitchFamily="34" charset="0"/>
                <a:cs typeface="Arial" pitchFamily="34" charset="0"/>
              </a:rPr>
              <a:t>ţa</a:t>
            </a:r>
            <a:r>
              <a:rPr lang="ro-RO" sz="1000" baseline="0">
                <a:latin typeface="Arial" pitchFamily="34" charset="0"/>
                <a:cs typeface="Arial" pitchFamily="34" charset="0"/>
              </a:rPr>
              <a:t> emisiilor de particule </a:t>
            </a:r>
            <a:r>
              <a:rPr lang="ro-RO" sz="1000" b="1" i="0" u="none" strike="noStrike" baseline="0">
                <a:latin typeface="Arial" pitchFamily="34" charset="0"/>
                <a:cs typeface="Arial" pitchFamily="34" charset="0"/>
              </a:rPr>
              <a:t>primare şi precursori secundari de particule</a:t>
            </a:r>
            <a:endParaRPr lang="ro-RO" sz="1000">
              <a:latin typeface="Arial" pitchFamily="34" charset="0"/>
              <a:cs typeface="Arial" pitchFamily="34" charset="0"/>
            </a:endParaRPr>
          </a:p>
        </c:rich>
      </c:tx>
    </c:title>
    <c:plotArea>
      <c:layout/>
      <c:barChart>
        <c:barDir val="col"/>
        <c:grouping val="clustered"/>
        <c:ser>
          <c:idx val="0"/>
          <c:order val="0"/>
          <c:tx>
            <c:strRef>
              <c:f>AGRICULTURA!$C$56</c:f>
              <c:strCache>
                <c:ptCount val="1"/>
                <c:pt idx="0">
                  <c:v>PM10</c:v>
                </c:pt>
              </c:strCache>
            </c:strRef>
          </c:tx>
          <c:cat>
            <c:strRef>
              <c:f>AGRICULTURA!$B$57:$B$59</c:f>
              <c:strCache>
                <c:ptCount val="3"/>
                <c:pt idx="0">
                  <c:v>2012'</c:v>
                </c:pt>
                <c:pt idx="1">
                  <c:v>2013'</c:v>
                </c:pt>
                <c:pt idx="2">
                  <c:v>2014'</c:v>
                </c:pt>
              </c:strCache>
            </c:strRef>
          </c:cat>
          <c:val>
            <c:numRef>
              <c:f>AGRICULTURA!$C$57:$C$59</c:f>
              <c:numCache>
                <c:formatCode>General</c:formatCode>
                <c:ptCount val="3"/>
                <c:pt idx="0">
                  <c:v>0.26920000000000005</c:v>
                </c:pt>
                <c:pt idx="1">
                  <c:v>0.2560090000000001</c:v>
                </c:pt>
                <c:pt idx="2">
                  <c:v>0.32321000000000061</c:v>
                </c:pt>
              </c:numCache>
            </c:numRef>
          </c:val>
        </c:ser>
        <c:ser>
          <c:idx val="1"/>
          <c:order val="1"/>
          <c:tx>
            <c:strRef>
              <c:f>AGRICULTURA!$D$56</c:f>
              <c:strCache>
                <c:ptCount val="1"/>
                <c:pt idx="0">
                  <c:v>PM2,5</c:v>
                </c:pt>
              </c:strCache>
            </c:strRef>
          </c:tx>
          <c:cat>
            <c:strRef>
              <c:f>AGRICULTURA!$B$57:$B$59</c:f>
              <c:strCache>
                <c:ptCount val="3"/>
                <c:pt idx="0">
                  <c:v>2012'</c:v>
                </c:pt>
                <c:pt idx="1">
                  <c:v>2013'</c:v>
                </c:pt>
                <c:pt idx="2">
                  <c:v>2014'</c:v>
                </c:pt>
              </c:strCache>
            </c:strRef>
          </c:cat>
          <c:val>
            <c:numRef>
              <c:f>AGRICULTURA!$D$57:$D$59</c:f>
              <c:numCache>
                <c:formatCode>General</c:formatCode>
                <c:ptCount val="3"/>
                <c:pt idx="0">
                  <c:v>3.1119999999999998E-2</c:v>
                </c:pt>
                <c:pt idx="1">
                  <c:v>2.4178000000000002E-2</c:v>
                </c:pt>
                <c:pt idx="2">
                  <c:v>2.7350000000000006E-2</c:v>
                </c:pt>
              </c:numCache>
            </c:numRef>
          </c:val>
        </c:ser>
        <c:axId val="163285248"/>
        <c:axId val="163295232"/>
      </c:barChart>
      <c:catAx>
        <c:axId val="163285248"/>
        <c:scaling>
          <c:orientation val="minMax"/>
        </c:scaling>
        <c:axPos val="b"/>
        <c:majorTickMark val="none"/>
        <c:tickLblPos val="nextTo"/>
        <c:crossAx val="163295232"/>
        <c:crosses val="autoZero"/>
        <c:auto val="1"/>
        <c:lblAlgn val="ctr"/>
        <c:lblOffset val="100"/>
      </c:catAx>
      <c:valAx>
        <c:axId val="163295232"/>
        <c:scaling>
          <c:orientation val="minMax"/>
        </c:scaling>
        <c:axPos val="l"/>
        <c:majorGridlines/>
        <c:title>
          <c:tx>
            <c:rich>
              <a:bodyPr rot="0" vert="horz"/>
              <a:lstStyle/>
              <a:p>
                <a:pPr>
                  <a:defRPr/>
                </a:pPr>
                <a:r>
                  <a:rPr lang="ro-RO"/>
                  <a:t>Gg</a:t>
                </a:r>
              </a:p>
            </c:rich>
          </c:tx>
          <c:layout>
            <c:manualLayout>
              <c:xMode val="edge"/>
              <c:yMode val="edge"/>
              <c:x val="0.12777777777777777"/>
              <c:y val="0.12416848935549725"/>
            </c:manualLayout>
          </c:layout>
        </c:title>
        <c:numFmt formatCode="General" sourceLinked="1"/>
        <c:tickLblPos val="nextTo"/>
        <c:crossAx val="163285248"/>
        <c:crosses val="autoZero"/>
        <c:crossBetween val="between"/>
      </c:valAx>
    </c:plotArea>
    <c:legend>
      <c:legendPos val="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a:latin typeface="Arial" pitchFamily="34" charset="0"/>
                <a:cs typeface="Arial" pitchFamily="34" charset="0"/>
              </a:rPr>
              <a:t>Tendinta emisiilor de metale grele</a:t>
            </a:r>
          </a:p>
        </c:rich>
      </c:tx>
    </c:title>
    <c:plotArea>
      <c:layout/>
      <c:barChart>
        <c:barDir val="col"/>
        <c:grouping val="clustered"/>
        <c:ser>
          <c:idx val="0"/>
          <c:order val="0"/>
          <c:tx>
            <c:strRef>
              <c:f>'EMISII TOTALE'!$B$103</c:f>
              <c:strCache>
                <c:ptCount val="1"/>
                <c:pt idx="0">
                  <c:v>Pb </c:v>
                </c:pt>
              </c:strCache>
            </c:strRef>
          </c:tx>
          <c:cat>
            <c:strRef>
              <c:f>'EMISII TOTALE'!$C$102:$E$102</c:f>
              <c:strCache>
                <c:ptCount val="3"/>
                <c:pt idx="0">
                  <c:v>2012'</c:v>
                </c:pt>
                <c:pt idx="1">
                  <c:v>2013'</c:v>
                </c:pt>
                <c:pt idx="2">
                  <c:v>2014'</c:v>
                </c:pt>
              </c:strCache>
            </c:strRef>
          </c:cat>
          <c:val>
            <c:numRef>
              <c:f>'EMISII TOTALE'!$C$103:$E$103</c:f>
              <c:numCache>
                <c:formatCode>General</c:formatCode>
                <c:ptCount val="3"/>
                <c:pt idx="0">
                  <c:v>0.32000000000000067</c:v>
                </c:pt>
                <c:pt idx="1">
                  <c:v>0.29000000000000031</c:v>
                </c:pt>
                <c:pt idx="2">
                  <c:v>0.37700000000000061</c:v>
                </c:pt>
              </c:numCache>
            </c:numRef>
          </c:val>
        </c:ser>
        <c:ser>
          <c:idx val="1"/>
          <c:order val="1"/>
          <c:tx>
            <c:strRef>
              <c:f>'EMISII TOTALE'!$B$104</c:f>
              <c:strCache>
                <c:ptCount val="1"/>
                <c:pt idx="0">
                  <c:v>Cd </c:v>
                </c:pt>
              </c:strCache>
            </c:strRef>
          </c:tx>
          <c:cat>
            <c:strRef>
              <c:f>'EMISII TOTALE'!$C$102:$E$102</c:f>
              <c:strCache>
                <c:ptCount val="3"/>
                <c:pt idx="0">
                  <c:v>2012'</c:v>
                </c:pt>
                <c:pt idx="1">
                  <c:v>2013'</c:v>
                </c:pt>
                <c:pt idx="2">
                  <c:v>2014'</c:v>
                </c:pt>
              </c:strCache>
            </c:strRef>
          </c:cat>
          <c:val>
            <c:numRef>
              <c:f>'EMISII TOTALE'!$C$104:$E$104</c:f>
              <c:numCache>
                <c:formatCode>General</c:formatCode>
                <c:ptCount val="3"/>
                <c:pt idx="0">
                  <c:v>9.6000000000000002E-2</c:v>
                </c:pt>
                <c:pt idx="1">
                  <c:v>1.0000000000000005E-2</c:v>
                </c:pt>
                <c:pt idx="2">
                  <c:v>1.3400000000000026E-2</c:v>
                </c:pt>
              </c:numCache>
            </c:numRef>
          </c:val>
        </c:ser>
        <c:ser>
          <c:idx val="2"/>
          <c:order val="2"/>
          <c:tx>
            <c:strRef>
              <c:f>'EMISII TOTALE'!$B$105</c:f>
              <c:strCache>
                <c:ptCount val="1"/>
                <c:pt idx="0">
                  <c:v>Hg </c:v>
                </c:pt>
              </c:strCache>
            </c:strRef>
          </c:tx>
          <c:cat>
            <c:strRef>
              <c:f>'EMISII TOTALE'!$C$102:$E$102</c:f>
              <c:strCache>
                <c:ptCount val="3"/>
                <c:pt idx="0">
                  <c:v>2012'</c:v>
                </c:pt>
                <c:pt idx="1">
                  <c:v>2013'</c:v>
                </c:pt>
                <c:pt idx="2">
                  <c:v>2014'</c:v>
                </c:pt>
              </c:strCache>
            </c:strRef>
          </c:cat>
          <c:val>
            <c:numRef>
              <c:f>'EMISII TOTALE'!$C$105:$E$105</c:f>
              <c:numCache>
                <c:formatCode>General</c:formatCode>
                <c:ptCount val="3"/>
                <c:pt idx="0">
                  <c:v>3.500000000000001E-2</c:v>
                </c:pt>
                <c:pt idx="1">
                  <c:v>3.0000000000000053E-3</c:v>
                </c:pt>
                <c:pt idx="2">
                  <c:v>5.3000000000000096E-3</c:v>
                </c:pt>
              </c:numCache>
            </c:numRef>
          </c:val>
        </c:ser>
        <c:axId val="163304960"/>
        <c:axId val="163306496"/>
      </c:barChart>
      <c:catAx>
        <c:axId val="163304960"/>
        <c:scaling>
          <c:orientation val="minMax"/>
        </c:scaling>
        <c:axPos val="b"/>
        <c:majorTickMark val="none"/>
        <c:tickLblPos val="nextTo"/>
        <c:crossAx val="163306496"/>
        <c:crosses val="autoZero"/>
        <c:auto val="1"/>
        <c:lblAlgn val="ctr"/>
        <c:lblOffset val="100"/>
      </c:catAx>
      <c:valAx>
        <c:axId val="163306496"/>
        <c:scaling>
          <c:orientation val="minMax"/>
        </c:scaling>
        <c:axPos val="l"/>
        <c:majorGridlines/>
        <c:title>
          <c:tx>
            <c:rich>
              <a:bodyPr rot="0" vert="horz"/>
              <a:lstStyle/>
              <a:p>
                <a:pPr>
                  <a:defRPr/>
                </a:pPr>
                <a:r>
                  <a:rPr lang="en-US"/>
                  <a:t>Mg</a:t>
                </a:r>
                <a:endParaRPr lang="ro-RO"/>
              </a:p>
            </c:rich>
          </c:tx>
          <c:layout>
            <c:manualLayout>
              <c:xMode val="edge"/>
              <c:yMode val="edge"/>
              <c:x val="0.13055555555555537"/>
              <c:y val="8.4758675998834271E-2"/>
            </c:manualLayout>
          </c:layout>
        </c:title>
        <c:numFmt formatCode="General" sourceLinked="1"/>
        <c:tickLblPos val="nextTo"/>
        <c:crossAx val="163304960"/>
        <c:crosses val="autoZero"/>
        <c:crossBetween val="between"/>
      </c:valAx>
    </c:plotArea>
    <c:legend>
      <c:legendPos val="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000" b="1" i="0" u="none" strike="noStrike" baseline="0">
                <a:latin typeface="Arial" pitchFamily="34" charset="0"/>
                <a:cs typeface="Arial" pitchFamily="34" charset="0"/>
              </a:rPr>
              <a:t>Tendinta emisiilor de metale grele din sectorul de activitate energie </a:t>
            </a:r>
            <a:endParaRPr lang="ro-RO" sz="1000" b="1">
              <a:latin typeface="Arial" pitchFamily="34" charset="0"/>
              <a:cs typeface="Arial" pitchFamily="34" charset="0"/>
            </a:endParaRPr>
          </a:p>
        </c:rich>
      </c:tx>
    </c:title>
    <c:plotArea>
      <c:layout/>
      <c:barChart>
        <c:barDir val="col"/>
        <c:grouping val="clustered"/>
        <c:ser>
          <c:idx val="0"/>
          <c:order val="0"/>
          <c:tx>
            <c:strRef>
              <c:f>ENERGIE!$B$103</c:f>
              <c:strCache>
                <c:ptCount val="1"/>
                <c:pt idx="0">
                  <c:v>Pb </c:v>
                </c:pt>
              </c:strCache>
            </c:strRef>
          </c:tx>
          <c:cat>
            <c:strRef>
              <c:f>ENERGIE!$C$102:$E$102</c:f>
              <c:strCache>
                <c:ptCount val="3"/>
                <c:pt idx="0">
                  <c:v>2012'</c:v>
                </c:pt>
                <c:pt idx="1">
                  <c:v>2013'</c:v>
                </c:pt>
                <c:pt idx="2">
                  <c:v>2014'</c:v>
                </c:pt>
              </c:strCache>
            </c:strRef>
          </c:cat>
          <c:val>
            <c:numRef>
              <c:f>ENERGIE!$C$103:$E$103</c:f>
              <c:numCache>
                <c:formatCode>General</c:formatCode>
                <c:ptCount val="3"/>
                <c:pt idx="0">
                  <c:v>0.28650182628028581</c:v>
                </c:pt>
                <c:pt idx="1">
                  <c:v>0.26471826431643231</c:v>
                </c:pt>
                <c:pt idx="2">
                  <c:v>0.29110483846349189</c:v>
                </c:pt>
              </c:numCache>
            </c:numRef>
          </c:val>
        </c:ser>
        <c:ser>
          <c:idx val="1"/>
          <c:order val="1"/>
          <c:tx>
            <c:strRef>
              <c:f>ENERGIE!$B$104</c:f>
              <c:strCache>
                <c:ptCount val="1"/>
                <c:pt idx="0">
                  <c:v>Cd </c:v>
                </c:pt>
              </c:strCache>
            </c:strRef>
          </c:tx>
          <c:cat>
            <c:strRef>
              <c:f>ENERGIE!$C$102:$E$102</c:f>
              <c:strCache>
                <c:ptCount val="3"/>
                <c:pt idx="0">
                  <c:v>2012'</c:v>
                </c:pt>
                <c:pt idx="1">
                  <c:v>2013'</c:v>
                </c:pt>
                <c:pt idx="2">
                  <c:v>2014'</c:v>
                </c:pt>
              </c:strCache>
            </c:strRef>
          </c:cat>
          <c:val>
            <c:numRef>
              <c:f>ENERGIE!$C$104:$E$104</c:f>
              <c:numCache>
                <c:formatCode>General</c:formatCode>
                <c:ptCount val="3"/>
                <c:pt idx="0">
                  <c:v>9.5722389156751547E-2</c:v>
                </c:pt>
                <c:pt idx="1">
                  <c:v>9.789530247651999E-3</c:v>
                </c:pt>
                <c:pt idx="2">
                  <c:v>1.1027801183942885E-2</c:v>
                </c:pt>
              </c:numCache>
            </c:numRef>
          </c:val>
        </c:ser>
        <c:ser>
          <c:idx val="2"/>
          <c:order val="2"/>
          <c:tx>
            <c:strRef>
              <c:f>ENERGIE!$B$105</c:f>
              <c:strCache>
                <c:ptCount val="1"/>
                <c:pt idx="0">
                  <c:v>Hg </c:v>
                </c:pt>
              </c:strCache>
            </c:strRef>
          </c:tx>
          <c:cat>
            <c:strRef>
              <c:f>ENERGIE!$C$102:$E$102</c:f>
              <c:strCache>
                <c:ptCount val="3"/>
                <c:pt idx="0">
                  <c:v>2012'</c:v>
                </c:pt>
                <c:pt idx="1">
                  <c:v>2013'</c:v>
                </c:pt>
                <c:pt idx="2">
                  <c:v>2014'</c:v>
                </c:pt>
              </c:strCache>
            </c:strRef>
          </c:cat>
          <c:val>
            <c:numRef>
              <c:f>ENERGIE!$C$105:$E$105</c:f>
              <c:numCache>
                <c:formatCode>General</c:formatCode>
                <c:ptCount val="3"/>
                <c:pt idx="0">
                  <c:v>3.5038725874957211E-2</c:v>
                </c:pt>
                <c:pt idx="1">
                  <c:v>3.7906368671276084E-3</c:v>
                </c:pt>
                <c:pt idx="2">
                  <c:v>4.4876039147300631E-3</c:v>
                </c:pt>
              </c:numCache>
            </c:numRef>
          </c:val>
        </c:ser>
        <c:axId val="163353344"/>
        <c:axId val="163354880"/>
      </c:barChart>
      <c:catAx>
        <c:axId val="163353344"/>
        <c:scaling>
          <c:orientation val="minMax"/>
        </c:scaling>
        <c:axPos val="b"/>
        <c:majorTickMark val="none"/>
        <c:tickLblPos val="nextTo"/>
        <c:crossAx val="163354880"/>
        <c:crosses val="autoZero"/>
        <c:auto val="1"/>
        <c:lblAlgn val="ctr"/>
        <c:lblOffset val="100"/>
      </c:catAx>
      <c:valAx>
        <c:axId val="163354880"/>
        <c:scaling>
          <c:orientation val="minMax"/>
        </c:scaling>
        <c:axPos val="l"/>
        <c:majorGridlines/>
        <c:title>
          <c:tx>
            <c:rich>
              <a:bodyPr rot="0" vert="horz"/>
              <a:lstStyle/>
              <a:p>
                <a:pPr>
                  <a:defRPr/>
                </a:pPr>
                <a:r>
                  <a:rPr lang="en-US"/>
                  <a:t>Mg</a:t>
                </a:r>
                <a:endParaRPr lang="ro-RO"/>
              </a:p>
            </c:rich>
          </c:tx>
          <c:layout>
            <c:manualLayout>
              <c:xMode val="edge"/>
              <c:yMode val="edge"/>
              <c:x val="0.13055555555555537"/>
              <c:y val="0.12695793234179131"/>
            </c:manualLayout>
          </c:layout>
        </c:title>
        <c:numFmt formatCode="General" sourceLinked="1"/>
        <c:tickLblPos val="nextTo"/>
        <c:crossAx val="163353344"/>
        <c:crosses val="autoZero"/>
        <c:crossBetween val="between"/>
      </c:valAx>
    </c:plotArea>
    <c:legend>
      <c:legendPos val="r"/>
    </c:legend>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metale grele din sectorul de activitate industrie </a:t>
            </a:r>
            <a:endParaRPr lang="ro-RO" sz="1000" b="1">
              <a:latin typeface="Arial" pitchFamily="34" charset="0"/>
              <a:cs typeface="Arial" pitchFamily="34" charset="0"/>
            </a:endParaRPr>
          </a:p>
        </c:rich>
      </c:tx>
    </c:title>
    <c:plotArea>
      <c:layout/>
      <c:barChart>
        <c:barDir val="col"/>
        <c:grouping val="clustered"/>
        <c:ser>
          <c:idx val="0"/>
          <c:order val="0"/>
          <c:tx>
            <c:strRef>
              <c:f>INDUSTRIE!$B$110</c:f>
              <c:strCache>
                <c:ptCount val="1"/>
                <c:pt idx="0">
                  <c:v>Pb </c:v>
                </c:pt>
              </c:strCache>
            </c:strRef>
          </c:tx>
          <c:cat>
            <c:strRef>
              <c:f>INDUSTRIE!$C$109:$E$109</c:f>
              <c:strCache>
                <c:ptCount val="3"/>
                <c:pt idx="0">
                  <c:v>2012'</c:v>
                </c:pt>
                <c:pt idx="1">
                  <c:v>2013'</c:v>
                </c:pt>
                <c:pt idx="2">
                  <c:v>2014'</c:v>
                </c:pt>
              </c:strCache>
            </c:strRef>
          </c:cat>
          <c:val>
            <c:numRef>
              <c:f>INDUSTRIE!$C$110:$E$110</c:f>
              <c:numCache>
                <c:formatCode>General</c:formatCode>
                <c:ptCount val="3"/>
                <c:pt idx="0">
                  <c:v>4.2555293305246893E-3</c:v>
                </c:pt>
                <c:pt idx="1">
                  <c:v>1.0429611899570135E-2</c:v>
                </c:pt>
                <c:pt idx="2">
                  <c:v>9.7780093801798404E-2</c:v>
                </c:pt>
              </c:numCache>
            </c:numRef>
          </c:val>
        </c:ser>
        <c:ser>
          <c:idx val="1"/>
          <c:order val="1"/>
          <c:tx>
            <c:strRef>
              <c:f>INDUSTRIE!$B$111</c:f>
              <c:strCache>
                <c:ptCount val="1"/>
                <c:pt idx="0">
                  <c:v>Cd </c:v>
                </c:pt>
              </c:strCache>
            </c:strRef>
          </c:tx>
          <c:cat>
            <c:strRef>
              <c:f>INDUSTRIE!$C$109:$E$109</c:f>
              <c:strCache>
                <c:ptCount val="3"/>
                <c:pt idx="0">
                  <c:v>2012'</c:v>
                </c:pt>
                <c:pt idx="1">
                  <c:v>2013'</c:v>
                </c:pt>
                <c:pt idx="2">
                  <c:v>2014'</c:v>
                </c:pt>
              </c:strCache>
            </c:strRef>
          </c:cat>
          <c:val>
            <c:numRef>
              <c:f>INDUSTRIE!$C$111:$E$111</c:f>
              <c:numCache>
                <c:formatCode>General</c:formatCode>
                <c:ptCount val="3"/>
                <c:pt idx="0">
                  <c:v>3.2626599302468797E-3</c:v>
                </c:pt>
                <c:pt idx="1">
                  <c:v>1.0971656856175389E-3</c:v>
                </c:pt>
                <c:pt idx="2">
                  <c:v>3.5044451016784431E-3</c:v>
                </c:pt>
              </c:numCache>
            </c:numRef>
          </c:val>
        </c:ser>
        <c:ser>
          <c:idx val="2"/>
          <c:order val="2"/>
          <c:tx>
            <c:strRef>
              <c:f>INDUSTRIE!$B$112</c:f>
              <c:strCache>
                <c:ptCount val="1"/>
                <c:pt idx="0">
                  <c:v>Hg </c:v>
                </c:pt>
              </c:strCache>
            </c:strRef>
          </c:tx>
          <c:cat>
            <c:strRef>
              <c:f>INDUSTRIE!$C$109:$E$109</c:f>
              <c:strCache>
                <c:ptCount val="3"/>
                <c:pt idx="0">
                  <c:v>2012'</c:v>
                </c:pt>
                <c:pt idx="1">
                  <c:v>2013'</c:v>
                </c:pt>
                <c:pt idx="2">
                  <c:v>2014'</c:v>
                </c:pt>
              </c:strCache>
            </c:strRef>
          </c:cat>
          <c:val>
            <c:numRef>
              <c:f>INDUSTRIE!$C$112:$E$112</c:f>
              <c:numCache>
                <c:formatCode>General</c:formatCode>
                <c:ptCount val="3"/>
                <c:pt idx="0">
                  <c:v>1.3026688149862743E-3</c:v>
                </c:pt>
                <c:pt idx="1">
                  <c:v>4.6124180454599497E-4</c:v>
                </c:pt>
                <c:pt idx="2">
                  <c:v>1.4693493336512195E-3</c:v>
                </c:pt>
              </c:numCache>
            </c:numRef>
          </c:val>
        </c:ser>
        <c:axId val="162619392"/>
        <c:axId val="162620928"/>
      </c:barChart>
      <c:catAx>
        <c:axId val="162619392"/>
        <c:scaling>
          <c:orientation val="minMax"/>
        </c:scaling>
        <c:axPos val="b"/>
        <c:majorTickMark val="none"/>
        <c:tickLblPos val="nextTo"/>
        <c:crossAx val="162620928"/>
        <c:crosses val="autoZero"/>
        <c:auto val="1"/>
        <c:lblAlgn val="ctr"/>
        <c:lblOffset val="100"/>
      </c:catAx>
      <c:valAx>
        <c:axId val="162620928"/>
        <c:scaling>
          <c:orientation val="minMax"/>
        </c:scaling>
        <c:axPos val="l"/>
        <c:majorGridlines/>
        <c:title>
          <c:tx>
            <c:rich>
              <a:bodyPr rot="0" vert="horz"/>
              <a:lstStyle/>
              <a:p>
                <a:pPr>
                  <a:defRPr/>
                </a:pPr>
                <a:r>
                  <a:rPr lang="en-US"/>
                  <a:t>Mg</a:t>
                </a:r>
                <a:endParaRPr lang="ro-RO"/>
              </a:p>
            </c:rich>
          </c:tx>
          <c:layout>
            <c:manualLayout>
              <c:xMode val="edge"/>
              <c:yMode val="edge"/>
              <c:x val="0.1388888888888889"/>
              <c:y val="0.11769867308253189"/>
            </c:manualLayout>
          </c:layout>
        </c:title>
        <c:numFmt formatCode="General" sourceLinked="1"/>
        <c:tickLblPos val="nextTo"/>
        <c:crossAx val="162619392"/>
        <c:crosses val="autoZero"/>
        <c:crossBetween val="between"/>
      </c:valAx>
    </c:plotArea>
    <c:legend>
      <c:legendPos val="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metale grele din sectorul de activitate transport </a:t>
            </a:r>
            <a:endParaRPr lang="ro-RO" sz="1000" b="1">
              <a:latin typeface="Arial" pitchFamily="34" charset="0"/>
              <a:cs typeface="Arial" pitchFamily="34" charset="0"/>
            </a:endParaRPr>
          </a:p>
        </c:rich>
      </c:tx>
    </c:title>
    <c:plotArea>
      <c:layout/>
      <c:barChart>
        <c:barDir val="col"/>
        <c:grouping val="clustered"/>
        <c:ser>
          <c:idx val="0"/>
          <c:order val="0"/>
          <c:tx>
            <c:strRef>
              <c:f>TRANSPORT!$B$98</c:f>
              <c:strCache>
                <c:ptCount val="1"/>
                <c:pt idx="0">
                  <c:v>Pb </c:v>
                </c:pt>
              </c:strCache>
            </c:strRef>
          </c:tx>
          <c:cat>
            <c:strRef>
              <c:f>TRANSPORT!$C$97:$E$97</c:f>
              <c:strCache>
                <c:ptCount val="3"/>
                <c:pt idx="0">
                  <c:v>2012'</c:v>
                </c:pt>
                <c:pt idx="1">
                  <c:v>2013'</c:v>
                </c:pt>
                <c:pt idx="2">
                  <c:v>2014'</c:v>
                </c:pt>
              </c:strCache>
            </c:strRef>
          </c:cat>
          <c:val>
            <c:numRef>
              <c:f>TRANSPORT!$C$98:$E$98</c:f>
              <c:numCache>
                <c:formatCode>General</c:formatCode>
                <c:ptCount val="3"/>
                <c:pt idx="0">
                  <c:v>4.3123615307663996E-2</c:v>
                </c:pt>
                <c:pt idx="1">
                  <c:v>2.5154492193615988E-2</c:v>
                </c:pt>
                <c:pt idx="2" formatCode="#0.00000000000000">
                  <c:v>1.4065235377830565E-4</c:v>
                </c:pt>
              </c:numCache>
            </c:numRef>
          </c:val>
        </c:ser>
        <c:ser>
          <c:idx val="1"/>
          <c:order val="1"/>
          <c:tx>
            <c:strRef>
              <c:f>TRANSPORT!$B$99</c:f>
              <c:strCache>
                <c:ptCount val="1"/>
                <c:pt idx="0">
                  <c:v>Cd </c:v>
                </c:pt>
              </c:strCache>
            </c:strRef>
          </c:tx>
          <c:cat>
            <c:strRef>
              <c:f>TRANSPORT!$C$97:$E$97</c:f>
              <c:strCache>
                <c:ptCount val="3"/>
                <c:pt idx="0">
                  <c:v>2012'</c:v>
                </c:pt>
                <c:pt idx="1">
                  <c:v>2013'</c:v>
                </c:pt>
                <c:pt idx="2">
                  <c:v>2014'</c:v>
                </c:pt>
              </c:strCache>
            </c:strRef>
          </c:cat>
          <c:val>
            <c:numRef>
              <c:f>TRANSPORT!$C$99:$E$99</c:f>
              <c:numCache>
                <c:formatCode>General</c:formatCode>
                <c:ptCount val="3"/>
                <c:pt idx="0">
                  <c:v>1.0023177870187043E-3</c:v>
                </c:pt>
                <c:pt idx="1">
                  <c:v>6.6992247871383906E-4</c:v>
                </c:pt>
                <c:pt idx="2" formatCode="#0.00000000000000">
                  <c:v>1.1709709543777499E-4</c:v>
                </c:pt>
              </c:numCache>
            </c:numRef>
          </c:val>
        </c:ser>
        <c:ser>
          <c:idx val="2"/>
          <c:order val="2"/>
          <c:tx>
            <c:strRef>
              <c:f>TRANSPORT!$B$100</c:f>
              <c:strCache>
                <c:ptCount val="1"/>
                <c:pt idx="0">
                  <c:v>Hg </c:v>
                </c:pt>
              </c:strCache>
            </c:strRef>
          </c:tx>
          <c:cat>
            <c:strRef>
              <c:f>TRANSPORT!$C$97:$E$97</c:f>
              <c:strCache>
                <c:ptCount val="3"/>
                <c:pt idx="0">
                  <c:v>2012'</c:v>
                </c:pt>
                <c:pt idx="1">
                  <c:v>2013'</c:v>
                </c:pt>
                <c:pt idx="2">
                  <c:v>2014'</c:v>
                </c:pt>
              </c:strCache>
            </c:strRef>
          </c:cat>
          <c:val>
            <c:numRef>
              <c:f>TRANSPORT!$C$100:$E$100</c:f>
              <c:numCache>
                <c:formatCode>General</c:formatCode>
                <c:ptCount val="3"/>
                <c:pt idx="0">
                  <c:v>7.7259567290000204E-7</c:v>
                </c:pt>
                <c:pt idx="1">
                  <c:v>0</c:v>
                </c:pt>
                <c:pt idx="2" formatCode="#0.00000000000000">
                  <c:v>2.5442731182765689E-5</c:v>
                </c:pt>
              </c:numCache>
            </c:numRef>
          </c:val>
        </c:ser>
        <c:axId val="162638848"/>
        <c:axId val="163386112"/>
      </c:barChart>
      <c:catAx>
        <c:axId val="162638848"/>
        <c:scaling>
          <c:orientation val="minMax"/>
        </c:scaling>
        <c:axPos val="b"/>
        <c:majorTickMark val="none"/>
        <c:tickLblPos val="nextTo"/>
        <c:crossAx val="163386112"/>
        <c:crosses val="autoZero"/>
        <c:auto val="1"/>
        <c:lblAlgn val="ctr"/>
        <c:lblOffset val="100"/>
      </c:catAx>
      <c:valAx>
        <c:axId val="163386112"/>
        <c:scaling>
          <c:orientation val="minMax"/>
        </c:scaling>
        <c:axPos val="l"/>
        <c:majorGridlines/>
        <c:title>
          <c:tx>
            <c:rich>
              <a:bodyPr rot="0" vert="horz"/>
              <a:lstStyle/>
              <a:p>
                <a:pPr>
                  <a:defRPr/>
                </a:pPr>
                <a:r>
                  <a:rPr lang="en-US"/>
                  <a:t>Mg</a:t>
                </a:r>
                <a:endParaRPr lang="ro-RO"/>
              </a:p>
            </c:rich>
          </c:tx>
          <c:layout>
            <c:manualLayout>
              <c:xMode val="edge"/>
              <c:yMode val="edge"/>
              <c:x val="0.14444444444444576"/>
              <c:y val="0.13158756197142041"/>
            </c:manualLayout>
          </c:layout>
        </c:title>
        <c:numFmt formatCode="General" sourceLinked="1"/>
        <c:tickLblPos val="nextTo"/>
        <c:crossAx val="16263884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1"/>
          <c:order val="0"/>
          <c:tx>
            <c:strRef>
              <c:f>Foaie1!$C$6</c:f>
              <c:strCache>
                <c:ptCount val="1"/>
                <c:pt idx="0">
                  <c:v>O3(µg/m3)</c:v>
                </c:pt>
              </c:strCache>
            </c:strRef>
          </c:tx>
          <c:marker>
            <c:symbol val="none"/>
          </c:marker>
          <c:val>
            <c:numRef>
              <c:f>Foaie1!$C$7:$C$371</c:f>
              <c:numCache>
                <c:formatCode>0.0</c:formatCode>
                <c:ptCount val="365"/>
                <c:pt idx="0">
                  <c:v>15.1</c:v>
                </c:pt>
                <c:pt idx="1">
                  <c:v>15.2</c:v>
                </c:pt>
                <c:pt idx="2">
                  <c:v>18.100000000000001</c:v>
                </c:pt>
                <c:pt idx="3">
                  <c:v>7.3</c:v>
                </c:pt>
                <c:pt idx="4">
                  <c:v>7.7</c:v>
                </c:pt>
                <c:pt idx="5">
                  <c:v>3.9</c:v>
                </c:pt>
                <c:pt idx="6">
                  <c:v>4.9000000000000004</c:v>
                </c:pt>
                <c:pt idx="7">
                  <c:v>4.5999999999999996</c:v>
                </c:pt>
                <c:pt idx="8">
                  <c:v>3.5</c:v>
                </c:pt>
                <c:pt idx="9">
                  <c:v>22.8</c:v>
                </c:pt>
                <c:pt idx="10">
                  <c:v>37</c:v>
                </c:pt>
                <c:pt idx="11">
                  <c:v>36.4</c:v>
                </c:pt>
                <c:pt idx="12">
                  <c:v>38.800000000000004</c:v>
                </c:pt>
                <c:pt idx="13">
                  <c:v>25.6</c:v>
                </c:pt>
                <c:pt idx="14">
                  <c:v>18</c:v>
                </c:pt>
                <c:pt idx="15">
                  <c:v>10.200000000000001</c:v>
                </c:pt>
                <c:pt idx="16">
                  <c:v>12</c:v>
                </c:pt>
                <c:pt idx="17">
                  <c:v>9.6</c:v>
                </c:pt>
                <c:pt idx="18">
                  <c:v>14.5</c:v>
                </c:pt>
                <c:pt idx="19">
                  <c:v>9.2000000000000011</c:v>
                </c:pt>
                <c:pt idx="20">
                  <c:v>12.7</c:v>
                </c:pt>
                <c:pt idx="21">
                  <c:v>10.6</c:v>
                </c:pt>
                <c:pt idx="22">
                  <c:v>8.5</c:v>
                </c:pt>
                <c:pt idx="23">
                  <c:v>20.6</c:v>
                </c:pt>
                <c:pt idx="24">
                  <c:v>32.300000000000004</c:v>
                </c:pt>
                <c:pt idx="25">
                  <c:v>32.5</c:v>
                </c:pt>
                <c:pt idx="26">
                  <c:v>32.1</c:v>
                </c:pt>
                <c:pt idx="27">
                  <c:v>30.4</c:v>
                </c:pt>
                <c:pt idx="28">
                  <c:v>26.3</c:v>
                </c:pt>
                <c:pt idx="35">
                  <c:v>40.200000000000003</c:v>
                </c:pt>
                <c:pt idx="36">
                  <c:v>36.200000000000003</c:v>
                </c:pt>
                <c:pt idx="50">
                  <c:v>10.4</c:v>
                </c:pt>
                <c:pt idx="51">
                  <c:v>14.7</c:v>
                </c:pt>
                <c:pt idx="52">
                  <c:v>19.2</c:v>
                </c:pt>
                <c:pt idx="53">
                  <c:v>21.9</c:v>
                </c:pt>
                <c:pt idx="54">
                  <c:v>23.3</c:v>
                </c:pt>
                <c:pt idx="55">
                  <c:v>23.2</c:v>
                </c:pt>
                <c:pt idx="56">
                  <c:v>11</c:v>
                </c:pt>
                <c:pt idx="57">
                  <c:v>7.7</c:v>
                </c:pt>
                <c:pt idx="58">
                  <c:v>9.8000000000000007</c:v>
                </c:pt>
                <c:pt idx="59">
                  <c:v>17.2</c:v>
                </c:pt>
                <c:pt idx="60">
                  <c:v>23</c:v>
                </c:pt>
                <c:pt idx="61">
                  <c:v>22.1</c:v>
                </c:pt>
                <c:pt idx="62">
                  <c:v>14.4</c:v>
                </c:pt>
                <c:pt idx="63">
                  <c:v>17.3</c:v>
                </c:pt>
                <c:pt idx="64">
                  <c:v>12.2</c:v>
                </c:pt>
                <c:pt idx="65">
                  <c:v>11.8</c:v>
                </c:pt>
                <c:pt idx="66">
                  <c:v>33.800000000000004</c:v>
                </c:pt>
                <c:pt idx="67">
                  <c:v>48</c:v>
                </c:pt>
                <c:pt idx="68">
                  <c:v>45</c:v>
                </c:pt>
                <c:pt idx="69">
                  <c:v>51.4</c:v>
                </c:pt>
                <c:pt idx="70">
                  <c:v>46.2</c:v>
                </c:pt>
                <c:pt idx="71">
                  <c:v>39.6</c:v>
                </c:pt>
                <c:pt idx="72">
                  <c:v>46.4</c:v>
                </c:pt>
                <c:pt idx="73">
                  <c:v>55.6</c:v>
                </c:pt>
                <c:pt idx="74">
                  <c:v>40.200000000000003</c:v>
                </c:pt>
                <c:pt idx="75">
                  <c:v>31.5</c:v>
                </c:pt>
                <c:pt idx="76">
                  <c:v>36.6</c:v>
                </c:pt>
                <c:pt idx="77">
                  <c:v>45.8</c:v>
                </c:pt>
                <c:pt idx="78">
                  <c:v>36.1</c:v>
                </c:pt>
                <c:pt idx="79">
                  <c:v>37.5</c:v>
                </c:pt>
                <c:pt idx="80">
                  <c:v>41.7</c:v>
                </c:pt>
                <c:pt idx="81">
                  <c:v>28.2</c:v>
                </c:pt>
                <c:pt idx="82">
                  <c:v>27</c:v>
                </c:pt>
                <c:pt idx="83">
                  <c:v>22</c:v>
                </c:pt>
                <c:pt idx="84">
                  <c:v>25</c:v>
                </c:pt>
                <c:pt idx="85">
                  <c:v>31.9</c:v>
                </c:pt>
                <c:pt idx="86">
                  <c:v>28.9</c:v>
                </c:pt>
                <c:pt idx="87">
                  <c:v>49.8</c:v>
                </c:pt>
                <c:pt idx="88">
                  <c:v>47.6</c:v>
                </c:pt>
                <c:pt idx="89">
                  <c:v>43.4</c:v>
                </c:pt>
                <c:pt idx="90">
                  <c:v>42.2</c:v>
                </c:pt>
                <c:pt idx="91">
                  <c:v>38</c:v>
                </c:pt>
                <c:pt idx="92">
                  <c:v>37.5</c:v>
                </c:pt>
                <c:pt idx="93">
                  <c:v>36.800000000000004</c:v>
                </c:pt>
                <c:pt idx="94">
                  <c:v>37.800000000000004</c:v>
                </c:pt>
                <c:pt idx="95">
                  <c:v>38</c:v>
                </c:pt>
                <c:pt idx="96">
                  <c:v>19.5</c:v>
                </c:pt>
                <c:pt idx="97">
                  <c:v>40.1</c:v>
                </c:pt>
                <c:pt idx="98">
                  <c:v>42.8</c:v>
                </c:pt>
                <c:pt idx="99">
                  <c:v>29.8</c:v>
                </c:pt>
                <c:pt idx="100">
                  <c:v>22.7</c:v>
                </c:pt>
                <c:pt idx="101">
                  <c:v>16.5</c:v>
                </c:pt>
                <c:pt idx="102">
                  <c:v>22.4</c:v>
                </c:pt>
                <c:pt idx="103">
                  <c:v>32.4</c:v>
                </c:pt>
                <c:pt idx="104">
                  <c:v>25.4</c:v>
                </c:pt>
                <c:pt idx="105">
                  <c:v>39.1</c:v>
                </c:pt>
                <c:pt idx="106">
                  <c:v>37.800000000000004</c:v>
                </c:pt>
                <c:pt idx="107">
                  <c:v>40.4</c:v>
                </c:pt>
                <c:pt idx="108">
                  <c:v>44.6</c:v>
                </c:pt>
                <c:pt idx="109">
                  <c:v>37.300000000000004</c:v>
                </c:pt>
                <c:pt idx="110">
                  <c:v>40.9</c:v>
                </c:pt>
                <c:pt idx="111">
                  <c:v>25.4</c:v>
                </c:pt>
                <c:pt idx="112">
                  <c:v>29</c:v>
                </c:pt>
                <c:pt idx="113">
                  <c:v>22.9</c:v>
                </c:pt>
                <c:pt idx="114">
                  <c:v>33.300000000000004</c:v>
                </c:pt>
                <c:pt idx="115">
                  <c:v>39.4</c:v>
                </c:pt>
                <c:pt idx="116">
                  <c:v>35.5</c:v>
                </c:pt>
                <c:pt idx="117">
                  <c:v>24.8</c:v>
                </c:pt>
                <c:pt idx="118">
                  <c:v>18.3</c:v>
                </c:pt>
                <c:pt idx="119">
                  <c:v>26.6</c:v>
                </c:pt>
                <c:pt idx="120">
                  <c:v>31.9</c:v>
                </c:pt>
                <c:pt idx="121">
                  <c:v>35.1</c:v>
                </c:pt>
                <c:pt idx="122">
                  <c:v>38.700000000000003</c:v>
                </c:pt>
                <c:pt idx="123">
                  <c:v>31.7</c:v>
                </c:pt>
                <c:pt idx="124">
                  <c:v>39.4</c:v>
                </c:pt>
                <c:pt idx="125">
                  <c:v>34.800000000000004</c:v>
                </c:pt>
                <c:pt idx="126">
                  <c:v>39.1</c:v>
                </c:pt>
                <c:pt idx="127">
                  <c:v>40.6</c:v>
                </c:pt>
                <c:pt idx="128">
                  <c:v>28.8</c:v>
                </c:pt>
                <c:pt idx="129">
                  <c:v>27.2</c:v>
                </c:pt>
                <c:pt idx="132">
                  <c:v>33.9</c:v>
                </c:pt>
                <c:pt idx="133">
                  <c:v>35.300000000000004</c:v>
                </c:pt>
                <c:pt idx="134">
                  <c:v>36.1</c:v>
                </c:pt>
                <c:pt idx="135">
                  <c:v>26.8</c:v>
                </c:pt>
                <c:pt idx="136">
                  <c:v>32</c:v>
                </c:pt>
                <c:pt idx="137">
                  <c:v>29.7</c:v>
                </c:pt>
                <c:pt idx="138">
                  <c:v>29.3</c:v>
                </c:pt>
                <c:pt idx="139">
                  <c:v>35.9</c:v>
                </c:pt>
                <c:pt idx="140">
                  <c:v>29.2</c:v>
                </c:pt>
                <c:pt idx="141">
                  <c:v>35.800000000000004</c:v>
                </c:pt>
                <c:pt idx="142">
                  <c:v>29.7</c:v>
                </c:pt>
                <c:pt idx="143">
                  <c:v>33.200000000000003</c:v>
                </c:pt>
                <c:pt idx="144">
                  <c:v>33.700000000000003</c:v>
                </c:pt>
                <c:pt idx="145">
                  <c:v>27.8</c:v>
                </c:pt>
                <c:pt idx="146">
                  <c:v>30.5</c:v>
                </c:pt>
                <c:pt idx="147">
                  <c:v>33.4</c:v>
                </c:pt>
                <c:pt idx="148">
                  <c:v>34.700000000000003</c:v>
                </c:pt>
                <c:pt idx="149">
                  <c:v>31.9</c:v>
                </c:pt>
                <c:pt idx="150">
                  <c:v>15.3</c:v>
                </c:pt>
                <c:pt idx="151">
                  <c:v>17.2</c:v>
                </c:pt>
                <c:pt idx="152">
                  <c:v>16.100000000000001</c:v>
                </c:pt>
                <c:pt idx="153">
                  <c:v>21.9</c:v>
                </c:pt>
                <c:pt idx="154">
                  <c:v>21.9</c:v>
                </c:pt>
                <c:pt idx="155">
                  <c:v>22.4</c:v>
                </c:pt>
                <c:pt idx="156">
                  <c:v>32.200000000000003</c:v>
                </c:pt>
                <c:pt idx="157">
                  <c:v>38.6</c:v>
                </c:pt>
                <c:pt idx="158">
                  <c:v>44.7</c:v>
                </c:pt>
                <c:pt idx="159">
                  <c:v>35.5</c:v>
                </c:pt>
                <c:pt idx="160">
                  <c:v>31.2</c:v>
                </c:pt>
                <c:pt idx="161">
                  <c:v>31.9</c:v>
                </c:pt>
                <c:pt idx="162">
                  <c:v>27.3</c:v>
                </c:pt>
                <c:pt idx="163">
                  <c:v>29</c:v>
                </c:pt>
                <c:pt idx="164">
                  <c:v>31.4</c:v>
                </c:pt>
                <c:pt idx="165">
                  <c:v>19.7</c:v>
                </c:pt>
                <c:pt idx="166">
                  <c:v>14.4</c:v>
                </c:pt>
                <c:pt idx="167">
                  <c:v>12.3</c:v>
                </c:pt>
                <c:pt idx="168">
                  <c:v>12.8</c:v>
                </c:pt>
                <c:pt idx="169">
                  <c:v>16.100000000000001</c:v>
                </c:pt>
                <c:pt idx="170">
                  <c:v>21.4</c:v>
                </c:pt>
                <c:pt idx="171">
                  <c:v>14.1</c:v>
                </c:pt>
                <c:pt idx="172">
                  <c:v>24.3</c:v>
                </c:pt>
                <c:pt idx="173">
                  <c:v>33.6</c:v>
                </c:pt>
                <c:pt idx="174">
                  <c:v>25.9</c:v>
                </c:pt>
                <c:pt idx="175">
                  <c:v>27.5</c:v>
                </c:pt>
                <c:pt idx="176">
                  <c:v>31.5</c:v>
                </c:pt>
                <c:pt idx="177">
                  <c:v>26.1</c:v>
                </c:pt>
                <c:pt idx="178">
                  <c:v>32.300000000000004</c:v>
                </c:pt>
                <c:pt idx="179">
                  <c:v>33.4</c:v>
                </c:pt>
                <c:pt idx="180">
                  <c:v>31.6</c:v>
                </c:pt>
                <c:pt idx="181">
                  <c:v>30</c:v>
                </c:pt>
                <c:pt idx="182">
                  <c:v>29.2</c:v>
                </c:pt>
                <c:pt idx="183">
                  <c:v>28.5</c:v>
                </c:pt>
                <c:pt idx="184">
                  <c:v>32.700000000000003</c:v>
                </c:pt>
                <c:pt idx="185">
                  <c:v>37.1</c:v>
                </c:pt>
                <c:pt idx="186">
                  <c:v>36.1</c:v>
                </c:pt>
                <c:pt idx="187">
                  <c:v>31.3</c:v>
                </c:pt>
                <c:pt idx="188">
                  <c:v>32.200000000000003</c:v>
                </c:pt>
                <c:pt idx="189">
                  <c:v>29.1</c:v>
                </c:pt>
                <c:pt idx="190">
                  <c:v>25.4</c:v>
                </c:pt>
                <c:pt idx="191">
                  <c:v>24.8</c:v>
                </c:pt>
                <c:pt idx="192">
                  <c:v>30.8</c:v>
                </c:pt>
                <c:pt idx="193">
                  <c:v>28.5</c:v>
                </c:pt>
                <c:pt idx="194">
                  <c:v>26.1</c:v>
                </c:pt>
                <c:pt idx="195">
                  <c:v>32.1</c:v>
                </c:pt>
                <c:pt idx="196">
                  <c:v>37.300000000000004</c:v>
                </c:pt>
                <c:pt idx="197">
                  <c:v>30.8</c:v>
                </c:pt>
                <c:pt idx="198">
                  <c:v>35.700000000000003</c:v>
                </c:pt>
                <c:pt idx="199">
                  <c:v>32.4</c:v>
                </c:pt>
                <c:pt idx="200">
                  <c:v>32.300000000000004</c:v>
                </c:pt>
                <c:pt idx="201">
                  <c:v>27.7</c:v>
                </c:pt>
                <c:pt idx="202">
                  <c:v>25.2</c:v>
                </c:pt>
                <c:pt idx="203">
                  <c:v>29.2</c:v>
                </c:pt>
                <c:pt idx="204">
                  <c:v>26.9</c:v>
                </c:pt>
                <c:pt idx="205">
                  <c:v>29.9</c:v>
                </c:pt>
                <c:pt idx="206">
                  <c:v>37.6</c:v>
                </c:pt>
                <c:pt idx="207">
                  <c:v>35.5</c:v>
                </c:pt>
                <c:pt idx="208">
                  <c:v>33.4</c:v>
                </c:pt>
                <c:pt idx="209">
                  <c:v>24.7</c:v>
                </c:pt>
                <c:pt idx="210">
                  <c:v>28</c:v>
                </c:pt>
                <c:pt idx="211">
                  <c:v>25.4</c:v>
                </c:pt>
                <c:pt idx="212">
                  <c:v>28.5</c:v>
                </c:pt>
                <c:pt idx="213">
                  <c:v>41.1</c:v>
                </c:pt>
                <c:pt idx="214">
                  <c:v>40.200000000000003</c:v>
                </c:pt>
                <c:pt idx="215">
                  <c:v>34.700000000000003</c:v>
                </c:pt>
                <c:pt idx="216">
                  <c:v>47.3</c:v>
                </c:pt>
                <c:pt idx="217">
                  <c:v>40.700000000000003</c:v>
                </c:pt>
                <c:pt idx="218">
                  <c:v>33</c:v>
                </c:pt>
                <c:pt idx="219">
                  <c:v>34.700000000000003</c:v>
                </c:pt>
                <c:pt idx="220">
                  <c:v>32.200000000000003</c:v>
                </c:pt>
                <c:pt idx="221">
                  <c:v>28.5</c:v>
                </c:pt>
                <c:pt idx="222">
                  <c:v>27.6</c:v>
                </c:pt>
                <c:pt idx="223">
                  <c:v>29.9</c:v>
                </c:pt>
                <c:pt idx="224">
                  <c:v>27</c:v>
                </c:pt>
                <c:pt idx="225">
                  <c:v>26.4</c:v>
                </c:pt>
                <c:pt idx="226">
                  <c:v>31.8</c:v>
                </c:pt>
                <c:pt idx="227">
                  <c:v>26.7</c:v>
                </c:pt>
                <c:pt idx="228">
                  <c:v>24.4</c:v>
                </c:pt>
                <c:pt idx="229">
                  <c:v>21.9</c:v>
                </c:pt>
                <c:pt idx="230">
                  <c:v>31.2</c:v>
                </c:pt>
                <c:pt idx="231">
                  <c:v>31.2</c:v>
                </c:pt>
                <c:pt idx="232">
                  <c:v>29.3</c:v>
                </c:pt>
                <c:pt idx="233">
                  <c:v>25.8</c:v>
                </c:pt>
                <c:pt idx="234">
                  <c:v>22.6</c:v>
                </c:pt>
                <c:pt idx="235">
                  <c:v>25.8</c:v>
                </c:pt>
                <c:pt idx="236">
                  <c:v>22.5</c:v>
                </c:pt>
                <c:pt idx="237">
                  <c:v>22.5</c:v>
                </c:pt>
                <c:pt idx="238">
                  <c:v>30.3</c:v>
                </c:pt>
                <c:pt idx="239">
                  <c:v>26.2</c:v>
                </c:pt>
                <c:pt idx="240">
                  <c:v>23.2</c:v>
                </c:pt>
                <c:pt idx="241">
                  <c:v>30.2</c:v>
                </c:pt>
                <c:pt idx="242">
                  <c:v>29.4</c:v>
                </c:pt>
                <c:pt idx="243">
                  <c:v>23.4</c:v>
                </c:pt>
                <c:pt idx="244">
                  <c:v>23.7</c:v>
                </c:pt>
                <c:pt idx="245">
                  <c:v>24.5</c:v>
                </c:pt>
                <c:pt idx="246">
                  <c:v>25.8</c:v>
                </c:pt>
                <c:pt idx="247">
                  <c:v>34.300000000000004</c:v>
                </c:pt>
                <c:pt idx="248">
                  <c:v>41.8</c:v>
                </c:pt>
                <c:pt idx="249">
                  <c:v>36.1</c:v>
                </c:pt>
                <c:pt idx="250">
                  <c:v>28.6</c:v>
                </c:pt>
                <c:pt idx="251">
                  <c:v>31.2</c:v>
                </c:pt>
                <c:pt idx="252">
                  <c:v>28.4</c:v>
                </c:pt>
                <c:pt idx="253">
                  <c:v>25.1</c:v>
                </c:pt>
                <c:pt idx="254">
                  <c:v>21.5</c:v>
                </c:pt>
                <c:pt idx="255">
                  <c:v>22.7</c:v>
                </c:pt>
                <c:pt idx="256">
                  <c:v>24.4</c:v>
                </c:pt>
                <c:pt idx="257">
                  <c:v>19.7</c:v>
                </c:pt>
                <c:pt idx="258">
                  <c:v>28.2</c:v>
                </c:pt>
                <c:pt idx="259">
                  <c:v>33</c:v>
                </c:pt>
                <c:pt idx="260">
                  <c:v>30.6</c:v>
                </c:pt>
              </c:numCache>
            </c:numRef>
          </c:val>
        </c:ser>
        <c:ser>
          <c:idx val="2"/>
          <c:order val="1"/>
          <c:tx>
            <c:strRef>
              <c:f>Foaie1!$D$6</c:f>
              <c:strCache>
                <c:ptCount val="1"/>
                <c:pt idx="0">
                  <c:v>Val. Țintă(µg/m3)</c:v>
                </c:pt>
              </c:strCache>
            </c:strRef>
          </c:tx>
          <c:marker>
            <c:symbol val="none"/>
          </c:marker>
          <c:val>
            <c:numRef>
              <c:f>Foaie1!$D$7:$D$371</c:f>
              <c:numCache>
                <c:formatCode>General</c:formatCode>
                <c:ptCount val="365"/>
                <c:pt idx="0">
                  <c:v>120</c:v>
                </c:pt>
                <c:pt idx="1">
                  <c:v>120</c:v>
                </c:pt>
                <c:pt idx="2">
                  <c:v>120</c:v>
                </c:pt>
                <c:pt idx="3">
                  <c:v>120</c:v>
                </c:pt>
                <c:pt idx="4">
                  <c:v>120</c:v>
                </c:pt>
                <c:pt idx="5">
                  <c:v>120</c:v>
                </c:pt>
                <c:pt idx="6">
                  <c:v>120</c:v>
                </c:pt>
                <c:pt idx="7">
                  <c:v>120</c:v>
                </c:pt>
                <c:pt idx="8">
                  <c:v>120</c:v>
                </c:pt>
                <c:pt idx="9">
                  <c:v>120</c:v>
                </c:pt>
                <c:pt idx="10">
                  <c:v>120</c:v>
                </c:pt>
                <c:pt idx="11">
                  <c:v>120</c:v>
                </c:pt>
                <c:pt idx="12">
                  <c:v>120</c:v>
                </c:pt>
                <c:pt idx="13">
                  <c:v>120</c:v>
                </c:pt>
                <c:pt idx="14">
                  <c:v>120</c:v>
                </c:pt>
                <c:pt idx="15">
                  <c:v>120</c:v>
                </c:pt>
                <c:pt idx="16">
                  <c:v>120</c:v>
                </c:pt>
                <c:pt idx="17">
                  <c:v>120</c:v>
                </c:pt>
                <c:pt idx="18">
                  <c:v>120</c:v>
                </c:pt>
                <c:pt idx="19">
                  <c:v>120</c:v>
                </c:pt>
                <c:pt idx="20">
                  <c:v>120</c:v>
                </c:pt>
                <c:pt idx="21">
                  <c:v>120</c:v>
                </c:pt>
                <c:pt idx="22">
                  <c:v>120</c:v>
                </c:pt>
                <c:pt idx="23">
                  <c:v>120</c:v>
                </c:pt>
                <c:pt idx="24">
                  <c:v>120</c:v>
                </c:pt>
                <c:pt idx="25">
                  <c:v>120</c:v>
                </c:pt>
                <c:pt idx="26">
                  <c:v>120</c:v>
                </c:pt>
                <c:pt idx="27">
                  <c:v>120</c:v>
                </c:pt>
                <c:pt idx="28">
                  <c:v>120</c:v>
                </c:pt>
                <c:pt idx="29">
                  <c:v>120</c:v>
                </c:pt>
                <c:pt idx="30">
                  <c:v>120</c:v>
                </c:pt>
                <c:pt idx="31">
                  <c:v>120</c:v>
                </c:pt>
                <c:pt idx="32">
                  <c:v>120</c:v>
                </c:pt>
                <c:pt idx="33">
                  <c:v>120</c:v>
                </c:pt>
                <c:pt idx="34">
                  <c:v>120</c:v>
                </c:pt>
                <c:pt idx="35">
                  <c:v>120</c:v>
                </c:pt>
                <c:pt idx="36">
                  <c:v>120</c:v>
                </c:pt>
                <c:pt idx="37">
                  <c:v>120</c:v>
                </c:pt>
                <c:pt idx="38">
                  <c:v>120</c:v>
                </c:pt>
                <c:pt idx="39">
                  <c:v>120</c:v>
                </c:pt>
                <c:pt idx="40">
                  <c:v>120</c:v>
                </c:pt>
                <c:pt idx="41">
                  <c:v>120</c:v>
                </c:pt>
                <c:pt idx="42">
                  <c:v>120</c:v>
                </c:pt>
                <c:pt idx="43">
                  <c:v>120</c:v>
                </c:pt>
                <c:pt idx="44">
                  <c:v>120</c:v>
                </c:pt>
                <c:pt idx="45">
                  <c:v>120</c:v>
                </c:pt>
                <c:pt idx="46">
                  <c:v>120</c:v>
                </c:pt>
                <c:pt idx="47">
                  <c:v>120</c:v>
                </c:pt>
                <c:pt idx="48">
                  <c:v>120</c:v>
                </c:pt>
                <c:pt idx="49">
                  <c:v>120</c:v>
                </c:pt>
                <c:pt idx="50">
                  <c:v>120</c:v>
                </c:pt>
                <c:pt idx="51">
                  <c:v>120</c:v>
                </c:pt>
                <c:pt idx="52">
                  <c:v>120</c:v>
                </c:pt>
                <c:pt idx="53">
                  <c:v>120</c:v>
                </c:pt>
                <c:pt idx="54">
                  <c:v>120</c:v>
                </c:pt>
                <c:pt idx="55">
                  <c:v>120</c:v>
                </c:pt>
                <c:pt idx="56">
                  <c:v>120</c:v>
                </c:pt>
                <c:pt idx="57">
                  <c:v>120</c:v>
                </c:pt>
                <c:pt idx="58">
                  <c:v>120</c:v>
                </c:pt>
                <c:pt idx="59">
                  <c:v>120</c:v>
                </c:pt>
                <c:pt idx="60">
                  <c:v>120</c:v>
                </c:pt>
                <c:pt idx="61">
                  <c:v>120</c:v>
                </c:pt>
                <c:pt idx="62">
                  <c:v>120</c:v>
                </c:pt>
                <c:pt idx="63">
                  <c:v>120</c:v>
                </c:pt>
                <c:pt idx="64">
                  <c:v>120</c:v>
                </c:pt>
                <c:pt idx="65">
                  <c:v>120</c:v>
                </c:pt>
                <c:pt idx="66">
                  <c:v>120</c:v>
                </c:pt>
                <c:pt idx="67">
                  <c:v>120</c:v>
                </c:pt>
                <c:pt idx="68">
                  <c:v>120</c:v>
                </c:pt>
                <c:pt idx="69">
                  <c:v>120</c:v>
                </c:pt>
                <c:pt idx="70">
                  <c:v>120</c:v>
                </c:pt>
                <c:pt idx="71">
                  <c:v>120</c:v>
                </c:pt>
                <c:pt idx="72">
                  <c:v>120</c:v>
                </c:pt>
                <c:pt idx="73">
                  <c:v>120</c:v>
                </c:pt>
                <c:pt idx="74">
                  <c:v>120</c:v>
                </c:pt>
                <c:pt idx="75">
                  <c:v>120</c:v>
                </c:pt>
                <c:pt idx="76">
                  <c:v>120</c:v>
                </c:pt>
                <c:pt idx="77">
                  <c:v>120</c:v>
                </c:pt>
                <c:pt idx="78">
                  <c:v>120</c:v>
                </c:pt>
                <c:pt idx="79">
                  <c:v>120</c:v>
                </c:pt>
                <c:pt idx="80">
                  <c:v>120</c:v>
                </c:pt>
                <c:pt idx="81">
                  <c:v>120</c:v>
                </c:pt>
                <c:pt idx="82">
                  <c:v>120</c:v>
                </c:pt>
                <c:pt idx="83">
                  <c:v>120</c:v>
                </c:pt>
                <c:pt idx="84">
                  <c:v>120</c:v>
                </c:pt>
                <c:pt idx="85">
                  <c:v>120</c:v>
                </c:pt>
                <c:pt idx="86">
                  <c:v>120</c:v>
                </c:pt>
                <c:pt idx="87">
                  <c:v>120</c:v>
                </c:pt>
                <c:pt idx="88">
                  <c:v>120</c:v>
                </c:pt>
                <c:pt idx="89">
                  <c:v>120</c:v>
                </c:pt>
                <c:pt idx="90">
                  <c:v>120</c:v>
                </c:pt>
                <c:pt idx="91">
                  <c:v>120</c:v>
                </c:pt>
                <c:pt idx="92">
                  <c:v>120</c:v>
                </c:pt>
                <c:pt idx="93">
                  <c:v>120</c:v>
                </c:pt>
                <c:pt idx="94">
                  <c:v>120</c:v>
                </c:pt>
                <c:pt idx="95">
                  <c:v>120</c:v>
                </c:pt>
                <c:pt idx="96">
                  <c:v>120</c:v>
                </c:pt>
                <c:pt idx="97">
                  <c:v>120</c:v>
                </c:pt>
                <c:pt idx="98">
                  <c:v>120</c:v>
                </c:pt>
                <c:pt idx="99">
                  <c:v>120</c:v>
                </c:pt>
                <c:pt idx="100">
                  <c:v>120</c:v>
                </c:pt>
                <c:pt idx="101">
                  <c:v>120</c:v>
                </c:pt>
                <c:pt idx="102">
                  <c:v>120</c:v>
                </c:pt>
                <c:pt idx="103">
                  <c:v>120</c:v>
                </c:pt>
                <c:pt idx="104">
                  <c:v>120</c:v>
                </c:pt>
                <c:pt idx="105">
                  <c:v>120</c:v>
                </c:pt>
                <c:pt idx="106">
                  <c:v>120</c:v>
                </c:pt>
                <c:pt idx="107">
                  <c:v>120</c:v>
                </c:pt>
                <c:pt idx="108">
                  <c:v>120</c:v>
                </c:pt>
                <c:pt idx="109">
                  <c:v>120</c:v>
                </c:pt>
                <c:pt idx="110">
                  <c:v>120</c:v>
                </c:pt>
                <c:pt idx="111">
                  <c:v>120</c:v>
                </c:pt>
                <c:pt idx="112">
                  <c:v>120</c:v>
                </c:pt>
                <c:pt idx="113">
                  <c:v>120</c:v>
                </c:pt>
                <c:pt idx="114">
                  <c:v>120</c:v>
                </c:pt>
                <c:pt idx="115">
                  <c:v>120</c:v>
                </c:pt>
                <c:pt idx="116">
                  <c:v>120</c:v>
                </c:pt>
                <c:pt idx="117">
                  <c:v>120</c:v>
                </c:pt>
                <c:pt idx="118">
                  <c:v>120</c:v>
                </c:pt>
                <c:pt idx="119">
                  <c:v>120</c:v>
                </c:pt>
                <c:pt idx="120">
                  <c:v>120</c:v>
                </c:pt>
                <c:pt idx="121">
                  <c:v>120</c:v>
                </c:pt>
                <c:pt idx="122">
                  <c:v>120</c:v>
                </c:pt>
                <c:pt idx="123">
                  <c:v>120</c:v>
                </c:pt>
                <c:pt idx="124">
                  <c:v>120</c:v>
                </c:pt>
                <c:pt idx="125">
                  <c:v>120</c:v>
                </c:pt>
                <c:pt idx="126">
                  <c:v>120</c:v>
                </c:pt>
                <c:pt idx="127">
                  <c:v>120</c:v>
                </c:pt>
                <c:pt idx="128">
                  <c:v>120</c:v>
                </c:pt>
                <c:pt idx="129">
                  <c:v>120</c:v>
                </c:pt>
                <c:pt idx="130">
                  <c:v>120</c:v>
                </c:pt>
                <c:pt idx="131">
                  <c:v>120</c:v>
                </c:pt>
                <c:pt idx="132">
                  <c:v>120</c:v>
                </c:pt>
                <c:pt idx="133">
                  <c:v>120</c:v>
                </c:pt>
                <c:pt idx="134">
                  <c:v>120</c:v>
                </c:pt>
                <c:pt idx="135">
                  <c:v>120</c:v>
                </c:pt>
                <c:pt idx="136">
                  <c:v>120</c:v>
                </c:pt>
                <c:pt idx="137">
                  <c:v>120</c:v>
                </c:pt>
                <c:pt idx="138">
                  <c:v>120</c:v>
                </c:pt>
                <c:pt idx="139">
                  <c:v>120</c:v>
                </c:pt>
                <c:pt idx="140">
                  <c:v>120</c:v>
                </c:pt>
                <c:pt idx="141">
                  <c:v>120</c:v>
                </c:pt>
                <c:pt idx="142">
                  <c:v>120</c:v>
                </c:pt>
                <c:pt idx="143">
                  <c:v>120</c:v>
                </c:pt>
                <c:pt idx="144">
                  <c:v>120</c:v>
                </c:pt>
                <c:pt idx="145">
                  <c:v>120</c:v>
                </c:pt>
                <c:pt idx="146">
                  <c:v>120</c:v>
                </c:pt>
                <c:pt idx="147">
                  <c:v>120</c:v>
                </c:pt>
                <c:pt idx="148">
                  <c:v>120</c:v>
                </c:pt>
                <c:pt idx="149">
                  <c:v>120</c:v>
                </c:pt>
                <c:pt idx="150">
                  <c:v>120</c:v>
                </c:pt>
                <c:pt idx="151">
                  <c:v>120</c:v>
                </c:pt>
                <c:pt idx="152">
                  <c:v>120</c:v>
                </c:pt>
                <c:pt idx="153">
                  <c:v>120</c:v>
                </c:pt>
                <c:pt idx="154">
                  <c:v>120</c:v>
                </c:pt>
                <c:pt idx="155">
                  <c:v>120</c:v>
                </c:pt>
                <c:pt idx="156">
                  <c:v>120</c:v>
                </c:pt>
                <c:pt idx="157">
                  <c:v>120</c:v>
                </c:pt>
                <c:pt idx="158">
                  <c:v>120</c:v>
                </c:pt>
                <c:pt idx="159">
                  <c:v>120</c:v>
                </c:pt>
                <c:pt idx="160">
                  <c:v>120</c:v>
                </c:pt>
                <c:pt idx="161">
                  <c:v>120</c:v>
                </c:pt>
                <c:pt idx="162">
                  <c:v>120</c:v>
                </c:pt>
                <c:pt idx="163">
                  <c:v>120</c:v>
                </c:pt>
                <c:pt idx="164">
                  <c:v>120</c:v>
                </c:pt>
                <c:pt idx="165">
                  <c:v>120</c:v>
                </c:pt>
                <c:pt idx="166">
                  <c:v>120</c:v>
                </c:pt>
                <c:pt idx="167">
                  <c:v>120</c:v>
                </c:pt>
                <c:pt idx="168">
                  <c:v>120</c:v>
                </c:pt>
                <c:pt idx="169">
                  <c:v>120</c:v>
                </c:pt>
                <c:pt idx="170">
                  <c:v>120</c:v>
                </c:pt>
                <c:pt idx="171">
                  <c:v>120</c:v>
                </c:pt>
                <c:pt idx="172">
                  <c:v>120</c:v>
                </c:pt>
                <c:pt idx="173">
                  <c:v>120</c:v>
                </c:pt>
                <c:pt idx="174">
                  <c:v>120</c:v>
                </c:pt>
                <c:pt idx="175">
                  <c:v>120</c:v>
                </c:pt>
                <c:pt idx="176">
                  <c:v>120</c:v>
                </c:pt>
                <c:pt idx="177">
                  <c:v>120</c:v>
                </c:pt>
                <c:pt idx="178">
                  <c:v>120</c:v>
                </c:pt>
                <c:pt idx="179">
                  <c:v>120</c:v>
                </c:pt>
                <c:pt idx="180">
                  <c:v>120</c:v>
                </c:pt>
                <c:pt idx="181">
                  <c:v>120</c:v>
                </c:pt>
                <c:pt idx="182">
                  <c:v>120</c:v>
                </c:pt>
                <c:pt idx="183">
                  <c:v>120</c:v>
                </c:pt>
                <c:pt idx="184">
                  <c:v>120</c:v>
                </c:pt>
                <c:pt idx="185">
                  <c:v>120</c:v>
                </c:pt>
                <c:pt idx="186">
                  <c:v>120</c:v>
                </c:pt>
                <c:pt idx="187">
                  <c:v>120</c:v>
                </c:pt>
                <c:pt idx="188">
                  <c:v>120</c:v>
                </c:pt>
                <c:pt idx="189">
                  <c:v>120</c:v>
                </c:pt>
                <c:pt idx="190">
                  <c:v>120</c:v>
                </c:pt>
                <c:pt idx="191">
                  <c:v>120</c:v>
                </c:pt>
                <c:pt idx="192">
                  <c:v>120</c:v>
                </c:pt>
                <c:pt idx="193">
                  <c:v>120</c:v>
                </c:pt>
                <c:pt idx="194">
                  <c:v>120</c:v>
                </c:pt>
                <c:pt idx="195">
                  <c:v>120</c:v>
                </c:pt>
                <c:pt idx="196">
                  <c:v>120</c:v>
                </c:pt>
                <c:pt idx="197">
                  <c:v>120</c:v>
                </c:pt>
                <c:pt idx="198">
                  <c:v>120</c:v>
                </c:pt>
                <c:pt idx="199">
                  <c:v>120</c:v>
                </c:pt>
                <c:pt idx="200">
                  <c:v>120</c:v>
                </c:pt>
                <c:pt idx="201">
                  <c:v>120</c:v>
                </c:pt>
                <c:pt idx="202">
                  <c:v>120</c:v>
                </c:pt>
                <c:pt idx="203">
                  <c:v>120</c:v>
                </c:pt>
                <c:pt idx="204">
                  <c:v>120</c:v>
                </c:pt>
                <c:pt idx="205">
                  <c:v>120</c:v>
                </c:pt>
                <c:pt idx="206">
                  <c:v>120</c:v>
                </c:pt>
                <c:pt idx="207">
                  <c:v>120</c:v>
                </c:pt>
                <c:pt idx="208">
                  <c:v>120</c:v>
                </c:pt>
                <c:pt idx="209">
                  <c:v>120</c:v>
                </c:pt>
                <c:pt idx="210">
                  <c:v>120</c:v>
                </c:pt>
                <c:pt idx="211">
                  <c:v>120</c:v>
                </c:pt>
                <c:pt idx="212">
                  <c:v>120</c:v>
                </c:pt>
                <c:pt idx="213">
                  <c:v>120</c:v>
                </c:pt>
                <c:pt idx="214">
                  <c:v>120</c:v>
                </c:pt>
                <c:pt idx="215">
                  <c:v>120</c:v>
                </c:pt>
                <c:pt idx="216">
                  <c:v>120</c:v>
                </c:pt>
                <c:pt idx="217">
                  <c:v>120</c:v>
                </c:pt>
                <c:pt idx="218">
                  <c:v>120</c:v>
                </c:pt>
                <c:pt idx="219">
                  <c:v>120</c:v>
                </c:pt>
                <c:pt idx="220">
                  <c:v>120</c:v>
                </c:pt>
                <c:pt idx="221">
                  <c:v>120</c:v>
                </c:pt>
                <c:pt idx="222">
                  <c:v>120</c:v>
                </c:pt>
                <c:pt idx="223">
                  <c:v>120</c:v>
                </c:pt>
                <c:pt idx="224">
                  <c:v>120</c:v>
                </c:pt>
                <c:pt idx="225">
                  <c:v>120</c:v>
                </c:pt>
                <c:pt idx="226">
                  <c:v>120</c:v>
                </c:pt>
                <c:pt idx="227">
                  <c:v>120</c:v>
                </c:pt>
                <c:pt idx="228">
                  <c:v>120</c:v>
                </c:pt>
                <c:pt idx="229">
                  <c:v>120</c:v>
                </c:pt>
                <c:pt idx="230">
                  <c:v>120</c:v>
                </c:pt>
                <c:pt idx="231">
                  <c:v>120</c:v>
                </c:pt>
                <c:pt idx="232">
                  <c:v>120</c:v>
                </c:pt>
                <c:pt idx="233">
                  <c:v>120</c:v>
                </c:pt>
                <c:pt idx="234">
                  <c:v>120</c:v>
                </c:pt>
                <c:pt idx="235">
                  <c:v>120</c:v>
                </c:pt>
                <c:pt idx="236">
                  <c:v>120</c:v>
                </c:pt>
                <c:pt idx="237">
                  <c:v>120</c:v>
                </c:pt>
                <c:pt idx="238">
                  <c:v>120</c:v>
                </c:pt>
                <c:pt idx="239">
                  <c:v>120</c:v>
                </c:pt>
                <c:pt idx="240">
                  <c:v>120</c:v>
                </c:pt>
                <c:pt idx="241">
                  <c:v>120</c:v>
                </c:pt>
                <c:pt idx="242">
                  <c:v>120</c:v>
                </c:pt>
                <c:pt idx="243">
                  <c:v>120</c:v>
                </c:pt>
                <c:pt idx="244">
                  <c:v>120</c:v>
                </c:pt>
                <c:pt idx="245">
                  <c:v>120</c:v>
                </c:pt>
                <c:pt idx="246">
                  <c:v>120</c:v>
                </c:pt>
                <c:pt idx="247">
                  <c:v>120</c:v>
                </c:pt>
                <c:pt idx="248">
                  <c:v>120</c:v>
                </c:pt>
                <c:pt idx="249">
                  <c:v>120</c:v>
                </c:pt>
                <c:pt idx="250">
                  <c:v>120</c:v>
                </c:pt>
                <c:pt idx="251">
                  <c:v>120</c:v>
                </c:pt>
                <c:pt idx="252">
                  <c:v>120</c:v>
                </c:pt>
                <c:pt idx="253">
                  <c:v>120</c:v>
                </c:pt>
                <c:pt idx="254">
                  <c:v>120</c:v>
                </c:pt>
                <c:pt idx="255">
                  <c:v>120</c:v>
                </c:pt>
                <c:pt idx="256">
                  <c:v>120</c:v>
                </c:pt>
                <c:pt idx="257">
                  <c:v>120</c:v>
                </c:pt>
                <c:pt idx="258">
                  <c:v>120</c:v>
                </c:pt>
                <c:pt idx="259">
                  <c:v>120</c:v>
                </c:pt>
                <c:pt idx="260">
                  <c:v>120</c:v>
                </c:pt>
                <c:pt idx="261">
                  <c:v>120</c:v>
                </c:pt>
                <c:pt idx="262">
                  <c:v>120</c:v>
                </c:pt>
                <c:pt idx="263">
                  <c:v>120</c:v>
                </c:pt>
                <c:pt idx="264">
                  <c:v>120</c:v>
                </c:pt>
                <c:pt idx="265">
                  <c:v>120</c:v>
                </c:pt>
                <c:pt idx="266">
                  <c:v>120</c:v>
                </c:pt>
                <c:pt idx="267">
                  <c:v>120</c:v>
                </c:pt>
                <c:pt idx="268">
                  <c:v>120</c:v>
                </c:pt>
                <c:pt idx="269">
                  <c:v>120</c:v>
                </c:pt>
                <c:pt idx="270">
                  <c:v>120</c:v>
                </c:pt>
                <c:pt idx="271">
                  <c:v>120</c:v>
                </c:pt>
                <c:pt idx="272">
                  <c:v>120</c:v>
                </c:pt>
                <c:pt idx="273">
                  <c:v>120</c:v>
                </c:pt>
                <c:pt idx="274">
                  <c:v>120</c:v>
                </c:pt>
                <c:pt idx="275">
                  <c:v>120</c:v>
                </c:pt>
                <c:pt idx="276">
                  <c:v>120</c:v>
                </c:pt>
                <c:pt idx="277">
                  <c:v>120</c:v>
                </c:pt>
                <c:pt idx="278">
                  <c:v>120</c:v>
                </c:pt>
                <c:pt idx="279">
                  <c:v>120</c:v>
                </c:pt>
                <c:pt idx="280">
                  <c:v>120</c:v>
                </c:pt>
                <c:pt idx="281">
                  <c:v>120</c:v>
                </c:pt>
                <c:pt idx="282">
                  <c:v>120</c:v>
                </c:pt>
                <c:pt idx="283">
                  <c:v>120</c:v>
                </c:pt>
                <c:pt idx="284">
                  <c:v>120</c:v>
                </c:pt>
                <c:pt idx="285">
                  <c:v>120</c:v>
                </c:pt>
                <c:pt idx="286">
                  <c:v>120</c:v>
                </c:pt>
                <c:pt idx="287">
                  <c:v>120</c:v>
                </c:pt>
                <c:pt idx="288">
                  <c:v>120</c:v>
                </c:pt>
                <c:pt idx="289">
                  <c:v>120</c:v>
                </c:pt>
                <c:pt idx="290">
                  <c:v>120</c:v>
                </c:pt>
                <c:pt idx="291">
                  <c:v>120</c:v>
                </c:pt>
                <c:pt idx="292">
                  <c:v>120</c:v>
                </c:pt>
                <c:pt idx="293">
                  <c:v>120</c:v>
                </c:pt>
                <c:pt idx="294">
                  <c:v>120</c:v>
                </c:pt>
                <c:pt idx="295">
                  <c:v>120</c:v>
                </c:pt>
                <c:pt idx="296">
                  <c:v>120</c:v>
                </c:pt>
                <c:pt idx="297">
                  <c:v>120</c:v>
                </c:pt>
                <c:pt idx="298">
                  <c:v>120</c:v>
                </c:pt>
                <c:pt idx="299">
                  <c:v>120</c:v>
                </c:pt>
                <c:pt idx="300">
                  <c:v>120</c:v>
                </c:pt>
                <c:pt idx="301">
                  <c:v>120</c:v>
                </c:pt>
                <c:pt idx="302">
                  <c:v>120</c:v>
                </c:pt>
                <c:pt idx="303">
                  <c:v>120</c:v>
                </c:pt>
                <c:pt idx="304">
                  <c:v>120</c:v>
                </c:pt>
                <c:pt idx="305">
                  <c:v>120</c:v>
                </c:pt>
                <c:pt idx="306">
                  <c:v>120</c:v>
                </c:pt>
                <c:pt idx="307">
                  <c:v>120</c:v>
                </c:pt>
                <c:pt idx="308">
                  <c:v>120</c:v>
                </c:pt>
                <c:pt idx="309">
                  <c:v>120</c:v>
                </c:pt>
                <c:pt idx="310">
                  <c:v>120</c:v>
                </c:pt>
                <c:pt idx="311">
                  <c:v>120</c:v>
                </c:pt>
                <c:pt idx="312">
                  <c:v>120</c:v>
                </c:pt>
                <c:pt idx="313">
                  <c:v>120</c:v>
                </c:pt>
                <c:pt idx="314">
                  <c:v>120</c:v>
                </c:pt>
                <c:pt idx="315">
                  <c:v>120</c:v>
                </c:pt>
                <c:pt idx="316">
                  <c:v>120</c:v>
                </c:pt>
                <c:pt idx="317">
                  <c:v>120</c:v>
                </c:pt>
                <c:pt idx="318">
                  <c:v>120</c:v>
                </c:pt>
                <c:pt idx="319">
                  <c:v>120</c:v>
                </c:pt>
                <c:pt idx="320">
                  <c:v>120</c:v>
                </c:pt>
                <c:pt idx="321">
                  <c:v>120</c:v>
                </c:pt>
                <c:pt idx="322">
                  <c:v>120</c:v>
                </c:pt>
                <c:pt idx="323">
                  <c:v>120</c:v>
                </c:pt>
                <c:pt idx="324">
                  <c:v>120</c:v>
                </c:pt>
                <c:pt idx="325">
                  <c:v>120</c:v>
                </c:pt>
                <c:pt idx="326">
                  <c:v>120</c:v>
                </c:pt>
                <c:pt idx="327">
                  <c:v>120</c:v>
                </c:pt>
                <c:pt idx="328">
                  <c:v>120</c:v>
                </c:pt>
                <c:pt idx="329">
                  <c:v>120</c:v>
                </c:pt>
                <c:pt idx="330">
                  <c:v>120</c:v>
                </c:pt>
                <c:pt idx="331">
                  <c:v>120</c:v>
                </c:pt>
                <c:pt idx="332">
                  <c:v>120</c:v>
                </c:pt>
                <c:pt idx="333">
                  <c:v>120</c:v>
                </c:pt>
                <c:pt idx="334">
                  <c:v>120</c:v>
                </c:pt>
                <c:pt idx="335">
                  <c:v>120</c:v>
                </c:pt>
                <c:pt idx="336">
                  <c:v>120</c:v>
                </c:pt>
                <c:pt idx="337">
                  <c:v>120</c:v>
                </c:pt>
                <c:pt idx="338">
                  <c:v>120</c:v>
                </c:pt>
                <c:pt idx="339">
                  <c:v>120</c:v>
                </c:pt>
                <c:pt idx="340">
                  <c:v>120</c:v>
                </c:pt>
                <c:pt idx="341">
                  <c:v>120</c:v>
                </c:pt>
                <c:pt idx="342">
                  <c:v>120</c:v>
                </c:pt>
                <c:pt idx="343">
                  <c:v>120</c:v>
                </c:pt>
                <c:pt idx="344">
                  <c:v>120</c:v>
                </c:pt>
                <c:pt idx="345">
                  <c:v>120</c:v>
                </c:pt>
                <c:pt idx="346">
                  <c:v>120</c:v>
                </c:pt>
                <c:pt idx="347">
                  <c:v>120</c:v>
                </c:pt>
                <c:pt idx="348">
                  <c:v>120</c:v>
                </c:pt>
                <c:pt idx="349">
                  <c:v>120</c:v>
                </c:pt>
                <c:pt idx="350">
                  <c:v>120</c:v>
                </c:pt>
                <c:pt idx="351">
                  <c:v>120</c:v>
                </c:pt>
                <c:pt idx="352">
                  <c:v>120</c:v>
                </c:pt>
                <c:pt idx="353">
                  <c:v>120</c:v>
                </c:pt>
                <c:pt idx="354">
                  <c:v>120</c:v>
                </c:pt>
                <c:pt idx="355">
                  <c:v>120</c:v>
                </c:pt>
                <c:pt idx="356">
                  <c:v>120</c:v>
                </c:pt>
                <c:pt idx="357">
                  <c:v>120</c:v>
                </c:pt>
                <c:pt idx="358">
                  <c:v>120</c:v>
                </c:pt>
                <c:pt idx="359">
                  <c:v>120</c:v>
                </c:pt>
                <c:pt idx="360">
                  <c:v>120</c:v>
                </c:pt>
                <c:pt idx="361">
                  <c:v>120</c:v>
                </c:pt>
                <c:pt idx="362">
                  <c:v>120</c:v>
                </c:pt>
                <c:pt idx="363">
                  <c:v>120</c:v>
                </c:pt>
                <c:pt idx="364">
                  <c:v>120</c:v>
                </c:pt>
              </c:numCache>
            </c:numRef>
          </c:val>
        </c:ser>
        <c:marker val="1"/>
        <c:axId val="136570752"/>
        <c:axId val="136572288"/>
      </c:lineChart>
      <c:catAx>
        <c:axId val="136570752"/>
        <c:scaling>
          <c:orientation val="minMax"/>
        </c:scaling>
        <c:axPos val="b"/>
        <c:numFmt formatCode="General" sourceLinked="1"/>
        <c:tickLblPos val="nextTo"/>
        <c:crossAx val="136572288"/>
        <c:crosses val="autoZero"/>
        <c:auto val="1"/>
        <c:lblAlgn val="ctr"/>
        <c:lblOffset val="100"/>
      </c:catAx>
      <c:valAx>
        <c:axId val="136572288"/>
        <c:scaling>
          <c:orientation val="minMax"/>
        </c:scaling>
        <c:axPos val="l"/>
        <c:majorGridlines/>
        <c:numFmt formatCode="0.0" sourceLinked="1"/>
        <c:tickLblPos val="nextTo"/>
        <c:crossAx val="136570752"/>
        <c:crosses val="autoZero"/>
        <c:crossBetween val="between"/>
      </c:valAx>
    </c:plotArea>
    <c:legend>
      <c:legendPos val="r"/>
    </c:legend>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ro-RO"/>
  <c:chart>
    <c:title>
      <c:tx>
        <c:rich>
          <a:bodyPr/>
          <a:lstStyle/>
          <a:p>
            <a:pPr>
              <a:defRPr/>
            </a:pPr>
            <a:r>
              <a:rPr lang="ro-RO" sz="1000">
                <a:latin typeface="Arial" pitchFamily="34" charset="0"/>
                <a:cs typeface="Arial" pitchFamily="34" charset="0"/>
              </a:rPr>
              <a:t>Tendinta emisiilor de poluanti organici persistenti</a:t>
            </a:r>
          </a:p>
        </c:rich>
      </c:tx>
    </c:title>
    <c:plotArea>
      <c:layout/>
      <c:barChart>
        <c:barDir val="col"/>
        <c:grouping val="clustered"/>
        <c:ser>
          <c:idx val="0"/>
          <c:order val="0"/>
          <c:tx>
            <c:strRef>
              <c:f>'EMISII TOTALE'!$B$127</c:f>
              <c:strCache>
                <c:ptCount val="1"/>
                <c:pt idx="0">
                  <c:v>PCDD/PCDF (gl-Teq)</c:v>
                </c:pt>
              </c:strCache>
            </c:strRef>
          </c:tx>
          <c:cat>
            <c:strRef>
              <c:f>'EMISII TOTALE'!$C$126:$E$126</c:f>
              <c:strCache>
                <c:ptCount val="3"/>
                <c:pt idx="0">
                  <c:v>2012'</c:v>
                </c:pt>
                <c:pt idx="1">
                  <c:v>2013'</c:v>
                </c:pt>
                <c:pt idx="2">
                  <c:v>2014'</c:v>
                </c:pt>
              </c:strCache>
            </c:strRef>
          </c:cat>
          <c:val>
            <c:numRef>
              <c:f>'EMISII TOTALE'!$C$127:$E$127</c:f>
              <c:numCache>
                <c:formatCode>General</c:formatCode>
                <c:ptCount val="3"/>
                <c:pt idx="0">
                  <c:v>4.92</c:v>
                </c:pt>
                <c:pt idx="1">
                  <c:v>5</c:v>
                </c:pt>
                <c:pt idx="2">
                  <c:v>5.45</c:v>
                </c:pt>
              </c:numCache>
            </c:numRef>
          </c:val>
        </c:ser>
        <c:ser>
          <c:idx val="1"/>
          <c:order val="1"/>
          <c:tx>
            <c:strRef>
              <c:f>'EMISII TOTALE'!$B$128</c:f>
              <c:strCache>
                <c:ptCount val="1"/>
                <c:pt idx="0">
                  <c:v>PAH (Mg)</c:v>
                </c:pt>
              </c:strCache>
            </c:strRef>
          </c:tx>
          <c:cat>
            <c:strRef>
              <c:f>'EMISII TOTALE'!$C$126:$E$126</c:f>
              <c:strCache>
                <c:ptCount val="3"/>
                <c:pt idx="0">
                  <c:v>2012'</c:v>
                </c:pt>
                <c:pt idx="1">
                  <c:v>2013'</c:v>
                </c:pt>
                <c:pt idx="2">
                  <c:v>2014'</c:v>
                </c:pt>
              </c:strCache>
            </c:strRef>
          </c:cat>
          <c:val>
            <c:numRef>
              <c:f>'EMISII TOTALE'!$C$128:$E$128</c:f>
              <c:numCache>
                <c:formatCode>General</c:formatCode>
                <c:ptCount val="3"/>
                <c:pt idx="0">
                  <c:v>2.9889999999999999</c:v>
                </c:pt>
                <c:pt idx="1">
                  <c:v>5.1156999999999995</c:v>
                </c:pt>
                <c:pt idx="2">
                  <c:v>5.5154999999999985</c:v>
                </c:pt>
              </c:numCache>
            </c:numRef>
          </c:val>
        </c:ser>
        <c:ser>
          <c:idx val="2"/>
          <c:order val="2"/>
          <c:tx>
            <c:strRef>
              <c:f>'EMISII TOTALE'!$B$129</c:f>
              <c:strCache>
                <c:ptCount val="1"/>
                <c:pt idx="0">
                  <c:v>HCB (kg)</c:v>
                </c:pt>
              </c:strCache>
            </c:strRef>
          </c:tx>
          <c:cat>
            <c:strRef>
              <c:f>'EMISII TOTALE'!$C$126:$E$126</c:f>
              <c:strCache>
                <c:ptCount val="3"/>
                <c:pt idx="0">
                  <c:v>2012'</c:v>
                </c:pt>
                <c:pt idx="1">
                  <c:v>2013'</c:v>
                </c:pt>
                <c:pt idx="2">
                  <c:v>2014'</c:v>
                </c:pt>
              </c:strCache>
            </c:strRef>
          </c:cat>
          <c:val>
            <c:numRef>
              <c:f>'EMISII TOTALE'!$C$129:$E$129</c:f>
              <c:numCache>
                <c:formatCode>General</c:formatCode>
                <c:ptCount val="3"/>
                <c:pt idx="0">
                  <c:v>2.4E-2</c:v>
                </c:pt>
                <c:pt idx="1">
                  <c:v>4.1000000000000002E-2</c:v>
                </c:pt>
                <c:pt idx="2">
                  <c:v>4.3999999999999997E-2</c:v>
                </c:pt>
              </c:numCache>
            </c:numRef>
          </c:val>
        </c:ser>
        <c:axId val="163399936"/>
        <c:axId val="163409920"/>
      </c:barChart>
      <c:catAx>
        <c:axId val="163399936"/>
        <c:scaling>
          <c:orientation val="minMax"/>
        </c:scaling>
        <c:axPos val="b"/>
        <c:majorTickMark val="none"/>
        <c:tickLblPos val="nextTo"/>
        <c:crossAx val="163409920"/>
        <c:crosses val="autoZero"/>
        <c:auto val="1"/>
        <c:lblAlgn val="ctr"/>
        <c:lblOffset val="100"/>
      </c:catAx>
      <c:valAx>
        <c:axId val="163409920"/>
        <c:scaling>
          <c:orientation val="minMax"/>
        </c:scaling>
        <c:axPos val="l"/>
        <c:majorGridlines/>
        <c:numFmt formatCode="General" sourceLinked="1"/>
        <c:tickLblPos val="nextTo"/>
        <c:crossAx val="163399936"/>
        <c:crosses val="autoZero"/>
        <c:crossBetween val="between"/>
      </c:valAx>
    </c:plotArea>
    <c:legend>
      <c:legendPos val="r"/>
    </c:legend>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poluanti organici persistenti din sectorul de activitate energie </a:t>
            </a:r>
            <a:endParaRPr lang="ro-RO" sz="1000" b="1">
              <a:latin typeface="Arial" pitchFamily="34" charset="0"/>
              <a:cs typeface="Arial" pitchFamily="34" charset="0"/>
            </a:endParaRPr>
          </a:p>
        </c:rich>
      </c:tx>
    </c:title>
    <c:plotArea>
      <c:layout/>
      <c:barChart>
        <c:barDir val="col"/>
        <c:grouping val="clustered"/>
        <c:ser>
          <c:idx val="0"/>
          <c:order val="0"/>
          <c:tx>
            <c:strRef>
              <c:f>ENERGIE!$B$130</c:f>
              <c:strCache>
                <c:ptCount val="1"/>
                <c:pt idx="0">
                  <c:v>PCDD/PCDF (gl-Teq)</c:v>
                </c:pt>
              </c:strCache>
            </c:strRef>
          </c:tx>
          <c:cat>
            <c:strRef>
              <c:f>ENERGIE!$C$129:$E$129</c:f>
              <c:strCache>
                <c:ptCount val="3"/>
                <c:pt idx="0">
                  <c:v>2012'</c:v>
                </c:pt>
                <c:pt idx="1">
                  <c:v>2013'</c:v>
                </c:pt>
                <c:pt idx="2">
                  <c:v>2014'</c:v>
                </c:pt>
              </c:strCache>
            </c:strRef>
          </c:cat>
          <c:val>
            <c:numRef>
              <c:f>ENERGIE!$C$130:$E$130</c:f>
              <c:numCache>
                <c:formatCode>General</c:formatCode>
                <c:ptCount val="3"/>
                <c:pt idx="0">
                  <c:v>4.9265724424915724</c:v>
                </c:pt>
                <c:pt idx="1">
                  <c:v>5.0041622780101775</c:v>
                </c:pt>
                <c:pt idx="2">
                  <c:v>5.4268073564990855</c:v>
                </c:pt>
              </c:numCache>
            </c:numRef>
          </c:val>
        </c:ser>
        <c:ser>
          <c:idx val="1"/>
          <c:order val="1"/>
          <c:tx>
            <c:strRef>
              <c:f>ENERGIE!$B$131</c:f>
              <c:strCache>
                <c:ptCount val="1"/>
                <c:pt idx="0">
                  <c:v>PAH (Mg)</c:v>
                </c:pt>
              </c:strCache>
            </c:strRef>
          </c:tx>
          <c:cat>
            <c:strRef>
              <c:f>ENERGIE!$C$129:$E$129</c:f>
              <c:strCache>
                <c:ptCount val="3"/>
                <c:pt idx="0">
                  <c:v>2012'</c:v>
                </c:pt>
                <c:pt idx="1">
                  <c:v>2013'</c:v>
                </c:pt>
                <c:pt idx="2">
                  <c:v>2014'</c:v>
                </c:pt>
              </c:strCache>
            </c:strRef>
          </c:cat>
          <c:val>
            <c:numRef>
              <c:f>ENERGIE!$C$131:$E$131</c:f>
              <c:numCache>
                <c:formatCode>General</c:formatCode>
                <c:ptCount val="3"/>
                <c:pt idx="0">
                  <c:v>2.9519999999999977</c:v>
                </c:pt>
                <c:pt idx="1">
                  <c:v>5.08</c:v>
                </c:pt>
                <c:pt idx="2">
                  <c:v>5.5060000000000002</c:v>
                </c:pt>
              </c:numCache>
            </c:numRef>
          </c:val>
        </c:ser>
        <c:ser>
          <c:idx val="2"/>
          <c:order val="2"/>
          <c:tx>
            <c:strRef>
              <c:f>ENERGIE!$B$132</c:f>
              <c:strCache>
                <c:ptCount val="1"/>
                <c:pt idx="0">
                  <c:v>HCB (kg)</c:v>
                </c:pt>
              </c:strCache>
            </c:strRef>
          </c:tx>
          <c:cat>
            <c:strRef>
              <c:f>ENERGIE!$C$129:$E$129</c:f>
              <c:strCache>
                <c:ptCount val="3"/>
                <c:pt idx="0">
                  <c:v>2012'</c:v>
                </c:pt>
                <c:pt idx="1">
                  <c:v>2013'</c:v>
                </c:pt>
                <c:pt idx="2">
                  <c:v>2014'</c:v>
                </c:pt>
              </c:strCache>
            </c:strRef>
          </c:cat>
          <c:val>
            <c:numRef>
              <c:f>ENERGIE!$C$132:$E$132</c:f>
              <c:numCache>
                <c:formatCode>General</c:formatCode>
                <c:ptCount val="3"/>
                <c:pt idx="0">
                  <c:v>2.4467530601524012E-2</c:v>
                </c:pt>
                <c:pt idx="1">
                  <c:v>3.8597941244921601E-2</c:v>
                </c:pt>
                <c:pt idx="2">
                  <c:v>4.2057831616066903E-2</c:v>
                </c:pt>
              </c:numCache>
            </c:numRef>
          </c:val>
        </c:ser>
        <c:axId val="163443840"/>
        <c:axId val="163445376"/>
      </c:barChart>
      <c:catAx>
        <c:axId val="163443840"/>
        <c:scaling>
          <c:orientation val="minMax"/>
        </c:scaling>
        <c:axPos val="b"/>
        <c:majorTickMark val="none"/>
        <c:tickLblPos val="nextTo"/>
        <c:crossAx val="163445376"/>
        <c:crosses val="autoZero"/>
        <c:auto val="1"/>
        <c:lblAlgn val="ctr"/>
        <c:lblOffset val="100"/>
      </c:catAx>
      <c:valAx>
        <c:axId val="163445376"/>
        <c:scaling>
          <c:orientation val="minMax"/>
        </c:scaling>
        <c:axPos val="l"/>
        <c:majorGridlines/>
        <c:numFmt formatCode="General" sourceLinked="1"/>
        <c:tickLblPos val="nextTo"/>
        <c:crossAx val="163443840"/>
        <c:crosses val="autoZero"/>
        <c:crossBetween val="between"/>
      </c:valAx>
    </c:plotArea>
    <c:legend>
      <c:legendPos val="r"/>
    </c:legend>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poluanti organici persistenti din sectorul de activitate industrie </a:t>
            </a:r>
            <a:endParaRPr lang="ro-RO" sz="1000" b="1">
              <a:latin typeface="Arial" pitchFamily="34" charset="0"/>
              <a:cs typeface="Arial" pitchFamily="34" charset="0"/>
            </a:endParaRPr>
          </a:p>
        </c:rich>
      </c:tx>
    </c:title>
    <c:plotArea>
      <c:layout/>
      <c:barChart>
        <c:barDir val="col"/>
        <c:grouping val="clustered"/>
        <c:ser>
          <c:idx val="0"/>
          <c:order val="0"/>
          <c:tx>
            <c:strRef>
              <c:f>INDUSTRIE!$B$136</c:f>
              <c:strCache>
                <c:ptCount val="1"/>
                <c:pt idx="0">
                  <c:v>PCDD/PCDF (gl-Teq)</c:v>
                </c:pt>
              </c:strCache>
            </c:strRef>
          </c:tx>
          <c:cat>
            <c:strRef>
              <c:f>INDUSTRIE!$C$135:$E$135</c:f>
              <c:strCache>
                <c:ptCount val="3"/>
                <c:pt idx="0">
                  <c:v>2012'</c:v>
                </c:pt>
                <c:pt idx="1">
                  <c:v>2013'</c:v>
                </c:pt>
                <c:pt idx="2">
                  <c:v>2014'</c:v>
                </c:pt>
              </c:strCache>
            </c:strRef>
          </c:cat>
          <c:val>
            <c:numRef>
              <c:f>INDUSTRIE!$C$136:$E$136</c:f>
              <c:numCache>
                <c:formatCode>General</c:formatCode>
                <c:ptCount val="3"/>
                <c:pt idx="0">
                  <c:v>5.2476302983918734E-2</c:v>
                </c:pt>
                <c:pt idx="1">
                  <c:v>0.10850336102373292</c:v>
                </c:pt>
                <c:pt idx="2">
                  <c:v>0.13613400702974507</c:v>
                </c:pt>
              </c:numCache>
            </c:numRef>
          </c:val>
        </c:ser>
        <c:ser>
          <c:idx val="1"/>
          <c:order val="1"/>
          <c:tx>
            <c:strRef>
              <c:f>INDUSTRIE!$B$137</c:f>
              <c:strCache>
                <c:ptCount val="1"/>
                <c:pt idx="0">
                  <c:v>PAH (Mg)</c:v>
                </c:pt>
              </c:strCache>
            </c:strRef>
          </c:tx>
          <c:cat>
            <c:strRef>
              <c:f>INDUSTRIE!$C$135:$E$135</c:f>
              <c:strCache>
                <c:ptCount val="3"/>
                <c:pt idx="0">
                  <c:v>2012'</c:v>
                </c:pt>
                <c:pt idx="1">
                  <c:v>2013'</c:v>
                </c:pt>
                <c:pt idx="2">
                  <c:v>2014'</c:v>
                </c:pt>
              </c:strCache>
            </c:strRef>
          </c:cat>
          <c:val>
            <c:numRef>
              <c:f>INDUSTRIE!$C$137:$E$137</c:f>
              <c:numCache>
                <c:formatCode>General</c:formatCode>
                <c:ptCount val="3"/>
                <c:pt idx="0">
                  <c:v>1.8900000000000038E-2</c:v>
                </c:pt>
                <c:pt idx="1">
                  <c:v>4.9800000000000115E-2</c:v>
                </c:pt>
                <c:pt idx="2">
                  <c:v>4.9800000000000115E-2</c:v>
                </c:pt>
              </c:numCache>
            </c:numRef>
          </c:val>
        </c:ser>
        <c:ser>
          <c:idx val="2"/>
          <c:order val="2"/>
          <c:tx>
            <c:strRef>
              <c:f>INDUSTRIE!$B$138</c:f>
              <c:strCache>
                <c:ptCount val="1"/>
                <c:pt idx="0">
                  <c:v>HCB (kg)</c:v>
                </c:pt>
              </c:strCache>
            </c:strRef>
          </c:tx>
          <c:cat>
            <c:strRef>
              <c:f>INDUSTRIE!$C$135:$E$135</c:f>
              <c:strCache>
                <c:ptCount val="3"/>
                <c:pt idx="0">
                  <c:v>2012'</c:v>
                </c:pt>
                <c:pt idx="1">
                  <c:v>2013'</c:v>
                </c:pt>
                <c:pt idx="2">
                  <c:v>2014'</c:v>
                </c:pt>
              </c:strCache>
            </c:strRef>
          </c:cat>
          <c:val>
            <c:numRef>
              <c:f>INDUSTRIE!$C$138:$E$138</c:f>
              <c:numCache>
                <c:formatCode>General</c:formatCode>
                <c:ptCount val="3"/>
                <c:pt idx="0">
                  <c:v>7.3516473374400182E-4</c:v>
                </c:pt>
                <c:pt idx="1">
                  <c:v>4.5234673272895997E-3</c:v>
                </c:pt>
                <c:pt idx="2">
                  <c:v>4.6458295822735737E-3</c:v>
                </c:pt>
              </c:numCache>
            </c:numRef>
          </c:val>
        </c:ser>
        <c:axId val="163549184"/>
        <c:axId val="163550720"/>
      </c:barChart>
      <c:catAx>
        <c:axId val="163549184"/>
        <c:scaling>
          <c:orientation val="minMax"/>
        </c:scaling>
        <c:axPos val="b"/>
        <c:majorTickMark val="none"/>
        <c:tickLblPos val="nextTo"/>
        <c:crossAx val="163550720"/>
        <c:crosses val="autoZero"/>
        <c:auto val="1"/>
        <c:lblAlgn val="ctr"/>
        <c:lblOffset val="100"/>
      </c:catAx>
      <c:valAx>
        <c:axId val="163550720"/>
        <c:scaling>
          <c:orientation val="minMax"/>
        </c:scaling>
        <c:axPos val="l"/>
        <c:majorGridlines/>
        <c:numFmt formatCode="General" sourceLinked="1"/>
        <c:tickLblPos val="nextTo"/>
        <c:crossAx val="163549184"/>
        <c:crosses val="autoZero"/>
        <c:crossBetween val="between"/>
      </c:valAx>
    </c:plotArea>
    <c:legend>
      <c:legendPos val="r"/>
    </c:legend>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000" b="1" i="0" u="none" strike="noStrike" baseline="0">
                <a:latin typeface="Arial" pitchFamily="34" charset="0"/>
                <a:cs typeface="Arial" pitchFamily="34" charset="0"/>
              </a:rPr>
              <a:t>Tendinta emisiilor de poluanti organici persistenti din sectorul de activitate transport </a:t>
            </a:r>
            <a:endParaRPr lang="ro-RO" sz="1000" b="1">
              <a:latin typeface="Arial" pitchFamily="34" charset="0"/>
              <a:cs typeface="Arial" pitchFamily="34" charset="0"/>
            </a:endParaRPr>
          </a:p>
        </c:rich>
      </c:tx>
    </c:title>
    <c:plotArea>
      <c:layout/>
      <c:barChart>
        <c:barDir val="col"/>
        <c:grouping val="clustered"/>
        <c:ser>
          <c:idx val="0"/>
          <c:order val="0"/>
          <c:tx>
            <c:strRef>
              <c:f>TRANSPORT!$B$123</c:f>
              <c:strCache>
                <c:ptCount val="1"/>
                <c:pt idx="0">
                  <c:v>PCDD/PCDF (gl-Teq)</c:v>
                </c:pt>
              </c:strCache>
            </c:strRef>
          </c:tx>
          <c:cat>
            <c:strRef>
              <c:f>TRANSPORT!$C$122:$E$122</c:f>
              <c:strCache>
                <c:ptCount val="3"/>
                <c:pt idx="0">
                  <c:v>2012'</c:v>
                </c:pt>
                <c:pt idx="1">
                  <c:v>2013'</c:v>
                </c:pt>
                <c:pt idx="2">
                  <c:v>2014'</c:v>
                </c:pt>
              </c:strCache>
            </c:strRef>
          </c:cat>
          <c:val>
            <c:numRef>
              <c:f>TRANSPORT!$C$123:$E$123</c:f>
              <c:numCache>
                <c:formatCode>General</c:formatCode>
                <c:ptCount val="3"/>
                <c:pt idx="0">
                  <c:v>7.7259567290000104E-5</c:v>
                </c:pt>
                <c:pt idx="1">
                  <c:v>0</c:v>
                </c:pt>
                <c:pt idx="2" formatCode="#0.00000000000000">
                  <c:v>1.6895492604144E-4</c:v>
                </c:pt>
              </c:numCache>
            </c:numRef>
          </c:val>
        </c:ser>
        <c:ser>
          <c:idx val="1"/>
          <c:order val="1"/>
          <c:tx>
            <c:strRef>
              <c:f>TRANSPORT!$B$124</c:f>
              <c:strCache>
                <c:ptCount val="1"/>
                <c:pt idx="0">
                  <c:v>PAH (Mg)</c:v>
                </c:pt>
              </c:strCache>
            </c:strRef>
          </c:tx>
          <c:cat>
            <c:strRef>
              <c:f>TRANSPORT!$C$122:$E$122</c:f>
              <c:strCache>
                <c:ptCount val="3"/>
                <c:pt idx="0">
                  <c:v>2012'</c:v>
                </c:pt>
                <c:pt idx="1">
                  <c:v>2013'</c:v>
                </c:pt>
                <c:pt idx="2">
                  <c:v>2014'</c:v>
                </c:pt>
              </c:strCache>
            </c:strRef>
          </c:cat>
          <c:val>
            <c:numRef>
              <c:f>TRANSPORT!$C$124:$E$124</c:f>
              <c:numCache>
                <c:formatCode>General</c:formatCode>
                <c:ptCount val="3"/>
                <c:pt idx="0">
                  <c:v>3.8800000000000058E-3</c:v>
                </c:pt>
                <c:pt idx="1">
                  <c:v>2.53E-2</c:v>
                </c:pt>
                <c:pt idx="2">
                  <c:v>2.1999999999999999E-2</c:v>
                </c:pt>
              </c:numCache>
            </c:numRef>
          </c:val>
        </c:ser>
        <c:ser>
          <c:idx val="2"/>
          <c:order val="2"/>
          <c:tx>
            <c:strRef>
              <c:f>TRANSPORT!$B$125</c:f>
              <c:strCache>
                <c:ptCount val="1"/>
                <c:pt idx="0">
                  <c:v>HCB (kg)</c:v>
                </c:pt>
              </c:strCache>
            </c:strRef>
          </c:tx>
          <c:cat>
            <c:strRef>
              <c:f>TRANSPORT!$C$122:$E$122</c:f>
              <c:strCache>
                <c:ptCount val="3"/>
                <c:pt idx="0">
                  <c:v>2012'</c:v>
                </c:pt>
                <c:pt idx="1">
                  <c:v>2013'</c:v>
                </c:pt>
                <c:pt idx="2">
                  <c:v>2014'</c:v>
                </c:pt>
              </c:strCache>
            </c:strRef>
          </c:cat>
          <c:val>
            <c:numRef>
              <c:f>TRANSPORT!$C$125:$E$125</c:f>
              <c:numCache>
                <c:formatCode>General</c:formatCode>
                <c:ptCount val="3"/>
                <c:pt idx="0">
                  <c:v>0</c:v>
                </c:pt>
                <c:pt idx="1">
                  <c:v>0</c:v>
                </c:pt>
                <c:pt idx="2">
                  <c:v>0</c:v>
                </c:pt>
              </c:numCache>
            </c:numRef>
          </c:val>
        </c:ser>
        <c:axId val="163572352"/>
        <c:axId val="163467648"/>
      </c:barChart>
      <c:catAx>
        <c:axId val="163572352"/>
        <c:scaling>
          <c:orientation val="minMax"/>
        </c:scaling>
        <c:axPos val="b"/>
        <c:majorTickMark val="none"/>
        <c:tickLblPos val="nextTo"/>
        <c:crossAx val="163467648"/>
        <c:crosses val="autoZero"/>
        <c:auto val="1"/>
        <c:lblAlgn val="ctr"/>
        <c:lblOffset val="100"/>
      </c:catAx>
      <c:valAx>
        <c:axId val="163467648"/>
        <c:scaling>
          <c:orientation val="minMax"/>
        </c:scaling>
        <c:axPos val="l"/>
        <c:majorGridlines/>
        <c:numFmt formatCode="General" sourceLinked="1"/>
        <c:majorTickMark val="none"/>
        <c:tickLblPos val="nextTo"/>
        <c:crossAx val="163572352"/>
        <c:crosses val="autoZero"/>
        <c:crossBetween val="between"/>
      </c:valAx>
    </c:plotArea>
    <c:legend>
      <c:legendPos val="r"/>
    </c:legend>
    <c:plotVisOnly val="1"/>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100">
                <a:latin typeface="Arial" pitchFamily="34" charset="0"/>
                <a:cs typeface="Arial" pitchFamily="34" charset="0"/>
              </a:rPr>
              <a:t>Resursele de apă, în judeţul Buzău, în perioada 2010-2014</a:t>
            </a:r>
          </a:p>
        </c:rich>
      </c:tx>
      <c:layout>
        <c:manualLayout>
          <c:xMode val="edge"/>
          <c:yMode val="edge"/>
          <c:x val="0.15911811023622119"/>
          <c:y val="2.2727272727272846E-2"/>
        </c:manualLayout>
      </c:layout>
    </c:title>
    <c:plotArea>
      <c:layout/>
      <c:barChart>
        <c:barDir val="col"/>
        <c:grouping val="clustered"/>
        <c:ser>
          <c:idx val="0"/>
          <c:order val="0"/>
          <c:tx>
            <c:strRef>
              <c:f>Sheet1!$B$69</c:f>
              <c:strCache>
                <c:ptCount val="1"/>
                <c:pt idx="0">
                  <c:v>Total</c:v>
                </c:pt>
              </c:strCache>
            </c:strRef>
          </c:tx>
          <c:cat>
            <c:numRef>
              <c:f>Sheet1!$C$68:$G$68</c:f>
              <c:numCache>
                <c:formatCode>General</c:formatCode>
                <c:ptCount val="5"/>
                <c:pt idx="0">
                  <c:v>2010</c:v>
                </c:pt>
                <c:pt idx="1">
                  <c:v>2011</c:v>
                </c:pt>
                <c:pt idx="2">
                  <c:v>2012</c:v>
                </c:pt>
                <c:pt idx="3">
                  <c:v>2013</c:v>
                </c:pt>
                <c:pt idx="4">
                  <c:v>2014</c:v>
                </c:pt>
              </c:numCache>
            </c:numRef>
          </c:cat>
          <c:val>
            <c:numRef>
              <c:f>Sheet1!$C$69:$G$69</c:f>
              <c:numCache>
                <c:formatCode>#,##0</c:formatCode>
                <c:ptCount val="5"/>
                <c:pt idx="0" formatCode="General">
                  <c:v>1138</c:v>
                </c:pt>
                <c:pt idx="1">
                  <c:v>1138</c:v>
                </c:pt>
                <c:pt idx="2">
                  <c:v>1138</c:v>
                </c:pt>
                <c:pt idx="3" formatCode="General">
                  <c:v>1138</c:v>
                </c:pt>
                <c:pt idx="4">
                  <c:v>1138</c:v>
                </c:pt>
              </c:numCache>
            </c:numRef>
          </c:val>
        </c:ser>
        <c:ser>
          <c:idx val="1"/>
          <c:order val="1"/>
          <c:tx>
            <c:strRef>
              <c:f>Sheet1!$B$70</c:f>
              <c:strCache>
                <c:ptCount val="1"/>
                <c:pt idx="0">
                  <c:v>Ape de suprafață</c:v>
                </c:pt>
              </c:strCache>
            </c:strRef>
          </c:tx>
          <c:cat>
            <c:numRef>
              <c:f>Sheet1!$C$68:$G$68</c:f>
              <c:numCache>
                <c:formatCode>General</c:formatCode>
                <c:ptCount val="5"/>
                <c:pt idx="0">
                  <c:v>2010</c:v>
                </c:pt>
                <c:pt idx="1">
                  <c:v>2011</c:v>
                </c:pt>
                <c:pt idx="2">
                  <c:v>2012</c:v>
                </c:pt>
                <c:pt idx="3">
                  <c:v>2013</c:v>
                </c:pt>
                <c:pt idx="4">
                  <c:v>2014</c:v>
                </c:pt>
              </c:numCache>
            </c:numRef>
          </c:cat>
          <c:val>
            <c:numRef>
              <c:f>Sheet1!$C$70:$G$70</c:f>
              <c:numCache>
                <c:formatCode>General</c:formatCode>
                <c:ptCount val="5"/>
                <c:pt idx="0">
                  <c:v>534</c:v>
                </c:pt>
                <c:pt idx="1">
                  <c:v>534</c:v>
                </c:pt>
                <c:pt idx="2">
                  <c:v>534</c:v>
                </c:pt>
                <c:pt idx="3">
                  <c:v>534</c:v>
                </c:pt>
                <c:pt idx="4">
                  <c:v>534</c:v>
                </c:pt>
              </c:numCache>
            </c:numRef>
          </c:val>
        </c:ser>
        <c:ser>
          <c:idx val="2"/>
          <c:order val="2"/>
          <c:tx>
            <c:strRef>
              <c:f>Sheet1!$B$71</c:f>
              <c:strCache>
                <c:ptCount val="1"/>
                <c:pt idx="0">
                  <c:v>Ape subterane</c:v>
                </c:pt>
              </c:strCache>
            </c:strRef>
          </c:tx>
          <c:cat>
            <c:numRef>
              <c:f>Sheet1!$C$68:$G$68</c:f>
              <c:numCache>
                <c:formatCode>General</c:formatCode>
                <c:ptCount val="5"/>
                <c:pt idx="0">
                  <c:v>2010</c:v>
                </c:pt>
                <c:pt idx="1">
                  <c:v>2011</c:v>
                </c:pt>
                <c:pt idx="2">
                  <c:v>2012</c:v>
                </c:pt>
                <c:pt idx="3">
                  <c:v>2013</c:v>
                </c:pt>
                <c:pt idx="4">
                  <c:v>2014</c:v>
                </c:pt>
              </c:numCache>
            </c:numRef>
          </c:cat>
          <c:val>
            <c:numRef>
              <c:f>Sheet1!$C$71:$G$71</c:f>
              <c:numCache>
                <c:formatCode>General</c:formatCode>
                <c:ptCount val="5"/>
                <c:pt idx="0">
                  <c:v>605</c:v>
                </c:pt>
                <c:pt idx="1">
                  <c:v>605</c:v>
                </c:pt>
                <c:pt idx="2">
                  <c:v>605</c:v>
                </c:pt>
                <c:pt idx="3">
                  <c:v>605</c:v>
                </c:pt>
                <c:pt idx="4">
                  <c:v>605</c:v>
                </c:pt>
              </c:numCache>
            </c:numRef>
          </c:val>
        </c:ser>
        <c:axId val="163489280"/>
        <c:axId val="163490816"/>
      </c:barChart>
      <c:catAx>
        <c:axId val="163489280"/>
        <c:scaling>
          <c:orientation val="minMax"/>
        </c:scaling>
        <c:axPos val="b"/>
        <c:numFmt formatCode="General" sourceLinked="1"/>
        <c:majorTickMark val="none"/>
        <c:tickLblPos val="nextTo"/>
        <c:crossAx val="163490816"/>
        <c:crosses val="autoZero"/>
        <c:auto val="1"/>
        <c:lblAlgn val="ctr"/>
        <c:lblOffset val="100"/>
      </c:catAx>
      <c:valAx>
        <c:axId val="163490816"/>
        <c:scaling>
          <c:orientation val="minMax"/>
        </c:scaling>
        <c:axPos val="l"/>
        <c:majorGridlines/>
        <c:title>
          <c:tx>
            <c:rich>
              <a:bodyPr/>
              <a:lstStyle/>
              <a:p>
                <a:pPr>
                  <a:defRPr/>
                </a:pPr>
                <a:r>
                  <a:rPr lang="vi-VN"/>
                  <a:t>Resurse de apă (milioane mc)</a:t>
                </a:r>
              </a:p>
            </c:rich>
          </c:tx>
        </c:title>
        <c:numFmt formatCode="General" sourceLinked="1"/>
        <c:majorTickMark val="none"/>
        <c:tickLblPos val="nextTo"/>
        <c:crossAx val="163489280"/>
        <c:crosses val="autoZero"/>
        <c:crossBetween val="between"/>
      </c:valAx>
      <c:dTable>
        <c:showHorzBorder val="1"/>
        <c:showVertBorder val="1"/>
        <c:showOutline val="1"/>
        <c:showKeys val="1"/>
      </c:dTable>
    </c:plotArea>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100">
                <a:latin typeface="Arial" pitchFamily="34" charset="0"/>
                <a:cs typeface="Arial" pitchFamily="34" charset="0"/>
              </a:rPr>
              <a:t>Evoluția cerinței și prelevărilor de apă de apă în perioada 2010-2014</a:t>
            </a:r>
            <a:r>
              <a:rPr lang="ro-RO" sz="1100">
                <a:latin typeface="Arial" pitchFamily="34" charset="0"/>
                <a:cs typeface="Arial" pitchFamily="34" charset="0"/>
              </a:rPr>
              <a:t>,</a:t>
            </a:r>
            <a:r>
              <a:rPr lang="vi-VN" sz="1100">
                <a:latin typeface="Arial" pitchFamily="34" charset="0"/>
                <a:cs typeface="Arial" pitchFamily="34" charset="0"/>
              </a:rPr>
              <a:t> în județul Buzău </a:t>
            </a:r>
          </a:p>
        </c:rich>
      </c:tx>
    </c:title>
    <c:plotArea>
      <c:layout/>
      <c:barChart>
        <c:barDir val="col"/>
        <c:grouping val="clustered"/>
        <c:ser>
          <c:idx val="0"/>
          <c:order val="0"/>
          <c:tx>
            <c:strRef>
              <c:f>Sheet1!$C$7</c:f>
              <c:strCache>
                <c:ptCount val="1"/>
                <c:pt idx="0">
                  <c:v>Total prelevat</c:v>
                </c:pt>
              </c:strCache>
            </c:strRef>
          </c:tx>
          <c:cat>
            <c:numRef>
              <c:f>Sheet1!$D$6:$H$6</c:f>
              <c:numCache>
                <c:formatCode>General</c:formatCode>
                <c:ptCount val="5"/>
                <c:pt idx="0">
                  <c:v>2010</c:v>
                </c:pt>
                <c:pt idx="1">
                  <c:v>2010</c:v>
                </c:pt>
                <c:pt idx="2">
                  <c:v>2012</c:v>
                </c:pt>
                <c:pt idx="3">
                  <c:v>2013</c:v>
                </c:pt>
                <c:pt idx="4">
                  <c:v>2014</c:v>
                </c:pt>
              </c:numCache>
            </c:numRef>
          </c:cat>
          <c:val>
            <c:numRef>
              <c:f>Sheet1!$D$7:$H$7</c:f>
              <c:numCache>
                <c:formatCode>#,##0.00</c:formatCode>
                <c:ptCount val="5"/>
                <c:pt idx="0">
                  <c:v>26634.2</c:v>
                </c:pt>
                <c:pt idx="1">
                  <c:v>25455.5</c:v>
                </c:pt>
                <c:pt idx="2">
                  <c:v>27288.6</c:v>
                </c:pt>
                <c:pt idx="3" formatCode="#,##0">
                  <c:v>30025</c:v>
                </c:pt>
                <c:pt idx="4">
                  <c:v>30928.3</c:v>
                </c:pt>
              </c:numCache>
            </c:numRef>
          </c:val>
        </c:ser>
        <c:ser>
          <c:idx val="1"/>
          <c:order val="1"/>
          <c:tx>
            <c:strRef>
              <c:f>Sheet1!$C$8</c:f>
              <c:strCache>
                <c:ptCount val="1"/>
                <c:pt idx="0">
                  <c:v>Total cerință</c:v>
                </c:pt>
              </c:strCache>
            </c:strRef>
          </c:tx>
          <c:cat>
            <c:numRef>
              <c:f>Sheet1!$D$6:$H$6</c:f>
              <c:numCache>
                <c:formatCode>General</c:formatCode>
                <c:ptCount val="5"/>
                <c:pt idx="0">
                  <c:v>2010</c:v>
                </c:pt>
                <c:pt idx="1">
                  <c:v>2010</c:v>
                </c:pt>
                <c:pt idx="2">
                  <c:v>2012</c:v>
                </c:pt>
                <c:pt idx="3">
                  <c:v>2013</c:v>
                </c:pt>
                <c:pt idx="4">
                  <c:v>2014</c:v>
                </c:pt>
              </c:numCache>
            </c:numRef>
          </c:cat>
          <c:val>
            <c:numRef>
              <c:f>Sheet1!$D$8:$H$8</c:f>
              <c:numCache>
                <c:formatCode>#,##0.00</c:formatCode>
                <c:ptCount val="5"/>
                <c:pt idx="0">
                  <c:v>32544.2</c:v>
                </c:pt>
                <c:pt idx="1">
                  <c:v>70934.600000000006</c:v>
                </c:pt>
                <c:pt idx="2">
                  <c:v>27177.7</c:v>
                </c:pt>
                <c:pt idx="3">
                  <c:v>36925.5</c:v>
                </c:pt>
                <c:pt idx="4" formatCode="#,##0">
                  <c:v>42153</c:v>
                </c:pt>
              </c:numCache>
            </c:numRef>
          </c:val>
        </c:ser>
        <c:axId val="163670272"/>
        <c:axId val="163676160"/>
      </c:barChart>
      <c:catAx>
        <c:axId val="163670272"/>
        <c:scaling>
          <c:orientation val="minMax"/>
        </c:scaling>
        <c:axPos val="b"/>
        <c:numFmt formatCode="General" sourceLinked="1"/>
        <c:majorTickMark val="none"/>
        <c:tickLblPos val="nextTo"/>
        <c:crossAx val="163676160"/>
        <c:crosses val="autoZero"/>
        <c:auto val="1"/>
        <c:lblAlgn val="ctr"/>
        <c:lblOffset val="100"/>
      </c:catAx>
      <c:valAx>
        <c:axId val="163676160"/>
        <c:scaling>
          <c:orientation val="minMax"/>
        </c:scaling>
        <c:axPos val="l"/>
        <c:majorGridlines/>
        <c:title>
          <c:tx>
            <c:rich>
              <a:bodyPr/>
              <a:lstStyle/>
              <a:p>
                <a:pPr>
                  <a:defRPr sz="1200">
                    <a:latin typeface="Arial" pitchFamily="34" charset="0"/>
                    <a:cs typeface="Arial" pitchFamily="34" charset="0"/>
                  </a:defRPr>
                </a:pPr>
                <a:r>
                  <a:rPr lang="en-US" sz="1200">
                    <a:latin typeface="Arial" pitchFamily="34" charset="0"/>
                    <a:cs typeface="Arial" pitchFamily="34" charset="0"/>
                  </a:rPr>
                  <a:t>Volum (mii mc)</a:t>
                </a:r>
              </a:p>
            </c:rich>
          </c:tx>
        </c:title>
        <c:numFmt formatCode="#,##0.00" sourceLinked="1"/>
        <c:majorTickMark val="none"/>
        <c:tickLblPos val="nextTo"/>
        <c:txPr>
          <a:bodyPr/>
          <a:lstStyle/>
          <a:p>
            <a:pPr>
              <a:defRPr baseline="0"/>
            </a:pPr>
            <a:endParaRPr lang="ro-RO"/>
          </a:p>
        </c:txPr>
        <c:crossAx val="163670272"/>
        <c:crosses val="autoZero"/>
        <c:crossBetween val="between"/>
      </c:valAx>
      <c:dTable>
        <c:showHorzBorder val="1"/>
        <c:showVertBorder val="1"/>
        <c:showOutline val="1"/>
        <c:showKeys val="1"/>
      </c:dTable>
    </c:plotArea>
    <c:plotVisOnly val="1"/>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100">
                <a:latin typeface="Arial" pitchFamily="34" charset="0"/>
                <a:cs typeface="Arial" pitchFamily="34" charset="0"/>
              </a:rPr>
              <a:t>Evoluția volumelor de apă prelevate pentru acoperirea cerințelor diferitelor categorii de folosințe, în județul Buzău, în perioada 2010-2014</a:t>
            </a:r>
          </a:p>
        </c:rich>
      </c:tx>
    </c:title>
    <c:plotArea>
      <c:layout/>
      <c:lineChart>
        <c:grouping val="stacked"/>
        <c:ser>
          <c:idx val="0"/>
          <c:order val="0"/>
          <c:tx>
            <c:strRef>
              <c:f>Sheet1!$C$36</c:f>
              <c:strCache>
                <c:ptCount val="1"/>
                <c:pt idx="0">
                  <c:v>Populație</c:v>
                </c:pt>
              </c:strCache>
            </c:strRef>
          </c:tx>
          <c:cat>
            <c:numRef>
              <c:f>Sheet1!$D$35:$H$35</c:f>
              <c:numCache>
                <c:formatCode>General</c:formatCode>
                <c:ptCount val="5"/>
                <c:pt idx="0">
                  <c:v>2010</c:v>
                </c:pt>
                <c:pt idx="1">
                  <c:v>2011</c:v>
                </c:pt>
                <c:pt idx="2">
                  <c:v>2012</c:v>
                </c:pt>
                <c:pt idx="3">
                  <c:v>2013</c:v>
                </c:pt>
                <c:pt idx="4">
                  <c:v>2014</c:v>
                </c:pt>
              </c:numCache>
            </c:numRef>
          </c:cat>
          <c:val>
            <c:numRef>
              <c:f>Sheet1!$D$36:$H$36</c:f>
              <c:numCache>
                <c:formatCode>#,##0.00</c:formatCode>
                <c:ptCount val="5"/>
                <c:pt idx="0" formatCode="#,##0">
                  <c:v>14868</c:v>
                </c:pt>
                <c:pt idx="1">
                  <c:v>15222.8</c:v>
                </c:pt>
                <c:pt idx="2">
                  <c:v>14653.6</c:v>
                </c:pt>
                <c:pt idx="3">
                  <c:v>14527.9</c:v>
                </c:pt>
                <c:pt idx="4">
                  <c:v>14029.2</c:v>
                </c:pt>
              </c:numCache>
            </c:numRef>
          </c:val>
        </c:ser>
        <c:ser>
          <c:idx val="1"/>
          <c:order val="1"/>
          <c:tx>
            <c:strRef>
              <c:f>Sheet1!$C$37</c:f>
              <c:strCache>
                <c:ptCount val="1"/>
                <c:pt idx="0">
                  <c:v>Industrie </c:v>
                </c:pt>
              </c:strCache>
            </c:strRef>
          </c:tx>
          <c:cat>
            <c:numRef>
              <c:f>Sheet1!$D$35:$H$35</c:f>
              <c:numCache>
                <c:formatCode>General</c:formatCode>
                <c:ptCount val="5"/>
                <c:pt idx="0">
                  <c:v>2010</c:v>
                </c:pt>
                <c:pt idx="1">
                  <c:v>2011</c:v>
                </c:pt>
                <c:pt idx="2">
                  <c:v>2012</c:v>
                </c:pt>
                <c:pt idx="3">
                  <c:v>2013</c:v>
                </c:pt>
                <c:pt idx="4">
                  <c:v>2014</c:v>
                </c:pt>
              </c:numCache>
            </c:numRef>
          </c:cat>
          <c:val>
            <c:numRef>
              <c:f>Sheet1!$D$37:$H$37</c:f>
              <c:numCache>
                <c:formatCode>#,##0.00</c:formatCode>
                <c:ptCount val="5"/>
                <c:pt idx="0">
                  <c:v>6192.8</c:v>
                </c:pt>
                <c:pt idx="1">
                  <c:v>5274.4</c:v>
                </c:pt>
                <c:pt idx="2">
                  <c:v>5621.2</c:v>
                </c:pt>
                <c:pt idx="3">
                  <c:v>5974.4</c:v>
                </c:pt>
                <c:pt idx="4">
                  <c:v>5930.2</c:v>
                </c:pt>
              </c:numCache>
            </c:numRef>
          </c:val>
        </c:ser>
        <c:ser>
          <c:idx val="2"/>
          <c:order val="2"/>
          <c:tx>
            <c:strRef>
              <c:f>Sheet1!$C$38</c:f>
              <c:strCache>
                <c:ptCount val="1"/>
                <c:pt idx="0">
                  <c:v>Agricultură</c:v>
                </c:pt>
              </c:strCache>
            </c:strRef>
          </c:tx>
          <c:cat>
            <c:numRef>
              <c:f>Sheet1!$D$35:$H$35</c:f>
              <c:numCache>
                <c:formatCode>General</c:formatCode>
                <c:ptCount val="5"/>
                <c:pt idx="0">
                  <c:v>2010</c:v>
                </c:pt>
                <c:pt idx="1">
                  <c:v>2011</c:v>
                </c:pt>
                <c:pt idx="2">
                  <c:v>2012</c:v>
                </c:pt>
                <c:pt idx="3">
                  <c:v>2013</c:v>
                </c:pt>
                <c:pt idx="4">
                  <c:v>2014</c:v>
                </c:pt>
              </c:numCache>
            </c:numRef>
          </c:cat>
          <c:val>
            <c:numRef>
              <c:f>Sheet1!$D$38:$H$38</c:f>
              <c:numCache>
                <c:formatCode>#,##0.00</c:formatCode>
                <c:ptCount val="5"/>
                <c:pt idx="0">
                  <c:v>5573.4</c:v>
                </c:pt>
                <c:pt idx="1">
                  <c:v>4958.3</c:v>
                </c:pt>
                <c:pt idx="2">
                  <c:v>7013.8</c:v>
                </c:pt>
                <c:pt idx="3">
                  <c:v>9522.7000000000007</c:v>
                </c:pt>
                <c:pt idx="4">
                  <c:v>10968.9</c:v>
                </c:pt>
              </c:numCache>
            </c:numRef>
          </c:val>
        </c:ser>
        <c:ser>
          <c:idx val="3"/>
          <c:order val="3"/>
          <c:tx>
            <c:strRef>
              <c:f>Sheet1!$C$39</c:f>
              <c:strCache>
                <c:ptCount val="1"/>
                <c:pt idx="0">
                  <c:v>Total</c:v>
                </c:pt>
              </c:strCache>
            </c:strRef>
          </c:tx>
          <c:cat>
            <c:numRef>
              <c:f>Sheet1!$D$35:$H$35</c:f>
              <c:numCache>
                <c:formatCode>General</c:formatCode>
                <c:ptCount val="5"/>
                <c:pt idx="0">
                  <c:v>2010</c:v>
                </c:pt>
                <c:pt idx="1">
                  <c:v>2011</c:v>
                </c:pt>
                <c:pt idx="2">
                  <c:v>2012</c:v>
                </c:pt>
                <c:pt idx="3">
                  <c:v>2013</c:v>
                </c:pt>
                <c:pt idx="4">
                  <c:v>2014</c:v>
                </c:pt>
              </c:numCache>
            </c:numRef>
          </c:cat>
          <c:val>
            <c:numRef>
              <c:f>Sheet1!$D$39:$H$39</c:f>
              <c:numCache>
                <c:formatCode>#,##0.00</c:formatCode>
                <c:ptCount val="5"/>
                <c:pt idx="0">
                  <c:v>26634.2</c:v>
                </c:pt>
                <c:pt idx="1">
                  <c:v>25455.5</c:v>
                </c:pt>
                <c:pt idx="2">
                  <c:v>27288.6</c:v>
                </c:pt>
                <c:pt idx="3" formatCode="#,##0">
                  <c:v>30025</c:v>
                </c:pt>
                <c:pt idx="4">
                  <c:v>30928.3</c:v>
                </c:pt>
              </c:numCache>
            </c:numRef>
          </c:val>
        </c:ser>
        <c:marker val="1"/>
        <c:axId val="163694848"/>
        <c:axId val="163844096"/>
      </c:lineChart>
      <c:catAx>
        <c:axId val="163694848"/>
        <c:scaling>
          <c:orientation val="minMax"/>
        </c:scaling>
        <c:axPos val="b"/>
        <c:numFmt formatCode="General" sourceLinked="1"/>
        <c:majorTickMark val="none"/>
        <c:tickLblPos val="nextTo"/>
        <c:crossAx val="163844096"/>
        <c:crosses val="autoZero"/>
        <c:auto val="1"/>
        <c:lblAlgn val="ctr"/>
        <c:lblOffset val="100"/>
      </c:catAx>
      <c:valAx>
        <c:axId val="163844096"/>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Volum (mii mc)</a:t>
                </a:r>
              </a:p>
            </c:rich>
          </c:tx>
        </c:title>
        <c:numFmt formatCode="#,##0" sourceLinked="1"/>
        <c:majorTickMark val="none"/>
        <c:tickLblPos val="nextTo"/>
        <c:crossAx val="163694848"/>
        <c:crosses val="autoZero"/>
        <c:crossBetween val="between"/>
      </c:valAx>
      <c:dTable>
        <c:showHorzBorder val="1"/>
        <c:showVertBorder val="1"/>
        <c:showOutline val="1"/>
        <c:showKeys val="1"/>
      </c:dTable>
    </c:plotArea>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Arial" pitchFamily="34" charset="0"/>
                <a:cs typeface="Arial" pitchFamily="34" charset="0"/>
              </a:defRPr>
            </a:pPr>
            <a:r>
              <a:rPr lang="vi-VN" sz="1100">
                <a:latin typeface="Arial" pitchFamily="34" charset="0"/>
                <a:cs typeface="Arial" pitchFamily="34" charset="0"/>
              </a:rPr>
              <a:t>Variația concentrațiilor de CBO5 și amoniu la nivelul bazinelor hidrografice din județul Buzău, în anul 2014</a:t>
            </a:r>
          </a:p>
        </c:rich>
      </c:tx>
    </c:title>
    <c:plotArea>
      <c:layout>
        <c:manualLayout>
          <c:layoutTarget val="inner"/>
          <c:xMode val="edge"/>
          <c:yMode val="edge"/>
          <c:x val="0.29883333333333334"/>
          <c:y val="0.18010425780110842"/>
          <c:w val="0.60259492563429573"/>
          <c:h val="0.47724555263925345"/>
        </c:manualLayout>
      </c:layout>
      <c:lineChart>
        <c:grouping val="stacked"/>
        <c:ser>
          <c:idx val="0"/>
          <c:order val="0"/>
          <c:tx>
            <c:strRef>
              <c:f>Sheet1!$D$290</c:f>
              <c:strCache>
                <c:ptCount val="1"/>
                <c:pt idx="0">
                  <c:v>CBO5 (mg O2/l)</c:v>
                </c:pt>
              </c:strCache>
            </c:strRef>
          </c:tx>
          <c:cat>
            <c:strRef>
              <c:f>Sheet1!$C$291:$C$294</c:f>
              <c:strCache>
                <c:ptCount val="4"/>
                <c:pt idx="0">
                  <c:v>Buzău</c:v>
                </c:pt>
                <c:pt idx="1">
                  <c:v>Sărata</c:v>
                </c:pt>
                <c:pt idx="2">
                  <c:v>Călmățui</c:v>
                </c:pt>
                <c:pt idx="3">
                  <c:v>Râmnicu Sărat</c:v>
                </c:pt>
              </c:strCache>
            </c:strRef>
          </c:cat>
          <c:val>
            <c:numRef>
              <c:f>Sheet1!$D$291:$D$294</c:f>
              <c:numCache>
                <c:formatCode>General</c:formatCode>
                <c:ptCount val="4"/>
                <c:pt idx="0">
                  <c:v>23.8</c:v>
                </c:pt>
                <c:pt idx="1">
                  <c:v>5.8</c:v>
                </c:pt>
                <c:pt idx="2">
                  <c:v>45.7</c:v>
                </c:pt>
                <c:pt idx="3">
                  <c:v>2.6389999999999998</c:v>
                </c:pt>
              </c:numCache>
            </c:numRef>
          </c:val>
        </c:ser>
        <c:marker val="1"/>
        <c:axId val="163871744"/>
        <c:axId val="163881728"/>
      </c:lineChart>
      <c:lineChart>
        <c:grouping val="stacked"/>
        <c:ser>
          <c:idx val="1"/>
          <c:order val="1"/>
          <c:tx>
            <c:strRef>
              <c:f>Sheet1!$E$290</c:f>
              <c:strCache>
                <c:ptCount val="1"/>
                <c:pt idx="0">
                  <c:v>Amoniu</c:v>
                </c:pt>
              </c:strCache>
            </c:strRef>
          </c:tx>
          <c:cat>
            <c:strRef>
              <c:f>Sheet1!$C$291:$C$294</c:f>
              <c:strCache>
                <c:ptCount val="4"/>
                <c:pt idx="0">
                  <c:v>Buzău</c:v>
                </c:pt>
                <c:pt idx="1">
                  <c:v>Sărata</c:v>
                </c:pt>
                <c:pt idx="2">
                  <c:v>Călmățui</c:v>
                </c:pt>
                <c:pt idx="3">
                  <c:v>Râmnicu Sărat</c:v>
                </c:pt>
              </c:strCache>
            </c:strRef>
          </c:cat>
          <c:val>
            <c:numRef>
              <c:f>Sheet1!$E$291:$E$294</c:f>
              <c:numCache>
                <c:formatCode>General</c:formatCode>
                <c:ptCount val="4"/>
                <c:pt idx="0">
                  <c:v>160</c:v>
                </c:pt>
                <c:pt idx="1">
                  <c:v>60</c:v>
                </c:pt>
                <c:pt idx="2">
                  <c:v>310</c:v>
                </c:pt>
                <c:pt idx="3">
                  <c:v>561</c:v>
                </c:pt>
              </c:numCache>
            </c:numRef>
          </c:val>
        </c:ser>
        <c:marker val="1"/>
        <c:axId val="163897728"/>
        <c:axId val="163883648"/>
      </c:lineChart>
      <c:catAx>
        <c:axId val="163871744"/>
        <c:scaling>
          <c:orientation val="minMax"/>
        </c:scaling>
        <c:axPos val="b"/>
        <c:majorTickMark val="none"/>
        <c:tickLblPos val="nextTo"/>
        <c:crossAx val="163881728"/>
        <c:crosses val="autoZero"/>
        <c:auto val="1"/>
        <c:lblAlgn val="ctr"/>
        <c:lblOffset val="100"/>
      </c:catAx>
      <c:valAx>
        <c:axId val="163881728"/>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Concentrații</a:t>
                </a:r>
              </a:p>
            </c:rich>
          </c:tx>
          <c:layout>
            <c:manualLayout>
              <c:xMode val="edge"/>
              <c:yMode val="edge"/>
              <c:x val="0.10555555555555562"/>
              <c:y val="0.31699074074074152"/>
            </c:manualLayout>
          </c:layout>
        </c:title>
        <c:numFmt formatCode="General" sourceLinked="1"/>
        <c:majorTickMark val="none"/>
        <c:tickLblPos val="nextTo"/>
        <c:crossAx val="163871744"/>
        <c:crosses val="autoZero"/>
        <c:crossBetween val="between"/>
      </c:valAx>
      <c:valAx>
        <c:axId val="163883648"/>
        <c:scaling>
          <c:orientation val="minMax"/>
        </c:scaling>
        <c:axPos val="r"/>
        <c:numFmt formatCode="General" sourceLinked="1"/>
        <c:tickLblPos val="nextTo"/>
        <c:crossAx val="163897728"/>
        <c:crosses val="max"/>
        <c:crossBetween val="between"/>
      </c:valAx>
      <c:catAx>
        <c:axId val="163897728"/>
        <c:scaling>
          <c:orientation val="minMax"/>
        </c:scaling>
        <c:delete val="1"/>
        <c:axPos val="b"/>
        <c:tickLblPos val="none"/>
        <c:crossAx val="163883648"/>
        <c:crosses val="autoZero"/>
        <c:auto val="1"/>
        <c:lblAlgn val="ctr"/>
        <c:lblOffset val="100"/>
      </c:catAx>
      <c:dTable>
        <c:showHorzBorder val="1"/>
        <c:showVertBorder val="1"/>
        <c:showOutline val="1"/>
        <c:showKeys val="1"/>
      </c:dTable>
    </c:plotArea>
    <c:plotVisOnly val="1"/>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200">
                <a:latin typeface="Arial" pitchFamily="34" charset="0"/>
                <a:cs typeface="Arial" pitchFamily="34" charset="0"/>
              </a:rPr>
              <a:t>Variația concentrațiilor de CBO5 și amoniu la nivelul bazinului hidrografic Buzău, în perioada 2010-2014</a:t>
            </a:r>
          </a:p>
        </c:rich>
      </c:tx>
      <c:layout>
        <c:manualLayout>
          <c:xMode val="edge"/>
          <c:yMode val="edge"/>
          <c:x val="0.20174925825299136"/>
          <c:y val="4.3653412528185671E-2"/>
        </c:manualLayout>
      </c:layout>
    </c:title>
    <c:plotArea>
      <c:layout/>
      <c:lineChart>
        <c:grouping val="stacked"/>
        <c:ser>
          <c:idx val="0"/>
          <c:order val="0"/>
          <c:tx>
            <c:strRef>
              <c:f>Sheet1!$C$98</c:f>
              <c:strCache>
                <c:ptCount val="1"/>
                <c:pt idx="0">
                  <c:v>Consum biochimic de oxigen (mg O2/l)</c:v>
                </c:pt>
              </c:strCache>
            </c:strRef>
          </c:tx>
          <c:cat>
            <c:numRef>
              <c:f>Sheet1!$D$97:$H$97</c:f>
              <c:numCache>
                <c:formatCode>General</c:formatCode>
                <c:ptCount val="5"/>
                <c:pt idx="0">
                  <c:v>2010</c:v>
                </c:pt>
                <c:pt idx="1">
                  <c:v>2011</c:v>
                </c:pt>
                <c:pt idx="2">
                  <c:v>2012</c:v>
                </c:pt>
                <c:pt idx="3">
                  <c:v>2013</c:v>
                </c:pt>
                <c:pt idx="4">
                  <c:v>2014</c:v>
                </c:pt>
              </c:numCache>
            </c:numRef>
          </c:cat>
          <c:val>
            <c:numRef>
              <c:f>Sheet1!$D$98:$H$98</c:f>
              <c:numCache>
                <c:formatCode>General</c:formatCode>
                <c:ptCount val="5"/>
                <c:pt idx="1">
                  <c:v>12.5</c:v>
                </c:pt>
                <c:pt idx="2">
                  <c:v>22.5</c:v>
                </c:pt>
                <c:pt idx="3">
                  <c:v>30.2</c:v>
                </c:pt>
                <c:pt idx="4">
                  <c:v>23.8</c:v>
                </c:pt>
              </c:numCache>
            </c:numRef>
          </c:val>
        </c:ser>
        <c:marker val="1"/>
        <c:axId val="163920896"/>
        <c:axId val="163926784"/>
      </c:lineChart>
      <c:lineChart>
        <c:grouping val="stacked"/>
        <c:ser>
          <c:idx val="1"/>
          <c:order val="1"/>
          <c:tx>
            <c:strRef>
              <c:f>Sheet1!$C$99</c:f>
              <c:strCache>
                <c:ptCount val="1"/>
                <c:pt idx="0">
                  <c:v>Amoniu (µg/l)</c:v>
                </c:pt>
              </c:strCache>
            </c:strRef>
          </c:tx>
          <c:cat>
            <c:numRef>
              <c:f>Sheet1!$D$97:$H$97</c:f>
              <c:numCache>
                <c:formatCode>General</c:formatCode>
                <c:ptCount val="5"/>
                <c:pt idx="0">
                  <c:v>2010</c:v>
                </c:pt>
                <c:pt idx="1">
                  <c:v>2011</c:v>
                </c:pt>
                <c:pt idx="2">
                  <c:v>2012</c:v>
                </c:pt>
                <c:pt idx="3">
                  <c:v>2013</c:v>
                </c:pt>
                <c:pt idx="4">
                  <c:v>2014</c:v>
                </c:pt>
              </c:numCache>
            </c:numRef>
          </c:cat>
          <c:val>
            <c:numRef>
              <c:f>Sheet1!$D$99:$H$99</c:f>
              <c:numCache>
                <c:formatCode>General</c:formatCode>
                <c:ptCount val="5"/>
                <c:pt idx="0">
                  <c:v>720</c:v>
                </c:pt>
                <c:pt idx="1">
                  <c:v>280</c:v>
                </c:pt>
                <c:pt idx="2">
                  <c:v>170</c:v>
                </c:pt>
                <c:pt idx="3">
                  <c:v>110</c:v>
                </c:pt>
                <c:pt idx="4">
                  <c:v>160</c:v>
                </c:pt>
              </c:numCache>
            </c:numRef>
          </c:val>
        </c:ser>
        <c:marker val="1"/>
        <c:axId val="163942784"/>
        <c:axId val="163928704"/>
      </c:lineChart>
      <c:catAx>
        <c:axId val="163920896"/>
        <c:scaling>
          <c:orientation val="minMax"/>
        </c:scaling>
        <c:axPos val="b"/>
        <c:numFmt formatCode="General" sourceLinked="1"/>
        <c:majorTickMark val="none"/>
        <c:tickLblPos val="nextTo"/>
        <c:crossAx val="163926784"/>
        <c:crosses val="autoZero"/>
        <c:auto val="1"/>
        <c:lblAlgn val="ctr"/>
        <c:lblOffset val="100"/>
      </c:catAx>
      <c:valAx>
        <c:axId val="163926784"/>
        <c:scaling>
          <c:orientation val="minMax"/>
        </c:scaling>
        <c:axPos val="l"/>
        <c:majorGridlines/>
        <c:title>
          <c:tx>
            <c:rich>
              <a:bodyPr/>
              <a:lstStyle/>
              <a:p>
                <a:pPr>
                  <a:defRPr/>
                </a:pPr>
                <a:r>
                  <a:rPr lang="en-US" sz="1200">
                    <a:latin typeface="Arial" pitchFamily="34" charset="0"/>
                    <a:cs typeface="Arial" pitchFamily="34" charset="0"/>
                  </a:rPr>
                  <a:t>Concentrații</a:t>
                </a:r>
              </a:p>
            </c:rich>
          </c:tx>
          <c:layout>
            <c:manualLayout>
              <c:xMode val="edge"/>
              <c:yMode val="edge"/>
              <c:x val="2.737763240246998E-2"/>
              <c:y val="0.17282086485806988"/>
            </c:manualLayout>
          </c:layout>
        </c:title>
        <c:numFmt formatCode="General" sourceLinked="1"/>
        <c:majorTickMark val="none"/>
        <c:tickLblPos val="nextTo"/>
        <c:crossAx val="163920896"/>
        <c:crosses val="autoZero"/>
        <c:crossBetween val="between"/>
      </c:valAx>
      <c:valAx>
        <c:axId val="163928704"/>
        <c:scaling>
          <c:orientation val="minMax"/>
        </c:scaling>
        <c:axPos val="r"/>
        <c:numFmt formatCode="General" sourceLinked="1"/>
        <c:tickLblPos val="nextTo"/>
        <c:crossAx val="163942784"/>
        <c:crosses val="max"/>
        <c:crossBetween val="between"/>
      </c:valAx>
      <c:catAx>
        <c:axId val="163942784"/>
        <c:scaling>
          <c:orientation val="minMax"/>
        </c:scaling>
        <c:delete val="1"/>
        <c:axPos val="b"/>
        <c:numFmt formatCode="General" sourceLinked="1"/>
        <c:tickLblPos val="none"/>
        <c:crossAx val="163928704"/>
        <c:crosses val="autoZero"/>
        <c:auto val="1"/>
        <c:lblAlgn val="ctr"/>
        <c:lblOffset val="100"/>
      </c:catAx>
      <c:dTable>
        <c:showHorzBorder val="1"/>
        <c:showVertBorder val="1"/>
        <c:showOutline val="1"/>
        <c:showKeys val="1"/>
      </c:dTable>
    </c:plotArea>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200">
                <a:latin typeface="Arial" pitchFamily="34" charset="0"/>
                <a:cs typeface="Arial" pitchFamily="34" charset="0"/>
              </a:rPr>
              <a:t>Variația concentrațiilor de CBO5 și amoniu la nivelul bazinului hidrografic Sărata, în perioada 2010-2014</a:t>
            </a:r>
          </a:p>
        </c:rich>
      </c:tx>
    </c:title>
    <c:plotArea>
      <c:layout/>
      <c:lineChart>
        <c:grouping val="stacked"/>
        <c:ser>
          <c:idx val="0"/>
          <c:order val="0"/>
          <c:tx>
            <c:strRef>
              <c:f>Sheet1!$C$122</c:f>
              <c:strCache>
                <c:ptCount val="1"/>
                <c:pt idx="0">
                  <c:v>Consum biochimic de oxigen (mg O2/l)</c:v>
                </c:pt>
              </c:strCache>
            </c:strRef>
          </c:tx>
          <c:cat>
            <c:numRef>
              <c:f>Sheet1!$D$121:$H$121</c:f>
              <c:numCache>
                <c:formatCode>General</c:formatCode>
                <c:ptCount val="5"/>
                <c:pt idx="0">
                  <c:v>2010</c:v>
                </c:pt>
                <c:pt idx="1">
                  <c:v>2011</c:v>
                </c:pt>
                <c:pt idx="2">
                  <c:v>2012</c:v>
                </c:pt>
                <c:pt idx="3">
                  <c:v>2013</c:v>
                </c:pt>
                <c:pt idx="4">
                  <c:v>2014</c:v>
                </c:pt>
              </c:numCache>
            </c:numRef>
          </c:cat>
          <c:val>
            <c:numRef>
              <c:f>Sheet1!$D$122:$H$122</c:f>
              <c:numCache>
                <c:formatCode>General</c:formatCode>
                <c:ptCount val="5"/>
                <c:pt idx="1">
                  <c:v>10.8</c:v>
                </c:pt>
                <c:pt idx="2">
                  <c:v>15.2</c:v>
                </c:pt>
                <c:pt idx="3">
                  <c:v>12.4</c:v>
                </c:pt>
                <c:pt idx="4">
                  <c:v>5.8</c:v>
                </c:pt>
              </c:numCache>
            </c:numRef>
          </c:val>
        </c:ser>
        <c:marker val="1"/>
        <c:axId val="163580928"/>
        <c:axId val="163590912"/>
      </c:lineChart>
      <c:lineChart>
        <c:grouping val="stacked"/>
        <c:ser>
          <c:idx val="1"/>
          <c:order val="1"/>
          <c:tx>
            <c:strRef>
              <c:f>Sheet1!$C$123</c:f>
              <c:strCache>
                <c:ptCount val="1"/>
                <c:pt idx="0">
                  <c:v>Amoniu (µg/l)</c:v>
                </c:pt>
              </c:strCache>
            </c:strRef>
          </c:tx>
          <c:cat>
            <c:numRef>
              <c:f>Sheet1!$D$121:$H$121</c:f>
              <c:numCache>
                <c:formatCode>General</c:formatCode>
                <c:ptCount val="5"/>
                <c:pt idx="0">
                  <c:v>2010</c:v>
                </c:pt>
                <c:pt idx="1">
                  <c:v>2011</c:v>
                </c:pt>
                <c:pt idx="2">
                  <c:v>2012</c:v>
                </c:pt>
                <c:pt idx="3">
                  <c:v>2013</c:v>
                </c:pt>
                <c:pt idx="4">
                  <c:v>2014</c:v>
                </c:pt>
              </c:numCache>
            </c:numRef>
          </c:cat>
          <c:val>
            <c:numRef>
              <c:f>Sheet1!$D$123:$H$123</c:f>
              <c:numCache>
                <c:formatCode>General</c:formatCode>
                <c:ptCount val="5"/>
                <c:pt idx="0">
                  <c:v>170</c:v>
                </c:pt>
                <c:pt idx="1">
                  <c:v>130</c:v>
                </c:pt>
                <c:pt idx="2">
                  <c:v>230</c:v>
                </c:pt>
                <c:pt idx="3">
                  <c:v>60</c:v>
                </c:pt>
                <c:pt idx="4">
                  <c:v>60</c:v>
                </c:pt>
              </c:numCache>
            </c:numRef>
          </c:val>
        </c:ser>
        <c:marker val="1"/>
        <c:axId val="163602816"/>
        <c:axId val="163592832"/>
      </c:lineChart>
      <c:catAx>
        <c:axId val="163580928"/>
        <c:scaling>
          <c:orientation val="minMax"/>
        </c:scaling>
        <c:axPos val="b"/>
        <c:numFmt formatCode="General" sourceLinked="1"/>
        <c:majorTickMark val="none"/>
        <c:tickLblPos val="nextTo"/>
        <c:crossAx val="163590912"/>
        <c:crosses val="autoZero"/>
        <c:auto val="1"/>
        <c:lblAlgn val="ctr"/>
        <c:lblOffset val="100"/>
      </c:catAx>
      <c:valAx>
        <c:axId val="163590912"/>
        <c:scaling>
          <c:orientation val="minMax"/>
        </c:scaling>
        <c:axPos val="l"/>
        <c:majorGridlines/>
        <c:title>
          <c:tx>
            <c:rich>
              <a:bodyPr/>
              <a:lstStyle/>
              <a:p>
                <a:pPr>
                  <a:defRPr sz="1200">
                    <a:latin typeface="Arial" pitchFamily="34" charset="0"/>
                    <a:cs typeface="Arial" pitchFamily="34" charset="0"/>
                  </a:defRPr>
                </a:pPr>
                <a:r>
                  <a:rPr lang="en-US" sz="1200">
                    <a:latin typeface="Arial" pitchFamily="34" charset="0"/>
                    <a:cs typeface="Arial" pitchFamily="34" charset="0"/>
                  </a:rPr>
                  <a:t>Concentrații</a:t>
                </a:r>
              </a:p>
            </c:rich>
          </c:tx>
          <c:layout>
            <c:manualLayout>
              <c:xMode val="edge"/>
              <c:yMode val="edge"/>
              <c:x val="2.7298041956588949E-2"/>
              <c:y val="0.2004407224965099"/>
            </c:manualLayout>
          </c:layout>
        </c:title>
        <c:numFmt formatCode="General" sourceLinked="1"/>
        <c:majorTickMark val="none"/>
        <c:tickLblPos val="nextTo"/>
        <c:crossAx val="163580928"/>
        <c:crosses val="autoZero"/>
        <c:crossBetween val="between"/>
      </c:valAx>
      <c:valAx>
        <c:axId val="163592832"/>
        <c:scaling>
          <c:orientation val="minMax"/>
        </c:scaling>
        <c:axPos val="r"/>
        <c:numFmt formatCode="General" sourceLinked="1"/>
        <c:tickLblPos val="nextTo"/>
        <c:crossAx val="163602816"/>
        <c:crosses val="max"/>
        <c:crossBetween val="between"/>
      </c:valAx>
      <c:catAx>
        <c:axId val="163602816"/>
        <c:scaling>
          <c:orientation val="minMax"/>
        </c:scaling>
        <c:delete val="1"/>
        <c:axPos val="b"/>
        <c:numFmt formatCode="General" sourceLinked="1"/>
        <c:tickLblPos val="none"/>
        <c:crossAx val="163592832"/>
        <c:crosses val="autoZero"/>
        <c:auto val="1"/>
        <c:lblAlgn val="ctr"/>
        <c:lblOffset val="100"/>
      </c:cat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Sheet1!$C$4</c:f>
              <c:strCache>
                <c:ptCount val="1"/>
                <c:pt idx="0">
                  <c:v>NO2(µg/m3)</c:v>
                </c:pt>
              </c:strCache>
            </c:strRef>
          </c:tx>
          <c:marker>
            <c:symbol val="none"/>
          </c:marker>
          <c:cat>
            <c:strRef>
              <c:f>Sheet1!$B$5:$B$11</c:f>
              <c:strCache>
                <c:ptCount val="7"/>
                <c:pt idx="0">
                  <c:v>2008"</c:v>
                </c:pt>
                <c:pt idx="1">
                  <c:v>2009"</c:v>
                </c:pt>
                <c:pt idx="2">
                  <c:v>2010"</c:v>
                </c:pt>
                <c:pt idx="3">
                  <c:v>2011"</c:v>
                </c:pt>
                <c:pt idx="4">
                  <c:v>2012"</c:v>
                </c:pt>
                <c:pt idx="5">
                  <c:v>2013"</c:v>
                </c:pt>
                <c:pt idx="6">
                  <c:v>2014"</c:v>
                </c:pt>
              </c:strCache>
            </c:strRef>
          </c:cat>
          <c:val>
            <c:numRef>
              <c:f>Sheet1!$C$5:$C$11</c:f>
              <c:numCache>
                <c:formatCode>General</c:formatCode>
                <c:ptCount val="7"/>
                <c:pt idx="0">
                  <c:v>27</c:v>
                </c:pt>
                <c:pt idx="1">
                  <c:v>23</c:v>
                </c:pt>
                <c:pt idx="2">
                  <c:v>19</c:v>
                </c:pt>
              </c:numCache>
            </c:numRef>
          </c:val>
        </c:ser>
        <c:ser>
          <c:idx val="1"/>
          <c:order val="1"/>
          <c:tx>
            <c:strRef>
              <c:f>Sheet1!$D$4</c:f>
              <c:strCache>
                <c:ptCount val="1"/>
                <c:pt idx="0">
                  <c:v>NOx(µg/m3)</c:v>
                </c:pt>
              </c:strCache>
            </c:strRef>
          </c:tx>
          <c:marker>
            <c:symbol val="none"/>
          </c:marker>
          <c:cat>
            <c:strRef>
              <c:f>Sheet1!$B$5:$B$11</c:f>
              <c:strCache>
                <c:ptCount val="7"/>
                <c:pt idx="0">
                  <c:v>2008"</c:v>
                </c:pt>
                <c:pt idx="1">
                  <c:v>2009"</c:v>
                </c:pt>
                <c:pt idx="2">
                  <c:v>2010"</c:v>
                </c:pt>
                <c:pt idx="3">
                  <c:v>2011"</c:v>
                </c:pt>
                <c:pt idx="4">
                  <c:v>2012"</c:v>
                </c:pt>
                <c:pt idx="5">
                  <c:v>2013"</c:v>
                </c:pt>
                <c:pt idx="6">
                  <c:v>2014"</c:v>
                </c:pt>
              </c:strCache>
            </c:strRef>
          </c:cat>
          <c:val>
            <c:numRef>
              <c:f>Sheet1!$D$5:$D$11</c:f>
              <c:numCache>
                <c:formatCode>General</c:formatCode>
                <c:ptCount val="7"/>
                <c:pt idx="0">
                  <c:v>40</c:v>
                </c:pt>
                <c:pt idx="1">
                  <c:v>36</c:v>
                </c:pt>
                <c:pt idx="2">
                  <c:v>29</c:v>
                </c:pt>
              </c:numCache>
            </c:numRef>
          </c:val>
        </c:ser>
        <c:ser>
          <c:idx val="2"/>
          <c:order val="2"/>
          <c:tx>
            <c:strRef>
              <c:f>Sheet1!$E$4</c:f>
              <c:strCache>
                <c:ptCount val="1"/>
                <c:pt idx="0">
                  <c:v>VL NO2(µg/m3)</c:v>
                </c:pt>
              </c:strCache>
            </c:strRef>
          </c:tx>
          <c:marker>
            <c:symbol val="none"/>
          </c:marker>
          <c:cat>
            <c:strRef>
              <c:f>Sheet1!$B$5:$B$11</c:f>
              <c:strCache>
                <c:ptCount val="7"/>
                <c:pt idx="0">
                  <c:v>2008"</c:v>
                </c:pt>
                <c:pt idx="1">
                  <c:v>2009"</c:v>
                </c:pt>
                <c:pt idx="2">
                  <c:v>2010"</c:v>
                </c:pt>
                <c:pt idx="3">
                  <c:v>2011"</c:v>
                </c:pt>
                <c:pt idx="4">
                  <c:v>2012"</c:v>
                </c:pt>
                <c:pt idx="5">
                  <c:v>2013"</c:v>
                </c:pt>
                <c:pt idx="6">
                  <c:v>2014"</c:v>
                </c:pt>
              </c:strCache>
            </c:strRef>
          </c:cat>
          <c:val>
            <c:numRef>
              <c:f>Sheet1!$E$5:$E$11</c:f>
              <c:numCache>
                <c:formatCode>General</c:formatCode>
                <c:ptCount val="7"/>
                <c:pt idx="0">
                  <c:v>43.3</c:v>
                </c:pt>
                <c:pt idx="1">
                  <c:v>43.3</c:v>
                </c:pt>
                <c:pt idx="2">
                  <c:v>43.3</c:v>
                </c:pt>
                <c:pt idx="3">
                  <c:v>40</c:v>
                </c:pt>
                <c:pt idx="4">
                  <c:v>40</c:v>
                </c:pt>
                <c:pt idx="5">
                  <c:v>40</c:v>
                </c:pt>
                <c:pt idx="6">
                  <c:v>40</c:v>
                </c:pt>
              </c:numCache>
            </c:numRef>
          </c:val>
        </c:ser>
        <c:marker val="1"/>
        <c:axId val="135164288"/>
        <c:axId val="135165824"/>
      </c:lineChart>
      <c:catAx>
        <c:axId val="135164288"/>
        <c:scaling>
          <c:orientation val="minMax"/>
        </c:scaling>
        <c:axPos val="b"/>
        <c:tickLblPos val="nextTo"/>
        <c:crossAx val="135165824"/>
        <c:crosses val="autoZero"/>
        <c:auto val="1"/>
        <c:lblAlgn val="ctr"/>
        <c:lblOffset val="100"/>
      </c:catAx>
      <c:valAx>
        <c:axId val="135165824"/>
        <c:scaling>
          <c:orientation val="minMax"/>
        </c:scaling>
        <c:axPos val="l"/>
        <c:majorGridlines/>
        <c:numFmt formatCode="General" sourceLinked="1"/>
        <c:tickLblPos val="nextTo"/>
        <c:crossAx val="135164288"/>
        <c:crosses val="autoZero"/>
        <c:crossBetween val="between"/>
      </c:valAx>
    </c:plotArea>
    <c:legend>
      <c:legendPos val="r"/>
    </c:legend>
    <c:plotVisOnly val="1"/>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200">
                <a:latin typeface="Arial" pitchFamily="34" charset="0"/>
                <a:cs typeface="Arial" pitchFamily="34" charset="0"/>
              </a:rPr>
              <a:t>Variația concentrațiilor de CBO5 și amoniu la nivelul bazinului hidrografic Călmățui, în perioada 2010-2014</a:t>
            </a:r>
          </a:p>
        </c:rich>
      </c:tx>
      <c:layout>
        <c:manualLayout>
          <c:xMode val="edge"/>
          <c:yMode val="edge"/>
          <c:x val="0.18085583029266741"/>
          <c:y val="2.1831998385797337E-2"/>
        </c:manualLayout>
      </c:layout>
    </c:title>
    <c:plotArea>
      <c:layout/>
      <c:lineChart>
        <c:grouping val="stacked"/>
        <c:ser>
          <c:idx val="0"/>
          <c:order val="0"/>
          <c:tx>
            <c:strRef>
              <c:f>Sheet1!$C$145</c:f>
              <c:strCache>
                <c:ptCount val="1"/>
                <c:pt idx="0">
                  <c:v>Consum biochimic de oxigen (mg O2/l)</c:v>
                </c:pt>
              </c:strCache>
            </c:strRef>
          </c:tx>
          <c:cat>
            <c:numRef>
              <c:f>Sheet1!$D$144:$H$144</c:f>
              <c:numCache>
                <c:formatCode>General</c:formatCode>
                <c:ptCount val="5"/>
                <c:pt idx="0">
                  <c:v>2010</c:v>
                </c:pt>
                <c:pt idx="1">
                  <c:v>2011</c:v>
                </c:pt>
                <c:pt idx="2">
                  <c:v>2012</c:v>
                </c:pt>
                <c:pt idx="3">
                  <c:v>2013</c:v>
                </c:pt>
                <c:pt idx="4">
                  <c:v>2014</c:v>
                </c:pt>
              </c:numCache>
            </c:numRef>
          </c:cat>
          <c:val>
            <c:numRef>
              <c:f>Sheet1!$D$145:$H$145</c:f>
              <c:numCache>
                <c:formatCode>General</c:formatCode>
                <c:ptCount val="5"/>
                <c:pt idx="1">
                  <c:v>37.800000000000004</c:v>
                </c:pt>
                <c:pt idx="2">
                  <c:v>33.9</c:v>
                </c:pt>
                <c:pt idx="3">
                  <c:v>55.1</c:v>
                </c:pt>
                <c:pt idx="4">
                  <c:v>45.7</c:v>
                </c:pt>
              </c:numCache>
            </c:numRef>
          </c:val>
        </c:ser>
        <c:marker val="1"/>
        <c:axId val="163625984"/>
        <c:axId val="163631872"/>
      </c:lineChart>
      <c:lineChart>
        <c:grouping val="stacked"/>
        <c:ser>
          <c:idx val="1"/>
          <c:order val="1"/>
          <c:tx>
            <c:strRef>
              <c:f>Sheet1!$C$146</c:f>
              <c:strCache>
                <c:ptCount val="1"/>
                <c:pt idx="0">
                  <c:v>Amoniu (µg/l)</c:v>
                </c:pt>
              </c:strCache>
            </c:strRef>
          </c:tx>
          <c:cat>
            <c:numRef>
              <c:f>Sheet1!$D$144:$H$144</c:f>
              <c:numCache>
                <c:formatCode>General</c:formatCode>
                <c:ptCount val="5"/>
                <c:pt idx="0">
                  <c:v>2010</c:v>
                </c:pt>
                <c:pt idx="1">
                  <c:v>2011</c:v>
                </c:pt>
                <c:pt idx="2">
                  <c:v>2012</c:v>
                </c:pt>
                <c:pt idx="3">
                  <c:v>2013</c:v>
                </c:pt>
                <c:pt idx="4">
                  <c:v>2014</c:v>
                </c:pt>
              </c:numCache>
            </c:numRef>
          </c:cat>
          <c:val>
            <c:numRef>
              <c:f>Sheet1!$D$146:$H$146</c:f>
              <c:numCache>
                <c:formatCode>General</c:formatCode>
                <c:ptCount val="5"/>
                <c:pt idx="0">
                  <c:v>360</c:v>
                </c:pt>
                <c:pt idx="1">
                  <c:v>180</c:v>
                </c:pt>
                <c:pt idx="2">
                  <c:v>360</c:v>
                </c:pt>
                <c:pt idx="3">
                  <c:v>330</c:v>
                </c:pt>
                <c:pt idx="4">
                  <c:v>310</c:v>
                </c:pt>
              </c:numCache>
            </c:numRef>
          </c:val>
        </c:ser>
        <c:marker val="1"/>
        <c:axId val="163975552"/>
        <c:axId val="163633792"/>
      </c:lineChart>
      <c:catAx>
        <c:axId val="163625984"/>
        <c:scaling>
          <c:orientation val="minMax"/>
        </c:scaling>
        <c:axPos val="b"/>
        <c:numFmt formatCode="General" sourceLinked="1"/>
        <c:majorTickMark val="none"/>
        <c:tickLblPos val="nextTo"/>
        <c:crossAx val="163631872"/>
        <c:crosses val="autoZero"/>
        <c:auto val="1"/>
        <c:lblAlgn val="ctr"/>
        <c:lblOffset val="100"/>
      </c:catAx>
      <c:valAx>
        <c:axId val="163631872"/>
        <c:scaling>
          <c:orientation val="minMax"/>
        </c:scaling>
        <c:axPos val="l"/>
        <c:majorGridlines/>
        <c:title>
          <c:tx>
            <c:rich>
              <a:bodyPr/>
              <a:lstStyle/>
              <a:p>
                <a:pPr>
                  <a:defRPr sz="1200">
                    <a:latin typeface="Arial" pitchFamily="34" charset="0"/>
                    <a:cs typeface="Arial" pitchFamily="34" charset="0"/>
                  </a:defRPr>
                </a:pPr>
                <a:r>
                  <a:rPr lang="en-US" sz="1200">
                    <a:latin typeface="Arial" pitchFamily="34" charset="0"/>
                    <a:cs typeface="Arial" pitchFamily="34" charset="0"/>
                  </a:rPr>
                  <a:t>Concentrații</a:t>
                </a:r>
              </a:p>
            </c:rich>
          </c:tx>
          <c:layout>
            <c:manualLayout>
              <c:xMode val="edge"/>
              <c:yMode val="edge"/>
              <c:x val="0.15780910886291025"/>
              <c:y val="0.33625572401350162"/>
            </c:manualLayout>
          </c:layout>
        </c:title>
        <c:numFmt formatCode="General" sourceLinked="1"/>
        <c:majorTickMark val="none"/>
        <c:tickLblPos val="nextTo"/>
        <c:crossAx val="163625984"/>
        <c:crosses val="autoZero"/>
        <c:crossBetween val="between"/>
      </c:valAx>
      <c:valAx>
        <c:axId val="163633792"/>
        <c:scaling>
          <c:orientation val="minMax"/>
        </c:scaling>
        <c:axPos val="r"/>
        <c:numFmt formatCode="General" sourceLinked="1"/>
        <c:tickLblPos val="nextTo"/>
        <c:crossAx val="163975552"/>
        <c:crosses val="max"/>
        <c:crossBetween val="between"/>
      </c:valAx>
      <c:catAx>
        <c:axId val="163975552"/>
        <c:scaling>
          <c:orientation val="minMax"/>
        </c:scaling>
        <c:delete val="1"/>
        <c:axPos val="b"/>
        <c:numFmt formatCode="General" sourceLinked="1"/>
        <c:tickLblPos val="none"/>
        <c:crossAx val="163633792"/>
        <c:crosses val="autoZero"/>
        <c:auto val="1"/>
        <c:lblAlgn val="ctr"/>
        <c:lblOffset val="100"/>
      </c:catAx>
      <c:dTable>
        <c:showHorzBorder val="1"/>
        <c:showVertBorder val="1"/>
        <c:showOutline val="1"/>
        <c:showKeys val="1"/>
      </c:dTable>
    </c:plotArea>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100">
                <a:latin typeface="+mn-lt"/>
              </a:rPr>
              <a:t>Variația concentrațiilor de CBO5 și </a:t>
            </a:r>
            <a:r>
              <a:rPr lang="vi-VN" sz="1100">
                <a:latin typeface="+mn-lt"/>
                <a:cs typeface="Arial" pitchFamily="34" charset="0"/>
              </a:rPr>
              <a:t>amoniu</a:t>
            </a:r>
            <a:r>
              <a:rPr lang="vi-VN" sz="1100">
                <a:latin typeface="+mn-lt"/>
              </a:rPr>
              <a:t> la nivelul bazinului hidrografic Râmnicu Sărat, în perioada 2010-2014</a:t>
            </a:r>
          </a:p>
        </c:rich>
      </c:tx>
    </c:title>
    <c:plotArea>
      <c:layout/>
      <c:lineChart>
        <c:grouping val="stacked"/>
        <c:ser>
          <c:idx val="1"/>
          <c:order val="1"/>
          <c:tx>
            <c:strRef>
              <c:f>Sheet1!$C$539</c:f>
              <c:strCache>
                <c:ptCount val="1"/>
                <c:pt idx="0">
                  <c:v>Amoniu (µg/l)</c:v>
                </c:pt>
              </c:strCache>
            </c:strRef>
          </c:tx>
          <c:cat>
            <c:numRef>
              <c:f>Sheet1!$D$537:$H$537</c:f>
              <c:numCache>
                <c:formatCode>General</c:formatCode>
                <c:ptCount val="5"/>
                <c:pt idx="0">
                  <c:v>2010</c:v>
                </c:pt>
                <c:pt idx="1">
                  <c:v>2011</c:v>
                </c:pt>
                <c:pt idx="2">
                  <c:v>2012</c:v>
                </c:pt>
                <c:pt idx="3">
                  <c:v>2013</c:v>
                </c:pt>
                <c:pt idx="4">
                  <c:v>2014</c:v>
                </c:pt>
              </c:numCache>
            </c:numRef>
          </c:cat>
          <c:val>
            <c:numRef>
              <c:f>Sheet1!$D$539:$H$539</c:f>
              <c:numCache>
                <c:formatCode>General</c:formatCode>
                <c:ptCount val="5"/>
                <c:pt idx="0">
                  <c:v>464</c:v>
                </c:pt>
                <c:pt idx="1">
                  <c:v>864</c:v>
                </c:pt>
                <c:pt idx="2">
                  <c:v>998</c:v>
                </c:pt>
                <c:pt idx="3">
                  <c:v>578</c:v>
                </c:pt>
                <c:pt idx="4">
                  <c:v>561</c:v>
                </c:pt>
              </c:numCache>
            </c:numRef>
          </c:val>
        </c:ser>
        <c:marker val="1"/>
        <c:axId val="163998720"/>
        <c:axId val="164008704"/>
      </c:lineChart>
      <c:lineChart>
        <c:grouping val="stacked"/>
        <c:ser>
          <c:idx val="0"/>
          <c:order val="0"/>
          <c:tx>
            <c:strRef>
              <c:f>Sheet1!$C$538</c:f>
              <c:strCache>
                <c:ptCount val="1"/>
                <c:pt idx="0">
                  <c:v>Consum biochimic de oxigen (mg O2/l)</c:v>
                </c:pt>
              </c:strCache>
            </c:strRef>
          </c:tx>
          <c:cat>
            <c:numRef>
              <c:f>Sheet1!$D$537:$H$537</c:f>
              <c:numCache>
                <c:formatCode>General</c:formatCode>
                <c:ptCount val="5"/>
                <c:pt idx="0">
                  <c:v>2010</c:v>
                </c:pt>
                <c:pt idx="1">
                  <c:v>2011</c:v>
                </c:pt>
                <c:pt idx="2">
                  <c:v>2012</c:v>
                </c:pt>
                <c:pt idx="3">
                  <c:v>2013</c:v>
                </c:pt>
                <c:pt idx="4">
                  <c:v>2014</c:v>
                </c:pt>
              </c:numCache>
            </c:numRef>
          </c:cat>
          <c:val>
            <c:numRef>
              <c:f>Sheet1!$D$538:$H$538</c:f>
              <c:numCache>
                <c:formatCode>General</c:formatCode>
                <c:ptCount val="5"/>
                <c:pt idx="0">
                  <c:v>2.8449999999999998</c:v>
                </c:pt>
                <c:pt idx="1">
                  <c:v>3.2930000000000001</c:v>
                </c:pt>
                <c:pt idx="2">
                  <c:v>2.9609999999999999</c:v>
                </c:pt>
                <c:pt idx="3">
                  <c:v>3.44</c:v>
                </c:pt>
                <c:pt idx="4">
                  <c:v>2.6389999999999998</c:v>
                </c:pt>
              </c:numCache>
            </c:numRef>
          </c:val>
        </c:ser>
        <c:marker val="1"/>
        <c:axId val="164020608"/>
        <c:axId val="164010624"/>
      </c:lineChart>
      <c:catAx>
        <c:axId val="163998720"/>
        <c:scaling>
          <c:orientation val="minMax"/>
        </c:scaling>
        <c:axPos val="b"/>
        <c:numFmt formatCode="General" sourceLinked="1"/>
        <c:majorTickMark val="none"/>
        <c:tickLblPos val="nextTo"/>
        <c:crossAx val="164008704"/>
        <c:crosses val="autoZero"/>
        <c:auto val="1"/>
        <c:lblAlgn val="ctr"/>
        <c:lblOffset val="100"/>
      </c:catAx>
      <c:valAx>
        <c:axId val="164008704"/>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Concentrații</a:t>
                </a:r>
              </a:p>
            </c:rich>
          </c:tx>
          <c:layout>
            <c:manualLayout>
              <c:xMode val="edge"/>
              <c:yMode val="edge"/>
              <c:x val="0.15000000000000024"/>
              <c:y val="0.2984838874307385"/>
            </c:manualLayout>
          </c:layout>
        </c:title>
        <c:numFmt formatCode="General" sourceLinked="1"/>
        <c:majorTickMark val="none"/>
        <c:tickLblPos val="nextTo"/>
        <c:crossAx val="163998720"/>
        <c:crosses val="autoZero"/>
        <c:crossBetween val="between"/>
      </c:valAx>
      <c:valAx>
        <c:axId val="164010624"/>
        <c:scaling>
          <c:orientation val="minMax"/>
        </c:scaling>
        <c:axPos val="r"/>
        <c:numFmt formatCode="General" sourceLinked="1"/>
        <c:tickLblPos val="nextTo"/>
        <c:crossAx val="164020608"/>
        <c:crosses val="max"/>
        <c:crossBetween val="between"/>
      </c:valAx>
      <c:catAx>
        <c:axId val="164020608"/>
        <c:scaling>
          <c:orientation val="minMax"/>
        </c:scaling>
        <c:delete val="1"/>
        <c:axPos val="b"/>
        <c:numFmt formatCode="General" sourceLinked="1"/>
        <c:tickLblPos val="none"/>
        <c:crossAx val="164010624"/>
        <c:crosses val="autoZero"/>
        <c:auto val="1"/>
        <c:lblAlgn val="ctr"/>
        <c:lblOffset val="100"/>
      </c:catAx>
      <c:dTable>
        <c:showHorzBorder val="1"/>
        <c:showVertBorder val="1"/>
        <c:showOutline val="1"/>
        <c:showKeys val="1"/>
      </c:dTable>
    </c:plotArea>
    <c:plotVisOnly val="1"/>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mn-lt"/>
              </a:defRPr>
            </a:pPr>
            <a:r>
              <a:rPr lang="vi-VN" sz="1100">
                <a:latin typeface="+mn-lt"/>
              </a:rPr>
              <a:t>Variația concentrațiilor de azotați și fosfați la </a:t>
            </a:r>
            <a:r>
              <a:rPr lang="vi-VN" sz="1100">
                <a:latin typeface="+mn-lt"/>
                <a:cs typeface="Arial" pitchFamily="34" charset="0"/>
              </a:rPr>
              <a:t>nivelul</a:t>
            </a:r>
            <a:r>
              <a:rPr lang="vi-VN" sz="1100">
                <a:latin typeface="+mn-lt"/>
              </a:rPr>
              <a:t> bazinelor hidrografice, din județul Buzău, în anul 2014</a:t>
            </a:r>
          </a:p>
        </c:rich>
      </c:tx>
    </c:title>
    <c:plotArea>
      <c:layout/>
      <c:lineChart>
        <c:grouping val="stacked"/>
        <c:ser>
          <c:idx val="0"/>
          <c:order val="0"/>
          <c:tx>
            <c:strRef>
              <c:f>Sheet1!$D$169</c:f>
              <c:strCache>
                <c:ptCount val="1"/>
                <c:pt idx="0">
                  <c:v>Azotați (mg NOᴈ̄ /l)</c:v>
                </c:pt>
              </c:strCache>
            </c:strRef>
          </c:tx>
          <c:cat>
            <c:strRef>
              <c:f>Sheet1!$C$170:$C$173</c:f>
              <c:strCache>
                <c:ptCount val="4"/>
                <c:pt idx="0">
                  <c:v>Buzău</c:v>
                </c:pt>
                <c:pt idx="1">
                  <c:v>Sărata</c:v>
                </c:pt>
                <c:pt idx="2">
                  <c:v>Călmățui</c:v>
                </c:pt>
                <c:pt idx="3">
                  <c:v>Râmnicu Sărat</c:v>
                </c:pt>
              </c:strCache>
            </c:strRef>
          </c:cat>
          <c:val>
            <c:numRef>
              <c:f>Sheet1!$D$170:$D$173</c:f>
              <c:numCache>
                <c:formatCode>General</c:formatCode>
                <c:ptCount val="4"/>
                <c:pt idx="0">
                  <c:v>3.9499999999999997</c:v>
                </c:pt>
                <c:pt idx="1">
                  <c:v>2.94</c:v>
                </c:pt>
                <c:pt idx="2">
                  <c:v>12.24</c:v>
                </c:pt>
                <c:pt idx="3">
                  <c:v>3.1080000000000001</c:v>
                </c:pt>
              </c:numCache>
            </c:numRef>
          </c:val>
        </c:ser>
        <c:marker val="1"/>
        <c:axId val="163716096"/>
        <c:axId val="163721984"/>
      </c:lineChart>
      <c:lineChart>
        <c:grouping val="stacked"/>
        <c:ser>
          <c:idx val="1"/>
          <c:order val="1"/>
          <c:tx>
            <c:strRef>
              <c:f>Sheet1!$E$169</c:f>
              <c:strCache>
                <c:ptCount val="1"/>
                <c:pt idx="0">
                  <c:v>Fosfați (mg P/l)</c:v>
                </c:pt>
              </c:strCache>
            </c:strRef>
          </c:tx>
          <c:cat>
            <c:strRef>
              <c:f>Sheet1!$C$170:$C$173</c:f>
              <c:strCache>
                <c:ptCount val="4"/>
                <c:pt idx="0">
                  <c:v>Buzău</c:v>
                </c:pt>
                <c:pt idx="1">
                  <c:v>Sărata</c:v>
                </c:pt>
                <c:pt idx="2">
                  <c:v>Călmățui</c:v>
                </c:pt>
                <c:pt idx="3">
                  <c:v>Râmnicu Sărat</c:v>
                </c:pt>
              </c:strCache>
            </c:strRef>
          </c:cat>
          <c:val>
            <c:numRef>
              <c:f>Sheet1!$E$170:$E$173</c:f>
              <c:numCache>
                <c:formatCode>General</c:formatCode>
                <c:ptCount val="4"/>
                <c:pt idx="0">
                  <c:v>4.0000000000000022E-2</c:v>
                </c:pt>
                <c:pt idx="1">
                  <c:v>3.0000000000000002E-2</c:v>
                </c:pt>
                <c:pt idx="2">
                  <c:v>0.31000000000000044</c:v>
                </c:pt>
                <c:pt idx="3">
                  <c:v>1.2999999999999998E-2</c:v>
                </c:pt>
              </c:numCache>
            </c:numRef>
          </c:val>
        </c:ser>
        <c:marker val="1"/>
        <c:axId val="163733888"/>
        <c:axId val="163723904"/>
      </c:lineChart>
      <c:catAx>
        <c:axId val="163716096"/>
        <c:scaling>
          <c:orientation val="minMax"/>
        </c:scaling>
        <c:axPos val="b"/>
        <c:majorTickMark val="none"/>
        <c:tickLblPos val="nextTo"/>
        <c:crossAx val="163721984"/>
        <c:crosses val="autoZero"/>
        <c:auto val="1"/>
        <c:lblAlgn val="ctr"/>
        <c:lblOffset val="100"/>
      </c:catAx>
      <c:valAx>
        <c:axId val="163721984"/>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Concentrații</a:t>
                </a:r>
              </a:p>
            </c:rich>
          </c:tx>
          <c:layout>
            <c:manualLayout>
              <c:xMode val="edge"/>
              <c:yMode val="edge"/>
              <c:x val="0.11655011655011654"/>
              <c:y val="0.28635425780110818"/>
            </c:manualLayout>
          </c:layout>
        </c:title>
        <c:numFmt formatCode="General" sourceLinked="1"/>
        <c:majorTickMark val="none"/>
        <c:tickLblPos val="nextTo"/>
        <c:crossAx val="163716096"/>
        <c:crosses val="autoZero"/>
        <c:crossBetween val="between"/>
      </c:valAx>
      <c:valAx>
        <c:axId val="163723904"/>
        <c:scaling>
          <c:orientation val="minMax"/>
        </c:scaling>
        <c:axPos val="r"/>
        <c:numFmt formatCode="General" sourceLinked="1"/>
        <c:tickLblPos val="nextTo"/>
        <c:crossAx val="163733888"/>
        <c:crosses val="max"/>
        <c:crossBetween val="between"/>
      </c:valAx>
      <c:catAx>
        <c:axId val="163733888"/>
        <c:scaling>
          <c:orientation val="minMax"/>
        </c:scaling>
        <c:delete val="1"/>
        <c:axPos val="b"/>
        <c:tickLblPos val="none"/>
        <c:crossAx val="163723904"/>
        <c:crosses val="autoZero"/>
        <c:auto val="1"/>
        <c:lblAlgn val="ctr"/>
        <c:lblOffset val="100"/>
      </c:catAx>
      <c:dTable>
        <c:showHorzBorder val="1"/>
        <c:showVertBorder val="1"/>
        <c:showOutline val="1"/>
        <c:showKeys val="1"/>
      </c:dTable>
    </c:plotArea>
    <c:plotVisOnly val="1"/>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mn-lt"/>
              </a:defRPr>
            </a:pPr>
            <a:r>
              <a:rPr lang="vi-VN" sz="1100">
                <a:latin typeface="+mn-lt"/>
              </a:rPr>
              <a:t>Variaţia concentrațiilor de azotați şi fosfați la nivelul bazinului hidrografic Buzău, în perioada 2010-2014</a:t>
            </a:r>
          </a:p>
        </c:rich>
      </c:tx>
    </c:title>
    <c:plotArea>
      <c:layout/>
      <c:lineChart>
        <c:grouping val="stacked"/>
        <c:ser>
          <c:idx val="0"/>
          <c:order val="0"/>
          <c:tx>
            <c:strRef>
              <c:f>Sheet1!$C$320</c:f>
              <c:strCache>
                <c:ptCount val="1"/>
                <c:pt idx="0">
                  <c:v>Concentraţii medii anuale azotaţi (mg NO3¯/l)</c:v>
                </c:pt>
              </c:strCache>
            </c:strRef>
          </c:tx>
          <c:cat>
            <c:numRef>
              <c:f>Sheet1!$D$319:$H$319</c:f>
              <c:numCache>
                <c:formatCode>General</c:formatCode>
                <c:ptCount val="5"/>
                <c:pt idx="0">
                  <c:v>2010</c:v>
                </c:pt>
                <c:pt idx="1">
                  <c:v>2011</c:v>
                </c:pt>
                <c:pt idx="2">
                  <c:v>2012</c:v>
                </c:pt>
                <c:pt idx="3">
                  <c:v>2013</c:v>
                </c:pt>
                <c:pt idx="4">
                  <c:v>2014</c:v>
                </c:pt>
              </c:numCache>
            </c:numRef>
          </c:cat>
          <c:val>
            <c:numRef>
              <c:f>Sheet1!$D$320:$H$320</c:f>
              <c:numCache>
                <c:formatCode>General</c:formatCode>
                <c:ptCount val="5"/>
                <c:pt idx="0">
                  <c:v>3.77</c:v>
                </c:pt>
                <c:pt idx="1">
                  <c:v>4.0999999999999996</c:v>
                </c:pt>
                <c:pt idx="2">
                  <c:v>3.92</c:v>
                </c:pt>
                <c:pt idx="3">
                  <c:v>3.68</c:v>
                </c:pt>
                <c:pt idx="4">
                  <c:v>3.9499999999999997</c:v>
                </c:pt>
              </c:numCache>
            </c:numRef>
          </c:val>
        </c:ser>
        <c:marker val="1"/>
        <c:axId val="163752960"/>
        <c:axId val="163767040"/>
      </c:lineChart>
      <c:lineChart>
        <c:grouping val="stacked"/>
        <c:ser>
          <c:idx val="1"/>
          <c:order val="1"/>
          <c:tx>
            <c:strRef>
              <c:f>Sheet1!$C$321</c:f>
              <c:strCache>
                <c:ptCount val="1"/>
                <c:pt idx="0">
                  <c:v>Concentraţii medii anuale fosfați (mg P/l)</c:v>
                </c:pt>
              </c:strCache>
            </c:strRef>
          </c:tx>
          <c:cat>
            <c:numRef>
              <c:f>Sheet1!$D$319:$H$319</c:f>
              <c:numCache>
                <c:formatCode>General</c:formatCode>
                <c:ptCount val="5"/>
                <c:pt idx="0">
                  <c:v>2010</c:v>
                </c:pt>
                <c:pt idx="1">
                  <c:v>2011</c:v>
                </c:pt>
                <c:pt idx="2">
                  <c:v>2012</c:v>
                </c:pt>
                <c:pt idx="3">
                  <c:v>2013</c:v>
                </c:pt>
                <c:pt idx="4">
                  <c:v>2014</c:v>
                </c:pt>
              </c:numCache>
            </c:numRef>
          </c:cat>
          <c:val>
            <c:numRef>
              <c:f>Sheet1!$D$321:$H$321</c:f>
              <c:numCache>
                <c:formatCode>General</c:formatCode>
                <c:ptCount val="5"/>
                <c:pt idx="0">
                  <c:v>7.0000000000000021E-2</c:v>
                </c:pt>
                <c:pt idx="1">
                  <c:v>0.11</c:v>
                </c:pt>
                <c:pt idx="2">
                  <c:v>2.0000000000000011E-2</c:v>
                </c:pt>
                <c:pt idx="3">
                  <c:v>4.0000000000000022E-2</c:v>
                </c:pt>
                <c:pt idx="4">
                  <c:v>4.0000000000000022E-2</c:v>
                </c:pt>
              </c:numCache>
            </c:numRef>
          </c:val>
        </c:ser>
        <c:marker val="1"/>
        <c:axId val="164110720"/>
        <c:axId val="163768960"/>
      </c:lineChart>
      <c:catAx>
        <c:axId val="163752960"/>
        <c:scaling>
          <c:orientation val="minMax"/>
        </c:scaling>
        <c:axPos val="b"/>
        <c:numFmt formatCode="General" sourceLinked="1"/>
        <c:majorTickMark val="none"/>
        <c:tickLblPos val="nextTo"/>
        <c:crossAx val="163767040"/>
        <c:crosses val="autoZero"/>
        <c:auto val="1"/>
        <c:lblAlgn val="ctr"/>
        <c:lblOffset val="100"/>
      </c:catAx>
      <c:valAx>
        <c:axId val="163767040"/>
        <c:scaling>
          <c:orientation val="minMax"/>
        </c:scaling>
        <c:axPos val="l"/>
        <c:majorGridlines/>
        <c:title>
          <c:tx>
            <c:rich>
              <a:bodyPr/>
              <a:lstStyle/>
              <a:p>
                <a:pPr>
                  <a:defRPr/>
                </a:pPr>
                <a:r>
                  <a:rPr lang="en-US" sz="1100">
                    <a:latin typeface="Arial" pitchFamily="34" charset="0"/>
                    <a:cs typeface="Arial" pitchFamily="34" charset="0"/>
                  </a:rPr>
                  <a:t>Concentrații</a:t>
                </a:r>
              </a:p>
            </c:rich>
          </c:tx>
          <c:layout>
            <c:manualLayout>
              <c:xMode val="edge"/>
              <c:yMode val="edge"/>
              <c:x val="0.1388888888888889"/>
              <c:y val="0.25415536599591732"/>
            </c:manualLayout>
          </c:layout>
        </c:title>
        <c:numFmt formatCode="General" sourceLinked="1"/>
        <c:majorTickMark val="none"/>
        <c:tickLblPos val="nextTo"/>
        <c:crossAx val="163752960"/>
        <c:crosses val="autoZero"/>
        <c:crossBetween val="between"/>
      </c:valAx>
      <c:valAx>
        <c:axId val="163768960"/>
        <c:scaling>
          <c:orientation val="minMax"/>
        </c:scaling>
        <c:axPos val="r"/>
        <c:numFmt formatCode="General" sourceLinked="1"/>
        <c:tickLblPos val="nextTo"/>
        <c:crossAx val="164110720"/>
        <c:crosses val="max"/>
        <c:crossBetween val="between"/>
      </c:valAx>
      <c:catAx>
        <c:axId val="164110720"/>
        <c:scaling>
          <c:orientation val="minMax"/>
        </c:scaling>
        <c:delete val="1"/>
        <c:axPos val="b"/>
        <c:numFmt formatCode="General" sourceLinked="1"/>
        <c:tickLblPos val="none"/>
        <c:crossAx val="163768960"/>
        <c:crosses val="autoZero"/>
        <c:auto val="1"/>
        <c:lblAlgn val="ctr"/>
        <c:lblOffset val="100"/>
      </c:catAx>
      <c:dTable>
        <c:showHorzBorder val="1"/>
        <c:showVertBorder val="1"/>
        <c:showOutline val="1"/>
        <c:showKeys val="1"/>
      </c:dTable>
    </c:plotArea>
    <c:plotVisOnly val="1"/>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Arial" pitchFamily="34" charset="0"/>
                <a:cs typeface="Arial" pitchFamily="34" charset="0"/>
              </a:defRPr>
            </a:pPr>
            <a:r>
              <a:rPr lang="vi-VN" sz="1100">
                <a:latin typeface="Arial" pitchFamily="34" charset="0"/>
                <a:cs typeface="Arial" pitchFamily="34" charset="0"/>
              </a:rPr>
              <a:t>Variaţia concentrațiilor de azotați şi fosfați la nivelul bazinului hidrografic Sărata, în perioada 2012-2014</a:t>
            </a:r>
          </a:p>
        </c:rich>
      </c:tx>
    </c:title>
    <c:plotArea>
      <c:layout/>
      <c:lineChart>
        <c:grouping val="stacked"/>
        <c:ser>
          <c:idx val="0"/>
          <c:order val="0"/>
          <c:tx>
            <c:strRef>
              <c:f>Sheet1!$C$346</c:f>
              <c:strCache>
                <c:ptCount val="1"/>
                <c:pt idx="0">
                  <c:v>Concentraţii medii anuale azotaţi (mg NO3¯/l)</c:v>
                </c:pt>
              </c:strCache>
            </c:strRef>
          </c:tx>
          <c:cat>
            <c:numRef>
              <c:f>Sheet1!$D$345:$F$345</c:f>
              <c:numCache>
                <c:formatCode>General</c:formatCode>
                <c:ptCount val="3"/>
                <c:pt idx="0">
                  <c:v>2012</c:v>
                </c:pt>
                <c:pt idx="1">
                  <c:v>2013</c:v>
                </c:pt>
                <c:pt idx="2">
                  <c:v>2014</c:v>
                </c:pt>
              </c:numCache>
            </c:numRef>
          </c:cat>
          <c:val>
            <c:numRef>
              <c:f>Sheet1!$D$346:$F$346</c:f>
              <c:numCache>
                <c:formatCode>General</c:formatCode>
                <c:ptCount val="3"/>
                <c:pt idx="0">
                  <c:v>1.41</c:v>
                </c:pt>
                <c:pt idx="1">
                  <c:v>3.63</c:v>
                </c:pt>
                <c:pt idx="2">
                  <c:v>2.94</c:v>
                </c:pt>
              </c:numCache>
            </c:numRef>
          </c:val>
        </c:ser>
        <c:marker val="1"/>
        <c:axId val="164133888"/>
        <c:axId val="164152064"/>
      </c:lineChart>
      <c:lineChart>
        <c:grouping val="stacked"/>
        <c:ser>
          <c:idx val="1"/>
          <c:order val="1"/>
          <c:tx>
            <c:strRef>
              <c:f>Sheet1!$C$347</c:f>
              <c:strCache>
                <c:ptCount val="1"/>
                <c:pt idx="0">
                  <c:v>Concentraţii medii anuale fosfați (mg P/l)</c:v>
                </c:pt>
              </c:strCache>
            </c:strRef>
          </c:tx>
          <c:cat>
            <c:numRef>
              <c:f>Sheet1!$D$345:$F$345</c:f>
              <c:numCache>
                <c:formatCode>General</c:formatCode>
                <c:ptCount val="3"/>
                <c:pt idx="0">
                  <c:v>2012</c:v>
                </c:pt>
                <c:pt idx="1">
                  <c:v>2013</c:v>
                </c:pt>
                <c:pt idx="2">
                  <c:v>2014</c:v>
                </c:pt>
              </c:numCache>
            </c:numRef>
          </c:cat>
          <c:val>
            <c:numRef>
              <c:f>Sheet1!$D$347:$F$347</c:f>
              <c:numCache>
                <c:formatCode>General</c:formatCode>
                <c:ptCount val="3"/>
                <c:pt idx="0">
                  <c:v>6.0000000000000032E-2</c:v>
                </c:pt>
                <c:pt idx="1">
                  <c:v>2.0000000000000011E-2</c:v>
                </c:pt>
                <c:pt idx="2">
                  <c:v>3.0000000000000002E-2</c:v>
                </c:pt>
              </c:numCache>
            </c:numRef>
          </c:val>
        </c:ser>
        <c:marker val="1"/>
        <c:axId val="164241792"/>
        <c:axId val="164153984"/>
      </c:lineChart>
      <c:catAx>
        <c:axId val="164133888"/>
        <c:scaling>
          <c:orientation val="minMax"/>
        </c:scaling>
        <c:axPos val="b"/>
        <c:numFmt formatCode="General" sourceLinked="1"/>
        <c:majorTickMark val="none"/>
        <c:tickLblPos val="nextTo"/>
        <c:crossAx val="164152064"/>
        <c:crosses val="autoZero"/>
        <c:auto val="1"/>
        <c:lblAlgn val="ctr"/>
        <c:lblOffset val="100"/>
      </c:catAx>
      <c:valAx>
        <c:axId val="164152064"/>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Concentrații</a:t>
                </a:r>
              </a:p>
            </c:rich>
          </c:tx>
          <c:layout>
            <c:manualLayout>
              <c:xMode val="edge"/>
              <c:yMode val="edge"/>
              <c:x val="0.15000000000000024"/>
              <c:y val="0.24333333333333382"/>
            </c:manualLayout>
          </c:layout>
        </c:title>
        <c:numFmt formatCode="General" sourceLinked="1"/>
        <c:majorTickMark val="none"/>
        <c:tickLblPos val="nextTo"/>
        <c:crossAx val="164133888"/>
        <c:crosses val="autoZero"/>
        <c:crossBetween val="between"/>
      </c:valAx>
      <c:valAx>
        <c:axId val="164153984"/>
        <c:scaling>
          <c:orientation val="minMax"/>
        </c:scaling>
        <c:axPos val="r"/>
        <c:numFmt formatCode="General" sourceLinked="1"/>
        <c:tickLblPos val="nextTo"/>
        <c:crossAx val="164241792"/>
        <c:crosses val="max"/>
        <c:crossBetween val="between"/>
      </c:valAx>
      <c:catAx>
        <c:axId val="164241792"/>
        <c:scaling>
          <c:orientation val="minMax"/>
        </c:scaling>
        <c:delete val="1"/>
        <c:axPos val="b"/>
        <c:numFmt formatCode="General" sourceLinked="1"/>
        <c:tickLblPos val="none"/>
        <c:crossAx val="164153984"/>
        <c:crosses val="autoZero"/>
        <c:auto val="1"/>
        <c:lblAlgn val="ctr"/>
        <c:lblOffset val="100"/>
      </c:catAx>
      <c:dTable>
        <c:showHorzBorder val="1"/>
        <c:showVertBorder val="1"/>
        <c:showOutline val="1"/>
        <c:showKeys val="1"/>
      </c:dTable>
    </c:plotArea>
    <c:plotVisOnly val="1"/>
  </c:chart>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mn-lt"/>
              </a:defRPr>
            </a:pPr>
            <a:r>
              <a:rPr lang="vi-VN" sz="1100">
                <a:latin typeface="+mn-lt"/>
              </a:rPr>
              <a:t>Variaţia concentrațiilor de azotați şi fosfați la nivelul bazinului hidrografic Călmățui, în perioada 2011-2014</a:t>
            </a:r>
          </a:p>
        </c:rich>
      </c:tx>
    </c:title>
    <c:plotArea>
      <c:layout/>
      <c:lineChart>
        <c:grouping val="stacked"/>
        <c:ser>
          <c:idx val="0"/>
          <c:order val="0"/>
          <c:tx>
            <c:strRef>
              <c:f>Sheet1!$C$422</c:f>
              <c:strCache>
                <c:ptCount val="1"/>
                <c:pt idx="0">
                  <c:v>Concentraţii medii anuale azotaţi (mg NO3¯/l)</c:v>
                </c:pt>
              </c:strCache>
            </c:strRef>
          </c:tx>
          <c:cat>
            <c:numRef>
              <c:f>Sheet1!$D$421:$G$421</c:f>
              <c:numCache>
                <c:formatCode>General</c:formatCode>
                <c:ptCount val="4"/>
                <c:pt idx="0">
                  <c:v>2011</c:v>
                </c:pt>
                <c:pt idx="1">
                  <c:v>2012</c:v>
                </c:pt>
                <c:pt idx="2">
                  <c:v>2013</c:v>
                </c:pt>
                <c:pt idx="3">
                  <c:v>2014</c:v>
                </c:pt>
              </c:numCache>
            </c:numRef>
          </c:cat>
          <c:val>
            <c:numRef>
              <c:f>Sheet1!$D$422:$G$422</c:f>
              <c:numCache>
                <c:formatCode>General</c:formatCode>
                <c:ptCount val="4"/>
                <c:pt idx="0">
                  <c:v>12.92</c:v>
                </c:pt>
                <c:pt idx="1">
                  <c:v>7.09</c:v>
                </c:pt>
                <c:pt idx="2">
                  <c:v>9.75</c:v>
                </c:pt>
                <c:pt idx="3">
                  <c:v>12.24</c:v>
                </c:pt>
              </c:numCache>
            </c:numRef>
          </c:val>
        </c:ser>
        <c:marker val="1"/>
        <c:axId val="164260864"/>
        <c:axId val="164266752"/>
      </c:lineChart>
      <c:lineChart>
        <c:grouping val="stacked"/>
        <c:ser>
          <c:idx val="1"/>
          <c:order val="1"/>
          <c:tx>
            <c:strRef>
              <c:f>Sheet1!$C$423</c:f>
              <c:strCache>
                <c:ptCount val="1"/>
                <c:pt idx="0">
                  <c:v>Concentraţii medii anuale fosfați (mg P/l)</c:v>
                </c:pt>
              </c:strCache>
            </c:strRef>
          </c:tx>
          <c:cat>
            <c:numRef>
              <c:f>Sheet1!$D$421:$G$421</c:f>
              <c:numCache>
                <c:formatCode>General</c:formatCode>
                <c:ptCount val="4"/>
                <c:pt idx="0">
                  <c:v>2011</c:v>
                </c:pt>
                <c:pt idx="1">
                  <c:v>2012</c:v>
                </c:pt>
                <c:pt idx="2">
                  <c:v>2013</c:v>
                </c:pt>
                <c:pt idx="3">
                  <c:v>2014</c:v>
                </c:pt>
              </c:numCache>
            </c:numRef>
          </c:cat>
          <c:val>
            <c:numRef>
              <c:f>Sheet1!$D$423:$G$423</c:f>
              <c:numCache>
                <c:formatCode>General</c:formatCode>
                <c:ptCount val="4"/>
                <c:pt idx="0">
                  <c:v>0.24000000000000021</c:v>
                </c:pt>
                <c:pt idx="1">
                  <c:v>0.26</c:v>
                </c:pt>
                <c:pt idx="2">
                  <c:v>0.21000000000000021</c:v>
                </c:pt>
                <c:pt idx="3">
                  <c:v>0.31000000000000044</c:v>
                </c:pt>
              </c:numCache>
            </c:numRef>
          </c:val>
        </c:ser>
        <c:marker val="1"/>
        <c:axId val="164278656"/>
        <c:axId val="164268672"/>
      </c:lineChart>
      <c:catAx>
        <c:axId val="164260864"/>
        <c:scaling>
          <c:orientation val="minMax"/>
        </c:scaling>
        <c:axPos val="b"/>
        <c:numFmt formatCode="General" sourceLinked="1"/>
        <c:majorTickMark val="none"/>
        <c:tickLblPos val="nextTo"/>
        <c:crossAx val="164266752"/>
        <c:crosses val="autoZero"/>
        <c:auto val="1"/>
        <c:lblAlgn val="ctr"/>
        <c:lblOffset val="100"/>
      </c:catAx>
      <c:valAx>
        <c:axId val="164266752"/>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Concentrații</a:t>
                </a:r>
              </a:p>
            </c:rich>
          </c:tx>
          <c:layout>
            <c:manualLayout>
              <c:xMode val="edge"/>
              <c:yMode val="edge"/>
              <c:x val="0.15277777777777779"/>
              <c:y val="0.2572222222222223"/>
            </c:manualLayout>
          </c:layout>
        </c:title>
        <c:numFmt formatCode="General" sourceLinked="1"/>
        <c:majorTickMark val="none"/>
        <c:tickLblPos val="nextTo"/>
        <c:crossAx val="164260864"/>
        <c:crosses val="autoZero"/>
        <c:crossBetween val="between"/>
      </c:valAx>
      <c:valAx>
        <c:axId val="164268672"/>
        <c:scaling>
          <c:orientation val="minMax"/>
        </c:scaling>
        <c:axPos val="r"/>
        <c:numFmt formatCode="General" sourceLinked="1"/>
        <c:tickLblPos val="nextTo"/>
        <c:crossAx val="164278656"/>
        <c:crosses val="max"/>
        <c:crossBetween val="between"/>
      </c:valAx>
      <c:catAx>
        <c:axId val="164278656"/>
        <c:scaling>
          <c:orientation val="minMax"/>
        </c:scaling>
        <c:delete val="1"/>
        <c:axPos val="b"/>
        <c:numFmt formatCode="General" sourceLinked="1"/>
        <c:tickLblPos val="none"/>
        <c:crossAx val="164268672"/>
        <c:crosses val="autoZero"/>
        <c:auto val="1"/>
        <c:lblAlgn val="ctr"/>
        <c:lblOffset val="100"/>
      </c:catAx>
      <c:dTable>
        <c:showHorzBorder val="1"/>
        <c:showVertBorder val="1"/>
        <c:showOutline val="1"/>
        <c:showKeys val="1"/>
      </c:dTable>
    </c:plotArea>
    <c:plotVisOnly val="1"/>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mn-lt"/>
              </a:defRPr>
            </a:pPr>
            <a:r>
              <a:rPr lang="vi-VN" sz="1100">
                <a:latin typeface="+mn-lt"/>
              </a:rPr>
              <a:t>Variaţia concentrațiilor de azotați şi fosfați la nivelul bazinului hidrografic Râmnicu Sărat, în perioada 2010-2014</a:t>
            </a:r>
          </a:p>
        </c:rich>
      </c:tx>
    </c:title>
    <c:plotArea>
      <c:layout/>
      <c:lineChart>
        <c:grouping val="stacked"/>
        <c:ser>
          <c:idx val="0"/>
          <c:order val="0"/>
          <c:tx>
            <c:strRef>
              <c:f>Sheet1!$C$447</c:f>
              <c:strCache>
                <c:ptCount val="1"/>
                <c:pt idx="0">
                  <c:v>Concentraţii medii anuale azotaţi (mg NO3¯/l)</c:v>
                </c:pt>
              </c:strCache>
            </c:strRef>
          </c:tx>
          <c:cat>
            <c:numRef>
              <c:f>Sheet1!$D$446:$H$446</c:f>
              <c:numCache>
                <c:formatCode>General</c:formatCode>
                <c:ptCount val="5"/>
                <c:pt idx="0">
                  <c:v>2010</c:v>
                </c:pt>
                <c:pt idx="1">
                  <c:v>2011</c:v>
                </c:pt>
                <c:pt idx="2">
                  <c:v>2012</c:v>
                </c:pt>
                <c:pt idx="3">
                  <c:v>2013</c:v>
                </c:pt>
                <c:pt idx="4">
                  <c:v>2014</c:v>
                </c:pt>
              </c:numCache>
            </c:numRef>
          </c:cat>
          <c:val>
            <c:numRef>
              <c:f>Sheet1!$D$447:$H$447</c:f>
              <c:numCache>
                <c:formatCode>General</c:formatCode>
                <c:ptCount val="5"/>
                <c:pt idx="0">
                  <c:v>2.3299999999999987</c:v>
                </c:pt>
                <c:pt idx="1">
                  <c:v>4.25</c:v>
                </c:pt>
                <c:pt idx="2">
                  <c:v>3.3899999999999997</c:v>
                </c:pt>
                <c:pt idx="3">
                  <c:v>2.66</c:v>
                </c:pt>
                <c:pt idx="4">
                  <c:v>3.11</c:v>
                </c:pt>
              </c:numCache>
            </c:numRef>
          </c:val>
        </c:ser>
        <c:marker val="1"/>
        <c:axId val="164170752"/>
        <c:axId val="164180736"/>
      </c:lineChart>
      <c:lineChart>
        <c:grouping val="stacked"/>
        <c:ser>
          <c:idx val="1"/>
          <c:order val="1"/>
          <c:tx>
            <c:strRef>
              <c:f>Sheet1!$C$448</c:f>
              <c:strCache>
                <c:ptCount val="1"/>
                <c:pt idx="0">
                  <c:v>Concentraţii medii anuale fosfați (mg P/l)</c:v>
                </c:pt>
              </c:strCache>
            </c:strRef>
          </c:tx>
          <c:cat>
            <c:numRef>
              <c:f>Sheet1!$D$446:$H$446</c:f>
              <c:numCache>
                <c:formatCode>General</c:formatCode>
                <c:ptCount val="5"/>
                <c:pt idx="0">
                  <c:v>2010</c:v>
                </c:pt>
                <c:pt idx="1">
                  <c:v>2011</c:v>
                </c:pt>
                <c:pt idx="2">
                  <c:v>2012</c:v>
                </c:pt>
                <c:pt idx="3">
                  <c:v>2013</c:v>
                </c:pt>
                <c:pt idx="4">
                  <c:v>2014</c:v>
                </c:pt>
              </c:numCache>
            </c:numRef>
          </c:cat>
          <c:val>
            <c:numRef>
              <c:f>Sheet1!$D$448:$H$448</c:f>
              <c:numCache>
                <c:formatCode>General</c:formatCode>
                <c:ptCount val="5"/>
                <c:pt idx="0">
                  <c:v>6.0000000000000032E-2</c:v>
                </c:pt>
                <c:pt idx="1">
                  <c:v>2.3E-2</c:v>
                </c:pt>
                <c:pt idx="2">
                  <c:v>2.0000000000000011E-2</c:v>
                </c:pt>
                <c:pt idx="3">
                  <c:v>1.2999999999999998E-2</c:v>
                </c:pt>
                <c:pt idx="4">
                  <c:v>1.2999999999999998E-2</c:v>
                </c:pt>
              </c:numCache>
            </c:numRef>
          </c:val>
        </c:ser>
        <c:marker val="1"/>
        <c:axId val="164188544"/>
        <c:axId val="164182656"/>
      </c:lineChart>
      <c:catAx>
        <c:axId val="164170752"/>
        <c:scaling>
          <c:orientation val="minMax"/>
        </c:scaling>
        <c:axPos val="b"/>
        <c:numFmt formatCode="General" sourceLinked="1"/>
        <c:majorTickMark val="none"/>
        <c:tickLblPos val="nextTo"/>
        <c:crossAx val="164180736"/>
        <c:crosses val="autoZero"/>
        <c:auto val="1"/>
        <c:lblAlgn val="ctr"/>
        <c:lblOffset val="100"/>
      </c:catAx>
      <c:valAx>
        <c:axId val="164180736"/>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Concentrații</a:t>
                </a:r>
              </a:p>
            </c:rich>
          </c:tx>
          <c:layout>
            <c:manualLayout>
              <c:xMode val="edge"/>
              <c:yMode val="edge"/>
              <c:x val="0.15000000000000024"/>
              <c:y val="0.2865048118985134"/>
            </c:manualLayout>
          </c:layout>
        </c:title>
        <c:numFmt formatCode="General" sourceLinked="1"/>
        <c:majorTickMark val="none"/>
        <c:tickLblPos val="nextTo"/>
        <c:crossAx val="164170752"/>
        <c:crosses val="autoZero"/>
        <c:crossBetween val="between"/>
      </c:valAx>
      <c:valAx>
        <c:axId val="164182656"/>
        <c:scaling>
          <c:orientation val="minMax"/>
        </c:scaling>
        <c:axPos val="r"/>
        <c:numFmt formatCode="General" sourceLinked="1"/>
        <c:tickLblPos val="nextTo"/>
        <c:crossAx val="164188544"/>
        <c:crosses val="max"/>
        <c:crossBetween val="between"/>
      </c:valAx>
      <c:catAx>
        <c:axId val="164188544"/>
        <c:scaling>
          <c:orientation val="minMax"/>
        </c:scaling>
        <c:delete val="1"/>
        <c:axPos val="b"/>
        <c:numFmt formatCode="General" sourceLinked="1"/>
        <c:tickLblPos val="none"/>
        <c:crossAx val="164182656"/>
        <c:crosses val="autoZero"/>
        <c:auto val="1"/>
        <c:lblAlgn val="ctr"/>
        <c:lblOffset val="100"/>
      </c:catAx>
      <c:dTable>
        <c:showHorzBorder val="1"/>
        <c:showVertBorder val="1"/>
        <c:showOutline val="1"/>
        <c:showKeys val="1"/>
      </c:dTable>
    </c:plotArea>
    <c:plotVisOnly val="1"/>
  </c:chart>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200">
                <a:latin typeface="+mn-lt"/>
              </a:rPr>
              <a:t>Calitatea cursurilor de apă monitorizate la nivelul județului Buzău în perioada 2010-2014</a:t>
            </a:r>
          </a:p>
        </c:rich>
      </c:tx>
    </c:title>
    <c:plotArea>
      <c:layout/>
      <c:barChart>
        <c:barDir val="col"/>
        <c:grouping val="stacked"/>
        <c:ser>
          <c:idx val="0"/>
          <c:order val="0"/>
          <c:tx>
            <c:strRef>
              <c:f>Sheet1!$C$366</c:f>
              <c:strCache>
                <c:ptCount val="1"/>
                <c:pt idx="0">
                  <c:v>SE inferioară stării bune (%)</c:v>
                </c:pt>
              </c:strCache>
            </c:strRef>
          </c:tx>
          <c:cat>
            <c:numRef>
              <c:f>Sheet1!$D$365:$H$365</c:f>
              <c:numCache>
                <c:formatCode>General</c:formatCode>
                <c:ptCount val="5"/>
                <c:pt idx="0">
                  <c:v>2010</c:v>
                </c:pt>
                <c:pt idx="1">
                  <c:v>2011</c:v>
                </c:pt>
                <c:pt idx="2">
                  <c:v>2012</c:v>
                </c:pt>
                <c:pt idx="3">
                  <c:v>2013</c:v>
                </c:pt>
                <c:pt idx="4">
                  <c:v>2014</c:v>
                </c:pt>
              </c:numCache>
            </c:numRef>
          </c:cat>
          <c:val>
            <c:numRef>
              <c:f>Sheet1!$D$366:$H$366</c:f>
              <c:numCache>
                <c:formatCode>General</c:formatCode>
                <c:ptCount val="5"/>
                <c:pt idx="0">
                  <c:v>31.4</c:v>
                </c:pt>
                <c:pt idx="1">
                  <c:v>65.8</c:v>
                </c:pt>
                <c:pt idx="2">
                  <c:v>76.7</c:v>
                </c:pt>
                <c:pt idx="3">
                  <c:v>71.7</c:v>
                </c:pt>
                <c:pt idx="4">
                  <c:v>65.7</c:v>
                </c:pt>
              </c:numCache>
            </c:numRef>
          </c:val>
        </c:ser>
        <c:gapWidth val="95"/>
        <c:overlap val="100"/>
        <c:axId val="164201600"/>
        <c:axId val="164203136"/>
      </c:barChart>
      <c:catAx>
        <c:axId val="164201600"/>
        <c:scaling>
          <c:orientation val="minMax"/>
        </c:scaling>
        <c:axPos val="b"/>
        <c:numFmt formatCode="General" sourceLinked="1"/>
        <c:majorTickMark val="none"/>
        <c:tickLblPos val="nextTo"/>
        <c:crossAx val="164203136"/>
        <c:crosses val="autoZero"/>
        <c:auto val="1"/>
        <c:lblAlgn val="ctr"/>
        <c:lblOffset val="100"/>
      </c:catAx>
      <c:valAx>
        <c:axId val="164203136"/>
        <c:scaling>
          <c:orientation val="minMax"/>
        </c:scaling>
        <c:axPos val="l"/>
        <c:majorGridlines/>
        <c:title>
          <c:tx>
            <c:rich>
              <a:bodyPr/>
              <a:lstStyle/>
              <a:p>
                <a:pPr>
                  <a:defRPr sz="1200">
                    <a:latin typeface="Arial" pitchFamily="34" charset="0"/>
                    <a:cs typeface="Arial" pitchFamily="34" charset="0"/>
                  </a:defRPr>
                </a:pPr>
                <a:r>
                  <a:rPr lang="en-US" sz="1200">
                    <a:latin typeface="Arial" pitchFamily="34" charset="0"/>
                    <a:cs typeface="Arial" pitchFamily="34" charset="0"/>
                  </a:rPr>
                  <a:t>Procente</a:t>
                </a:r>
              </a:p>
            </c:rich>
          </c:tx>
        </c:title>
        <c:numFmt formatCode="General" sourceLinked="1"/>
        <c:majorTickMark val="none"/>
        <c:tickLblPos val="nextTo"/>
        <c:crossAx val="164201600"/>
        <c:crosses val="autoZero"/>
        <c:crossBetween val="between"/>
      </c:valAx>
      <c:dTable>
        <c:showHorzBorder val="1"/>
        <c:showVertBorder val="1"/>
        <c:showOutline val="1"/>
        <c:showKeys val="1"/>
      </c:dTable>
    </c:plotArea>
    <c:plotVisOnly val="1"/>
  </c:chart>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320209973753293"/>
          <c:y val="5.0925925925925923E-2"/>
          <c:w val="0.53888888888888964"/>
          <c:h val="0.89814814814814814"/>
        </c:manualLayout>
      </c:layout>
      <c:pieChart>
        <c:varyColors val="1"/>
        <c:ser>
          <c:idx val="0"/>
          <c:order val="0"/>
          <c:tx>
            <c:strRef>
              <c:f>Sheet1!$D$393</c:f>
              <c:strCache>
                <c:ptCount val="1"/>
                <c:pt idx="0">
                  <c:v>2014</c:v>
                </c:pt>
              </c:strCache>
            </c:strRef>
          </c:tx>
          <c:explosion val="25"/>
          <c:cat>
            <c:strRef>
              <c:f>Sheet1!$C$394:$C$398</c:f>
              <c:strCache>
                <c:ptCount val="5"/>
                <c:pt idx="0">
                  <c:v>SE foarte bună</c:v>
                </c:pt>
                <c:pt idx="1">
                  <c:v>SE bună</c:v>
                </c:pt>
                <c:pt idx="2">
                  <c:v>SE moderată</c:v>
                </c:pt>
                <c:pt idx="3">
                  <c:v> SE slabă</c:v>
                </c:pt>
                <c:pt idx="4">
                  <c:v>SE proastă</c:v>
                </c:pt>
              </c:strCache>
            </c:strRef>
          </c:cat>
          <c:val>
            <c:numRef>
              <c:f>Sheet1!$D$394:$D$398</c:f>
              <c:numCache>
                <c:formatCode>General</c:formatCode>
                <c:ptCount val="5"/>
                <c:pt idx="1">
                  <c:v>34.300000000000004</c:v>
                </c:pt>
                <c:pt idx="2">
                  <c:v>65.7</c:v>
                </c:pt>
              </c:numCache>
            </c:numRef>
          </c:val>
        </c:ser>
        <c:firstSliceAng val="0"/>
      </c:pieChart>
    </c:plotArea>
    <c:legend>
      <c:legendPos val="r"/>
    </c:legend>
    <c:plotVisOnly val="1"/>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100">
                <a:latin typeface="Arial" pitchFamily="34" charset="0"/>
                <a:cs typeface="Arial" pitchFamily="34" charset="0"/>
              </a:defRPr>
            </a:pPr>
            <a:r>
              <a:rPr sz="1100">
                <a:latin typeface="Arial" pitchFamily="34" charset="0"/>
                <a:cs typeface="Arial" pitchFamily="34" charset="0"/>
              </a:rPr>
              <a:t>Variaţia concentrațiilor de fosfor total și azotaţi în </a:t>
            </a:r>
            <a:r>
              <a:rPr lang="ro-RO" sz="1100">
                <a:latin typeface="Arial" pitchFamily="34" charset="0"/>
                <a:cs typeface="Arial" pitchFamily="34" charset="0"/>
              </a:rPr>
              <a:t>principalele </a:t>
            </a:r>
            <a:r>
              <a:rPr sz="1100">
                <a:latin typeface="Arial" pitchFamily="34" charset="0"/>
                <a:cs typeface="Arial" pitchFamily="34" charset="0"/>
              </a:rPr>
              <a:t>lacuri, în anul 2014, la nivelul județului Buzău</a:t>
            </a:r>
          </a:p>
        </c:rich>
      </c:tx>
      <c:layout>
        <c:manualLayout>
          <c:xMode val="edge"/>
          <c:yMode val="edge"/>
          <c:x val="0.13680132877103576"/>
          <c:y val="6.7301836872420834E-2"/>
        </c:manualLayout>
      </c:layout>
    </c:title>
    <c:plotArea>
      <c:layout>
        <c:manualLayout>
          <c:layoutTarget val="inner"/>
          <c:xMode val="edge"/>
          <c:yMode val="edge"/>
          <c:x val="0.36370624187074435"/>
          <c:y val="0.24384831027690557"/>
          <c:w val="0.58085080395145949"/>
          <c:h val="0.33488435535277866"/>
        </c:manualLayout>
      </c:layout>
      <c:lineChart>
        <c:grouping val="stacked"/>
        <c:ser>
          <c:idx val="1"/>
          <c:order val="1"/>
          <c:tx>
            <c:strRef>
              <c:f>[2]Foaie1!$C$7</c:f>
              <c:strCache>
                <c:ptCount val="1"/>
                <c:pt idx="0">
                  <c:v>Concentraţii medii anuale azotaţi (mg NO3¯/l)</c:v>
                </c:pt>
              </c:strCache>
            </c:strRef>
          </c:tx>
          <c:cat>
            <c:strRef>
              <c:f>[2]Foaie1!$D$5:$H$5</c:f>
              <c:strCache>
                <c:ptCount val="5"/>
                <c:pt idx="0">
                  <c:v>Siriu </c:v>
                </c:pt>
                <c:pt idx="1">
                  <c:v>Cândeşti</c:v>
                </c:pt>
                <c:pt idx="2">
                  <c:v>Balta Amara</c:v>
                </c:pt>
                <c:pt idx="3">
                  <c:v> Balta Albă</c:v>
                </c:pt>
                <c:pt idx="4">
                  <c:v>Ciulniţa</c:v>
                </c:pt>
              </c:strCache>
            </c:strRef>
          </c:cat>
          <c:val>
            <c:numRef>
              <c:f>[2]Foaie1!$D$7:$H$7</c:f>
              <c:numCache>
                <c:formatCode>General</c:formatCode>
                <c:ptCount val="5"/>
                <c:pt idx="0">
                  <c:v>0.56399999999999995</c:v>
                </c:pt>
                <c:pt idx="1">
                  <c:v>0.61000000000000065</c:v>
                </c:pt>
                <c:pt idx="2">
                  <c:v>0.19900000000000001</c:v>
                </c:pt>
                <c:pt idx="4">
                  <c:v>0.23300000000000001</c:v>
                </c:pt>
              </c:numCache>
            </c:numRef>
          </c:val>
        </c:ser>
        <c:marker val="1"/>
        <c:axId val="164414208"/>
        <c:axId val="164415744"/>
      </c:lineChart>
      <c:lineChart>
        <c:grouping val="stacked"/>
        <c:ser>
          <c:idx val="0"/>
          <c:order val="0"/>
          <c:tx>
            <c:strRef>
              <c:f>[2]Foaie1!$C$6</c:f>
              <c:strCache>
                <c:ptCount val="1"/>
                <c:pt idx="0">
                  <c:v>Concentraţii medii anuale fosfor total (mg P/l)</c:v>
                </c:pt>
              </c:strCache>
            </c:strRef>
          </c:tx>
          <c:cat>
            <c:strRef>
              <c:f>[2]Foaie1!$D$5:$H$5</c:f>
              <c:strCache>
                <c:ptCount val="5"/>
                <c:pt idx="0">
                  <c:v>Siriu </c:v>
                </c:pt>
                <c:pt idx="1">
                  <c:v>Cândeşti</c:v>
                </c:pt>
                <c:pt idx="2">
                  <c:v>Balta Amara</c:v>
                </c:pt>
                <c:pt idx="3">
                  <c:v> Balta Albă</c:v>
                </c:pt>
                <c:pt idx="4">
                  <c:v>Ciulniţa</c:v>
                </c:pt>
              </c:strCache>
            </c:strRef>
          </c:cat>
          <c:val>
            <c:numRef>
              <c:f>[2]Foaie1!$D$6:$H$6</c:f>
              <c:numCache>
                <c:formatCode>General</c:formatCode>
                <c:ptCount val="5"/>
                <c:pt idx="0">
                  <c:v>1.7999999999999999E-2</c:v>
                </c:pt>
                <c:pt idx="1">
                  <c:v>1.4700000000000001E-2</c:v>
                </c:pt>
                <c:pt idx="2">
                  <c:v>0.29400000000000032</c:v>
                </c:pt>
                <c:pt idx="3">
                  <c:v>0.70300000000000062</c:v>
                </c:pt>
                <c:pt idx="4">
                  <c:v>0.32200000000000051</c:v>
                </c:pt>
              </c:numCache>
            </c:numRef>
          </c:val>
        </c:ser>
        <c:marker val="1"/>
        <c:axId val="164501376"/>
        <c:axId val="164499840"/>
      </c:lineChart>
      <c:catAx>
        <c:axId val="164414208"/>
        <c:scaling>
          <c:orientation val="minMax"/>
        </c:scaling>
        <c:axPos val="b"/>
        <c:majorTickMark val="none"/>
        <c:tickLblPos val="nextTo"/>
        <c:txPr>
          <a:bodyPr/>
          <a:lstStyle/>
          <a:p>
            <a:pPr>
              <a:defRPr lang="en-US"/>
            </a:pPr>
            <a:endParaRPr lang="ro-RO"/>
          </a:p>
        </c:txPr>
        <c:crossAx val="164415744"/>
        <c:crosses val="autoZero"/>
        <c:auto val="1"/>
        <c:lblAlgn val="ctr"/>
        <c:lblOffset val="100"/>
      </c:catAx>
      <c:valAx>
        <c:axId val="164415744"/>
        <c:scaling>
          <c:orientation val="minMax"/>
        </c:scaling>
        <c:axPos val="l"/>
        <c:majorGridlines/>
        <c:title>
          <c:tx>
            <c:rich>
              <a:bodyPr/>
              <a:lstStyle/>
              <a:p>
                <a:pPr>
                  <a:defRPr lang="en-US" sz="1100">
                    <a:latin typeface="Arial" pitchFamily="34" charset="0"/>
                    <a:cs typeface="Arial" pitchFamily="34" charset="0"/>
                  </a:defRPr>
                </a:pPr>
                <a:r>
                  <a:rPr sz="1100">
                    <a:latin typeface="Arial" pitchFamily="34" charset="0"/>
                    <a:cs typeface="Arial" pitchFamily="34" charset="0"/>
                  </a:rPr>
                  <a:t>Concentrații</a:t>
                </a:r>
              </a:p>
            </c:rich>
          </c:tx>
          <c:layout>
            <c:manualLayout>
              <c:xMode val="edge"/>
              <c:yMode val="edge"/>
              <c:x val="0.22036707455103149"/>
              <c:y val="0.28121619561816591"/>
            </c:manualLayout>
          </c:layout>
        </c:title>
        <c:numFmt formatCode="General" sourceLinked="1"/>
        <c:majorTickMark val="none"/>
        <c:tickLblPos val="nextTo"/>
        <c:txPr>
          <a:bodyPr/>
          <a:lstStyle/>
          <a:p>
            <a:pPr>
              <a:defRPr lang="en-US"/>
            </a:pPr>
            <a:endParaRPr lang="ro-RO"/>
          </a:p>
        </c:txPr>
        <c:crossAx val="164414208"/>
        <c:crosses val="autoZero"/>
        <c:crossBetween val="between"/>
      </c:valAx>
      <c:valAx>
        <c:axId val="164499840"/>
        <c:scaling>
          <c:orientation val="minMax"/>
        </c:scaling>
        <c:axPos val="r"/>
        <c:numFmt formatCode="General" sourceLinked="1"/>
        <c:tickLblPos val="nextTo"/>
        <c:txPr>
          <a:bodyPr/>
          <a:lstStyle/>
          <a:p>
            <a:pPr>
              <a:defRPr lang="en-US"/>
            </a:pPr>
            <a:endParaRPr lang="ro-RO"/>
          </a:p>
        </c:txPr>
        <c:crossAx val="164501376"/>
        <c:crosses val="max"/>
        <c:crossBetween val="between"/>
      </c:valAx>
      <c:catAx>
        <c:axId val="164501376"/>
        <c:scaling>
          <c:orientation val="minMax"/>
        </c:scaling>
        <c:delete val="1"/>
        <c:axPos val="b"/>
        <c:tickLblPos val="none"/>
        <c:crossAx val="164499840"/>
        <c:crosses val="autoZero"/>
        <c:auto val="1"/>
        <c:lblAlgn val="ctr"/>
        <c:lblOffset val="100"/>
      </c:catAx>
      <c:dTable>
        <c:showHorzBorder val="1"/>
        <c:showVertBorder val="1"/>
        <c:showOutline val="1"/>
        <c:showKeys val="1"/>
        <c:txPr>
          <a:bodyPr/>
          <a:lstStyle/>
          <a:p>
            <a:pPr rtl="0">
              <a:defRPr lang="en-US"/>
            </a:pPr>
            <a:endParaRPr lang="ro-RO"/>
          </a:p>
        </c:txPr>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1"/>
          <c:order val="1"/>
          <c:tx>
            <c:strRef>
              <c:f>Sheet1!$D$30</c:f>
              <c:strCache>
                <c:ptCount val="1"/>
                <c:pt idx="0">
                  <c:v>VL SO2(µg/m3)</c:v>
                </c:pt>
              </c:strCache>
            </c:strRef>
          </c:tx>
          <c:marker>
            <c:symbol val="none"/>
          </c:marker>
          <c:cat>
            <c:strRef>
              <c:f>Sheet1!$B$31:$B$37</c:f>
              <c:strCache>
                <c:ptCount val="7"/>
                <c:pt idx="0">
                  <c:v>2008"</c:v>
                </c:pt>
                <c:pt idx="1">
                  <c:v>2009"</c:v>
                </c:pt>
                <c:pt idx="2">
                  <c:v>2010"</c:v>
                </c:pt>
                <c:pt idx="3">
                  <c:v>2011"</c:v>
                </c:pt>
                <c:pt idx="4">
                  <c:v>2012"</c:v>
                </c:pt>
                <c:pt idx="5">
                  <c:v>2013"</c:v>
                </c:pt>
                <c:pt idx="6">
                  <c:v>2014"</c:v>
                </c:pt>
              </c:strCache>
            </c:strRef>
          </c:cat>
          <c:val>
            <c:numRef>
              <c:f>Sheet1!$D$31:$D$37</c:f>
              <c:numCache>
                <c:formatCode>General</c:formatCode>
                <c:ptCount val="7"/>
                <c:pt idx="0">
                  <c:v>350</c:v>
                </c:pt>
                <c:pt idx="1">
                  <c:v>350</c:v>
                </c:pt>
                <c:pt idx="2">
                  <c:v>350</c:v>
                </c:pt>
                <c:pt idx="3">
                  <c:v>350</c:v>
                </c:pt>
                <c:pt idx="4">
                  <c:v>350</c:v>
                </c:pt>
                <c:pt idx="5">
                  <c:v>350</c:v>
                </c:pt>
                <c:pt idx="6">
                  <c:v>350</c:v>
                </c:pt>
              </c:numCache>
            </c:numRef>
          </c:val>
        </c:ser>
        <c:marker val="1"/>
        <c:axId val="136518656"/>
        <c:axId val="136450816"/>
      </c:lineChart>
      <c:lineChart>
        <c:grouping val="standard"/>
        <c:ser>
          <c:idx val="0"/>
          <c:order val="0"/>
          <c:tx>
            <c:strRef>
              <c:f>Sheet1!$C$30</c:f>
              <c:strCache>
                <c:ptCount val="1"/>
                <c:pt idx="0">
                  <c:v>SO2(µg/m3)</c:v>
                </c:pt>
              </c:strCache>
            </c:strRef>
          </c:tx>
          <c:marker>
            <c:symbol val="none"/>
          </c:marker>
          <c:cat>
            <c:strRef>
              <c:f>Sheet1!$B$31:$B$37</c:f>
              <c:strCache>
                <c:ptCount val="7"/>
                <c:pt idx="0">
                  <c:v>2008"</c:v>
                </c:pt>
                <c:pt idx="1">
                  <c:v>2009"</c:v>
                </c:pt>
                <c:pt idx="2">
                  <c:v>2010"</c:v>
                </c:pt>
                <c:pt idx="3">
                  <c:v>2011"</c:v>
                </c:pt>
                <c:pt idx="4">
                  <c:v>2012"</c:v>
                </c:pt>
                <c:pt idx="5">
                  <c:v>2013"</c:v>
                </c:pt>
                <c:pt idx="6">
                  <c:v>2014"</c:v>
                </c:pt>
              </c:strCache>
            </c:strRef>
          </c:cat>
          <c:val>
            <c:numRef>
              <c:f>Sheet1!$C$31:$C$37</c:f>
              <c:numCache>
                <c:formatCode>General</c:formatCode>
                <c:ptCount val="7"/>
                <c:pt idx="0">
                  <c:v>2.9899999999999998</c:v>
                </c:pt>
                <c:pt idx="1">
                  <c:v>5.81</c:v>
                </c:pt>
                <c:pt idx="2">
                  <c:v>6.18</c:v>
                </c:pt>
                <c:pt idx="4">
                  <c:v>4.92</c:v>
                </c:pt>
                <c:pt idx="5">
                  <c:v>4.8899999999999997</c:v>
                </c:pt>
                <c:pt idx="6">
                  <c:v>4.1199999999999966</c:v>
                </c:pt>
              </c:numCache>
            </c:numRef>
          </c:val>
        </c:ser>
        <c:marker val="1"/>
        <c:axId val="136458240"/>
        <c:axId val="136452352"/>
      </c:lineChart>
      <c:catAx>
        <c:axId val="136518656"/>
        <c:scaling>
          <c:orientation val="minMax"/>
        </c:scaling>
        <c:axPos val="b"/>
        <c:tickLblPos val="nextTo"/>
        <c:crossAx val="136450816"/>
        <c:crosses val="autoZero"/>
        <c:auto val="1"/>
        <c:lblAlgn val="ctr"/>
        <c:lblOffset val="100"/>
      </c:catAx>
      <c:valAx>
        <c:axId val="136450816"/>
        <c:scaling>
          <c:orientation val="minMax"/>
        </c:scaling>
        <c:axPos val="l"/>
        <c:majorGridlines/>
        <c:numFmt formatCode="General" sourceLinked="1"/>
        <c:tickLblPos val="nextTo"/>
        <c:crossAx val="136518656"/>
        <c:crosses val="autoZero"/>
        <c:crossBetween val="between"/>
      </c:valAx>
      <c:valAx>
        <c:axId val="136452352"/>
        <c:scaling>
          <c:orientation val="minMax"/>
        </c:scaling>
        <c:axPos val="r"/>
        <c:numFmt formatCode="General" sourceLinked="1"/>
        <c:tickLblPos val="nextTo"/>
        <c:crossAx val="136458240"/>
        <c:crosses val="max"/>
        <c:crossBetween val="between"/>
      </c:valAx>
      <c:catAx>
        <c:axId val="136458240"/>
        <c:scaling>
          <c:orientation val="minMax"/>
        </c:scaling>
        <c:delete val="1"/>
        <c:axPos val="b"/>
        <c:tickLblPos val="none"/>
        <c:crossAx val="136452352"/>
        <c:crosses val="autoZero"/>
        <c:auto val="1"/>
        <c:lblAlgn val="ctr"/>
        <c:lblOffset val="100"/>
      </c:catAx>
    </c:plotArea>
    <c:legend>
      <c:legendPos val="r"/>
    </c:legend>
    <c:plotVisOnly val="1"/>
  </c:chart>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100">
                <a:latin typeface="Arial" pitchFamily="34" charset="0"/>
                <a:cs typeface="Arial" pitchFamily="34" charset="0"/>
              </a:defRPr>
            </a:pPr>
            <a:r>
              <a:rPr sz="1100">
                <a:latin typeface="Arial" pitchFamily="34" charset="0"/>
                <a:cs typeface="Arial" pitchFamily="34" charset="0"/>
              </a:rPr>
              <a:t>Evoluția concentraţiilor medii anuale ale fosforului total (PT) determinate în principalele lacuri din județul Buzău, în perioda 2010-2014</a:t>
            </a:r>
          </a:p>
        </c:rich>
      </c:tx>
    </c:title>
    <c:plotArea>
      <c:layout/>
      <c:lineChart>
        <c:grouping val="stacked"/>
        <c:ser>
          <c:idx val="0"/>
          <c:order val="0"/>
          <c:tx>
            <c:strRef>
              <c:f>[2]Foaie1!$C$34</c:f>
              <c:strCache>
                <c:ptCount val="1"/>
                <c:pt idx="0">
                  <c:v>Siriu</c:v>
                </c:pt>
              </c:strCache>
            </c:strRef>
          </c:tx>
          <c:cat>
            <c:numRef>
              <c:f>[2]Foaie1!$D$33:$H$33</c:f>
              <c:numCache>
                <c:formatCode>General</c:formatCode>
                <c:ptCount val="5"/>
                <c:pt idx="0">
                  <c:v>2010</c:v>
                </c:pt>
                <c:pt idx="1">
                  <c:v>2011</c:v>
                </c:pt>
                <c:pt idx="2">
                  <c:v>2012</c:v>
                </c:pt>
                <c:pt idx="3">
                  <c:v>2013</c:v>
                </c:pt>
                <c:pt idx="4">
                  <c:v>2014</c:v>
                </c:pt>
              </c:numCache>
            </c:numRef>
          </c:cat>
          <c:val>
            <c:numRef>
              <c:f>[2]Foaie1!$D$34:$H$34</c:f>
              <c:numCache>
                <c:formatCode>General</c:formatCode>
                <c:ptCount val="5"/>
                <c:pt idx="0">
                  <c:v>1.0000000000000005E-2</c:v>
                </c:pt>
                <c:pt idx="1">
                  <c:v>2.0000000000000011E-2</c:v>
                </c:pt>
                <c:pt idx="2">
                  <c:v>3.0000000000000002E-2</c:v>
                </c:pt>
                <c:pt idx="3">
                  <c:v>2.0000000000000011E-2</c:v>
                </c:pt>
                <c:pt idx="4">
                  <c:v>2.0000000000000011E-2</c:v>
                </c:pt>
              </c:numCache>
            </c:numRef>
          </c:val>
        </c:ser>
        <c:ser>
          <c:idx val="1"/>
          <c:order val="1"/>
          <c:tx>
            <c:strRef>
              <c:f>[2]Foaie1!$C$35</c:f>
              <c:strCache>
                <c:ptCount val="1"/>
                <c:pt idx="0">
                  <c:v>Cândeşti</c:v>
                </c:pt>
              </c:strCache>
            </c:strRef>
          </c:tx>
          <c:cat>
            <c:numRef>
              <c:f>[2]Foaie1!$D$33:$H$33</c:f>
              <c:numCache>
                <c:formatCode>General</c:formatCode>
                <c:ptCount val="5"/>
                <c:pt idx="0">
                  <c:v>2010</c:v>
                </c:pt>
                <c:pt idx="1">
                  <c:v>2011</c:v>
                </c:pt>
                <c:pt idx="2">
                  <c:v>2012</c:v>
                </c:pt>
                <c:pt idx="3">
                  <c:v>2013</c:v>
                </c:pt>
                <c:pt idx="4">
                  <c:v>2014</c:v>
                </c:pt>
              </c:numCache>
            </c:numRef>
          </c:cat>
          <c:val>
            <c:numRef>
              <c:f>[2]Foaie1!$D$35:$H$35</c:f>
              <c:numCache>
                <c:formatCode>General</c:formatCode>
                <c:ptCount val="5"/>
                <c:pt idx="0">
                  <c:v>1.0000000000000005E-2</c:v>
                </c:pt>
                <c:pt idx="1">
                  <c:v>2.0000000000000011E-2</c:v>
                </c:pt>
                <c:pt idx="2">
                  <c:v>3.0000000000000002E-2</c:v>
                </c:pt>
                <c:pt idx="3">
                  <c:v>2.0000000000000011E-2</c:v>
                </c:pt>
                <c:pt idx="4">
                  <c:v>1.0000000000000005E-2</c:v>
                </c:pt>
              </c:numCache>
            </c:numRef>
          </c:val>
        </c:ser>
        <c:ser>
          <c:idx val="2"/>
          <c:order val="2"/>
          <c:tx>
            <c:strRef>
              <c:f>[2]Foaie1!$C$36</c:f>
              <c:strCache>
                <c:ptCount val="1"/>
                <c:pt idx="0">
                  <c:v>Balta Amara</c:v>
                </c:pt>
              </c:strCache>
            </c:strRef>
          </c:tx>
          <c:cat>
            <c:numRef>
              <c:f>[2]Foaie1!$D$33:$H$33</c:f>
              <c:numCache>
                <c:formatCode>General</c:formatCode>
                <c:ptCount val="5"/>
                <c:pt idx="0">
                  <c:v>2010</c:v>
                </c:pt>
                <c:pt idx="1">
                  <c:v>2011</c:v>
                </c:pt>
                <c:pt idx="2">
                  <c:v>2012</c:v>
                </c:pt>
                <c:pt idx="3">
                  <c:v>2013</c:v>
                </c:pt>
                <c:pt idx="4">
                  <c:v>2014</c:v>
                </c:pt>
              </c:numCache>
            </c:numRef>
          </c:cat>
          <c:val>
            <c:numRef>
              <c:f>[2]Foaie1!$D$36:$H$36</c:f>
              <c:numCache>
                <c:formatCode>General</c:formatCode>
                <c:ptCount val="5"/>
                <c:pt idx="0">
                  <c:v>9.0000000000000024E-2</c:v>
                </c:pt>
                <c:pt idx="1">
                  <c:v>0.1</c:v>
                </c:pt>
                <c:pt idx="2">
                  <c:v>0.28000000000000008</c:v>
                </c:pt>
                <c:pt idx="3">
                  <c:v>0.23</c:v>
                </c:pt>
                <c:pt idx="4">
                  <c:v>0.29000000000000031</c:v>
                </c:pt>
              </c:numCache>
            </c:numRef>
          </c:val>
        </c:ser>
        <c:ser>
          <c:idx val="3"/>
          <c:order val="3"/>
          <c:tx>
            <c:strRef>
              <c:f>[2]Foaie1!$C$37</c:f>
              <c:strCache>
                <c:ptCount val="1"/>
                <c:pt idx="0">
                  <c:v>Balta Albă</c:v>
                </c:pt>
              </c:strCache>
            </c:strRef>
          </c:tx>
          <c:cat>
            <c:numRef>
              <c:f>[2]Foaie1!$D$33:$H$33</c:f>
              <c:numCache>
                <c:formatCode>General</c:formatCode>
                <c:ptCount val="5"/>
                <c:pt idx="0">
                  <c:v>2010</c:v>
                </c:pt>
                <c:pt idx="1">
                  <c:v>2011</c:v>
                </c:pt>
                <c:pt idx="2">
                  <c:v>2012</c:v>
                </c:pt>
                <c:pt idx="3">
                  <c:v>2013</c:v>
                </c:pt>
                <c:pt idx="4">
                  <c:v>2014</c:v>
                </c:pt>
              </c:numCache>
            </c:numRef>
          </c:cat>
          <c:val>
            <c:numRef>
              <c:f>[2]Foaie1!$D$37:$H$37</c:f>
              <c:numCache>
                <c:formatCode>General</c:formatCode>
                <c:ptCount val="5"/>
                <c:pt idx="0">
                  <c:v>0.92</c:v>
                </c:pt>
                <c:pt idx="1">
                  <c:v>0.46</c:v>
                </c:pt>
                <c:pt idx="2">
                  <c:v>0.35000000000000031</c:v>
                </c:pt>
                <c:pt idx="3">
                  <c:v>0.18000000000000022</c:v>
                </c:pt>
                <c:pt idx="4">
                  <c:v>0.70000000000000062</c:v>
                </c:pt>
              </c:numCache>
            </c:numRef>
          </c:val>
        </c:ser>
        <c:ser>
          <c:idx val="4"/>
          <c:order val="4"/>
          <c:tx>
            <c:strRef>
              <c:f>[2]Foaie1!$C$38</c:f>
              <c:strCache>
                <c:ptCount val="1"/>
                <c:pt idx="0">
                  <c:v>Ciulniţa</c:v>
                </c:pt>
              </c:strCache>
            </c:strRef>
          </c:tx>
          <c:cat>
            <c:numRef>
              <c:f>[2]Foaie1!$D$33:$H$33</c:f>
              <c:numCache>
                <c:formatCode>General</c:formatCode>
                <c:ptCount val="5"/>
                <c:pt idx="0">
                  <c:v>2010</c:v>
                </c:pt>
                <c:pt idx="1">
                  <c:v>2011</c:v>
                </c:pt>
                <c:pt idx="2">
                  <c:v>2012</c:v>
                </c:pt>
                <c:pt idx="3">
                  <c:v>2013</c:v>
                </c:pt>
                <c:pt idx="4">
                  <c:v>2014</c:v>
                </c:pt>
              </c:numCache>
            </c:numRef>
          </c:cat>
          <c:val>
            <c:numRef>
              <c:f>[2]Foaie1!$D$38:$H$38</c:f>
              <c:numCache>
                <c:formatCode>General</c:formatCode>
                <c:ptCount val="5"/>
                <c:pt idx="0">
                  <c:v>6.0000000000000032E-2</c:v>
                </c:pt>
                <c:pt idx="1">
                  <c:v>9.0000000000000024E-2</c:v>
                </c:pt>
                <c:pt idx="2">
                  <c:v>0.31000000000000044</c:v>
                </c:pt>
                <c:pt idx="3">
                  <c:v>0.18000000000000022</c:v>
                </c:pt>
                <c:pt idx="4">
                  <c:v>0.32000000000000051</c:v>
                </c:pt>
              </c:numCache>
            </c:numRef>
          </c:val>
        </c:ser>
        <c:marker val="1"/>
        <c:axId val="164538240"/>
        <c:axId val="164539776"/>
      </c:lineChart>
      <c:catAx>
        <c:axId val="164538240"/>
        <c:scaling>
          <c:orientation val="minMax"/>
        </c:scaling>
        <c:axPos val="b"/>
        <c:numFmt formatCode="General" sourceLinked="1"/>
        <c:majorTickMark val="none"/>
        <c:tickLblPos val="nextTo"/>
        <c:txPr>
          <a:bodyPr/>
          <a:lstStyle/>
          <a:p>
            <a:pPr>
              <a:defRPr lang="en-US"/>
            </a:pPr>
            <a:endParaRPr lang="ro-RO"/>
          </a:p>
        </c:txPr>
        <c:crossAx val="164539776"/>
        <c:crosses val="autoZero"/>
        <c:auto val="1"/>
        <c:lblAlgn val="ctr"/>
        <c:lblOffset val="100"/>
      </c:catAx>
      <c:valAx>
        <c:axId val="164539776"/>
        <c:scaling>
          <c:orientation val="minMax"/>
        </c:scaling>
        <c:axPos val="l"/>
        <c:majorGridlines/>
        <c:title>
          <c:tx>
            <c:rich>
              <a:bodyPr/>
              <a:lstStyle/>
              <a:p>
                <a:pPr>
                  <a:defRPr lang="en-US" sz="1100">
                    <a:latin typeface="Arial" pitchFamily="34" charset="0"/>
                    <a:cs typeface="Arial" pitchFamily="34" charset="0"/>
                  </a:defRPr>
                </a:pPr>
                <a:r>
                  <a:rPr sz="1100">
                    <a:latin typeface="Arial" pitchFamily="34" charset="0"/>
                    <a:cs typeface="Arial" pitchFamily="34" charset="0"/>
                  </a:rPr>
                  <a:t>Concentrație (mg/l)</a:t>
                </a:r>
              </a:p>
            </c:rich>
          </c:tx>
          <c:layout>
            <c:manualLayout>
              <c:xMode val="edge"/>
              <c:yMode val="edge"/>
              <c:x val="6.3789070805868708E-2"/>
              <c:y val="0.19333140086517575"/>
            </c:manualLayout>
          </c:layout>
        </c:title>
        <c:numFmt formatCode="General" sourceLinked="1"/>
        <c:majorTickMark val="none"/>
        <c:tickLblPos val="nextTo"/>
        <c:txPr>
          <a:bodyPr/>
          <a:lstStyle/>
          <a:p>
            <a:pPr>
              <a:defRPr lang="en-US"/>
            </a:pPr>
            <a:endParaRPr lang="ro-RO"/>
          </a:p>
        </c:txPr>
        <c:crossAx val="164538240"/>
        <c:crosses val="autoZero"/>
        <c:crossBetween val="between"/>
      </c:valAx>
      <c:dTable>
        <c:showHorzBorder val="1"/>
        <c:showVertBorder val="1"/>
        <c:showOutline val="1"/>
        <c:showKeys val="1"/>
        <c:txPr>
          <a:bodyPr/>
          <a:lstStyle/>
          <a:p>
            <a:pPr rtl="0">
              <a:defRPr lang="en-US"/>
            </a:pPr>
            <a:endParaRPr lang="ro-RO"/>
          </a:p>
        </c:txPr>
      </c:dTable>
    </c:plotArea>
    <c:plotVisOnly val="1"/>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100">
                <a:latin typeface="Arial" pitchFamily="34" charset="0"/>
                <a:cs typeface="Arial" pitchFamily="34" charset="0"/>
              </a:defRPr>
            </a:pPr>
            <a:r>
              <a:rPr sz="1100">
                <a:latin typeface="Arial" pitchFamily="34" charset="0"/>
                <a:cs typeface="Arial" pitchFamily="34" charset="0"/>
              </a:rPr>
              <a:t>Evoluția concentraţiilor medii anuale ale  azotaților (NO3-) determinate în principalele lacuri din județul Buzău, în perioda 201</a:t>
            </a:r>
            <a:r>
              <a:rPr lang="ro-RO" sz="1100">
                <a:latin typeface="Arial" pitchFamily="34" charset="0"/>
                <a:cs typeface="Arial" pitchFamily="34" charset="0"/>
              </a:rPr>
              <a:t>1</a:t>
            </a:r>
            <a:r>
              <a:rPr sz="1100">
                <a:latin typeface="Arial" pitchFamily="34" charset="0"/>
                <a:cs typeface="Arial" pitchFamily="34" charset="0"/>
              </a:rPr>
              <a:t>-2014</a:t>
            </a:r>
          </a:p>
        </c:rich>
      </c:tx>
    </c:title>
    <c:plotArea>
      <c:layout/>
      <c:lineChart>
        <c:grouping val="stacked"/>
        <c:ser>
          <c:idx val="0"/>
          <c:order val="0"/>
          <c:tx>
            <c:strRef>
              <c:f>[2]Foaie1!$C$64</c:f>
              <c:strCache>
                <c:ptCount val="1"/>
                <c:pt idx="0">
                  <c:v>Siriu</c:v>
                </c:pt>
              </c:strCache>
            </c:strRef>
          </c:tx>
          <c:cat>
            <c:numRef>
              <c:f>[2]Foaie1!$D$63:$G$63</c:f>
              <c:numCache>
                <c:formatCode>General</c:formatCode>
                <c:ptCount val="4"/>
                <c:pt idx="0">
                  <c:v>2011</c:v>
                </c:pt>
                <c:pt idx="1">
                  <c:v>2012</c:v>
                </c:pt>
                <c:pt idx="2">
                  <c:v>2013</c:v>
                </c:pt>
                <c:pt idx="3">
                  <c:v>2014</c:v>
                </c:pt>
              </c:numCache>
            </c:numRef>
          </c:cat>
          <c:val>
            <c:numRef>
              <c:f>[2]Foaie1!$D$64:$G$64</c:f>
              <c:numCache>
                <c:formatCode>General</c:formatCode>
                <c:ptCount val="4"/>
                <c:pt idx="0">
                  <c:v>2.9699999999999998</c:v>
                </c:pt>
                <c:pt idx="1">
                  <c:v>2.98</c:v>
                </c:pt>
                <c:pt idx="2">
                  <c:v>2.21</c:v>
                </c:pt>
                <c:pt idx="3">
                  <c:v>2.4899999999999998</c:v>
                </c:pt>
              </c:numCache>
            </c:numRef>
          </c:val>
        </c:ser>
        <c:ser>
          <c:idx val="1"/>
          <c:order val="1"/>
          <c:tx>
            <c:strRef>
              <c:f>[2]Foaie1!$C$65</c:f>
              <c:strCache>
                <c:ptCount val="1"/>
                <c:pt idx="0">
                  <c:v>Cândeşti</c:v>
                </c:pt>
              </c:strCache>
            </c:strRef>
          </c:tx>
          <c:cat>
            <c:numRef>
              <c:f>[2]Foaie1!$D$63:$G$63</c:f>
              <c:numCache>
                <c:formatCode>General</c:formatCode>
                <c:ptCount val="4"/>
                <c:pt idx="0">
                  <c:v>2011</c:v>
                </c:pt>
                <c:pt idx="1">
                  <c:v>2012</c:v>
                </c:pt>
                <c:pt idx="2">
                  <c:v>2013</c:v>
                </c:pt>
                <c:pt idx="3">
                  <c:v>2014</c:v>
                </c:pt>
              </c:numCache>
            </c:numRef>
          </c:cat>
          <c:val>
            <c:numRef>
              <c:f>[2]Foaie1!$D$65:$G$65</c:f>
              <c:numCache>
                <c:formatCode>General</c:formatCode>
                <c:ptCount val="4"/>
                <c:pt idx="0">
                  <c:v>2.61</c:v>
                </c:pt>
                <c:pt idx="1">
                  <c:v>2.68</c:v>
                </c:pt>
                <c:pt idx="2">
                  <c:v>2.4699999999999998</c:v>
                </c:pt>
                <c:pt idx="3">
                  <c:v>2.7</c:v>
                </c:pt>
              </c:numCache>
            </c:numRef>
          </c:val>
        </c:ser>
        <c:ser>
          <c:idx val="2"/>
          <c:order val="2"/>
          <c:tx>
            <c:strRef>
              <c:f>[2]Foaie1!$C$66</c:f>
              <c:strCache>
                <c:ptCount val="1"/>
                <c:pt idx="0">
                  <c:v>Balta Amara</c:v>
                </c:pt>
              </c:strCache>
            </c:strRef>
          </c:tx>
          <c:cat>
            <c:numRef>
              <c:f>[2]Foaie1!$D$63:$G$63</c:f>
              <c:numCache>
                <c:formatCode>General</c:formatCode>
                <c:ptCount val="4"/>
                <c:pt idx="0">
                  <c:v>2011</c:v>
                </c:pt>
                <c:pt idx="1">
                  <c:v>2012</c:v>
                </c:pt>
                <c:pt idx="2">
                  <c:v>2013</c:v>
                </c:pt>
                <c:pt idx="3">
                  <c:v>2014</c:v>
                </c:pt>
              </c:numCache>
            </c:numRef>
          </c:cat>
          <c:val>
            <c:numRef>
              <c:f>[2]Foaie1!$D$66:$G$66</c:f>
              <c:numCache>
                <c:formatCode>General</c:formatCode>
                <c:ptCount val="4"/>
                <c:pt idx="0">
                  <c:v>0.25</c:v>
                </c:pt>
                <c:pt idx="1">
                  <c:v>0.60000000000000064</c:v>
                </c:pt>
                <c:pt idx="2">
                  <c:v>0.18000000000000022</c:v>
                </c:pt>
                <c:pt idx="3">
                  <c:v>0.88</c:v>
                </c:pt>
              </c:numCache>
            </c:numRef>
          </c:val>
        </c:ser>
        <c:marker val="1"/>
        <c:axId val="164336000"/>
        <c:axId val="164337536"/>
      </c:lineChart>
      <c:lineChart>
        <c:grouping val="stacked"/>
        <c:ser>
          <c:idx val="3"/>
          <c:order val="3"/>
          <c:tx>
            <c:strRef>
              <c:f>[2]Foaie1!$C$67</c:f>
              <c:strCache>
                <c:ptCount val="1"/>
                <c:pt idx="0">
                  <c:v>Ciulniţa</c:v>
                </c:pt>
              </c:strCache>
            </c:strRef>
          </c:tx>
          <c:cat>
            <c:numRef>
              <c:f>[2]Foaie1!$D$63:$G$63</c:f>
              <c:numCache>
                <c:formatCode>General</c:formatCode>
                <c:ptCount val="4"/>
                <c:pt idx="0">
                  <c:v>2011</c:v>
                </c:pt>
                <c:pt idx="1">
                  <c:v>2012</c:v>
                </c:pt>
                <c:pt idx="2">
                  <c:v>2013</c:v>
                </c:pt>
                <c:pt idx="3">
                  <c:v>2014</c:v>
                </c:pt>
              </c:numCache>
            </c:numRef>
          </c:cat>
          <c:val>
            <c:numRef>
              <c:f>[2]Foaie1!$D$67:$G$67</c:f>
              <c:numCache>
                <c:formatCode>General</c:formatCode>
                <c:ptCount val="4"/>
                <c:pt idx="0">
                  <c:v>0.43000000000000038</c:v>
                </c:pt>
                <c:pt idx="1">
                  <c:v>1.9900000000000018</c:v>
                </c:pt>
                <c:pt idx="2">
                  <c:v>1.23</c:v>
                </c:pt>
                <c:pt idx="3">
                  <c:v>1.03</c:v>
                </c:pt>
              </c:numCache>
            </c:numRef>
          </c:val>
        </c:ser>
        <c:marker val="1"/>
        <c:axId val="164345344"/>
        <c:axId val="164343808"/>
      </c:lineChart>
      <c:catAx>
        <c:axId val="164336000"/>
        <c:scaling>
          <c:orientation val="minMax"/>
        </c:scaling>
        <c:axPos val="b"/>
        <c:numFmt formatCode="General" sourceLinked="1"/>
        <c:majorTickMark val="none"/>
        <c:tickLblPos val="nextTo"/>
        <c:txPr>
          <a:bodyPr/>
          <a:lstStyle/>
          <a:p>
            <a:pPr>
              <a:defRPr lang="en-US"/>
            </a:pPr>
            <a:endParaRPr lang="ro-RO"/>
          </a:p>
        </c:txPr>
        <c:crossAx val="164337536"/>
        <c:crosses val="autoZero"/>
        <c:auto val="1"/>
        <c:lblAlgn val="ctr"/>
        <c:lblOffset val="100"/>
      </c:catAx>
      <c:valAx>
        <c:axId val="164337536"/>
        <c:scaling>
          <c:orientation val="minMax"/>
        </c:scaling>
        <c:axPos val="l"/>
        <c:majorGridlines/>
        <c:title>
          <c:tx>
            <c:rich>
              <a:bodyPr/>
              <a:lstStyle/>
              <a:p>
                <a:pPr>
                  <a:defRPr lang="en-US" sz="1100">
                    <a:latin typeface="Arial" pitchFamily="34" charset="0"/>
                    <a:cs typeface="Arial" pitchFamily="34" charset="0"/>
                  </a:defRPr>
                </a:pPr>
                <a:r>
                  <a:rPr sz="1100">
                    <a:latin typeface="Arial" pitchFamily="34" charset="0"/>
                    <a:cs typeface="Arial" pitchFamily="34" charset="0"/>
                  </a:rPr>
                  <a:t>Concentrație (mg/l)</a:t>
                </a:r>
              </a:p>
            </c:rich>
          </c:tx>
          <c:layout>
            <c:manualLayout>
              <c:xMode val="edge"/>
              <c:yMode val="edge"/>
              <c:x val="4.8844884488448863E-2"/>
              <c:y val="0.14075240594925639"/>
            </c:manualLayout>
          </c:layout>
        </c:title>
        <c:numFmt formatCode="General" sourceLinked="1"/>
        <c:majorTickMark val="none"/>
        <c:tickLblPos val="nextTo"/>
        <c:txPr>
          <a:bodyPr/>
          <a:lstStyle/>
          <a:p>
            <a:pPr>
              <a:defRPr lang="en-US"/>
            </a:pPr>
            <a:endParaRPr lang="ro-RO"/>
          </a:p>
        </c:txPr>
        <c:crossAx val="164336000"/>
        <c:crosses val="autoZero"/>
        <c:crossBetween val="between"/>
      </c:valAx>
      <c:valAx>
        <c:axId val="164343808"/>
        <c:scaling>
          <c:orientation val="minMax"/>
        </c:scaling>
        <c:axPos val="r"/>
        <c:numFmt formatCode="General" sourceLinked="1"/>
        <c:tickLblPos val="nextTo"/>
        <c:txPr>
          <a:bodyPr/>
          <a:lstStyle/>
          <a:p>
            <a:pPr>
              <a:defRPr lang="en-US"/>
            </a:pPr>
            <a:endParaRPr lang="ro-RO"/>
          </a:p>
        </c:txPr>
        <c:crossAx val="164345344"/>
        <c:crosses val="max"/>
        <c:crossBetween val="between"/>
      </c:valAx>
      <c:catAx>
        <c:axId val="164345344"/>
        <c:scaling>
          <c:orientation val="minMax"/>
        </c:scaling>
        <c:delete val="1"/>
        <c:axPos val="b"/>
        <c:numFmt formatCode="General" sourceLinked="1"/>
        <c:tickLblPos val="none"/>
        <c:crossAx val="164343808"/>
        <c:crosses val="autoZero"/>
        <c:auto val="1"/>
        <c:lblAlgn val="ctr"/>
        <c:lblOffset val="100"/>
      </c:catAx>
      <c:dTable>
        <c:showHorzBorder val="1"/>
        <c:showVertBorder val="1"/>
        <c:showOutline val="1"/>
        <c:showKeys val="1"/>
        <c:txPr>
          <a:bodyPr/>
          <a:lstStyle/>
          <a:p>
            <a:pPr rtl="0">
              <a:defRPr lang="en-US"/>
            </a:pPr>
            <a:endParaRPr lang="ro-RO"/>
          </a:p>
        </c:txPr>
      </c:dTable>
    </c:plotArea>
    <c:plotVisOnly val="1"/>
  </c:chart>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mn-lt"/>
                <a:cs typeface="Arial" pitchFamily="34" charset="0"/>
              </a:defRPr>
            </a:pPr>
            <a:r>
              <a:rPr lang="vi-VN" sz="1100">
                <a:latin typeface="+mn-lt"/>
                <a:cs typeface="Arial" pitchFamily="34" charset="0"/>
              </a:rPr>
              <a:t>Variaţia concentrațiilor de azotaţi în apele subterane, în anul 2014, în județul Buzău pe administrații bazinale</a:t>
            </a:r>
          </a:p>
        </c:rich>
      </c:tx>
    </c:title>
    <c:plotArea>
      <c:layout/>
      <c:lineChart>
        <c:grouping val="stacked"/>
        <c:ser>
          <c:idx val="0"/>
          <c:order val="0"/>
          <c:tx>
            <c:strRef>
              <c:f>Sheet1!$D$473</c:f>
              <c:strCache>
                <c:ptCount val="1"/>
                <c:pt idx="0">
                  <c:v>Concentrații medii anuale (mg NO3-/l)</c:v>
                </c:pt>
              </c:strCache>
            </c:strRef>
          </c:tx>
          <c:cat>
            <c:strRef>
              <c:f>Sheet1!$E$472:$F$472</c:f>
              <c:strCache>
                <c:ptCount val="2"/>
                <c:pt idx="0">
                  <c:v>ABA Buzău-Ialomița</c:v>
                </c:pt>
                <c:pt idx="1">
                  <c:v>SGA Vrancea</c:v>
                </c:pt>
              </c:strCache>
            </c:strRef>
          </c:cat>
          <c:val>
            <c:numRef>
              <c:f>Sheet1!$E$473:$F$473</c:f>
              <c:numCache>
                <c:formatCode>General</c:formatCode>
                <c:ptCount val="2"/>
                <c:pt idx="0">
                  <c:v>19.8</c:v>
                </c:pt>
                <c:pt idx="1">
                  <c:v>3</c:v>
                </c:pt>
              </c:numCache>
            </c:numRef>
          </c:val>
        </c:ser>
        <c:marker val="1"/>
        <c:axId val="164435072"/>
        <c:axId val="164436608"/>
      </c:lineChart>
      <c:catAx>
        <c:axId val="164435072"/>
        <c:scaling>
          <c:orientation val="minMax"/>
        </c:scaling>
        <c:axPos val="b"/>
        <c:majorTickMark val="none"/>
        <c:tickLblPos val="nextTo"/>
        <c:crossAx val="164436608"/>
        <c:crosses val="autoZero"/>
        <c:auto val="1"/>
        <c:lblAlgn val="ctr"/>
        <c:lblOffset val="100"/>
      </c:catAx>
      <c:valAx>
        <c:axId val="164436608"/>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Concentrație (mg/l)</a:t>
                </a:r>
              </a:p>
            </c:rich>
          </c:tx>
          <c:layout>
            <c:manualLayout>
              <c:xMode val="edge"/>
              <c:yMode val="edge"/>
              <c:x val="0.15000000000000024"/>
              <c:y val="0.28728018372703484"/>
            </c:manualLayout>
          </c:layout>
        </c:title>
        <c:numFmt formatCode="General" sourceLinked="1"/>
        <c:majorTickMark val="none"/>
        <c:tickLblPos val="nextTo"/>
        <c:crossAx val="164435072"/>
        <c:crosses val="autoZero"/>
        <c:crossBetween val="between"/>
      </c:valAx>
      <c:dTable>
        <c:showHorzBorder val="1"/>
        <c:showVertBorder val="1"/>
        <c:showOutline val="1"/>
        <c:showKeys val="1"/>
      </c:dTable>
    </c:plotArea>
    <c:plotVisOnly val="1"/>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mn-lt"/>
              </a:defRPr>
            </a:pPr>
            <a:r>
              <a:rPr lang="ro-RO" sz="1100">
                <a:latin typeface="Arial" pitchFamily="34" charset="0"/>
                <a:cs typeface="Arial" pitchFamily="34" charset="0"/>
              </a:rPr>
              <a:t>Evoluția</a:t>
            </a:r>
            <a:r>
              <a:rPr lang="ro-RO" sz="1100" baseline="0">
                <a:latin typeface="Arial" pitchFamily="34" charset="0"/>
                <a:cs typeface="Arial" pitchFamily="34" charset="0"/>
              </a:rPr>
              <a:t> indicatorului azotați </a:t>
            </a:r>
            <a:r>
              <a:rPr lang="vi-VN" sz="1100">
                <a:latin typeface="+mn-lt"/>
              </a:rPr>
              <a:t>în apele subterane din ABA Buzău-Ialomița, în</a:t>
            </a:r>
            <a:r>
              <a:rPr lang="ro-RO" sz="1100">
                <a:latin typeface="+mn-lt"/>
              </a:rPr>
              <a:t> </a:t>
            </a:r>
            <a:r>
              <a:rPr lang="ro-RO" sz="1100">
                <a:latin typeface="Arial" pitchFamily="34" charset="0"/>
                <a:cs typeface="Arial" pitchFamily="34" charset="0"/>
              </a:rPr>
              <a:t>perioada 2011-2014</a:t>
            </a:r>
            <a:r>
              <a:rPr lang="vi-VN" sz="1100">
                <a:latin typeface="+mn-lt"/>
              </a:rPr>
              <a:t>, pe teritoriul județului Buzău</a:t>
            </a:r>
          </a:p>
        </c:rich>
      </c:tx>
    </c:title>
    <c:plotArea>
      <c:layout/>
      <c:lineChart>
        <c:grouping val="stacked"/>
        <c:ser>
          <c:idx val="0"/>
          <c:order val="0"/>
          <c:tx>
            <c:strRef>
              <c:f>Sheet1!$D$496</c:f>
              <c:strCache>
                <c:ptCount val="1"/>
                <c:pt idx="0">
                  <c:v>concentrație azotați (mg/l)</c:v>
                </c:pt>
              </c:strCache>
            </c:strRef>
          </c:tx>
          <c:cat>
            <c:numRef>
              <c:f>Sheet1!$E$495:$H$495</c:f>
              <c:numCache>
                <c:formatCode>General</c:formatCode>
                <c:ptCount val="4"/>
                <c:pt idx="0">
                  <c:v>2011</c:v>
                </c:pt>
                <c:pt idx="1">
                  <c:v>2012</c:v>
                </c:pt>
                <c:pt idx="2">
                  <c:v>2013</c:v>
                </c:pt>
                <c:pt idx="3">
                  <c:v>2014</c:v>
                </c:pt>
              </c:numCache>
            </c:numRef>
          </c:cat>
          <c:val>
            <c:numRef>
              <c:f>Sheet1!$E$496:$H$496</c:f>
              <c:numCache>
                <c:formatCode>General</c:formatCode>
                <c:ptCount val="4"/>
                <c:pt idx="0">
                  <c:v>23</c:v>
                </c:pt>
                <c:pt idx="1">
                  <c:v>17.899999999999999</c:v>
                </c:pt>
                <c:pt idx="2">
                  <c:v>15</c:v>
                </c:pt>
                <c:pt idx="3">
                  <c:v>19.8</c:v>
                </c:pt>
              </c:numCache>
            </c:numRef>
          </c:val>
        </c:ser>
        <c:marker val="1"/>
        <c:axId val="164478976"/>
        <c:axId val="164480512"/>
      </c:lineChart>
      <c:catAx>
        <c:axId val="164478976"/>
        <c:scaling>
          <c:orientation val="minMax"/>
        </c:scaling>
        <c:axPos val="b"/>
        <c:numFmt formatCode="General" sourceLinked="1"/>
        <c:majorTickMark val="none"/>
        <c:tickLblPos val="nextTo"/>
        <c:crossAx val="164480512"/>
        <c:crosses val="autoZero"/>
        <c:auto val="1"/>
        <c:lblAlgn val="ctr"/>
        <c:lblOffset val="100"/>
      </c:catAx>
      <c:valAx>
        <c:axId val="164480512"/>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Concentrație (mg/l)</a:t>
                </a:r>
              </a:p>
            </c:rich>
          </c:tx>
          <c:layout>
            <c:manualLayout>
              <c:xMode val="edge"/>
              <c:yMode val="edge"/>
              <c:x val="0.14166666666666666"/>
              <c:y val="0.26876166520851558"/>
            </c:manualLayout>
          </c:layout>
        </c:title>
        <c:numFmt formatCode="General" sourceLinked="1"/>
        <c:majorTickMark val="none"/>
        <c:tickLblPos val="nextTo"/>
        <c:crossAx val="164478976"/>
        <c:crosses val="autoZero"/>
        <c:crossBetween val="between"/>
      </c:valAx>
      <c:dTable>
        <c:showHorzBorder val="1"/>
        <c:showVertBorder val="1"/>
        <c:showOutline val="1"/>
        <c:showKeys val="1"/>
      </c:dTable>
    </c:plotArea>
    <c:plotVisOnly val="1"/>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Evoluția indicatorului azotaţi în apele subterane, la nivelul SGA Vrancea, în perioada anilor 2011-2014</a:t>
            </a:r>
            <a:r>
              <a:rPr lang="ro-RO" sz="1100">
                <a:latin typeface="Arial" pitchFamily="34" charset="0"/>
                <a:cs typeface="Arial" pitchFamily="34" charset="0"/>
              </a:rPr>
              <a:t>, pe teritoriul</a:t>
            </a:r>
            <a:r>
              <a:rPr lang="ro-RO" sz="1100" baseline="0">
                <a:latin typeface="Arial" pitchFamily="34" charset="0"/>
                <a:cs typeface="Arial" pitchFamily="34" charset="0"/>
              </a:rPr>
              <a:t> județului Buzău</a:t>
            </a:r>
            <a:endParaRPr lang="en-US" sz="1100">
              <a:latin typeface="Arial" pitchFamily="34" charset="0"/>
              <a:cs typeface="Arial" pitchFamily="34" charset="0"/>
            </a:endParaRPr>
          </a:p>
        </c:rich>
      </c:tx>
    </c:title>
    <c:plotArea>
      <c:layout/>
      <c:lineChart>
        <c:grouping val="stacked"/>
        <c:ser>
          <c:idx val="0"/>
          <c:order val="0"/>
          <c:tx>
            <c:strRef>
              <c:f>Sheet1!$D$521</c:f>
              <c:strCache>
                <c:ptCount val="1"/>
                <c:pt idx="0">
                  <c:v>concentrație azotați (mg/l)</c:v>
                </c:pt>
              </c:strCache>
            </c:strRef>
          </c:tx>
          <c:cat>
            <c:numRef>
              <c:f>Sheet1!$E$520:$H$520</c:f>
              <c:numCache>
                <c:formatCode>General</c:formatCode>
                <c:ptCount val="4"/>
                <c:pt idx="0">
                  <c:v>2011</c:v>
                </c:pt>
                <c:pt idx="1">
                  <c:v>2012</c:v>
                </c:pt>
                <c:pt idx="2">
                  <c:v>2013</c:v>
                </c:pt>
                <c:pt idx="3">
                  <c:v>2014</c:v>
                </c:pt>
              </c:numCache>
            </c:numRef>
          </c:cat>
          <c:val>
            <c:numRef>
              <c:f>Sheet1!$E$521:$H$521</c:f>
              <c:numCache>
                <c:formatCode>General</c:formatCode>
                <c:ptCount val="4"/>
                <c:pt idx="0">
                  <c:v>6.92</c:v>
                </c:pt>
                <c:pt idx="1">
                  <c:v>7.1899999999999995</c:v>
                </c:pt>
                <c:pt idx="2">
                  <c:v>5.33</c:v>
                </c:pt>
                <c:pt idx="3">
                  <c:v>3</c:v>
                </c:pt>
              </c:numCache>
            </c:numRef>
          </c:val>
        </c:ser>
        <c:marker val="1"/>
        <c:axId val="164489856"/>
        <c:axId val="164577664"/>
      </c:lineChart>
      <c:catAx>
        <c:axId val="164489856"/>
        <c:scaling>
          <c:orientation val="minMax"/>
        </c:scaling>
        <c:axPos val="b"/>
        <c:numFmt formatCode="General" sourceLinked="1"/>
        <c:majorTickMark val="none"/>
        <c:tickLblPos val="nextTo"/>
        <c:crossAx val="164577664"/>
        <c:crosses val="autoZero"/>
        <c:auto val="1"/>
        <c:lblAlgn val="ctr"/>
        <c:lblOffset val="100"/>
      </c:catAx>
      <c:valAx>
        <c:axId val="164577664"/>
        <c:scaling>
          <c:orientation val="minMax"/>
        </c:scaling>
        <c:axPos val="l"/>
        <c:majorGridlines/>
        <c:title>
          <c:tx>
            <c:rich>
              <a:bodyPr/>
              <a:lstStyle/>
              <a:p>
                <a:pPr>
                  <a:defRPr sz="1100">
                    <a:latin typeface="Arial" pitchFamily="34" charset="0"/>
                    <a:cs typeface="Arial" pitchFamily="34" charset="0"/>
                  </a:defRPr>
                </a:pPr>
                <a:r>
                  <a:rPr lang="en-US" sz="1100">
                    <a:latin typeface="Arial" pitchFamily="34" charset="0"/>
                    <a:cs typeface="Arial" pitchFamily="34" charset="0"/>
                  </a:rPr>
                  <a:t>Concentrație (mg/l)</a:t>
                </a:r>
              </a:p>
            </c:rich>
          </c:tx>
          <c:layout>
            <c:manualLayout>
              <c:xMode val="edge"/>
              <c:yMode val="edge"/>
              <c:x val="0.15000000000000024"/>
              <c:y val="0.25217592592592591"/>
            </c:manualLayout>
          </c:layout>
        </c:title>
        <c:numFmt formatCode="General" sourceLinked="1"/>
        <c:majorTickMark val="none"/>
        <c:tickLblPos val="nextTo"/>
        <c:crossAx val="164489856"/>
        <c:crosses val="autoZero"/>
        <c:crossBetween val="between"/>
      </c:valAx>
      <c:dTable>
        <c:showHorzBorder val="1"/>
        <c:showVertBorder val="1"/>
        <c:showOutline val="1"/>
        <c:showKeys val="1"/>
      </c:dTable>
    </c:plotArea>
    <c:plotVisOnly val="1"/>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25" b="1" i="0" u="none" strike="noStrike" baseline="0">
                <a:solidFill>
                  <a:srgbClr val="000000"/>
                </a:solidFill>
                <a:latin typeface="Arial"/>
                <a:ea typeface="Arial"/>
                <a:cs typeface="Arial"/>
              </a:defRPr>
            </a:pPr>
            <a:r>
              <a:rPr lang="ro-RO"/>
              <a:t>Suprafața terenurilor agricole pe clase de calitate 2010</a:t>
            </a:r>
          </a:p>
        </c:rich>
      </c:tx>
      <c:layout>
        <c:manualLayout>
          <c:xMode val="edge"/>
          <c:yMode val="edge"/>
          <c:x val="0.15196079694110382"/>
          <c:y val="3.3742293723150941E-2"/>
        </c:manualLayout>
      </c:layout>
      <c:spPr>
        <a:noFill/>
        <a:ln w="20411">
          <a:noFill/>
        </a:ln>
      </c:spPr>
    </c:title>
    <c:plotArea>
      <c:layout>
        <c:manualLayout>
          <c:layoutTarget val="inner"/>
          <c:xMode val="edge"/>
          <c:yMode val="edge"/>
          <c:x val="0.15737704918032819"/>
          <c:y val="0.28703703703703703"/>
          <c:w val="0.74262295081967289"/>
          <c:h val="0.60802469135802573"/>
        </c:manualLayout>
      </c:layout>
      <c:barChart>
        <c:barDir val="col"/>
        <c:grouping val="clustered"/>
        <c:ser>
          <c:idx val="0"/>
          <c:order val="0"/>
          <c:tx>
            <c:strRef>
              <c:f>Sheet1!$B$1</c:f>
              <c:strCache>
                <c:ptCount val="1"/>
                <c:pt idx="0">
                  <c:v>I</c:v>
                </c:pt>
              </c:strCache>
            </c:strRef>
          </c:tx>
          <c:cat>
            <c:strRef>
              <c:f>Sheet1!$A$2:$A$6</c:f>
              <c:strCache>
                <c:ptCount val="5"/>
                <c:pt idx="0">
                  <c:v>Arabil</c:v>
                </c:pt>
                <c:pt idx="1">
                  <c:v>Păşuni</c:v>
                </c:pt>
                <c:pt idx="2">
                  <c:v>Fâneţe</c:v>
                </c:pt>
                <c:pt idx="3">
                  <c:v>Vii</c:v>
                </c:pt>
                <c:pt idx="4">
                  <c:v>Livezi</c:v>
                </c:pt>
              </c:strCache>
            </c:strRef>
          </c:cat>
          <c:val>
            <c:numRef>
              <c:f>Sheet1!$B$2:$B$6</c:f>
              <c:numCache>
                <c:formatCode>0.00</c:formatCode>
                <c:ptCount val="5"/>
                <c:pt idx="0" formatCode="General">
                  <c:v>42390</c:v>
                </c:pt>
                <c:pt idx="1">
                  <c:v>514</c:v>
                </c:pt>
                <c:pt idx="2">
                  <c:v>382</c:v>
                </c:pt>
                <c:pt idx="3">
                  <c:v>91</c:v>
                </c:pt>
                <c:pt idx="4">
                  <c:v>1</c:v>
                </c:pt>
              </c:numCache>
            </c:numRef>
          </c:val>
        </c:ser>
        <c:ser>
          <c:idx val="1"/>
          <c:order val="1"/>
          <c:tx>
            <c:strRef>
              <c:f>Sheet1!$C$1</c:f>
              <c:strCache>
                <c:ptCount val="1"/>
                <c:pt idx="0">
                  <c:v>II</c:v>
                </c:pt>
              </c:strCache>
            </c:strRef>
          </c:tx>
          <c:cat>
            <c:strRef>
              <c:f>Sheet1!$A$2:$A$6</c:f>
              <c:strCache>
                <c:ptCount val="5"/>
                <c:pt idx="0">
                  <c:v>Arabil</c:v>
                </c:pt>
                <c:pt idx="1">
                  <c:v>Păşuni</c:v>
                </c:pt>
                <c:pt idx="2">
                  <c:v>Fâneţe</c:v>
                </c:pt>
                <c:pt idx="3">
                  <c:v>Vii</c:v>
                </c:pt>
                <c:pt idx="4">
                  <c:v>Livezi</c:v>
                </c:pt>
              </c:strCache>
            </c:strRef>
          </c:cat>
          <c:val>
            <c:numRef>
              <c:f>Sheet1!$C$2:$C$6</c:f>
              <c:numCache>
                <c:formatCode>0.00</c:formatCode>
                <c:ptCount val="5"/>
                <c:pt idx="0" formatCode="General">
                  <c:v>131168</c:v>
                </c:pt>
                <c:pt idx="1">
                  <c:v>10248</c:v>
                </c:pt>
                <c:pt idx="2">
                  <c:v>3737</c:v>
                </c:pt>
                <c:pt idx="3">
                  <c:v>6535</c:v>
                </c:pt>
                <c:pt idx="4">
                  <c:v>2627</c:v>
                </c:pt>
              </c:numCache>
            </c:numRef>
          </c:val>
        </c:ser>
        <c:ser>
          <c:idx val="2"/>
          <c:order val="2"/>
          <c:tx>
            <c:strRef>
              <c:f>Sheet1!$D$1</c:f>
              <c:strCache>
                <c:ptCount val="1"/>
                <c:pt idx="0">
                  <c:v>III</c:v>
                </c:pt>
              </c:strCache>
            </c:strRef>
          </c:tx>
          <c:cat>
            <c:strRef>
              <c:f>Sheet1!$A$2:$A$6</c:f>
              <c:strCache>
                <c:ptCount val="5"/>
                <c:pt idx="0">
                  <c:v>Arabil</c:v>
                </c:pt>
                <c:pt idx="1">
                  <c:v>Păşuni</c:v>
                </c:pt>
                <c:pt idx="2">
                  <c:v>Fâneţe</c:v>
                </c:pt>
                <c:pt idx="3">
                  <c:v>Vii</c:v>
                </c:pt>
                <c:pt idx="4">
                  <c:v>Livezi</c:v>
                </c:pt>
              </c:strCache>
            </c:strRef>
          </c:cat>
          <c:val>
            <c:numRef>
              <c:f>Sheet1!$D$2:$D$6</c:f>
              <c:numCache>
                <c:formatCode>0.00</c:formatCode>
                <c:ptCount val="5"/>
                <c:pt idx="0" formatCode="General">
                  <c:v>51041</c:v>
                </c:pt>
                <c:pt idx="1">
                  <c:v>28350</c:v>
                </c:pt>
                <c:pt idx="2">
                  <c:v>10787</c:v>
                </c:pt>
                <c:pt idx="3">
                  <c:v>6004</c:v>
                </c:pt>
                <c:pt idx="4">
                  <c:v>4713</c:v>
                </c:pt>
              </c:numCache>
            </c:numRef>
          </c:val>
        </c:ser>
        <c:ser>
          <c:idx val="3"/>
          <c:order val="3"/>
          <c:tx>
            <c:strRef>
              <c:f>Sheet1!$E$1</c:f>
              <c:strCache>
                <c:ptCount val="1"/>
                <c:pt idx="0">
                  <c:v>IV</c:v>
                </c:pt>
              </c:strCache>
            </c:strRef>
          </c:tx>
          <c:cat>
            <c:strRef>
              <c:f>Sheet1!$A$2:$A$6</c:f>
              <c:strCache>
                <c:ptCount val="5"/>
                <c:pt idx="0">
                  <c:v>Arabil</c:v>
                </c:pt>
                <c:pt idx="1">
                  <c:v>Păşuni</c:v>
                </c:pt>
                <c:pt idx="2">
                  <c:v>Fâneţe</c:v>
                </c:pt>
                <c:pt idx="3">
                  <c:v>Vii</c:v>
                </c:pt>
                <c:pt idx="4">
                  <c:v>Livezi</c:v>
                </c:pt>
              </c:strCache>
            </c:strRef>
          </c:cat>
          <c:val>
            <c:numRef>
              <c:f>Sheet1!$E$2:$E$6</c:f>
              <c:numCache>
                <c:formatCode>0.00</c:formatCode>
                <c:ptCount val="5"/>
                <c:pt idx="0" formatCode="General">
                  <c:v>26237</c:v>
                </c:pt>
                <c:pt idx="1">
                  <c:v>28405</c:v>
                </c:pt>
                <c:pt idx="2">
                  <c:v>9774</c:v>
                </c:pt>
                <c:pt idx="3">
                  <c:v>2265</c:v>
                </c:pt>
                <c:pt idx="4">
                  <c:v>2754</c:v>
                </c:pt>
              </c:numCache>
            </c:numRef>
          </c:val>
        </c:ser>
        <c:ser>
          <c:idx val="4"/>
          <c:order val="4"/>
          <c:tx>
            <c:strRef>
              <c:f>Sheet1!$F$1</c:f>
              <c:strCache>
                <c:ptCount val="1"/>
                <c:pt idx="0">
                  <c:v>V</c:v>
                </c:pt>
              </c:strCache>
            </c:strRef>
          </c:tx>
          <c:cat>
            <c:strRef>
              <c:f>Sheet1!$A$2:$A$6</c:f>
              <c:strCache>
                <c:ptCount val="5"/>
                <c:pt idx="0">
                  <c:v>Arabil</c:v>
                </c:pt>
                <c:pt idx="1">
                  <c:v>Păşuni</c:v>
                </c:pt>
                <c:pt idx="2">
                  <c:v>Fâneţe</c:v>
                </c:pt>
                <c:pt idx="3">
                  <c:v>Vii</c:v>
                </c:pt>
                <c:pt idx="4">
                  <c:v>Livezi</c:v>
                </c:pt>
              </c:strCache>
            </c:strRef>
          </c:cat>
          <c:val>
            <c:numRef>
              <c:f>Sheet1!$F$2:$F$6</c:f>
              <c:numCache>
                <c:formatCode>0.00</c:formatCode>
                <c:ptCount val="5"/>
                <c:pt idx="0" formatCode="General">
                  <c:v>6904</c:v>
                </c:pt>
                <c:pt idx="1">
                  <c:v>21689</c:v>
                </c:pt>
                <c:pt idx="2">
                  <c:v>4045</c:v>
                </c:pt>
                <c:pt idx="3">
                  <c:v>549</c:v>
                </c:pt>
                <c:pt idx="4">
                  <c:v>859</c:v>
                </c:pt>
              </c:numCache>
            </c:numRef>
          </c:val>
        </c:ser>
        <c:axId val="164775808"/>
        <c:axId val="164777344"/>
      </c:barChart>
      <c:catAx>
        <c:axId val="164775808"/>
        <c:scaling>
          <c:orientation val="minMax"/>
        </c:scaling>
        <c:axPos val="b"/>
        <c:numFmt formatCode="General" sourceLinked="1"/>
        <c:tickLblPos val="nextTo"/>
        <c:crossAx val="164777344"/>
        <c:crosses val="autoZero"/>
        <c:auto val="1"/>
        <c:lblAlgn val="ctr"/>
        <c:lblOffset val="100"/>
      </c:catAx>
      <c:valAx>
        <c:axId val="164777344"/>
        <c:scaling>
          <c:orientation val="minMax"/>
        </c:scaling>
        <c:axPos val="l"/>
        <c:majorGridlines/>
        <c:title>
          <c:tx>
            <c:rich>
              <a:bodyPr/>
              <a:lstStyle/>
              <a:p>
                <a:pPr>
                  <a:defRPr sz="804" b="1" i="0" u="none" strike="noStrike" baseline="0">
                    <a:solidFill>
                      <a:srgbClr val="000000"/>
                    </a:solidFill>
                    <a:latin typeface="Calibri"/>
                    <a:ea typeface="Calibri"/>
                    <a:cs typeface="Calibri"/>
                  </a:defRPr>
                </a:pPr>
                <a:r>
                  <a:rPr lang="ro-RO" b="0"/>
                  <a:t>ha</a:t>
                </a:r>
              </a:p>
            </c:rich>
          </c:tx>
          <c:layout>
            <c:manualLayout>
              <c:xMode val="edge"/>
              <c:yMode val="edge"/>
              <c:x val="1.7973850316373923E-2"/>
              <c:y val="0.57055227377464957"/>
            </c:manualLayout>
          </c:layout>
          <c:spPr>
            <a:noFill/>
            <a:ln w="20411">
              <a:noFill/>
            </a:ln>
          </c:spPr>
        </c:title>
        <c:numFmt formatCode="General" sourceLinked="1"/>
        <c:tickLblPos val="nextTo"/>
        <c:txPr>
          <a:bodyPr rot="0" vert="horz"/>
          <a:lstStyle/>
          <a:p>
            <a:pPr>
              <a:defRPr sz="964" b="0" i="0" u="none" strike="noStrike" baseline="0">
                <a:solidFill>
                  <a:srgbClr val="000000"/>
                </a:solidFill>
                <a:latin typeface="Calibri"/>
                <a:ea typeface="Calibri"/>
                <a:cs typeface="Calibri"/>
              </a:defRPr>
            </a:pPr>
            <a:endParaRPr lang="ro-RO"/>
          </a:p>
        </c:txPr>
        <c:crossAx val="164775808"/>
        <c:crosses val="autoZero"/>
        <c:crossBetween val="between"/>
      </c:valAx>
      <c:spPr>
        <a:gradFill>
          <a:gsLst>
            <a:gs pos="0">
              <a:srgbClr val="9BBB59">
                <a:lumMod val="40000"/>
                <a:lumOff val="6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92622950819672134"/>
          <c:y val="0.3734567901234575"/>
          <c:w val="5.2459016393442623E-2"/>
          <c:h val="0.44444444444444442"/>
        </c:manualLayout>
      </c:layout>
    </c:legend>
    <c:plotVisOnly val="1"/>
    <c:dispBlanksAs val="gap"/>
  </c:chart>
  <c:spPr>
    <a:gradFill>
      <a:gsLst>
        <a:gs pos="0">
          <a:schemeClr val="accent3">
            <a:lumMod val="20000"/>
            <a:lumOff val="80000"/>
          </a:schemeClr>
        </a:gs>
        <a:gs pos="17999">
          <a:srgbClr val="FEE7F2"/>
        </a:gs>
        <a:gs pos="36000">
          <a:srgbClr val="FAC77D"/>
        </a:gs>
        <a:gs pos="61000">
          <a:srgbClr val="FBA97D"/>
        </a:gs>
        <a:gs pos="82001">
          <a:srgbClr val="FBD49C"/>
        </a:gs>
        <a:gs pos="100000">
          <a:srgbClr val="FEE7F2"/>
        </a:gs>
      </a:gsLst>
      <a:lin ang="5400000" scaled="0"/>
    </a:gradFill>
    <a:effectLst>
      <a:outerShdw blurRad="50800" dist="38100" dir="2700000" algn="tl" rotWithShape="0">
        <a:prstClr val="black">
          <a:alpha val="40000"/>
        </a:prstClr>
      </a:outerShdw>
    </a:effectLst>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33" b="1" i="0" u="none" strike="noStrike" baseline="0">
                <a:solidFill>
                  <a:srgbClr val="000000"/>
                </a:solidFill>
                <a:latin typeface="Arial" pitchFamily="34" charset="0"/>
                <a:ea typeface="Arial"/>
                <a:cs typeface="Arial" pitchFamily="34" charset="0"/>
              </a:defRPr>
            </a:pPr>
            <a:r>
              <a:rPr lang="ro-RO" b="1">
                <a:latin typeface="Arial" pitchFamily="34" charset="0"/>
                <a:cs typeface="Arial" pitchFamily="34" charset="0"/>
              </a:rPr>
              <a:t>Suprafața terenurilor agricole pe clase de calitate 2014</a:t>
            </a:r>
          </a:p>
        </c:rich>
      </c:tx>
      <c:layout>
        <c:manualLayout>
          <c:xMode val="edge"/>
          <c:yMode val="edge"/>
          <c:x val="0.1485149252206214"/>
          <c:y val="3.3742293723150941E-2"/>
        </c:manualLayout>
      </c:layout>
      <c:spPr>
        <a:noFill/>
        <a:ln w="22377">
          <a:noFill/>
        </a:ln>
      </c:spPr>
    </c:title>
    <c:plotArea>
      <c:layout>
        <c:manualLayout>
          <c:layoutTarget val="inner"/>
          <c:xMode val="edge"/>
          <c:yMode val="edge"/>
          <c:x val="0.15841584158415875"/>
          <c:y val="0.29447852760736254"/>
          <c:w val="0.73927392739273923"/>
          <c:h val="0.60122699386503053"/>
        </c:manualLayout>
      </c:layout>
      <c:barChart>
        <c:barDir val="col"/>
        <c:grouping val="clustered"/>
        <c:ser>
          <c:idx val="0"/>
          <c:order val="0"/>
          <c:tx>
            <c:strRef>
              <c:f>Sheet1!$B$1</c:f>
              <c:strCache>
                <c:ptCount val="1"/>
                <c:pt idx="0">
                  <c:v>I</c:v>
                </c:pt>
              </c:strCache>
            </c:strRef>
          </c:tx>
          <c:cat>
            <c:strRef>
              <c:f>Sheet1!$A$2:$A$6</c:f>
              <c:strCache>
                <c:ptCount val="5"/>
                <c:pt idx="0">
                  <c:v>Arabil</c:v>
                </c:pt>
                <c:pt idx="1">
                  <c:v>Păşuni</c:v>
                </c:pt>
                <c:pt idx="2">
                  <c:v>Fâneţe</c:v>
                </c:pt>
                <c:pt idx="3">
                  <c:v>Vii</c:v>
                </c:pt>
                <c:pt idx="4">
                  <c:v>Livezi</c:v>
                </c:pt>
              </c:strCache>
            </c:strRef>
          </c:cat>
          <c:val>
            <c:numRef>
              <c:f>Sheet1!$B$2:$B$6</c:f>
              <c:numCache>
                <c:formatCode>0</c:formatCode>
                <c:ptCount val="5"/>
                <c:pt idx="0">
                  <c:v>36521</c:v>
                </c:pt>
                <c:pt idx="1">
                  <c:v>663</c:v>
                </c:pt>
                <c:pt idx="2">
                  <c:v>611</c:v>
                </c:pt>
                <c:pt idx="3">
                  <c:v>182</c:v>
                </c:pt>
                <c:pt idx="4">
                  <c:v>1</c:v>
                </c:pt>
              </c:numCache>
            </c:numRef>
          </c:val>
        </c:ser>
        <c:ser>
          <c:idx val="1"/>
          <c:order val="1"/>
          <c:tx>
            <c:strRef>
              <c:f>Sheet1!$C$1</c:f>
              <c:strCache>
                <c:ptCount val="1"/>
                <c:pt idx="0">
                  <c:v>II</c:v>
                </c:pt>
              </c:strCache>
            </c:strRef>
          </c:tx>
          <c:cat>
            <c:strRef>
              <c:f>Sheet1!$A$2:$A$6</c:f>
              <c:strCache>
                <c:ptCount val="5"/>
                <c:pt idx="0">
                  <c:v>Arabil</c:v>
                </c:pt>
                <c:pt idx="1">
                  <c:v>Păşuni</c:v>
                </c:pt>
                <c:pt idx="2">
                  <c:v>Fâneţe</c:v>
                </c:pt>
                <c:pt idx="3">
                  <c:v>Vii</c:v>
                </c:pt>
                <c:pt idx="4">
                  <c:v>Livezi</c:v>
                </c:pt>
              </c:strCache>
            </c:strRef>
          </c:cat>
          <c:val>
            <c:numRef>
              <c:f>Sheet1!$C$2:$C$6</c:f>
              <c:numCache>
                <c:formatCode>0</c:formatCode>
                <c:ptCount val="5"/>
                <c:pt idx="0">
                  <c:v>133854</c:v>
                </c:pt>
                <c:pt idx="1">
                  <c:v>9224</c:v>
                </c:pt>
                <c:pt idx="2">
                  <c:v>3286</c:v>
                </c:pt>
                <c:pt idx="3">
                  <c:v>6802</c:v>
                </c:pt>
                <c:pt idx="4">
                  <c:v>2603</c:v>
                </c:pt>
              </c:numCache>
            </c:numRef>
          </c:val>
        </c:ser>
        <c:ser>
          <c:idx val="2"/>
          <c:order val="2"/>
          <c:tx>
            <c:strRef>
              <c:f>Sheet1!$D$1</c:f>
              <c:strCache>
                <c:ptCount val="1"/>
                <c:pt idx="0">
                  <c:v>III</c:v>
                </c:pt>
              </c:strCache>
            </c:strRef>
          </c:tx>
          <c:cat>
            <c:strRef>
              <c:f>Sheet1!$A$2:$A$6</c:f>
              <c:strCache>
                <c:ptCount val="5"/>
                <c:pt idx="0">
                  <c:v>Arabil</c:v>
                </c:pt>
                <c:pt idx="1">
                  <c:v>Păşuni</c:v>
                </c:pt>
                <c:pt idx="2">
                  <c:v>Fâneţe</c:v>
                </c:pt>
                <c:pt idx="3">
                  <c:v>Vii</c:v>
                </c:pt>
                <c:pt idx="4">
                  <c:v>Livezi</c:v>
                </c:pt>
              </c:strCache>
            </c:strRef>
          </c:cat>
          <c:val>
            <c:numRef>
              <c:f>Sheet1!$D$2:$D$6</c:f>
              <c:numCache>
                <c:formatCode>0</c:formatCode>
                <c:ptCount val="5"/>
                <c:pt idx="0">
                  <c:v>58410</c:v>
                </c:pt>
                <c:pt idx="1">
                  <c:v>27419</c:v>
                </c:pt>
                <c:pt idx="2">
                  <c:v>10763</c:v>
                </c:pt>
                <c:pt idx="3">
                  <c:v>5146</c:v>
                </c:pt>
                <c:pt idx="4">
                  <c:v>4460</c:v>
                </c:pt>
              </c:numCache>
            </c:numRef>
          </c:val>
        </c:ser>
        <c:ser>
          <c:idx val="3"/>
          <c:order val="3"/>
          <c:tx>
            <c:strRef>
              <c:f>Sheet1!$E$1</c:f>
              <c:strCache>
                <c:ptCount val="1"/>
                <c:pt idx="0">
                  <c:v>IV</c:v>
                </c:pt>
              </c:strCache>
            </c:strRef>
          </c:tx>
          <c:cat>
            <c:strRef>
              <c:f>Sheet1!$A$2:$A$6</c:f>
              <c:strCache>
                <c:ptCount val="5"/>
                <c:pt idx="0">
                  <c:v>Arabil</c:v>
                </c:pt>
                <c:pt idx="1">
                  <c:v>Păşuni</c:v>
                </c:pt>
                <c:pt idx="2">
                  <c:v>Fâneţe</c:v>
                </c:pt>
                <c:pt idx="3">
                  <c:v>Vii</c:v>
                </c:pt>
                <c:pt idx="4">
                  <c:v>Livezi</c:v>
                </c:pt>
              </c:strCache>
            </c:strRef>
          </c:cat>
          <c:val>
            <c:numRef>
              <c:f>Sheet1!$E$2:$E$6</c:f>
              <c:numCache>
                <c:formatCode>0</c:formatCode>
                <c:ptCount val="5"/>
                <c:pt idx="0">
                  <c:v>23341</c:v>
                </c:pt>
                <c:pt idx="1">
                  <c:v>29125</c:v>
                </c:pt>
                <c:pt idx="2">
                  <c:v>10308</c:v>
                </c:pt>
                <c:pt idx="3">
                  <c:v>1936</c:v>
                </c:pt>
                <c:pt idx="4">
                  <c:v>2689</c:v>
                </c:pt>
              </c:numCache>
            </c:numRef>
          </c:val>
        </c:ser>
        <c:ser>
          <c:idx val="4"/>
          <c:order val="4"/>
          <c:tx>
            <c:strRef>
              <c:f>Sheet1!$F$1</c:f>
              <c:strCache>
                <c:ptCount val="1"/>
                <c:pt idx="0">
                  <c:v>V</c:v>
                </c:pt>
              </c:strCache>
            </c:strRef>
          </c:tx>
          <c:cat>
            <c:strRef>
              <c:f>Sheet1!$A$2:$A$6</c:f>
              <c:strCache>
                <c:ptCount val="5"/>
                <c:pt idx="0">
                  <c:v>Arabil</c:v>
                </c:pt>
                <c:pt idx="1">
                  <c:v>Păşuni</c:v>
                </c:pt>
                <c:pt idx="2">
                  <c:v>Fâneţe</c:v>
                </c:pt>
                <c:pt idx="3">
                  <c:v>Vii</c:v>
                </c:pt>
                <c:pt idx="4">
                  <c:v>Livezi</c:v>
                </c:pt>
              </c:strCache>
            </c:strRef>
          </c:cat>
          <c:val>
            <c:numRef>
              <c:f>Sheet1!$F$2:$F$6</c:f>
              <c:numCache>
                <c:formatCode>0</c:formatCode>
                <c:ptCount val="5"/>
                <c:pt idx="0">
                  <c:v>6545</c:v>
                </c:pt>
                <c:pt idx="1">
                  <c:v>22619</c:v>
                </c:pt>
                <c:pt idx="2">
                  <c:v>3955</c:v>
                </c:pt>
                <c:pt idx="3">
                  <c:v>472</c:v>
                </c:pt>
                <c:pt idx="4">
                  <c:v>960</c:v>
                </c:pt>
              </c:numCache>
            </c:numRef>
          </c:val>
        </c:ser>
        <c:axId val="165055104"/>
        <c:axId val="165065088"/>
      </c:barChart>
      <c:catAx>
        <c:axId val="165055104"/>
        <c:scaling>
          <c:orientation val="minMax"/>
        </c:scaling>
        <c:axPos val="b"/>
        <c:numFmt formatCode="General" sourceLinked="1"/>
        <c:tickLblPos val="nextTo"/>
        <c:crossAx val="165065088"/>
        <c:crosses val="autoZero"/>
        <c:auto val="1"/>
        <c:lblAlgn val="ctr"/>
        <c:lblOffset val="100"/>
      </c:catAx>
      <c:valAx>
        <c:axId val="165065088"/>
        <c:scaling>
          <c:orientation val="minMax"/>
          <c:max val="140000"/>
        </c:scaling>
        <c:axPos val="l"/>
        <c:majorGridlines/>
        <c:title>
          <c:tx>
            <c:rich>
              <a:bodyPr/>
              <a:lstStyle/>
              <a:p>
                <a:pPr>
                  <a:defRPr sz="881" b="1" i="0" u="none" strike="noStrike" baseline="0">
                    <a:solidFill>
                      <a:srgbClr val="000000"/>
                    </a:solidFill>
                    <a:latin typeface="Calibri"/>
                    <a:ea typeface="Calibri"/>
                    <a:cs typeface="Calibri"/>
                  </a:defRPr>
                </a:pPr>
                <a:r>
                  <a:rPr lang="ro-RO" b="0"/>
                  <a:t>ha</a:t>
                </a:r>
              </a:p>
            </c:rich>
          </c:tx>
          <c:layout>
            <c:manualLayout>
              <c:xMode val="edge"/>
              <c:yMode val="edge"/>
              <c:x val="1.6501619870597402E-2"/>
              <c:y val="0.57361963783318837"/>
            </c:manualLayout>
          </c:layout>
          <c:spPr>
            <a:noFill/>
            <a:ln w="22377">
              <a:noFill/>
            </a:ln>
          </c:spPr>
        </c:title>
        <c:numFmt formatCode="0" sourceLinked="1"/>
        <c:tickLblPos val="nextTo"/>
        <c:txPr>
          <a:bodyPr rot="0" vert="horz"/>
          <a:lstStyle/>
          <a:p>
            <a:pPr>
              <a:defRPr sz="1057" b="0" i="0" u="none" strike="noStrike" baseline="0">
                <a:solidFill>
                  <a:srgbClr val="000000"/>
                </a:solidFill>
                <a:latin typeface="Calibri"/>
                <a:ea typeface="Calibri"/>
                <a:cs typeface="Calibri"/>
              </a:defRPr>
            </a:pPr>
            <a:endParaRPr lang="ro-RO"/>
          </a:p>
        </c:txPr>
        <c:crossAx val="165055104"/>
        <c:crosses val="autoZero"/>
        <c:crossBetween val="between"/>
      </c:valAx>
      <c:spPr>
        <a:gradFill>
          <a:gsLst>
            <a:gs pos="0">
              <a:srgbClr val="9BBB59">
                <a:lumMod val="40000"/>
                <a:lumOff val="6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92739280329232243"/>
          <c:y val="0.38957070438512575"/>
          <c:w val="5.4455397530758294E-2"/>
          <c:h val="0.44171782699912016"/>
        </c:manualLayout>
      </c:layout>
    </c:legend>
    <c:plotVisOnly val="1"/>
    <c:dispBlanksAs val="gap"/>
  </c:chart>
  <c:spPr>
    <a:gradFill>
      <a:gsLst>
        <a:gs pos="0">
          <a:schemeClr val="accent3">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989" b="1" i="0" u="none" strike="noStrike" baseline="0">
                <a:solidFill>
                  <a:srgbClr val="000000"/>
                </a:solidFill>
                <a:latin typeface="Arial" pitchFamily="34" charset="0"/>
                <a:ea typeface="Arial"/>
                <a:cs typeface="Arial"/>
              </a:defRPr>
            </a:pPr>
            <a:r>
              <a:rPr lang="vi-VN" sz="907" b="1" i="0" u="none" strike="noStrike" baseline="0">
                <a:solidFill>
                  <a:srgbClr val="000000"/>
                </a:solidFill>
                <a:latin typeface="Arial" pitchFamily="34" charset="0"/>
                <a:cs typeface="Arial"/>
              </a:rPr>
              <a:t>Repartiția terenurilor agricole pe </a:t>
            </a:r>
            <a:r>
              <a:rPr lang="vi-VN" sz="907" b="1" i="0" u="none" strike="noStrike" baseline="0">
                <a:solidFill>
                  <a:srgbClr val="000000"/>
                </a:solidFill>
                <a:latin typeface="Arial" pitchFamily="34" charset="0"/>
              </a:rPr>
              <a:t>categorii</a:t>
            </a:r>
            <a:r>
              <a:rPr lang="vi-VN" sz="907" b="1" i="0" u="none" strike="noStrike" baseline="0">
                <a:solidFill>
                  <a:srgbClr val="000000"/>
                </a:solidFill>
                <a:latin typeface="Arial" pitchFamily="34" charset="0"/>
                <a:cs typeface="Arial"/>
              </a:rPr>
              <a:t> de folosință</a:t>
            </a:r>
            <a:r>
              <a:rPr lang="ro-RO" sz="907" b="1" i="0" u="none" strike="noStrike" baseline="0">
                <a:solidFill>
                  <a:srgbClr val="000000"/>
                </a:solidFill>
                <a:latin typeface="Arial" pitchFamily="34" charset="0"/>
                <a:cs typeface="Arial"/>
              </a:rPr>
              <a:t> </a:t>
            </a:r>
            <a:r>
              <a:rPr lang="vi-VN" sz="907" b="1" i="0" u="none" strike="noStrike" baseline="0">
                <a:solidFill>
                  <a:srgbClr val="000000"/>
                </a:solidFill>
                <a:latin typeface="Arial" pitchFamily="34" charset="0"/>
                <a:cs typeface="Arial"/>
              </a:rPr>
              <a:t>2014</a:t>
            </a:r>
          </a:p>
        </c:rich>
      </c:tx>
      <c:layout>
        <c:manualLayout>
          <c:xMode val="edge"/>
          <c:yMode val="edge"/>
          <c:x val="9.7012492138642076E-2"/>
          <c:y val="3.6140349767759573E-2"/>
        </c:manualLayout>
      </c:layout>
      <c:spPr>
        <a:noFill/>
        <a:ln w="20944">
          <a:noFill/>
        </a:ln>
      </c:spPr>
    </c:title>
    <c:view3D>
      <c:rotX val="30"/>
      <c:perspective val="30"/>
    </c:view3D>
    <c:plotArea>
      <c:layout>
        <c:manualLayout>
          <c:layoutTarget val="inner"/>
          <c:xMode val="edge"/>
          <c:yMode val="edge"/>
          <c:x val="0.23426573426573441"/>
          <c:y val="0.17575757575757575"/>
          <c:w val="0.54720279720279719"/>
          <c:h val="0.59393939393939399"/>
        </c:manualLayout>
      </c:layout>
      <c:pie3DChart>
        <c:varyColors val="1"/>
        <c:ser>
          <c:idx val="0"/>
          <c:order val="0"/>
          <c:tx>
            <c:strRef>
              <c:f>Sheet1!$B$1</c:f>
              <c:strCache>
                <c:ptCount val="1"/>
                <c:pt idx="0">
                  <c:v>Repartiția terenurilor agricole pe tipuri de folosință</c:v>
                </c:pt>
              </c:strCache>
            </c:strRef>
          </c:tx>
          <c:explosion val="25"/>
          <c:dPt>
            <c:idx val="0"/>
            <c:explosion val="0"/>
          </c:dPt>
          <c:dPt>
            <c:idx val="1"/>
            <c:explosion val="14"/>
          </c:dPt>
          <c:dLbls>
            <c:numFmt formatCode="0%" sourceLinked="0"/>
            <c:spPr>
              <a:noFill/>
              <a:ln w="20944">
                <a:noFill/>
              </a:ln>
            </c:spPr>
            <c:txPr>
              <a:bodyPr/>
              <a:lstStyle/>
              <a:p>
                <a:pPr>
                  <a:defRPr sz="825" b="0" i="0" u="none" strike="noStrike" baseline="0">
                    <a:solidFill>
                      <a:srgbClr val="000000"/>
                    </a:solidFill>
                    <a:latin typeface="Calibri"/>
                    <a:ea typeface="Calibri"/>
                    <a:cs typeface="Calibri"/>
                  </a:defRPr>
                </a:pPr>
                <a:endParaRPr lang="ro-RO"/>
              </a:p>
            </c:txPr>
            <c:showPercent val="1"/>
          </c:dLbls>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64.36</c:v>
                </c:pt>
                <c:pt idx="1">
                  <c:v>22.15000000000002</c:v>
                </c:pt>
                <c:pt idx="2">
                  <c:v>7.1899999999999995</c:v>
                </c:pt>
                <c:pt idx="3">
                  <c:v>3.61</c:v>
                </c:pt>
                <c:pt idx="4">
                  <c:v>2.66</c:v>
                </c:pt>
              </c:numCache>
            </c:numRef>
          </c:val>
        </c:ser>
        <c:ser>
          <c:idx val="1"/>
          <c:order val="1"/>
          <c:tx>
            <c:strRef>
              <c:f>Sheet1!$C$1</c:f>
              <c:strCache>
                <c:ptCount val="1"/>
                <c:pt idx="0">
                  <c:v>%</c:v>
                </c:pt>
              </c:strCache>
            </c:strRef>
          </c:tx>
          <c:explosion val="25"/>
          <c:dLbls>
            <c:numFmt formatCode="0%" sourceLinked="0"/>
            <c:spPr>
              <a:noFill/>
              <a:ln w="20944">
                <a:noFill/>
              </a:ln>
            </c:spPr>
            <c:txPr>
              <a:bodyPr/>
              <a:lstStyle/>
              <a:p>
                <a:pPr>
                  <a:defRPr sz="825" b="0" i="0" u="none" strike="noStrike" baseline="0">
                    <a:solidFill>
                      <a:srgbClr val="000000"/>
                    </a:solidFill>
                    <a:latin typeface="Calibri"/>
                    <a:ea typeface="Calibri"/>
                    <a:cs typeface="Calibri"/>
                  </a:defRPr>
                </a:pPr>
                <a:endParaRPr lang="ro-RO"/>
              </a:p>
            </c:txPr>
            <c:showPercent val="1"/>
          </c:dLbls>
          <c:cat>
            <c:strRef>
              <c:f>Sheet1!$A$2:$A$6</c:f>
              <c:strCache>
                <c:ptCount val="5"/>
                <c:pt idx="0">
                  <c:v>Arabil</c:v>
                </c:pt>
                <c:pt idx="1">
                  <c:v>Păşuni</c:v>
                </c:pt>
                <c:pt idx="2">
                  <c:v>Fâneţe şi pajişti naturale</c:v>
                </c:pt>
                <c:pt idx="3">
                  <c:v>Vii</c:v>
                </c:pt>
                <c:pt idx="4">
                  <c:v>Livezi</c:v>
                </c:pt>
              </c:strCache>
            </c:strRef>
          </c:cat>
          <c:val>
            <c:numRef>
              <c:f>Sheet1!$C$2:$C$6</c:f>
              <c:numCache>
                <c:formatCode>General</c:formatCode>
                <c:ptCount val="5"/>
                <c:pt idx="0">
                  <c:v>64.36</c:v>
                </c:pt>
                <c:pt idx="1">
                  <c:v>22.15000000000002</c:v>
                </c:pt>
                <c:pt idx="2">
                  <c:v>7.1899999999999995</c:v>
                </c:pt>
                <c:pt idx="3">
                  <c:v>3.61</c:v>
                </c:pt>
                <c:pt idx="4">
                  <c:v>2.66</c:v>
                </c:pt>
              </c:numCache>
            </c:numRef>
          </c:val>
        </c:ser>
        <c:dLbls>
          <c:showPercent val="1"/>
        </c:dLbls>
      </c:pie3DChart>
      <c:spPr>
        <a:noFill/>
        <a:ln w="20944">
          <a:noFill/>
        </a:ln>
      </c:spPr>
    </c:plotArea>
    <c:legend>
      <c:legendPos val="r"/>
      <c:layout>
        <c:manualLayout>
          <c:xMode val="edge"/>
          <c:yMode val="edge"/>
          <c:x val="0.19055944055944082"/>
          <c:y val="0.90606060606060601"/>
          <c:w val="0.59965034965034958"/>
          <c:h val="8.4848484848484854E-2"/>
        </c:manualLayout>
      </c:layout>
      <c:spPr>
        <a:noFill/>
      </c:spPr>
    </c:legend>
    <c:plotVisOnly val="1"/>
    <c:dispBlanksAs val="zero"/>
  </c:chart>
  <c:spPr>
    <a:gradFill>
      <a:gsLst>
        <a:gs pos="0">
          <a:schemeClr val="accent5">
            <a:lumMod val="20000"/>
            <a:lumOff val="80000"/>
          </a:schemeClr>
        </a:gs>
        <a:gs pos="64999">
          <a:srgbClr val="F0EBD5"/>
        </a:gs>
        <a:gs pos="100000">
          <a:srgbClr val="D1C39F"/>
        </a:gs>
      </a:gsLst>
      <a:lin ang="5400000" scaled="0"/>
    </a:gradFill>
    <a:effectLst>
      <a:outerShdw blurRad="50800" dist="50800" dir="5400000" algn="ctr" rotWithShape="0">
        <a:schemeClr val="accent3">
          <a:lumMod val="40000"/>
          <a:lumOff val="60000"/>
        </a:schemeClr>
      </a:outerShdw>
    </a:effectLst>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I</c:v>
                </c:pt>
              </c:strCache>
            </c:strRef>
          </c:tx>
          <c:cat>
            <c:strRef>
              <c:f>Sheet1!$A$2:$A$5</c:f>
              <c:strCache>
                <c:ptCount val="4"/>
                <c:pt idx="0">
                  <c:v>Arabil</c:v>
                </c:pt>
                <c:pt idx="1">
                  <c:v>Pajişti</c:v>
                </c:pt>
                <c:pt idx="2">
                  <c:v>Vii</c:v>
                </c:pt>
                <c:pt idx="3">
                  <c:v>Livezi</c:v>
                </c:pt>
              </c:strCache>
            </c:strRef>
          </c:cat>
          <c:val>
            <c:numRef>
              <c:f>Sheet1!$B$2:$B$5</c:f>
              <c:numCache>
                <c:formatCode>General</c:formatCode>
                <c:ptCount val="4"/>
                <c:pt idx="0">
                  <c:v>35206</c:v>
                </c:pt>
                <c:pt idx="1">
                  <c:v>65</c:v>
                </c:pt>
                <c:pt idx="2">
                  <c:v>585</c:v>
                </c:pt>
                <c:pt idx="3">
                  <c:v>91</c:v>
                </c:pt>
              </c:numCache>
            </c:numRef>
          </c:val>
        </c:ser>
        <c:ser>
          <c:idx val="1"/>
          <c:order val="1"/>
          <c:tx>
            <c:strRef>
              <c:f>Sheet1!$C$1</c:f>
              <c:strCache>
                <c:ptCount val="1"/>
                <c:pt idx="0">
                  <c:v>II</c:v>
                </c:pt>
              </c:strCache>
            </c:strRef>
          </c:tx>
          <c:cat>
            <c:strRef>
              <c:f>Sheet1!$A$2:$A$5</c:f>
              <c:strCache>
                <c:ptCount val="4"/>
                <c:pt idx="0">
                  <c:v>Arabil</c:v>
                </c:pt>
                <c:pt idx="1">
                  <c:v>Pajişti</c:v>
                </c:pt>
                <c:pt idx="2">
                  <c:v>Vii</c:v>
                </c:pt>
                <c:pt idx="3">
                  <c:v>Livezi</c:v>
                </c:pt>
              </c:strCache>
            </c:strRef>
          </c:cat>
          <c:val>
            <c:numRef>
              <c:f>Sheet1!$C$2:$C$5</c:f>
              <c:numCache>
                <c:formatCode>General</c:formatCode>
                <c:ptCount val="4"/>
                <c:pt idx="0">
                  <c:v>39298</c:v>
                </c:pt>
                <c:pt idx="1">
                  <c:v>9717</c:v>
                </c:pt>
                <c:pt idx="2">
                  <c:v>1433</c:v>
                </c:pt>
                <c:pt idx="3">
                  <c:v>312</c:v>
                </c:pt>
              </c:numCache>
            </c:numRef>
          </c:val>
        </c:ser>
        <c:ser>
          <c:idx val="2"/>
          <c:order val="2"/>
          <c:tx>
            <c:strRef>
              <c:f>Sheet1!$D$1</c:f>
              <c:strCache>
                <c:ptCount val="1"/>
                <c:pt idx="0">
                  <c:v>III</c:v>
                </c:pt>
              </c:strCache>
            </c:strRef>
          </c:tx>
          <c:cat>
            <c:strRef>
              <c:f>Sheet1!$A$2:$A$5</c:f>
              <c:strCache>
                <c:ptCount val="4"/>
                <c:pt idx="0">
                  <c:v>Arabil</c:v>
                </c:pt>
                <c:pt idx="1">
                  <c:v>Pajişti</c:v>
                </c:pt>
                <c:pt idx="2">
                  <c:v>Vii</c:v>
                </c:pt>
                <c:pt idx="3">
                  <c:v>Livezi</c:v>
                </c:pt>
              </c:strCache>
            </c:strRef>
          </c:cat>
          <c:val>
            <c:numRef>
              <c:f>Sheet1!$D$2:$D$5</c:f>
              <c:numCache>
                <c:formatCode>General</c:formatCode>
                <c:ptCount val="4"/>
                <c:pt idx="0">
                  <c:v>6414</c:v>
                </c:pt>
                <c:pt idx="1">
                  <c:v>7051</c:v>
                </c:pt>
                <c:pt idx="2">
                  <c:v>689</c:v>
                </c:pt>
                <c:pt idx="3">
                  <c:v>398</c:v>
                </c:pt>
              </c:numCache>
            </c:numRef>
          </c:val>
        </c:ser>
        <c:ser>
          <c:idx val="3"/>
          <c:order val="3"/>
          <c:tx>
            <c:strRef>
              <c:f>Sheet1!$E$1</c:f>
              <c:strCache>
                <c:ptCount val="1"/>
                <c:pt idx="0">
                  <c:v>IV</c:v>
                </c:pt>
              </c:strCache>
            </c:strRef>
          </c:tx>
          <c:cat>
            <c:strRef>
              <c:f>Sheet1!$A$2:$A$5</c:f>
              <c:strCache>
                <c:ptCount val="4"/>
                <c:pt idx="0">
                  <c:v>Arabil</c:v>
                </c:pt>
                <c:pt idx="1">
                  <c:v>Pajişti</c:v>
                </c:pt>
                <c:pt idx="2">
                  <c:v>Vii</c:v>
                </c:pt>
                <c:pt idx="3">
                  <c:v>Livezi</c:v>
                </c:pt>
              </c:strCache>
            </c:strRef>
          </c:cat>
          <c:val>
            <c:numRef>
              <c:f>Sheet1!$E$2:$E$5</c:f>
              <c:numCache>
                <c:formatCode>General</c:formatCode>
                <c:ptCount val="4"/>
                <c:pt idx="0">
                  <c:v>3218</c:v>
                </c:pt>
                <c:pt idx="1">
                  <c:v>16385</c:v>
                </c:pt>
                <c:pt idx="2">
                  <c:v>1090</c:v>
                </c:pt>
                <c:pt idx="3">
                  <c:v>551</c:v>
                </c:pt>
              </c:numCache>
            </c:numRef>
          </c:val>
        </c:ser>
        <c:ser>
          <c:idx val="4"/>
          <c:order val="4"/>
          <c:tx>
            <c:strRef>
              <c:f>Sheet1!$F$1</c:f>
              <c:strCache>
                <c:ptCount val="1"/>
                <c:pt idx="0">
                  <c:v>V</c:v>
                </c:pt>
              </c:strCache>
            </c:strRef>
          </c:tx>
          <c:cat>
            <c:strRef>
              <c:f>Sheet1!$A$2:$A$5</c:f>
              <c:strCache>
                <c:ptCount val="4"/>
                <c:pt idx="0">
                  <c:v>Arabil</c:v>
                </c:pt>
                <c:pt idx="1">
                  <c:v>Pajişti</c:v>
                </c:pt>
                <c:pt idx="2">
                  <c:v>Vii</c:v>
                </c:pt>
                <c:pt idx="3">
                  <c:v>Livezi</c:v>
                </c:pt>
              </c:strCache>
            </c:strRef>
          </c:cat>
          <c:val>
            <c:numRef>
              <c:f>Sheet1!$F$2:$F$5</c:f>
              <c:numCache>
                <c:formatCode>General</c:formatCode>
                <c:ptCount val="4"/>
                <c:pt idx="0">
                  <c:v>1134</c:v>
                </c:pt>
                <c:pt idx="1">
                  <c:v>2044</c:v>
                </c:pt>
                <c:pt idx="2">
                  <c:v>355</c:v>
                </c:pt>
                <c:pt idx="3">
                  <c:v>70</c:v>
                </c:pt>
              </c:numCache>
            </c:numRef>
          </c:val>
        </c:ser>
        <c:ser>
          <c:idx val="5"/>
          <c:order val="5"/>
          <c:tx>
            <c:strRef>
              <c:f>Sheet1!$G$1</c:f>
              <c:strCache>
                <c:ptCount val="1"/>
                <c:pt idx="0">
                  <c:v>VI</c:v>
                </c:pt>
              </c:strCache>
            </c:strRef>
          </c:tx>
          <c:cat>
            <c:strRef>
              <c:f>Sheet1!$A$2:$A$5</c:f>
              <c:strCache>
                <c:ptCount val="4"/>
                <c:pt idx="0">
                  <c:v>Arabil</c:v>
                </c:pt>
                <c:pt idx="1">
                  <c:v>Pajişti</c:v>
                </c:pt>
                <c:pt idx="2">
                  <c:v>Vii</c:v>
                </c:pt>
                <c:pt idx="3">
                  <c:v>Livezi</c:v>
                </c:pt>
              </c:strCache>
            </c:strRef>
          </c:cat>
          <c:val>
            <c:numRef>
              <c:f>Sheet1!$G$2:$G$5</c:f>
              <c:numCache>
                <c:formatCode>General</c:formatCode>
                <c:ptCount val="4"/>
                <c:pt idx="0">
                  <c:v>209</c:v>
                </c:pt>
                <c:pt idx="1">
                  <c:v>138</c:v>
                </c:pt>
                <c:pt idx="2">
                  <c:v>654</c:v>
                </c:pt>
                <c:pt idx="3">
                  <c:v>723</c:v>
                </c:pt>
              </c:numCache>
            </c:numRef>
          </c:val>
        </c:ser>
        <c:axId val="164931456"/>
        <c:axId val="164932992"/>
      </c:barChart>
      <c:catAx>
        <c:axId val="164931456"/>
        <c:scaling>
          <c:orientation val="minMax"/>
        </c:scaling>
        <c:axPos val="b"/>
        <c:numFmt formatCode="General" sourceLinked="1"/>
        <c:tickLblPos val="nextTo"/>
        <c:crossAx val="164932992"/>
        <c:crosses val="autoZero"/>
        <c:auto val="1"/>
        <c:lblAlgn val="ctr"/>
        <c:lblOffset val="100"/>
      </c:catAx>
      <c:valAx>
        <c:axId val="164932992"/>
        <c:scaling>
          <c:orientation val="minMax"/>
        </c:scaling>
        <c:axPos val="l"/>
        <c:majorGridlines/>
        <c:numFmt formatCode="General" sourceLinked="1"/>
        <c:tickLblPos val="nextTo"/>
        <c:crossAx val="164931456"/>
        <c:crosses val="autoZero"/>
        <c:crossBetween val="between"/>
      </c:valAx>
      <c:spPr>
        <a:gradFill>
          <a:gsLst>
            <a:gs pos="0">
              <a:srgbClr val="9BBB59">
                <a:lumMod val="40000"/>
                <a:lumOff val="6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92322097378277168"/>
          <c:y val="0.2755417956656348"/>
          <c:w val="6.1797752808988832E-2"/>
          <c:h val="0.44582043343653249"/>
        </c:manualLayout>
      </c:layout>
    </c:legend>
    <c:plotVisOnly val="1"/>
    <c:dispBlanksAs val="gap"/>
  </c:chart>
  <c:spPr>
    <a:gradFill>
      <a:gsLst>
        <a:gs pos="0">
          <a:schemeClr val="accent3">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51432880844672E-2"/>
          <c:y val="3.6231884057971057E-2"/>
          <c:w val="0.79487179487179482"/>
          <c:h val="0.58937198067632846"/>
        </c:manualLayout>
      </c:layout>
      <c:barChart>
        <c:barDir val="col"/>
        <c:grouping val="clustered"/>
        <c:ser>
          <c:idx val="2"/>
          <c:order val="0"/>
          <c:tx>
            <c:strRef>
              <c:f>Sheet1!$C$1</c:f>
              <c:strCache>
                <c:ptCount val="1"/>
                <c:pt idx="0">
                  <c:v>Exces de umiditate</c:v>
                </c:pt>
              </c:strCache>
            </c:strRef>
          </c:tx>
          <c:spPr>
            <a:solidFill>
              <a:srgbClr val="FFFFCC"/>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18771</c:v>
                </c:pt>
                <c:pt idx="1">
                  <c:v>19175</c:v>
                </c:pt>
                <c:pt idx="2">
                  <c:v>19664</c:v>
                </c:pt>
                <c:pt idx="3">
                  <c:v>19664</c:v>
                </c:pt>
                <c:pt idx="4">
                  <c:v>19683</c:v>
                </c:pt>
              </c:numCache>
            </c:numRef>
          </c:val>
        </c:ser>
        <c:ser>
          <c:idx val="3"/>
          <c:order val="1"/>
          <c:tx>
            <c:strRef>
              <c:f>Sheet1!$D$1</c:f>
              <c:strCache>
                <c:ptCount val="1"/>
                <c:pt idx="0">
                  <c:v>Eroziunea solului prin apă</c:v>
                </c:pt>
              </c:strCache>
            </c:strRef>
          </c:tx>
          <c:spPr>
            <a:solidFill>
              <a:srgbClr val="CCFFFF"/>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45929</c:v>
                </c:pt>
                <c:pt idx="1">
                  <c:v>38408</c:v>
                </c:pt>
                <c:pt idx="2">
                  <c:v>38551</c:v>
                </c:pt>
                <c:pt idx="3">
                  <c:v>38551</c:v>
                </c:pt>
                <c:pt idx="4">
                  <c:v>38551</c:v>
                </c:pt>
              </c:numCache>
            </c:numRef>
          </c:val>
        </c:ser>
        <c:ser>
          <c:idx val="4"/>
          <c:order val="2"/>
          <c:tx>
            <c:strRef>
              <c:f>Sheet1!$E$1</c:f>
              <c:strCache>
                <c:ptCount val="1"/>
                <c:pt idx="0">
                  <c:v>Alunecări de teren                                               </c:v>
                </c:pt>
              </c:strCache>
            </c:strRef>
          </c:tx>
          <c:spPr>
            <a:solidFill>
              <a:srgbClr val="660066"/>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6135</c:v>
                </c:pt>
                <c:pt idx="1">
                  <c:v>5974</c:v>
                </c:pt>
                <c:pt idx="2">
                  <c:v>5974</c:v>
                </c:pt>
                <c:pt idx="3">
                  <c:v>5974</c:v>
                </c:pt>
                <c:pt idx="4">
                  <c:v>5974</c:v>
                </c:pt>
              </c:numCache>
            </c:numRef>
          </c:val>
        </c:ser>
        <c:ser>
          <c:idx val="5"/>
          <c:order val="3"/>
          <c:tx>
            <c:strRef>
              <c:f>Sheet1!$F$1</c:f>
              <c:strCache>
                <c:ptCount val="1"/>
                <c:pt idx="0">
                  <c:v>Risc de eroziunea solului prin vânt </c:v>
                </c:pt>
              </c:strCache>
            </c:strRef>
          </c:tx>
          <c:spPr>
            <a:solidFill>
              <a:srgbClr val="FF8080"/>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4205</c:v>
                </c:pt>
                <c:pt idx="1">
                  <c:v>4303</c:v>
                </c:pt>
                <c:pt idx="2">
                  <c:v>4641</c:v>
                </c:pt>
                <c:pt idx="3">
                  <c:v>4641</c:v>
                </c:pt>
                <c:pt idx="4">
                  <c:v>4721</c:v>
                </c:pt>
              </c:numCache>
            </c:numRef>
          </c:val>
        </c:ser>
        <c:ser>
          <c:idx val="6"/>
          <c:order val="4"/>
          <c:tx>
            <c:strRef>
              <c:f>Sheet1!$G$1</c:f>
              <c:strCache>
                <c:ptCount val="1"/>
                <c:pt idx="0">
                  <c:v>Salinizarea solului </c:v>
                </c:pt>
              </c:strCache>
            </c:strRef>
          </c:tx>
          <c:spPr>
            <a:solidFill>
              <a:srgbClr val="0066CC"/>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Sheet1!$G$2:$G$6</c:f>
              <c:numCache>
                <c:formatCode>General</c:formatCode>
                <c:ptCount val="5"/>
                <c:pt idx="0">
                  <c:v>40226</c:v>
                </c:pt>
                <c:pt idx="1">
                  <c:v>39529</c:v>
                </c:pt>
                <c:pt idx="2">
                  <c:v>41218</c:v>
                </c:pt>
                <c:pt idx="3">
                  <c:v>41218</c:v>
                </c:pt>
                <c:pt idx="4">
                  <c:v>41265</c:v>
                </c:pt>
              </c:numCache>
            </c:numRef>
          </c:val>
        </c:ser>
        <c:ser>
          <c:idx val="9"/>
          <c:order val="5"/>
          <c:tx>
            <c:strRef>
              <c:f>Sheet1!$J$1</c:f>
              <c:strCache>
                <c:ptCount val="1"/>
                <c:pt idx="0">
                  <c:v>Rezervă mică de humus în sol</c:v>
                </c:pt>
              </c:strCache>
            </c:strRef>
          </c:tx>
          <c:spPr>
            <a:solidFill>
              <a:srgbClr val="FF00FF"/>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Sheet1!$J$2:$J$6</c:f>
              <c:numCache>
                <c:formatCode>General</c:formatCode>
                <c:ptCount val="5"/>
                <c:pt idx="0">
                  <c:v>62841</c:v>
                </c:pt>
                <c:pt idx="1">
                  <c:v>91179</c:v>
                </c:pt>
                <c:pt idx="2">
                  <c:v>101175</c:v>
                </c:pt>
                <c:pt idx="3">
                  <c:v>101175</c:v>
                </c:pt>
                <c:pt idx="4">
                  <c:v>101781</c:v>
                </c:pt>
              </c:numCache>
            </c:numRef>
          </c:val>
        </c:ser>
        <c:ser>
          <c:idx val="10"/>
          <c:order val="6"/>
          <c:tx>
            <c:strRef>
              <c:f>Sheet1!$K$1</c:f>
              <c:strCache>
                <c:ptCount val="1"/>
                <c:pt idx="0">
                  <c:v>Aciditate puternică şi moderată</c:v>
                </c:pt>
              </c:strCache>
            </c:strRef>
          </c:tx>
          <c:spPr>
            <a:solidFill>
              <a:srgbClr val="FFFF00"/>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Sheet1!$K$2:$K$6</c:f>
              <c:numCache>
                <c:formatCode>General</c:formatCode>
                <c:ptCount val="5"/>
                <c:pt idx="0">
                  <c:v>11512</c:v>
                </c:pt>
                <c:pt idx="1">
                  <c:v>5926</c:v>
                </c:pt>
                <c:pt idx="2">
                  <c:v>8039</c:v>
                </c:pt>
                <c:pt idx="3">
                  <c:v>8039</c:v>
                </c:pt>
                <c:pt idx="4">
                  <c:v>8039</c:v>
                </c:pt>
              </c:numCache>
            </c:numRef>
          </c:val>
        </c:ser>
        <c:ser>
          <c:idx val="11"/>
          <c:order val="7"/>
          <c:tx>
            <c:strRef>
              <c:f>Sheet1!$L$1</c:f>
              <c:strCache>
                <c:ptCount val="1"/>
                <c:pt idx="0">
                  <c:v>Asigurarea slabă cu fosfor mobil</c:v>
                </c:pt>
              </c:strCache>
            </c:strRef>
          </c:tx>
          <c:spPr>
            <a:solidFill>
              <a:srgbClr val="00FFFF"/>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Sheet1!$L$2:$L$6</c:f>
              <c:numCache>
                <c:formatCode>General</c:formatCode>
                <c:ptCount val="5"/>
                <c:pt idx="0">
                  <c:v>46600</c:v>
                </c:pt>
                <c:pt idx="1">
                  <c:v>74063</c:v>
                </c:pt>
                <c:pt idx="2">
                  <c:v>84972</c:v>
                </c:pt>
                <c:pt idx="3">
                  <c:v>84972</c:v>
                </c:pt>
                <c:pt idx="4">
                  <c:v>89372</c:v>
                </c:pt>
              </c:numCache>
            </c:numRef>
          </c:val>
        </c:ser>
        <c:ser>
          <c:idx val="12"/>
          <c:order val="8"/>
          <c:tx>
            <c:strRef>
              <c:f>Sheet1!$M$1</c:f>
              <c:strCache>
                <c:ptCount val="1"/>
                <c:pt idx="0">
                  <c:v>Asigurarea slabă cu potasiu mobil</c:v>
                </c:pt>
              </c:strCache>
            </c:strRef>
          </c:tx>
          <c:spPr>
            <a:solidFill>
              <a:srgbClr val="800080"/>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Sheet1!$M$2:$M$6</c:f>
              <c:numCache>
                <c:formatCode>General</c:formatCode>
                <c:ptCount val="5"/>
                <c:pt idx="0">
                  <c:v>7947</c:v>
                </c:pt>
                <c:pt idx="1">
                  <c:v>13090</c:v>
                </c:pt>
                <c:pt idx="2">
                  <c:v>13264</c:v>
                </c:pt>
                <c:pt idx="3">
                  <c:v>13264</c:v>
                </c:pt>
                <c:pt idx="4">
                  <c:v>13740</c:v>
                </c:pt>
              </c:numCache>
            </c:numRef>
          </c:val>
        </c:ser>
        <c:ser>
          <c:idx val="13"/>
          <c:order val="9"/>
          <c:tx>
            <c:strRef>
              <c:f>Sheet1!$N$1</c:f>
              <c:strCache>
                <c:ptCount val="1"/>
                <c:pt idx="0">
                  <c:v> Asigurarea slabă cu azot</c:v>
                </c:pt>
              </c:strCache>
            </c:strRef>
          </c:tx>
          <c:spPr>
            <a:solidFill>
              <a:srgbClr val="800000"/>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Sheet1!$N$2:$N$6</c:f>
              <c:numCache>
                <c:formatCode>General</c:formatCode>
                <c:ptCount val="5"/>
                <c:pt idx="0">
                  <c:v>23892</c:v>
                </c:pt>
                <c:pt idx="1">
                  <c:v>30869</c:v>
                </c:pt>
                <c:pt idx="2">
                  <c:v>31186</c:v>
                </c:pt>
                <c:pt idx="3">
                  <c:v>31186</c:v>
                </c:pt>
                <c:pt idx="4">
                  <c:v>32237</c:v>
                </c:pt>
              </c:numCache>
            </c:numRef>
          </c:val>
        </c:ser>
        <c:ser>
          <c:idx val="14"/>
          <c:order val="10"/>
          <c:tx>
            <c:strRef>
              <c:f>Sheet1!$O$1</c:f>
              <c:strCache>
                <c:ptCount val="1"/>
                <c:pt idx="0">
                  <c:v>Acoperirea terenurilor cu deşeuri  </c:v>
                </c:pt>
              </c:strCache>
            </c:strRef>
          </c:tx>
          <c:spPr>
            <a:solidFill>
              <a:srgbClr val="008080"/>
            </a:solidFill>
            <a:ln w="12680">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Sheet1!$O$2:$O$6</c:f>
              <c:numCache>
                <c:formatCode>General</c:formatCode>
                <c:ptCount val="5"/>
                <c:pt idx="0">
                  <c:v>113</c:v>
                </c:pt>
                <c:pt idx="1">
                  <c:v>157</c:v>
                </c:pt>
                <c:pt idx="2">
                  <c:v>157</c:v>
                </c:pt>
                <c:pt idx="3">
                  <c:v>157</c:v>
                </c:pt>
                <c:pt idx="4">
                  <c:v>172</c:v>
                </c:pt>
              </c:numCache>
            </c:numRef>
          </c:val>
        </c:ser>
        <c:axId val="165337728"/>
        <c:axId val="165101952"/>
      </c:barChart>
      <c:catAx>
        <c:axId val="165337728"/>
        <c:scaling>
          <c:orientation val="minMax"/>
        </c:scaling>
        <c:axPos val="b"/>
        <c:numFmt formatCode="General" sourceLinked="1"/>
        <c:tickLblPos val="nextTo"/>
        <c:crossAx val="165101952"/>
        <c:crosses val="autoZero"/>
        <c:auto val="1"/>
        <c:lblAlgn val="ctr"/>
        <c:lblOffset val="100"/>
      </c:catAx>
      <c:valAx>
        <c:axId val="165101952"/>
        <c:scaling>
          <c:orientation val="minMax"/>
        </c:scaling>
        <c:axPos val="l"/>
        <c:majorGridlines/>
        <c:numFmt formatCode="General" sourceLinked="1"/>
        <c:tickLblPos val="nextTo"/>
        <c:crossAx val="165337728"/>
        <c:crosses val="autoZero"/>
        <c:crossBetween val="between"/>
      </c:valAx>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a:ln>
          <a:solidFill>
            <a:schemeClr val="accent6">
              <a:lumMod val="50000"/>
            </a:schemeClr>
          </a:solidFill>
        </a:ln>
      </c:spPr>
    </c:plotArea>
    <c:legend>
      <c:legendPos val="b"/>
      <c:layout>
        <c:manualLayout>
          <c:xMode val="edge"/>
          <c:yMode val="edge"/>
          <c:x val="9.8039287194363861E-2"/>
          <c:y val="0.69323659289210449"/>
          <c:w val="0.77828048072938261"/>
          <c:h val="0.30676340710789568"/>
        </c:manualLayout>
      </c:layout>
    </c:legend>
    <c:plotVisOnly val="1"/>
    <c:dispBlanksAs val="gap"/>
  </c:chart>
  <c:spPr>
    <a:gradFill>
      <a:gsLst>
        <a:gs pos="0">
          <a:schemeClr val="accent4">
            <a:lumMod val="20000"/>
            <a:lumOff val="80000"/>
          </a:scheme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Sheet1!$C$145</c:f>
              <c:strCache>
                <c:ptCount val="1"/>
                <c:pt idx="0">
                  <c:v>PM10 aut(µg/m3)</c:v>
                </c:pt>
              </c:strCache>
            </c:strRef>
          </c:tx>
          <c:marker>
            <c:symbol val="none"/>
          </c:marker>
          <c:cat>
            <c:strRef>
              <c:f>Sheet1!$B$146:$B$152</c:f>
              <c:strCache>
                <c:ptCount val="7"/>
                <c:pt idx="0">
                  <c:v>2008"</c:v>
                </c:pt>
                <c:pt idx="1">
                  <c:v>2009"</c:v>
                </c:pt>
                <c:pt idx="2">
                  <c:v>2010"</c:v>
                </c:pt>
                <c:pt idx="3">
                  <c:v>2011"</c:v>
                </c:pt>
                <c:pt idx="4">
                  <c:v>2012"</c:v>
                </c:pt>
                <c:pt idx="5">
                  <c:v>2013"</c:v>
                </c:pt>
                <c:pt idx="6">
                  <c:v>2014"</c:v>
                </c:pt>
              </c:strCache>
            </c:strRef>
          </c:cat>
          <c:val>
            <c:numRef>
              <c:f>Sheet1!$C$146:$C$152</c:f>
              <c:numCache>
                <c:formatCode>General</c:formatCode>
                <c:ptCount val="7"/>
                <c:pt idx="4">
                  <c:v>32</c:v>
                </c:pt>
                <c:pt idx="5">
                  <c:v>22</c:v>
                </c:pt>
              </c:numCache>
            </c:numRef>
          </c:val>
        </c:ser>
        <c:ser>
          <c:idx val="1"/>
          <c:order val="1"/>
          <c:tx>
            <c:strRef>
              <c:f>Sheet1!$D$145</c:f>
              <c:strCache>
                <c:ptCount val="1"/>
                <c:pt idx="0">
                  <c:v>PM10 grv(µg/m3)</c:v>
                </c:pt>
              </c:strCache>
            </c:strRef>
          </c:tx>
          <c:marker>
            <c:symbol val="none"/>
          </c:marker>
          <c:cat>
            <c:strRef>
              <c:f>Sheet1!$B$146:$B$152</c:f>
              <c:strCache>
                <c:ptCount val="7"/>
                <c:pt idx="0">
                  <c:v>2008"</c:v>
                </c:pt>
                <c:pt idx="1">
                  <c:v>2009"</c:v>
                </c:pt>
                <c:pt idx="2">
                  <c:v>2010"</c:v>
                </c:pt>
                <c:pt idx="3">
                  <c:v>2011"</c:v>
                </c:pt>
                <c:pt idx="4">
                  <c:v>2012"</c:v>
                </c:pt>
                <c:pt idx="5">
                  <c:v>2013"</c:v>
                </c:pt>
                <c:pt idx="6">
                  <c:v>2014"</c:v>
                </c:pt>
              </c:strCache>
            </c:strRef>
          </c:cat>
          <c:val>
            <c:numRef>
              <c:f>Sheet1!$D$146:$D$152</c:f>
              <c:numCache>
                <c:formatCode>General</c:formatCode>
                <c:ptCount val="7"/>
                <c:pt idx="4">
                  <c:v>32</c:v>
                </c:pt>
                <c:pt idx="5">
                  <c:v>25</c:v>
                </c:pt>
                <c:pt idx="6">
                  <c:v>22</c:v>
                </c:pt>
              </c:numCache>
            </c:numRef>
          </c:val>
        </c:ser>
        <c:ser>
          <c:idx val="2"/>
          <c:order val="2"/>
          <c:tx>
            <c:strRef>
              <c:f>Sheet1!$E$145</c:f>
              <c:strCache>
                <c:ptCount val="1"/>
                <c:pt idx="0">
                  <c:v>VL PM10(µg/m3)</c:v>
                </c:pt>
              </c:strCache>
            </c:strRef>
          </c:tx>
          <c:marker>
            <c:symbol val="none"/>
          </c:marker>
          <c:cat>
            <c:strRef>
              <c:f>Sheet1!$B$146:$B$152</c:f>
              <c:strCache>
                <c:ptCount val="7"/>
                <c:pt idx="0">
                  <c:v>2008"</c:v>
                </c:pt>
                <c:pt idx="1">
                  <c:v>2009"</c:v>
                </c:pt>
                <c:pt idx="2">
                  <c:v>2010"</c:v>
                </c:pt>
                <c:pt idx="3">
                  <c:v>2011"</c:v>
                </c:pt>
                <c:pt idx="4">
                  <c:v>2012"</c:v>
                </c:pt>
                <c:pt idx="5">
                  <c:v>2013"</c:v>
                </c:pt>
                <c:pt idx="6">
                  <c:v>2014"</c:v>
                </c:pt>
              </c:strCache>
            </c:strRef>
          </c:cat>
          <c:val>
            <c:numRef>
              <c:f>Sheet1!$E$146:$E$152</c:f>
              <c:numCache>
                <c:formatCode>General</c:formatCode>
                <c:ptCount val="7"/>
                <c:pt idx="0">
                  <c:v>40</c:v>
                </c:pt>
                <c:pt idx="1">
                  <c:v>40</c:v>
                </c:pt>
                <c:pt idx="2">
                  <c:v>40</c:v>
                </c:pt>
                <c:pt idx="3">
                  <c:v>40</c:v>
                </c:pt>
                <c:pt idx="4">
                  <c:v>40</c:v>
                </c:pt>
                <c:pt idx="5">
                  <c:v>40</c:v>
                </c:pt>
                <c:pt idx="6">
                  <c:v>40</c:v>
                </c:pt>
              </c:numCache>
            </c:numRef>
          </c:val>
        </c:ser>
        <c:marker val="1"/>
        <c:axId val="136479488"/>
        <c:axId val="136481024"/>
      </c:lineChart>
      <c:catAx>
        <c:axId val="136479488"/>
        <c:scaling>
          <c:orientation val="minMax"/>
        </c:scaling>
        <c:axPos val="b"/>
        <c:tickLblPos val="nextTo"/>
        <c:crossAx val="136481024"/>
        <c:crosses val="autoZero"/>
        <c:auto val="1"/>
        <c:lblAlgn val="ctr"/>
        <c:lblOffset val="100"/>
      </c:catAx>
      <c:valAx>
        <c:axId val="136481024"/>
        <c:scaling>
          <c:orientation val="minMax"/>
        </c:scaling>
        <c:axPos val="l"/>
        <c:majorGridlines/>
        <c:numFmt formatCode="General" sourceLinked="1"/>
        <c:tickLblPos val="nextTo"/>
        <c:crossAx val="136479488"/>
        <c:crosses val="autoZero"/>
        <c:crossBetween val="between"/>
      </c:valAx>
    </c:plotArea>
    <c:legend>
      <c:legendPos val="r"/>
    </c:legend>
    <c:plotVisOnly val="1"/>
  </c:chart>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39" b="1" i="0" u="none" strike="noStrike" baseline="0">
                <a:solidFill>
                  <a:srgbClr val="000000"/>
                </a:solidFill>
                <a:latin typeface="Calibri"/>
                <a:ea typeface="Calibri"/>
                <a:cs typeface="Calibri"/>
              </a:defRPr>
            </a:pPr>
            <a:r>
              <a:rPr lang="vi-VN"/>
              <a:t>Utilizarea îngrăşămintelor chimice în agricultură în perioada 2000-2014</a:t>
            </a:r>
          </a:p>
        </c:rich>
      </c:tx>
      <c:layout>
        <c:manualLayout>
          <c:xMode val="edge"/>
          <c:yMode val="edge"/>
          <c:x val="0.13181818181818197"/>
          <c:y val="2.1084337349397592E-2"/>
        </c:manualLayout>
      </c:layout>
      <c:spPr>
        <a:noFill/>
        <a:ln w="24111">
          <a:noFill/>
        </a:ln>
      </c:spPr>
    </c:title>
    <c:plotArea>
      <c:layout>
        <c:manualLayout>
          <c:layoutTarget val="inner"/>
          <c:xMode val="edge"/>
          <c:yMode val="edge"/>
          <c:x val="0.11212121212121223"/>
          <c:y val="0.18674698795180752"/>
          <c:w val="0.85909090909090913"/>
          <c:h val="0.56325301204819411"/>
        </c:manualLayout>
      </c:layout>
      <c:lineChart>
        <c:grouping val="standard"/>
        <c:ser>
          <c:idx val="1"/>
          <c:order val="0"/>
          <c:tx>
            <c:strRef>
              <c:f>Sheet1!$C$1</c:f>
              <c:strCache>
                <c:ptCount val="1"/>
                <c:pt idx="0">
                  <c:v>N </c:v>
                </c:pt>
              </c:strCache>
            </c:strRef>
          </c:tx>
          <c:spPr>
            <a:ln w="12056">
              <a:solidFill>
                <a:srgbClr val="FF00FF"/>
              </a:solidFill>
              <a:prstDash val="solid"/>
            </a:ln>
          </c:spPr>
          <c:marker>
            <c:symbol val="square"/>
            <c:size val="4"/>
            <c:spPr>
              <a:solidFill>
                <a:srgbClr val="C0504D"/>
              </a:solidFill>
              <a:ln>
                <a:solidFill>
                  <a:srgbClr val="FF00FF"/>
                </a:solidFill>
                <a:prstDash val="solid"/>
              </a:ln>
            </c:spPr>
          </c:marker>
          <c:cat>
            <c:numRef>
              <c:f>Sheet1!$B$2:$B$16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Sheet1!$C$2:$C$16</c:f>
              <c:numCache>
                <c:formatCode>General</c:formatCode>
                <c:ptCount val="15"/>
                <c:pt idx="0">
                  <c:v>3129</c:v>
                </c:pt>
                <c:pt idx="1">
                  <c:v>2959</c:v>
                </c:pt>
                <c:pt idx="2">
                  <c:v>1850</c:v>
                </c:pt>
                <c:pt idx="3">
                  <c:v>3572</c:v>
                </c:pt>
                <c:pt idx="4">
                  <c:v>2514</c:v>
                </c:pt>
                <c:pt idx="5">
                  <c:v>2360</c:v>
                </c:pt>
                <c:pt idx="6">
                  <c:v>2865</c:v>
                </c:pt>
                <c:pt idx="7">
                  <c:v>3549</c:v>
                </c:pt>
                <c:pt idx="8">
                  <c:v>4704</c:v>
                </c:pt>
                <c:pt idx="9">
                  <c:v>5624</c:v>
                </c:pt>
                <c:pt idx="10">
                  <c:v>4212</c:v>
                </c:pt>
                <c:pt idx="11" formatCode="#,##0">
                  <c:v>3244</c:v>
                </c:pt>
                <c:pt idx="12">
                  <c:v>3355</c:v>
                </c:pt>
                <c:pt idx="13">
                  <c:v>1748</c:v>
                </c:pt>
                <c:pt idx="14">
                  <c:v>952</c:v>
                </c:pt>
              </c:numCache>
            </c:numRef>
          </c:val>
        </c:ser>
        <c:ser>
          <c:idx val="2"/>
          <c:order val="1"/>
          <c:tx>
            <c:strRef>
              <c:f>Sheet1!$D$1</c:f>
              <c:strCache>
                <c:ptCount val="1"/>
                <c:pt idx="0">
                  <c:v>P2O5</c:v>
                </c:pt>
              </c:strCache>
            </c:strRef>
          </c:tx>
          <c:spPr>
            <a:ln w="12056">
              <a:solidFill>
                <a:srgbClr val="000080"/>
              </a:solidFill>
              <a:prstDash val="solid"/>
            </a:ln>
          </c:spPr>
          <c:marker>
            <c:symbol val="triangle"/>
            <c:size val="4"/>
            <c:spPr>
              <a:solidFill>
                <a:srgbClr val="FFFF00"/>
              </a:solidFill>
              <a:ln>
                <a:solidFill>
                  <a:srgbClr val="FFFF00"/>
                </a:solidFill>
                <a:prstDash val="solid"/>
              </a:ln>
            </c:spPr>
          </c:marker>
          <c:cat>
            <c:numRef>
              <c:f>Sheet1!$B$2:$B$16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Sheet1!$D$2:$D$16</c:f>
              <c:numCache>
                <c:formatCode>General</c:formatCode>
                <c:ptCount val="15"/>
                <c:pt idx="0">
                  <c:v>1075</c:v>
                </c:pt>
                <c:pt idx="1">
                  <c:v>618</c:v>
                </c:pt>
                <c:pt idx="2">
                  <c:v>206</c:v>
                </c:pt>
                <c:pt idx="3">
                  <c:v>792</c:v>
                </c:pt>
                <c:pt idx="4">
                  <c:v>563</c:v>
                </c:pt>
                <c:pt idx="5">
                  <c:v>437</c:v>
                </c:pt>
                <c:pt idx="6">
                  <c:v>723</c:v>
                </c:pt>
                <c:pt idx="7">
                  <c:v>1382</c:v>
                </c:pt>
                <c:pt idx="8">
                  <c:v>1355</c:v>
                </c:pt>
                <c:pt idx="9">
                  <c:v>2672</c:v>
                </c:pt>
                <c:pt idx="10">
                  <c:v>1999</c:v>
                </c:pt>
                <c:pt idx="11" formatCode="#,##0">
                  <c:v>1549</c:v>
                </c:pt>
                <c:pt idx="12">
                  <c:v>3355</c:v>
                </c:pt>
                <c:pt idx="13">
                  <c:v>1748</c:v>
                </c:pt>
                <c:pt idx="14">
                  <c:v>950</c:v>
                </c:pt>
              </c:numCache>
            </c:numRef>
          </c:val>
        </c:ser>
        <c:ser>
          <c:idx val="3"/>
          <c:order val="2"/>
          <c:tx>
            <c:strRef>
              <c:f>Sheet1!$E$1</c:f>
              <c:strCache>
                <c:ptCount val="1"/>
                <c:pt idx="0">
                  <c:v>K2O</c:v>
                </c:pt>
              </c:strCache>
            </c:strRef>
          </c:tx>
          <c:spPr>
            <a:ln w="12056">
              <a:solidFill>
                <a:srgbClr val="00FFFF"/>
              </a:solidFill>
              <a:prstDash val="solid"/>
            </a:ln>
          </c:spPr>
          <c:marker>
            <c:symbol val="x"/>
            <c:size val="4"/>
            <c:spPr>
              <a:noFill/>
              <a:ln>
                <a:solidFill>
                  <a:srgbClr val="00FFFF"/>
                </a:solidFill>
                <a:prstDash val="solid"/>
              </a:ln>
            </c:spPr>
          </c:marker>
          <c:cat>
            <c:numRef>
              <c:f>Sheet1!$B$2:$B$16</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Sheet1!$E$2:$E$16</c:f>
              <c:numCache>
                <c:formatCode>General</c:formatCode>
                <c:ptCount val="15"/>
                <c:pt idx="0">
                  <c:v>124</c:v>
                </c:pt>
                <c:pt idx="1">
                  <c:v>118</c:v>
                </c:pt>
                <c:pt idx="2">
                  <c:v>133</c:v>
                </c:pt>
                <c:pt idx="3">
                  <c:v>156</c:v>
                </c:pt>
                <c:pt idx="4">
                  <c:v>135</c:v>
                </c:pt>
                <c:pt idx="5">
                  <c:v>41</c:v>
                </c:pt>
                <c:pt idx="6">
                  <c:v>120</c:v>
                </c:pt>
                <c:pt idx="7">
                  <c:v>9</c:v>
                </c:pt>
                <c:pt idx="8">
                  <c:v>46</c:v>
                </c:pt>
                <c:pt idx="9">
                  <c:v>242</c:v>
                </c:pt>
                <c:pt idx="10">
                  <c:v>88</c:v>
                </c:pt>
                <c:pt idx="11">
                  <c:v>118</c:v>
                </c:pt>
                <c:pt idx="12">
                  <c:v>152</c:v>
                </c:pt>
                <c:pt idx="13">
                  <c:v>207</c:v>
                </c:pt>
                <c:pt idx="14">
                  <c:v>148</c:v>
                </c:pt>
              </c:numCache>
            </c:numRef>
          </c:val>
        </c:ser>
        <c:marker val="1"/>
        <c:axId val="165147392"/>
        <c:axId val="165149312"/>
      </c:lineChart>
      <c:catAx>
        <c:axId val="165147392"/>
        <c:scaling>
          <c:orientation val="minMax"/>
        </c:scaling>
        <c:axPos val="b"/>
        <c:numFmt formatCode="General" sourceLinked="1"/>
        <c:tickLblPos val="nextTo"/>
        <c:crossAx val="165149312"/>
        <c:crosses val="autoZero"/>
        <c:auto val="1"/>
        <c:lblAlgn val="ctr"/>
        <c:lblOffset val="100"/>
      </c:catAx>
      <c:valAx>
        <c:axId val="165149312"/>
        <c:scaling>
          <c:orientation val="minMax"/>
        </c:scaling>
        <c:axPos val="l"/>
        <c:majorGridlines/>
        <c:title>
          <c:tx>
            <c:rich>
              <a:bodyPr/>
              <a:lstStyle/>
              <a:p>
                <a:pPr>
                  <a:defRPr sz="949" b="1" i="0" u="none" strike="noStrike" baseline="0">
                    <a:solidFill>
                      <a:srgbClr val="000000"/>
                    </a:solidFill>
                    <a:latin typeface="Calibri"/>
                    <a:ea typeface="Calibri"/>
                    <a:cs typeface="Calibri"/>
                  </a:defRPr>
                </a:pPr>
                <a:r>
                  <a:rPr lang="ro-RO"/>
                  <a:t>tone s.a.</a:t>
                </a:r>
              </a:p>
            </c:rich>
          </c:tx>
          <c:layout>
            <c:manualLayout>
              <c:xMode val="edge"/>
              <c:yMode val="edge"/>
              <c:x val="1.5151515151515166E-2"/>
              <c:y val="0.38855421686747044"/>
            </c:manualLayout>
          </c:layout>
          <c:spPr>
            <a:noFill/>
            <a:ln w="24111">
              <a:noFill/>
            </a:ln>
          </c:spPr>
        </c:title>
        <c:numFmt formatCode="General" sourceLinked="1"/>
        <c:tickLblPos val="nextTo"/>
        <c:crossAx val="165147392"/>
        <c:crosses val="autoZero"/>
        <c:crossBetween val="between"/>
      </c:valAx>
      <c:spPr>
        <a:gradFill>
          <a:gsLst>
            <a:gs pos="0">
              <a:schemeClr val="accent5">
                <a:lumMod val="20000"/>
                <a:lumOff val="8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24545454545454545"/>
          <c:y val="0.88855421686746949"/>
          <c:w val="0.53181818181818186"/>
          <c:h val="8.4337349397590564E-2"/>
        </c:manualLayout>
      </c:layout>
      <c:overlay val="1"/>
    </c:legend>
    <c:plotVisOnly val="1"/>
    <c:dispBlanksAs val="gap"/>
  </c:chart>
  <c:spPr>
    <a:gradFill>
      <a:gsLst>
        <a:gs pos="0">
          <a:srgbClr val="4BACC6">
            <a:lumMod val="20000"/>
            <a:lumOff val="80000"/>
            <a:alpha val="41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03" b="1" i="0" u="none" strike="noStrike" baseline="0">
                <a:solidFill>
                  <a:srgbClr val="000000"/>
                </a:solidFill>
                <a:latin typeface="Calibri"/>
                <a:ea typeface="Calibri"/>
                <a:cs typeface="Calibri"/>
              </a:defRPr>
            </a:pPr>
            <a:r>
              <a:rPr lang="vi-VN"/>
              <a:t>Utilizarea îngrăşămintelor chimice în agricultură în perioada 2010-2014</a:t>
            </a:r>
          </a:p>
        </c:rich>
      </c:tx>
      <c:layout>
        <c:manualLayout>
          <c:xMode val="edge"/>
          <c:yMode val="edge"/>
          <c:x val="0.13181818181818197"/>
          <c:y val="2.1084337349397592E-2"/>
        </c:manualLayout>
      </c:layout>
      <c:spPr>
        <a:noFill/>
        <a:ln w="21231">
          <a:noFill/>
        </a:ln>
      </c:spPr>
    </c:title>
    <c:plotArea>
      <c:layout>
        <c:manualLayout>
          <c:layoutTarget val="inner"/>
          <c:xMode val="edge"/>
          <c:yMode val="edge"/>
          <c:x val="0.11212121212121223"/>
          <c:y val="0.18674698795180752"/>
          <c:w val="0.85909090909090913"/>
          <c:h val="0.56325301204819411"/>
        </c:manualLayout>
      </c:layout>
      <c:barChart>
        <c:barDir val="col"/>
        <c:grouping val="clustered"/>
        <c:ser>
          <c:idx val="0"/>
          <c:order val="0"/>
          <c:tx>
            <c:strRef>
              <c:f>Sheet1!$C$1</c:f>
              <c:strCache>
                <c:ptCount val="1"/>
                <c:pt idx="0">
                  <c:v>N </c:v>
                </c:pt>
              </c:strCache>
            </c:strRef>
          </c:tx>
          <c:cat>
            <c:numRef>
              <c:f>Sheet1!$B$2:$B$7</c:f>
              <c:numCache>
                <c:formatCode>General</c:formatCode>
                <c:ptCount val="6"/>
                <c:pt idx="0">
                  <c:v>2010</c:v>
                </c:pt>
                <c:pt idx="1">
                  <c:v>2011</c:v>
                </c:pt>
                <c:pt idx="2">
                  <c:v>2012</c:v>
                </c:pt>
                <c:pt idx="3">
                  <c:v>2013</c:v>
                </c:pt>
                <c:pt idx="4">
                  <c:v>2014</c:v>
                </c:pt>
              </c:numCache>
            </c:numRef>
          </c:cat>
          <c:val>
            <c:numRef>
              <c:f>Sheet1!$C$2:$C$7</c:f>
              <c:numCache>
                <c:formatCode>#,##0</c:formatCode>
                <c:ptCount val="6"/>
                <c:pt idx="0" formatCode="General">
                  <c:v>4212</c:v>
                </c:pt>
                <c:pt idx="1">
                  <c:v>3244</c:v>
                </c:pt>
                <c:pt idx="2" formatCode="General">
                  <c:v>3355</c:v>
                </c:pt>
                <c:pt idx="3" formatCode="General">
                  <c:v>1748</c:v>
                </c:pt>
                <c:pt idx="4" formatCode="General">
                  <c:v>952</c:v>
                </c:pt>
                <c:pt idx="5" formatCode="General">
                  <c:v>0</c:v>
                </c:pt>
              </c:numCache>
            </c:numRef>
          </c:val>
        </c:ser>
        <c:ser>
          <c:idx val="1"/>
          <c:order val="1"/>
          <c:tx>
            <c:strRef>
              <c:f>Sheet1!$D$1</c:f>
              <c:strCache>
                <c:ptCount val="1"/>
                <c:pt idx="0">
                  <c:v>P2O5</c:v>
                </c:pt>
              </c:strCache>
            </c:strRef>
          </c:tx>
          <c:cat>
            <c:numRef>
              <c:f>Sheet1!$B$2:$B$7</c:f>
              <c:numCache>
                <c:formatCode>General</c:formatCode>
                <c:ptCount val="6"/>
                <c:pt idx="0">
                  <c:v>2010</c:v>
                </c:pt>
                <c:pt idx="1">
                  <c:v>2011</c:v>
                </c:pt>
                <c:pt idx="2">
                  <c:v>2012</c:v>
                </c:pt>
                <c:pt idx="3">
                  <c:v>2013</c:v>
                </c:pt>
                <c:pt idx="4">
                  <c:v>2014</c:v>
                </c:pt>
              </c:numCache>
            </c:numRef>
          </c:cat>
          <c:val>
            <c:numRef>
              <c:f>Sheet1!$D$2:$D$7</c:f>
              <c:numCache>
                <c:formatCode>#,##0</c:formatCode>
                <c:ptCount val="6"/>
                <c:pt idx="0" formatCode="General">
                  <c:v>1999</c:v>
                </c:pt>
                <c:pt idx="1">
                  <c:v>1549</c:v>
                </c:pt>
                <c:pt idx="2" formatCode="General">
                  <c:v>3355</c:v>
                </c:pt>
                <c:pt idx="3" formatCode="General">
                  <c:v>1748</c:v>
                </c:pt>
                <c:pt idx="4" formatCode="General">
                  <c:v>950</c:v>
                </c:pt>
              </c:numCache>
            </c:numRef>
          </c:val>
        </c:ser>
        <c:ser>
          <c:idx val="2"/>
          <c:order val="2"/>
          <c:tx>
            <c:strRef>
              <c:f>Sheet1!$E$1</c:f>
              <c:strCache>
                <c:ptCount val="1"/>
                <c:pt idx="0">
                  <c:v>K2O</c:v>
                </c:pt>
              </c:strCache>
            </c:strRef>
          </c:tx>
          <c:cat>
            <c:numRef>
              <c:f>Sheet1!$B$2:$B$7</c:f>
              <c:numCache>
                <c:formatCode>General</c:formatCode>
                <c:ptCount val="6"/>
                <c:pt idx="0">
                  <c:v>2010</c:v>
                </c:pt>
                <c:pt idx="1">
                  <c:v>2011</c:v>
                </c:pt>
                <c:pt idx="2">
                  <c:v>2012</c:v>
                </c:pt>
                <c:pt idx="3">
                  <c:v>2013</c:v>
                </c:pt>
                <c:pt idx="4">
                  <c:v>2014</c:v>
                </c:pt>
              </c:numCache>
            </c:numRef>
          </c:cat>
          <c:val>
            <c:numRef>
              <c:f>Sheet1!$E$2:$E$7</c:f>
              <c:numCache>
                <c:formatCode>#,##0</c:formatCode>
                <c:ptCount val="6"/>
                <c:pt idx="0" formatCode="General">
                  <c:v>88</c:v>
                </c:pt>
                <c:pt idx="1">
                  <c:v>118</c:v>
                </c:pt>
                <c:pt idx="2" formatCode="General">
                  <c:v>152</c:v>
                </c:pt>
                <c:pt idx="3" formatCode="General">
                  <c:v>207</c:v>
                </c:pt>
                <c:pt idx="4" formatCode="General">
                  <c:v>148</c:v>
                </c:pt>
              </c:numCache>
            </c:numRef>
          </c:val>
        </c:ser>
        <c:axId val="165245312"/>
        <c:axId val="165246848"/>
      </c:barChart>
      <c:catAx>
        <c:axId val="165245312"/>
        <c:scaling>
          <c:orientation val="minMax"/>
        </c:scaling>
        <c:axPos val="b"/>
        <c:numFmt formatCode="General" sourceLinked="1"/>
        <c:tickLblPos val="nextTo"/>
        <c:crossAx val="165246848"/>
        <c:crosses val="autoZero"/>
        <c:auto val="1"/>
        <c:lblAlgn val="ctr"/>
        <c:lblOffset val="100"/>
      </c:catAx>
      <c:valAx>
        <c:axId val="165246848"/>
        <c:scaling>
          <c:orientation val="minMax"/>
        </c:scaling>
        <c:axPos val="l"/>
        <c:majorGridlines/>
        <c:title>
          <c:tx>
            <c:rich>
              <a:bodyPr/>
              <a:lstStyle/>
              <a:p>
                <a:pPr>
                  <a:defRPr sz="836" b="1" i="0" u="none" strike="noStrike" baseline="0">
                    <a:solidFill>
                      <a:srgbClr val="000000"/>
                    </a:solidFill>
                    <a:latin typeface="Calibri"/>
                    <a:ea typeface="Calibri"/>
                    <a:cs typeface="Calibri"/>
                  </a:defRPr>
                </a:pPr>
                <a:r>
                  <a:rPr lang="ro-RO"/>
                  <a:t>tone s.a.</a:t>
                </a:r>
              </a:p>
            </c:rich>
          </c:tx>
          <c:layout>
            <c:manualLayout>
              <c:xMode val="edge"/>
              <c:yMode val="edge"/>
              <c:x val="1.5151515151515166E-2"/>
              <c:y val="0.38855421686747044"/>
            </c:manualLayout>
          </c:layout>
          <c:spPr>
            <a:noFill/>
            <a:ln w="21231">
              <a:noFill/>
            </a:ln>
          </c:spPr>
        </c:title>
        <c:numFmt formatCode="General" sourceLinked="1"/>
        <c:tickLblPos val="nextTo"/>
        <c:crossAx val="165245312"/>
        <c:crosses val="autoZero"/>
        <c:crossBetween val="between"/>
      </c:valAx>
      <c:spPr>
        <a:gradFill>
          <a:gsLst>
            <a:gs pos="0">
              <a:schemeClr val="accent5">
                <a:lumMod val="20000"/>
                <a:lumOff val="8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24545454545454545"/>
          <c:y val="0.88855421686746949"/>
          <c:w val="0.53181818181818186"/>
          <c:h val="8.4337349397590564E-2"/>
        </c:manualLayout>
      </c:layout>
      <c:overlay val="1"/>
    </c:legend>
    <c:plotVisOnly val="1"/>
    <c:dispBlanksAs val="gap"/>
  </c:chart>
  <c:spPr>
    <a:gradFill>
      <a:gsLst>
        <a:gs pos="0">
          <a:srgbClr val="4BACC6">
            <a:lumMod val="20000"/>
            <a:lumOff val="80000"/>
            <a:alpha val="41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98" b="1" i="0" u="none" strike="noStrike" baseline="0">
                <a:solidFill>
                  <a:srgbClr val="000000"/>
                </a:solidFill>
                <a:latin typeface="Calibri"/>
                <a:ea typeface="Calibri"/>
                <a:cs typeface="Calibri"/>
              </a:defRPr>
            </a:pPr>
            <a:r>
              <a:rPr lang="vi-VN"/>
              <a:t>Suprafeţele pe care s-au utilizat îngrăşăminte naturale comparativ cu suprafaţa  cultivată în perioada 2010-2014 </a:t>
            </a:r>
          </a:p>
        </c:rich>
      </c:tx>
      <c:layout>
        <c:manualLayout>
          <c:xMode val="edge"/>
          <c:yMode val="edge"/>
          <c:x val="0.28457797144289065"/>
          <c:y val="0"/>
        </c:manualLayout>
      </c:layou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0.13973063973063973"/>
          <c:y val="0.12540192926045016"/>
          <c:w val="0.52525252525252453"/>
          <c:h val="0.66559485530546714"/>
        </c:manualLayout>
      </c:layout>
      <c:bar3DChart>
        <c:barDir val="col"/>
        <c:grouping val="standard"/>
        <c:ser>
          <c:idx val="1"/>
          <c:order val="0"/>
          <c:tx>
            <c:strRef>
              <c:f>Sheet1!$B$1</c:f>
              <c:strCache>
                <c:ptCount val="1"/>
                <c:pt idx="0">
                  <c:v>Suprafete pe care s-au aplicat îngrăsăminte naturale</c:v>
                </c:pt>
              </c:strCache>
            </c:strRef>
          </c:tx>
          <c:spPr>
            <a:solidFill>
              <a:srgbClr val="993366"/>
            </a:solidFill>
            <a:ln w="12676">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15060</c:v>
                </c:pt>
                <c:pt idx="1">
                  <c:v>12883</c:v>
                </c:pt>
                <c:pt idx="2">
                  <c:v>10142</c:v>
                </c:pt>
                <c:pt idx="3">
                  <c:v>8520</c:v>
                </c:pt>
                <c:pt idx="4">
                  <c:v>5778</c:v>
                </c:pt>
              </c:numCache>
            </c:numRef>
          </c:val>
        </c:ser>
        <c:ser>
          <c:idx val="2"/>
          <c:order val="1"/>
          <c:tx>
            <c:strRef>
              <c:f>Sheet1!$C$1</c:f>
              <c:strCache>
                <c:ptCount val="1"/>
                <c:pt idx="0">
                  <c:v>Suprafete totale cultivate </c:v>
                </c:pt>
              </c:strCache>
            </c:strRef>
          </c:tx>
          <c:spPr>
            <a:solidFill>
              <a:srgbClr val="33CCCC"/>
            </a:solidFill>
            <a:ln w="12676">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401895</c:v>
                </c:pt>
                <c:pt idx="1">
                  <c:v>397122</c:v>
                </c:pt>
                <c:pt idx="2">
                  <c:v>398821</c:v>
                </c:pt>
                <c:pt idx="3">
                  <c:v>396466</c:v>
                </c:pt>
                <c:pt idx="4">
                  <c:v>397054</c:v>
                </c:pt>
              </c:numCache>
            </c:numRef>
          </c:val>
        </c:ser>
        <c:shape val="box"/>
        <c:axId val="162783616"/>
        <c:axId val="162785152"/>
        <c:axId val="165226240"/>
      </c:bar3DChart>
      <c:catAx>
        <c:axId val="162783616"/>
        <c:scaling>
          <c:orientation val="minMax"/>
        </c:scaling>
        <c:axPos val="b"/>
        <c:numFmt formatCode="General" sourceLinked="1"/>
        <c:tickLblPos val="low"/>
        <c:crossAx val="162785152"/>
        <c:crosses val="autoZero"/>
        <c:auto val="1"/>
        <c:lblAlgn val="ctr"/>
        <c:lblOffset val="100"/>
      </c:catAx>
      <c:valAx>
        <c:axId val="162785152"/>
        <c:scaling>
          <c:orientation val="minMax"/>
        </c:scaling>
        <c:axPos val="l"/>
        <c:majorGridlines/>
        <c:numFmt formatCode="General" sourceLinked="1"/>
        <c:tickLblPos val="nextTo"/>
        <c:crossAx val="162783616"/>
        <c:crosses val="autoZero"/>
        <c:crossBetween val="between"/>
      </c:valAx>
      <c:serAx>
        <c:axId val="165226240"/>
        <c:scaling>
          <c:orientation val="minMax"/>
        </c:scaling>
        <c:axPos val="b"/>
        <c:numFmt formatCode="General" sourceLinked="1"/>
        <c:tickLblPos val="low"/>
        <c:spPr>
          <a:ln w="3169">
            <a:solidFill>
              <a:srgbClr val="000000"/>
            </a:solidFill>
            <a:prstDash val="solid"/>
          </a:ln>
        </c:spPr>
        <c:txPr>
          <a:bodyPr rot="0" vert="horz"/>
          <a:lstStyle/>
          <a:p>
            <a:pPr>
              <a:defRPr sz="998" b="0" i="0" u="none" strike="noStrike" baseline="0">
                <a:solidFill>
                  <a:srgbClr val="000000"/>
                </a:solidFill>
                <a:latin typeface="Calibri"/>
                <a:ea typeface="Calibri"/>
                <a:cs typeface="Calibri"/>
              </a:defRPr>
            </a:pPr>
            <a:endParaRPr lang="ro-RO"/>
          </a:p>
        </c:txPr>
        <c:crossAx val="162785152"/>
        <c:crosses val="autoZero"/>
        <c:tickLblSkip val="2"/>
        <c:tickMarkSkip val="1"/>
      </c:serAx>
      <c:spPr>
        <a:noFill/>
        <a:ln w="25353">
          <a:noFill/>
        </a:ln>
      </c:spPr>
    </c:plotArea>
    <c:legend>
      <c:legendPos val="b"/>
      <c:layout>
        <c:manualLayout>
          <c:xMode val="edge"/>
          <c:yMode val="edge"/>
          <c:x val="0.10774410774410779"/>
          <c:y val="0.909967845659164"/>
          <c:w val="0.78956228956228847"/>
          <c:h val="7.7170418006430874E-2"/>
        </c:manualLayout>
      </c:layout>
      <c:spPr>
        <a:solidFill>
          <a:srgbClr val="FFFFFF"/>
        </a:solidFill>
        <a:ln w="3169">
          <a:solidFill>
            <a:srgbClr val="000000"/>
          </a:solidFill>
          <a:prstDash val="solid"/>
        </a:ln>
      </c:spPr>
      <c:txPr>
        <a:bodyPr/>
        <a:lstStyle/>
        <a:p>
          <a:pPr>
            <a:defRPr sz="918" b="0" i="0" u="none" strike="noStrike" baseline="0">
              <a:solidFill>
                <a:srgbClr val="000000"/>
              </a:solidFill>
              <a:latin typeface="Calibri"/>
              <a:ea typeface="Calibri"/>
              <a:cs typeface="Calibri"/>
            </a:defRPr>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198" b="1" i="0" u="none" strike="noStrike" baseline="0">
                <a:solidFill>
                  <a:srgbClr val="000000"/>
                </a:solidFill>
                <a:latin typeface="Calibri"/>
                <a:ea typeface="Calibri"/>
                <a:cs typeface="Calibri"/>
              </a:defRPr>
            </a:pPr>
            <a:r>
              <a:rPr lang="vi-VN"/>
              <a:t>Ponderea suprafeţelor pe care s-au utilizat îngrăşăminte naturale faţă de suprafaţa  totală cultivată în perioada 2010-2014 </a:t>
            </a:r>
          </a:p>
        </c:rich>
      </c:tx>
      <c:layout>
        <c:manualLayout>
          <c:xMode val="edge"/>
          <c:yMode val="edge"/>
          <c:x val="0.28457797144289065"/>
          <c:y val="0"/>
        </c:manualLayout>
      </c:layou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sideWall>
    <c:backWall>
      <c:spPr>
        <a:gradFill rotWithShape="0">
          <a:gsLst>
            <a:gs pos="0">
              <a:srgbClr val="DBEEF4"/>
            </a:gs>
            <a:gs pos="17999">
              <a:srgbClr val="FEE7F2"/>
            </a:gs>
            <a:gs pos="36000">
              <a:srgbClr val="FAC77D"/>
            </a:gs>
            <a:gs pos="61000">
              <a:srgbClr val="FBA97D"/>
            </a:gs>
            <a:gs pos="82001">
              <a:srgbClr val="FBD49C"/>
            </a:gs>
            <a:gs pos="100000">
              <a:srgbClr val="FEE7F2"/>
            </a:gs>
          </a:gsLst>
          <a:lin ang="5400000"/>
        </a:gradFill>
        <a:ln w="25400">
          <a:noFill/>
        </a:ln>
      </c:spPr>
    </c:backWall>
    <c:plotArea>
      <c:layout>
        <c:manualLayout>
          <c:layoutTarget val="inner"/>
          <c:xMode val="edge"/>
          <c:yMode val="edge"/>
          <c:x val="0.12457912457912459"/>
          <c:y val="0.13166144200626978"/>
          <c:w val="0.52693602693602659"/>
          <c:h val="0.66457680250783779"/>
        </c:manualLayout>
      </c:layout>
      <c:bar3DChart>
        <c:barDir val="col"/>
        <c:grouping val="standard"/>
        <c:ser>
          <c:idx val="1"/>
          <c:order val="0"/>
          <c:tx>
            <c:strRef>
              <c:f>Sheet1!$B$1</c:f>
              <c:strCache>
                <c:ptCount val="1"/>
                <c:pt idx="0">
                  <c:v>Ponderea suprafeţelor pe care s-au aplicat îngrăsăminte naturale din suprafaţa totală (%)</c:v>
                </c:pt>
              </c:strCache>
            </c:strRef>
          </c:tx>
          <c:spPr>
            <a:solidFill>
              <a:srgbClr val="993366"/>
            </a:solidFill>
            <a:ln w="12677">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3.74</c:v>
                </c:pt>
                <c:pt idx="1">
                  <c:v>3.24</c:v>
                </c:pt>
                <c:pt idx="2">
                  <c:v>2.54</c:v>
                </c:pt>
                <c:pt idx="3">
                  <c:v>2.14</c:v>
                </c:pt>
                <c:pt idx="4">
                  <c:v>1.45</c:v>
                </c:pt>
              </c:numCache>
            </c:numRef>
          </c:val>
        </c:ser>
        <c:shape val="box"/>
        <c:axId val="162790400"/>
        <c:axId val="162878208"/>
        <c:axId val="164563136"/>
      </c:bar3DChart>
      <c:catAx>
        <c:axId val="162790400"/>
        <c:scaling>
          <c:orientation val="minMax"/>
        </c:scaling>
        <c:axPos val="b"/>
        <c:numFmt formatCode="General" sourceLinked="1"/>
        <c:tickLblPos val="low"/>
        <c:crossAx val="162878208"/>
        <c:crosses val="autoZero"/>
        <c:auto val="1"/>
        <c:lblAlgn val="ctr"/>
        <c:lblOffset val="100"/>
      </c:catAx>
      <c:valAx>
        <c:axId val="162878208"/>
        <c:scaling>
          <c:orientation val="minMax"/>
        </c:scaling>
        <c:axPos val="l"/>
        <c:majorGridlines/>
        <c:title>
          <c:tx>
            <c:rich>
              <a:bodyPr rot="0" vert="horz"/>
              <a:lstStyle/>
              <a:p>
                <a:pPr algn="ctr">
                  <a:defRPr sz="998" b="1" i="0" u="none" strike="noStrike" baseline="0">
                    <a:solidFill>
                      <a:srgbClr val="000000"/>
                    </a:solidFill>
                    <a:latin typeface="Calibri"/>
                    <a:ea typeface="Calibri"/>
                    <a:cs typeface="Calibri"/>
                  </a:defRPr>
                </a:pPr>
                <a:r>
                  <a:rPr lang="ro-RO"/>
                  <a:t>%</a:t>
                </a:r>
              </a:p>
            </c:rich>
          </c:tx>
          <c:layout>
            <c:manualLayout>
              <c:xMode val="edge"/>
              <c:yMode val="edge"/>
              <c:x val="7.0707070707070704E-2"/>
              <c:y val="0.39184952978056475"/>
            </c:manualLayout>
          </c:layout>
          <c:spPr>
            <a:noFill/>
            <a:ln w="25353">
              <a:noFill/>
            </a:ln>
          </c:spPr>
        </c:title>
        <c:numFmt formatCode="General" sourceLinked="1"/>
        <c:tickLblPos val="nextTo"/>
        <c:crossAx val="162790400"/>
        <c:crosses val="autoZero"/>
        <c:crossBetween val="between"/>
      </c:valAx>
      <c:serAx>
        <c:axId val="164563136"/>
        <c:scaling>
          <c:orientation val="minMax"/>
        </c:scaling>
        <c:axPos val="b"/>
        <c:numFmt formatCode="General" sourceLinked="1"/>
        <c:tickLblPos val="low"/>
        <c:spPr>
          <a:ln w="3169">
            <a:solidFill>
              <a:srgbClr val="000000"/>
            </a:solidFill>
            <a:prstDash val="solid"/>
          </a:ln>
        </c:spPr>
        <c:txPr>
          <a:bodyPr rot="0" vert="horz"/>
          <a:lstStyle/>
          <a:p>
            <a:pPr>
              <a:defRPr sz="998" b="0" i="0" u="none" strike="noStrike" baseline="0">
                <a:solidFill>
                  <a:srgbClr val="000000"/>
                </a:solidFill>
                <a:latin typeface="Calibri"/>
                <a:ea typeface="Calibri"/>
                <a:cs typeface="Calibri"/>
              </a:defRPr>
            </a:pPr>
            <a:endParaRPr lang="ro-RO"/>
          </a:p>
        </c:txPr>
        <c:crossAx val="162878208"/>
        <c:crosses val="autoZero"/>
        <c:tickLblSkip val="4"/>
        <c:tickMarkSkip val="1"/>
      </c:serAx>
      <c:spPr>
        <a:noFill/>
        <a:ln w="25353">
          <a:noFill/>
        </a:ln>
      </c:spPr>
    </c:plotArea>
    <c:legend>
      <c:legendPos val="b"/>
      <c:layout>
        <c:manualLayout>
          <c:xMode val="edge"/>
          <c:yMode val="edge"/>
          <c:x val="6.9023569023569029E-2"/>
          <c:y val="0.9122257053291537"/>
          <c:w val="0.86868686868686873"/>
          <c:h val="7.5235109717868343E-2"/>
        </c:manualLayout>
      </c:layout>
      <c:spPr>
        <a:solidFill>
          <a:srgbClr val="FFFFFF"/>
        </a:solidFill>
        <a:ln w="3169">
          <a:solidFill>
            <a:srgbClr val="000000"/>
          </a:solidFill>
          <a:prstDash val="solid"/>
        </a:ln>
      </c:spPr>
      <c:txPr>
        <a:bodyPr/>
        <a:lstStyle/>
        <a:p>
          <a:pPr>
            <a:defRPr sz="918" b="0" i="0" u="none" strike="noStrike" baseline="0">
              <a:solidFill>
                <a:srgbClr val="000000"/>
              </a:solidFill>
              <a:latin typeface="Calibri"/>
              <a:ea typeface="Calibri"/>
              <a:cs typeface="Calibri"/>
            </a:defRPr>
          </a:pPr>
          <a:endParaRPr lang="ro-RO"/>
        </a:p>
      </c:txPr>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886" b="1" i="0" u="none" strike="noStrike" baseline="0">
                <a:solidFill>
                  <a:srgbClr val="000000"/>
                </a:solidFill>
                <a:latin typeface="Arial"/>
                <a:ea typeface="Arial"/>
                <a:cs typeface="Arial"/>
              </a:defRPr>
            </a:pPr>
            <a:r>
              <a:rPr lang="vi-VN"/>
              <a:t>Variaţia anuală a produselor fitosanitare, pe categorii în perioada 2010 - 2014</a:t>
            </a:r>
          </a:p>
        </c:rich>
      </c:tx>
      <c:layout>
        <c:manualLayout>
          <c:xMode val="edge"/>
          <c:yMode val="edge"/>
          <c:x val="0.10634328358208971"/>
          <c:y val="1.9607843137254902E-2"/>
        </c:manualLayout>
      </c:layout>
      <c:spPr>
        <a:noFill/>
        <a:ln w="18757">
          <a:noFill/>
        </a:ln>
      </c:spPr>
    </c:title>
    <c:plotArea>
      <c:layout>
        <c:manualLayout>
          <c:layoutTarget val="inner"/>
          <c:xMode val="edge"/>
          <c:yMode val="edge"/>
          <c:x val="0.13059701492537321"/>
          <c:y val="0.15406162464985987"/>
          <c:w val="0.80223880597014929"/>
          <c:h val="0.66946778711484589"/>
        </c:manualLayout>
      </c:layout>
      <c:lineChart>
        <c:grouping val="standard"/>
        <c:ser>
          <c:idx val="1"/>
          <c:order val="0"/>
          <c:tx>
            <c:strRef>
              <c:f>Sheet1!$B$1</c:f>
              <c:strCache>
                <c:ptCount val="1"/>
                <c:pt idx="0">
                  <c:v>Erbicide</c:v>
                </c:pt>
              </c:strCache>
            </c:strRef>
          </c:tx>
          <c:spPr>
            <a:ln w="28135">
              <a:solidFill>
                <a:srgbClr val="FF00FF"/>
              </a:solidFill>
              <a:prstDash val="solid"/>
            </a:ln>
          </c:spPr>
          <c:marker>
            <c:symbol val="square"/>
            <c:size val="6"/>
            <c:spPr>
              <a:solidFill>
                <a:srgbClr val="FF00FF"/>
              </a:solidFill>
              <a:ln>
                <a:solidFill>
                  <a:srgbClr val="FF00FF"/>
                </a:solidFill>
                <a:prstDash val="solid"/>
              </a:ln>
            </c:spPr>
          </c:marker>
          <c:cat>
            <c:numRef>
              <c:f>Sheet1!$A$2:$A$7</c:f>
              <c:numCache>
                <c:formatCode>General</c:formatCode>
                <c:ptCount val="6"/>
                <c:pt idx="0">
                  <c:v>2010</c:v>
                </c:pt>
                <c:pt idx="1">
                  <c:v>2011</c:v>
                </c:pt>
                <c:pt idx="2">
                  <c:v>2012</c:v>
                </c:pt>
                <c:pt idx="3">
                  <c:v>2013</c:v>
                </c:pt>
                <c:pt idx="4">
                  <c:v>2014</c:v>
                </c:pt>
              </c:numCache>
            </c:numRef>
          </c:cat>
          <c:val>
            <c:numRef>
              <c:f>Sheet1!$B$2:$B$7</c:f>
              <c:numCache>
                <c:formatCode>General</c:formatCode>
                <c:ptCount val="6"/>
                <c:pt idx="0">
                  <c:v>90.989000000000004</c:v>
                </c:pt>
                <c:pt idx="1">
                  <c:v>90.756</c:v>
                </c:pt>
                <c:pt idx="2">
                  <c:v>71.02</c:v>
                </c:pt>
                <c:pt idx="3">
                  <c:v>40.472000000000001</c:v>
                </c:pt>
                <c:pt idx="4">
                  <c:v>52.46</c:v>
                </c:pt>
              </c:numCache>
            </c:numRef>
          </c:val>
        </c:ser>
        <c:ser>
          <c:idx val="2"/>
          <c:order val="1"/>
          <c:tx>
            <c:strRef>
              <c:f>Sheet1!$C$1</c:f>
              <c:strCache>
                <c:ptCount val="1"/>
                <c:pt idx="0">
                  <c:v>Fungicide</c:v>
                </c:pt>
              </c:strCache>
            </c:strRef>
          </c:tx>
          <c:spPr>
            <a:ln w="28135">
              <a:solidFill>
                <a:srgbClr val="000080"/>
              </a:solidFill>
              <a:prstDash val="solid"/>
            </a:ln>
          </c:spPr>
          <c:marker>
            <c:symbol val="square"/>
            <c:size val="6"/>
            <c:spPr>
              <a:solidFill>
                <a:srgbClr val="FFFF00"/>
              </a:solidFill>
              <a:ln>
                <a:solidFill>
                  <a:srgbClr val="FFFF00"/>
                </a:solidFill>
                <a:prstDash val="solid"/>
              </a:ln>
            </c:spPr>
          </c:marker>
          <c:cat>
            <c:numRef>
              <c:f>Sheet1!$A$2:$A$7</c:f>
              <c:numCache>
                <c:formatCode>General</c:formatCode>
                <c:ptCount val="6"/>
                <c:pt idx="0">
                  <c:v>2010</c:v>
                </c:pt>
                <c:pt idx="1">
                  <c:v>2011</c:v>
                </c:pt>
                <c:pt idx="2">
                  <c:v>2012</c:v>
                </c:pt>
                <c:pt idx="3">
                  <c:v>2013</c:v>
                </c:pt>
                <c:pt idx="4">
                  <c:v>2014</c:v>
                </c:pt>
              </c:numCache>
            </c:numRef>
          </c:cat>
          <c:val>
            <c:numRef>
              <c:f>Sheet1!$C$2:$C$7</c:f>
              <c:numCache>
                <c:formatCode>General</c:formatCode>
                <c:ptCount val="6"/>
                <c:pt idx="0">
                  <c:v>96.221000000000004</c:v>
                </c:pt>
                <c:pt idx="1">
                  <c:v>92.075000000000003</c:v>
                </c:pt>
                <c:pt idx="2">
                  <c:v>51.48</c:v>
                </c:pt>
                <c:pt idx="3">
                  <c:v>8.0720000000000027</c:v>
                </c:pt>
                <c:pt idx="4">
                  <c:v>6.7910000000000004</c:v>
                </c:pt>
              </c:numCache>
            </c:numRef>
          </c:val>
        </c:ser>
        <c:ser>
          <c:idx val="3"/>
          <c:order val="2"/>
          <c:tx>
            <c:strRef>
              <c:f>Sheet1!$D$1</c:f>
              <c:strCache>
                <c:ptCount val="1"/>
                <c:pt idx="0">
                  <c:v>Insecticide</c:v>
                </c:pt>
              </c:strCache>
            </c:strRef>
          </c:tx>
          <c:spPr>
            <a:ln w="28135">
              <a:solidFill>
                <a:srgbClr val="800000"/>
              </a:solidFill>
              <a:prstDash val="solid"/>
            </a:ln>
          </c:spPr>
          <c:marker>
            <c:symbol val="square"/>
            <c:size val="4"/>
            <c:spPr>
              <a:noFill/>
              <a:ln>
                <a:solidFill>
                  <a:srgbClr val="00FFFF"/>
                </a:solidFill>
                <a:prstDash val="solid"/>
              </a:ln>
            </c:spPr>
          </c:marker>
          <c:cat>
            <c:numRef>
              <c:f>Sheet1!$A$2:$A$7</c:f>
              <c:numCache>
                <c:formatCode>General</c:formatCode>
                <c:ptCount val="6"/>
                <c:pt idx="0">
                  <c:v>2010</c:v>
                </c:pt>
                <c:pt idx="1">
                  <c:v>2011</c:v>
                </c:pt>
                <c:pt idx="2">
                  <c:v>2012</c:v>
                </c:pt>
                <c:pt idx="3">
                  <c:v>2013</c:v>
                </c:pt>
                <c:pt idx="4">
                  <c:v>2014</c:v>
                </c:pt>
              </c:numCache>
            </c:numRef>
          </c:cat>
          <c:val>
            <c:numRef>
              <c:f>Sheet1!$D$2:$D$7</c:f>
              <c:numCache>
                <c:formatCode>General</c:formatCode>
                <c:ptCount val="6"/>
                <c:pt idx="0">
                  <c:v>21.056999999999999</c:v>
                </c:pt>
                <c:pt idx="1">
                  <c:v>19.62</c:v>
                </c:pt>
                <c:pt idx="2">
                  <c:v>12.858000000000002</c:v>
                </c:pt>
                <c:pt idx="3">
                  <c:v>8.9500000000000028</c:v>
                </c:pt>
                <c:pt idx="4">
                  <c:v>7.3549999999999951</c:v>
                </c:pt>
              </c:numCache>
            </c:numRef>
          </c:val>
        </c:ser>
        <c:marker val="1"/>
        <c:axId val="166147968"/>
        <c:axId val="166158336"/>
      </c:lineChart>
      <c:catAx>
        <c:axId val="166147968"/>
        <c:scaling>
          <c:orientation val="minMax"/>
        </c:scaling>
        <c:axPos val="b"/>
        <c:numFmt formatCode="General" sourceLinked="1"/>
        <c:tickLblPos val="nextTo"/>
        <c:crossAx val="166158336"/>
        <c:crosses val="autoZero"/>
        <c:auto val="1"/>
        <c:lblAlgn val="ctr"/>
        <c:lblOffset val="100"/>
      </c:catAx>
      <c:valAx>
        <c:axId val="166158336"/>
        <c:scaling>
          <c:orientation val="minMax"/>
        </c:scaling>
        <c:axPos val="l"/>
        <c:majorGridlines/>
        <c:title>
          <c:tx>
            <c:rich>
              <a:bodyPr/>
              <a:lstStyle/>
              <a:p>
                <a:pPr>
                  <a:defRPr sz="886" b="1" i="0" u="none" strike="noStrike" baseline="0">
                    <a:solidFill>
                      <a:srgbClr val="000000"/>
                    </a:solidFill>
                    <a:latin typeface="Arial"/>
                    <a:ea typeface="Arial"/>
                    <a:cs typeface="Arial"/>
                  </a:defRPr>
                </a:pPr>
                <a:r>
                  <a:rPr lang="ro-RO"/>
                  <a:t>tone s.a.</a:t>
                </a:r>
              </a:p>
            </c:rich>
          </c:tx>
          <c:layout>
            <c:manualLayout>
              <c:xMode val="edge"/>
              <c:yMode val="edge"/>
              <c:x val="1.3059701492537329E-2"/>
              <c:y val="0.3865546218487399"/>
            </c:manualLayout>
          </c:layout>
          <c:spPr>
            <a:noFill/>
            <a:ln w="18757">
              <a:noFill/>
            </a:ln>
          </c:spPr>
        </c:title>
        <c:numFmt formatCode="General" sourceLinked="1"/>
        <c:tickLblPos val="nextTo"/>
        <c:crossAx val="166147968"/>
        <c:crosses val="autoZero"/>
        <c:crossBetween val="between"/>
      </c:valAx>
      <c:spPr>
        <a:noFill/>
        <a:ln w="18757">
          <a:noFill/>
        </a:ln>
      </c:spPr>
    </c:plotArea>
    <c:legend>
      <c:legendPos val="b"/>
      <c:layout>
        <c:manualLayout>
          <c:xMode val="edge"/>
          <c:yMode val="edge"/>
          <c:x val="0.1884328358208959"/>
          <c:y val="0.92997198879551823"/>
          <c:w val="0.50746268656716342"/>
          <c:h val="6.1624649859944022E-2"/>
        </c:manualLayout>
      </c:layout>
    </c:legend>
    <c:plotVisOnly val="1"/>
    <c:dispBlanksAs val="gap"/>
  </c:chart>
  <c:spPr>
    <a:noFill/>
    <a:ln w="2345">
      <a:solidFill>
        <a:srgbClr val="000000"/>
      </a:solidFill>
      <a:prstDash val="solid"/>
    </a:ln>
  </c:sp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062" b="1" i="0" u="none" strike="noStrike" baseline="0">
                <a:solidFill>
                  <a:srgbClr val="000000"/>
                </a:solidFill>
                <a:latin typeface="Arial"/>
                <a:ea typeface="Arial"/>
                <a:cs typeface="Arial"/>
              </a:defRPr>
            </a:pPr>
            <a:r>
              <a:rPr lang="vi-VN" sz="1213" b="1" i="0" baseline="0"/>
              <a:t>Variaţia anuală a consumului total de</a:t>
            </a:r>
            <a:r>
              <a:rPr lang="ro-RO" sz="1213" b="1" i="0" baseline="0"/>
              <a:t> </a:t>
            </a:r>
            <a:r>
              <a:rPr lang="vi-VN" sz="1213" b="1" i="0" baseline="0"/>
              <a:t>pesticide (kg/ha) </a:t>
            </a:r>
          </a:p>
        </c:rich>
      </c:tx>
      <c:layout>
        <c:manualLayout>
          <c:xMode val="edge"/>
          <c:yMode val="edge"/>
          <c:x val="0.19308768582682936"/>
          <c:y val="5.8477839927841757E-3"/>
        </c:manualLayout>
      </c:layou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plotArea>
      <c:layout>
        <c:manualLayout>
          <c:layoutTarget val="inner"/>
          <c:xMode val="edge"/>
          <c:yMode val="edge"/>
          <c:x val="0.15223880597014924"/>
          <c:y val="0.18128654970760241"/>
          <c:w val="0.80298507462686564"/>
          <c:h val="0.6198830409356727"/>
        </c:manualLayout>
      </c:layout>
      <c:lineChart>
        <c:grouping val="standard"/>
        <c:ser>
          <c:idx val="0"/>
          <c:order val="0"/>
          <c:tx>
            <c:strRef>
              <c:f>Sheet1!$B$1</c:f>
              <c:strCache>
                <c:ptCount val="1"/>
                <c:pt idx="0">
                  <c:v>Variaţia anuală a consumului de pesticide (kg/ha) </c:v>
                </c:pt>
              </c:strCache>
            </c:strRef>
          </c:tx>
          <c:spPr>
            <a:ln w="19264">
              <a:solidFill>
                <a:srgbClr val="000080"/>
              </a:solidFill>
              <a:prstDash val="solid"/>
            </a:ln>
          </c:spPr>
          <c:marker>
            <c:symbol val="diamond"/>
            <c:size val="7"/>
            <c:spPr>
              <a:solidFill>
                <a:srgbClr val="000080"/>
              </a:solidFill>
              <a:ln>
                <a:solidFill>
                  <a:srgbClr val="000080"/>
                </a:solidFill>
                <a:prstDash val="solid"/>
              </a:ln>
            </c:spPr>
          </c:marker>
          <c:cat>
            <c:numRef>
              <c:f>Sheet1!$A$2:$A$6</c:f>
              <c:numCache>
                <c:formatCode>General</c:formatCode>
                <c:ptCount val="5"/>
                <c:pt idx="0">
                  <c:v>2010</c:v>
                </c:pt>
                <c:pt idx="1">
                  <c:v>2011</c:v>
                </c:pt>
                <c:pt idx="2">
                  <c:v>2012</c:v>
                </c:pt>
                <c:pt idx="3">
                  <c:v>2013</c:v>
                </c:pt>
                <c:pt idx="4">
                  <c:v>2014</c:v>
                </c:pt>
              </c:numCache>
            </c:numRef>
          </c:cat>
          <c:val>
            <c:numRef>
              <c:f>Sheet1!$B$2:$B$6</c:f>
              <c:numCache>
                <c:formatCode>0.000</c:formatCode>
                <c:ptCount val="5"/>
                <c:pt idx="0">
                  <c:v>1.4566159999999999</c:v>
                </c:pt>
                <c:pt idx="1">
                  <c:v>1.4159389999999981</c:v>
                </c:pt>
                <c:pt idx="2">
                  <c:v>1.16839</c:v>
                </c:pt>
                <c:pt idx="3">
                  <c:v>0.893347</c:v>
                </c:pt>
                <c:pt idx="4">
                  <c:v>0.91712199999999999</c:v>
                </c:pt>
              </c:numCache>
            </c:numRef>
          </c:val>
        </c:ser>
        <c:marker val="1"/>
        <c:axId val="166174080"/>
        <c:axId val="166196736"/>
      </c:lineChart>
      <c:catAx>
        <c:axId val="166174080"/>
        <c:scaling>
          <c:orientation val="minMax"/>
        </c:scaling>
        <c:axPos val="b"/>
        <c:numFmt formatCode="General" sourceLinked="1"/>
        <c:tickLblPos val="nextTo"/>
        <c:crossAx val="166196736"/>
        <c:crosses val="autoZero"/>
        <c:auto val="1"/>
        <c:lblAlgn val="ctr"/>
        <c:lblOffset val="100"/>
      </c:catAx>
      <c:valAx>
        <c:axId val="166196736"/>
        <c:scaling>
          <c:orientation val="minMax"/>
        </c:scaling>
        <c:axPos val="l"/>
        <c:majorGridlines/>
        <c:numFmt formatCode="0.000" sourceLinked="1"/>
        <c:tickLblPos val="nextTo"/>
        <c:crossAx val="166174080"/>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a:t>Suprafaţa (ha)</a:t>
            </a:r>
          </a:p>
        </c:rich>
      </c:tx>
      <c:layout>
        <c:manualLayout>
          <c:xMode val="edge"/>
          <c:yMode val="edge"/>
          <c:x val="0.28457799702748054"/>
          <c:y val="0"/>
        </c:manualLayout>
      </c:layou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plotArea>
      <c:layout/>
      <c:barChart>
        <c:barDir val="col"/>
        <c:grouping val="clustered"/>
        <c:ser>
          <c:idx val="0"/>
          <c:order val="0"/>
          <c:tx>
            <c:strRef>
              <c:f>Sheet1!$B$1</c:f>
              <c:strCache>
                <c:ptCount val="1"/>
                <c:pt idx="0">
                  <c:v>Suprafața (ha)</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142948</c:v>
                </c:pt>
                <c:pt idx="1">
                  <c:v>142980</c:v>
                </c:pt>
                <c:pt idx="2">
                  <c:v>115850</c:v>
                </c:pt>
                <c:pt idx="3">
                  <c:v>64358</c:v>
                </c:pt>
                <c:pt idx="4">
                  <c:v>72625</c:v>
                </c:pt>
              </c:numCache>
            </c:numRef>
          </c:val>
        </c:ser>
        <c:axId val="165483264"/>
        <c:axId val="165484800"/>
      </c:barChart>
      <c:catAx>
        <c:axId val="165483264"/>
        <c:scaling>
          <c:orientation val="minMax"/>
        </c:scaling>
        <c:axPos val="b"/>
        <c:numFmt formatCode="General" sourceLinked="1"/>
        <c:tickLblPos val="nextTo"/>
        <c:crossAx val="165484800"/>
        <c:crosses val="autoZero"/>
        <c:auto val="1"/>
        <c:lblAlgn val="ctr"/>
        <c:lblOffset val="100"/>
      </c:catAx>
      <c:valAx>
        <c:axId val="165484800"/>
        <c:scaling>
          <c:orientation val="minMax"/>
        </c:scaling>
        <c:axPos val="l"/>
        <c:majorGridlines/>
        <c:numFmt formatCode="General" sourceLinked="1"/>
        <c:tickLblPos val="nextTo"/>
        <c:crossAx val="165483264"/>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o-RO"/>
  <c:chart>
    <c:title>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title>
    <c:plotArea>
      <c:layout/>
      <c:barChart>
        <c:barDir val="col"/>
        <c:grouping val="clustered"/>
        <c:ser>
          <c:idx val="0"/>
          <c:order val="0"/>
          <c:tx>
            <c:strRef>
              <c:f>Sheet1!$B$1</c:f>
              <c:strCache>
                <c:ptCount val="1"/>
                <c:pt idx="0">
                  <c:v>Total pesticide (to s.a.)</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0.000</c:formatCode>
                <c:ptCount val="5"/>
                <c:pt idx="0">
                  <c:v>208.267</c:v>
                </c:pt>
                <c:pt idx="1">
                  <c:v>202.45100000000016</c:v>
                </c:pt>
                <c:pt idx="2">
                  <c:v>135.3580000000002</c:v>
                </c:pt>
                <c:pt idx="3">
                  <c:v>57.494</c:v>
                </c:pt>
                <c:pt idx="4">
                  <c:v>66.60599999999998</c:v>
                </c:pt>
              </c:numCache>
            </c:numRef>
          </c:val>
        </c:ser>
        <c:axId val="165504512"/>
        <c:axId val="165506048"/>
      </c:barChart>
      <c:catAx>
        <c:axId val="165504512"/>
        <c:scaling>
          <c:orientation val="minMax"/>
        </c:scaling>
        <c:axPos val="b"/>
        <c:numFmt formatCode="General" sourceLinked="1"/>
        <c:tickLblPos val="nextTo"/>
        <c:crossAx val="165506048"/>
        <c:crosses val="autoZero"/>
        <c:auto val="1"/>
        <c:lblAlgn val="ctr"/>
        <c:lblOffset val="100"/>
      </c:catAx>
      <c:valAx>
        <c:axId val="165506048"/>
        <c:scaling>
          <c:orientation val="minMax"/>
        </c:scaling>
        <c:axPos val="l"/>
        <c:majorGridlines/>
        <c:numFmt formatCode="0.000" sourceLinked="1"/>
        <c:tickLblPos val="nextTo"/>
        <c:crossAx val="165504512"/>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106" baseline="0">
                <a:latin typeface="Arial" pitchFamily="34" charset="0"/>
              </a:rPr>
              <a:t>Suprafețe amenajate cu lucrări de îmbunătățiri funciare</a:t>
            </a:r>
          </a:p>
        </c:rich>
      </c:tx>
      <c:overlay val="1"/>
    </c:title>
    <c:plotArea>
      <c:layout>
        <c:manualLayout>
          <c:layoutTarget val="inner"/>
          <c:xMode val="edge"/>
          <c:yMode val="edge"/>
          <c:x val="0.18746872352564745"/>
          <c:y val="0.14947503296121081"/>
          <c:w val="0.6295030492000635"/>
          <c:h val="0.640698096363991"/>
        </c:manualLayout>
      </c:layout>
      <c:barChart>
        <c:barDir val="col"/>
        <c:grouping val="clustered"/>
        <c:ser>
          <c:idx val="0"/>
          <c:order val="0"/>
          <c:tx>
            <c:strRef>
              <c:f>Sheet1!$B$1</c:f>
              <c:strCache>
                <c:ptCount val="1"/>
                <c:pt idx="0">
                  <c:v>Suprafaţă amenajată irigaţii (ha)</c:v>
                </c:pt>
              </c:strCache>
            </c:strRef>
          </c:tx>
          <c:spPr>
            <a:solidFill>
              <a:srgbClr val="4F81BD"/>
            </a:solidFill>
            <a:ln w="11702">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Sheet1!$B$2:$B$6</c:f>
              <c:numCache>
                <c:formatCode>0.000</c:formatCode>
                <c:ptCount val="5"/>
                <c:pt idx="0">
                  <c:v>40523</c:v>
                </c:pt>
                <c:pt idx="1">
                  <c:v>41563</c:v>
                </c:pt>
                <c:pt idx="2">
                  <c:v>41563</c:v>
                </c:pt>
                <c:pt idx="3">
                  <c:v>41563</c:v>
                </c:pt>
                <c:pt idx="4">
                  <c:v>41563</c:v>
                </c:pt>
              </c:numCache>
            </c:numRef>
          </c:val>
        </c:ser>
        <c:ser>
          <c:idx val="1"/>
          <c:order val="1"/>
          <c:tx>
            <c:strRef>
              <c:f>Sheet1!$C$1</c:f>
              <c:strCache>
                <c:ptCount val="1"/>
                <c:pt idx="0">
                  <c:v>Suprafaţă amenjată desecări (ha)</c:v>
                </c:pt>
              </c:strCache>
            </c:strRef>
          </c:tx>
          <c:spPr>
            <a:solidFill>
              <a:srgbClr val="C0504D"/>
            </a:solidFill>
            <a:ln w="11702">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Sheet1!$C$2:$C$6</c:f>
              <c:numCache>
                <c:formatCode>0.000</c:formatCode>
                <c:ptCount val="5"/>
                <c:pt idx="0">
                  <c:v>122274</c:v>
                </c:pt>
                <c:pt idx="1">
                  <c:v>127644</c:v>
                </c:pt>
                <c:pt idx="2">
                  <c:v>127644</c:v>
                </c:pt>
                <c:pt idx="3">
                  <c:v>127644</c:v>
                </c:pt>
                <c:pt idx="4">
                  <c:v>127644</c:v>
                </c:pt>
              </c:numCache>
            </c:numRef>
          </c:val>
        </c:ser>
        <c:ser>
          <c:idx val="2"/>
          <c:order val="2"/>
          <c:tx>
            <c:strRef>
              <c:f>Sheet1!$D$1</c:f>
              <c:strCache>
                <c:ptCount val="1"/>
                <c:pt idx="0">
                  <c:v>Suprafaţă amenajată CES (ha)</c:v>
                </c:pt>
              </c:strCache>
            </c:strRef>
          </c:tx>
          <c:spPr>
            <a:solidFill>
              <a:srgbClr val="9BBB59"/>
            </a:solidFill>
            <a:ln w="11702">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Sheet1!$D$2:$D$6</c:f>
              <c:numCache>
                <c:formatCode>0.000</c:formatCode>
                <c:ptCount val="5"/>
                <c:pt idx="0">
                  <c:v>53413</c:v>
                </c:pt>
                <c:pt idx="1">
                  <c:v>53413</c:v>
                </c:pt>
                <c:pt idx="2">
                  <c:v>53413</c:v>
                </c:pt>
                <c:pt idx="3">
                  <c:v>53413</c:v>
                </c:pt>
                <c:pt idx="4">
                  <c:v>53413</c:v>
                </c:pt>
              </c:numCache>
            </c:numRef>
          </c:val>
        </c:ser>
        <c:axId val="166494208"/>
        <c:axId val="166495744"/>
      </c:barChart>
      <c:catAx>
        <c:axId val="166494208"/>
        <c:scaling>
          <c:orientation val="minMax"/>
        </c:scaling>
        <c:axPos val="b"/>
        <c:numFmt formatCode="General" sourceLinked="1"/>
        <c:tickLblPos val="nextTo"/>
        <c:crossAx val="166495744"/>
        <c:crosses val="autoZero"/>
        <c:auto val="1"/>
        <c:lblAlgn val="ctr"/>
        <c:lblOffset val="100"/>
      </c:catAx>
      <c:valAx>
        <c:axId val="166495744"/>
        <c:scaling>
          <c:orientation val="minMax"/>
        </c:scaling>
        <c:axPos val="l"/>
        <c:majorGridlines/>
        <c:numFmt formatCode="0.000" sourceLinked="1"/>
        <c:tickLblPos val="nextTo"/>
        <c:crossAx val="166494208"/>
        <c:crosses val="autoZero"/>
        <c:crossBetween val="between"/>
      </c:valAx>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84692183676562838"/>
          <c:y val="0.19498621170205591"/>
          <c:w val="0.13311145387442802"/>
          <c:h val="0.58217261235540274"/>
        </c:manualLayout>
      </c:layout>
    </c:legend>
    <c:plotVisOnly val="1"/>
    <c:dispBlanksAs val="gap"/>
  </c:chart>
  <c:spPr>
    <a:gradFill>
      <a:gsLst>
        <a:gs pos="0">
          <a:srgbClr val="4BACC6">
            <a:lumMod val="20000"/>
            <a:lumOff val="80000"/>
          </a:srgbClr>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o-RO"/>
  <c:style val="8"/>
  <c:chart>
    <c:title>
      <c:spPr>
        <a:noFill/>
        <a:ln w="21649">
          <a:noFill/>
        </a:ln>
      </c:spPr>
    </c:title>
    <c:plotArea>
      <c:layout/>
      <c:barChart>
        <c:barDir val="col"/>
        <c:grouping val="clustered"/>
        <c:ser>
          <c:idx val="0"/>
          <c:order val="0"/>
          <c:tx>
            <c:strRef>
              <c:f>Sheet1!$B$1</c:f>
              <c:strCache>
                <c:ptCount val="1"/>
                <c:pt idx="0">
                  <c:v>Suprafaţa  irigată (ha)</c:v>
                </c:pt>
              </c:strCache>
            </c:strRef>
          </c:tx>
          <c:spPr>
            <a:solidFill>
              <a:srgbClr val="9999FF"/>
            </a:solidFill>
            <a:ln w="10825">
              <a:solidFill>
                <a:srgbClr val="000000"/>
              </a:solidFill>
              <a:prstDash val="solid"/>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248</c:v>
                </c:pt>
                <c:pt idx="1">
                  <c:v>448</c:v>
                </c:pt>
                <c:pt idx="2">
                  <c:v>1128</c:v>
                </c:pt>
                <c:pt idx="3">
                  <c:v>2248</c:v>
                </c:pt>
                <c:pt idx="4">
                  <c:v>3332</c:v>
                </c:pt>
              </c:numCache>
            </c:numRef>
          </c:val>
        </c:ser>
        <c:axId val="166749312"/>
        <c:axId val="166750848"/>
      </c:barChart>
      <c:catAx>
        <c:axId val="166749312"/>
        <c:scaling>
          <c:orientation val="minMax"/>
        </c:scaling>
        <c:axPos val="b"/>
        <c:numFmt formatCode="General" sourceLinked="1"/>
        <c:tickLblPos val="nextTo"/>
        <c:crossAx val="166750848"/>
        <c:crosses val="autoZero"/>
        <c:auto val="1"/>
        <c:lblAlgn val="ctr"/>
        <c:lblOffset val="100"/>
      </c:catAx>
      <c:valAx>
        <c:axId val="166750848"/>
        <c:scaling>
          <c:orientation val="minMax"/>
        </c:scaling>
        <c:axPos val="l"/>
        <c:majorGridlines/>
        <c:numFmt formatCode="General" sourceLinked="1"/>
        <c:tickLblPos val="nextTo"/>
        <c:crossAx val="166749312"/>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drawings/drawing1.xml><?xml version="1.0" encoding="utf-8"?>
<c:userShapes xmlns:c="http://schemas.openxmlformats.org/drawingml/2006/chart">
  <cdr:relSizeAnchor xmlns:cdr="http://schemas.openxmlformats.org/drawingml/2006/chartDrawing">
    <cdr:from>
      <cdr:x>0</cdr:x>
      <cdr:y>0.11675</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656106"/>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rgbClr val="3366FF"/>
              </a:solidFill>
              <a:latin typeface="Tahoma"/>
              <a:ea typeface="Tahoma"/>
              <a:cs typeface="Tahoma"/>
            </a:rPr>
            <a:t>Stația BZ-1, SO2(µg/m3), 2014 -  Date validate orare </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0.11675</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656106"/>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rgbClr val="3366FF"/>
              </a:solidFill>
              <a:latin typeface="Tahoma"/>
              <a:ea typeface="Tahoma"/>
              <a:cs typeface="Tahoma"/>
            </a:rPr>
            <a:t>Statia BZ-1, SO2(µg/m3), 2014 - Date validate zilnice</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0.11675</cdr:y>
    </cdr:from>
    <cdr:to>
      <cdr:x>0.9855</cdr:x>
      <cdr:y>0.176</cdr:y>
    </cdr:to>
    <cdr:sp macro="" textlink="">
      <cdr:nvSpPr>
        <cdr:cNvPr id="1027" name="Casella"/>
        <cdr:cNvSpPr txBox="1">
          <a:spLocks xmlns:a="http://schemas.openxmlformats.org/drawingml/2006/main" noChangeArrowheads="1"/>
        </cdr:cNvSpPr>
      </cdr:nvSpPr>
      <cdr:spPr bwMode="auto">
        <a:xfrm xmlns:a="http://schemas.openxmlformats.org/drawingml/2006/main">
          <a:off x="0" y="656106"/>
          <a:ext cx="9077120" cy="33297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36576" bIns="0" anchor="t" upright="1"/>
        <a:lstStyle xmlns:a="http://schemas.openxmlformats.org/drawingml/2006/main"/>
        <a:p xmlns:a="http://schemas.openxmlformats.org/drawingml/2006/main">
          <a:pPr algn="ctr" rtl="0">
            <a:defRPr sz="1000"/>
          </a:pPr>
          <a:r>
            <a:rPr lang="ro-RO" sz="1200" b="1" i="0" u="none" strike="noStrike" baseline="0">
              <a:solidFill>
                <a:srgbClr val="3366FF"/>
              </a:solidFill>
              <a:latin typeface="Tahoma"/>
              <a:ea typeface="Tahoma"/>
              <a:cs typeface="Tahoma"/>
            </a:rPr>
            <a:t>Statia BZ-1, 2014 - Date validate zilnice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F5559-80C8-4B3D-A17D-32B1E645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244</Pages>
  <Words>64088</Words>
  <Characters>371716</Characters>
  <Application>Microsoft Office Word</Application>
  <DocSecurity>0</DocSecurity>
  <Lines>3097</Lines>
  <Paragraphs>869</Paragraphs>
  <ScaleCrop>false</ScaleCrop>
  <HeadingPairs>
    <vt:vector size="2" baseType="variant">
      <vt:variant>
        <vt:lpstr>Title</vt:lpstr>
      </vt:variant>
      <vt:variant>
        <vt:i4>1</vt:i4>
      </vt:variant>
    </vt:vector>
  </HeadingPairs>
  <TitlesOfParts>
    <vt:vector size="1" baseType="lpstr">
      <vt:lpstr>Nr</vt:lpstr>
    </vt:vector>
  </TitlesOfParts>
  <Company>Panasonic</Company>
  <LinksUpToDate>false</LinksUpToDate>
  <CharactersWithSpaces>434935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Panasonic</dc:creator>
  <cp:keywords/>
  <cp:lastModifiedBy>Oana.Neagu</cp:lastModifiedBy>
  <cp:revision>25</cp:revision>
  <cp:lastPrinted>2012-07-25T10:01:00Z</cp:lastPrinted>
  <dcterms:created xsi:type="dcterms:W3CDTF">2015-07-30T10:41:00Z</dcterms:created>
  <dcterms:modified xsi:type="dcterms:W3CDTF">2015-07-31T10:32:00Z</dcterms:modified>
</cp:coreProperties>
</file>