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32DE">
        <w:rPr>
          <w:rFonts w:ascii="Times New Roman" w:hAnsi="Times New Roman" w:cs="Times New Roman"/>
          <w:b/>
          <w:sz w:val="24"/>
          <w:szCs w:val="24"/>
        </w:rPr>
        <w:t>HOTARARE nr.</w:t>
      </w:r>
      <w:proofErr w:type="gramEnd"/>
      <w:r w:rsidRPr="001D32DE">
        <w:rPr>
          <w:rFonts w:ascii="Times New Roman" w:hAnsi="Times New Roman" w:cs="Times New Roman"/>
          <w:b/>
          <w:sz w:val="24"/>
          <w:szCs w:val="24"/>
        </w:rPr>
        <w:t xml:space="preserve"> 770 din 19 </w:t>
      </w:r>
      <w:proofErr w:type="spellStart"/>
      <w:r w:rsidRPr="001D32DE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Pr="001D32DE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(UE) nr. 649/2012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din 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risc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EMITENT:     GUVERNUL 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PUBLICAT IN: MONITORUL OFICIAL nr. 847 din 25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2016 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intrarii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(2),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(1), art. 24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25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195/2005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aprobata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completari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265/2006,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108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Constitutia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Guvernul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ART. 1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(UE) nr.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649/2012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din 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Jurnalul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(JOUE)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 nr. 201 din 27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2012,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(1)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Padurilor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paragraful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1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(2)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Agentia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Fiscala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Vamilor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Garda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Padurilor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control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paragraful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1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(3)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(2)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padurilor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finantelor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90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intrarii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(4)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. (2) au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Padurilor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data de 31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specificul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desemnata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furnizeaza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 (2).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(1)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contraventii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sanctioneaza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amenda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la 10.000 lei la 30.000 lei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: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1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35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primului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export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ulterior, cu 35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primului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export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aceluiasi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conform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pertinente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. (4)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60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dimensiunea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ambalajul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recipientelor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pesticide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(10)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circulatia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tranzit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eticheta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date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conform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(4)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lastRenderedPageBreak/>
        <w:t xml:space="preserve">    g)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export,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h)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date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(3)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contraventii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sanctioneaza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amenda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la 30.000 de lei la 50.000 de lei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: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export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anuala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data-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restrictionat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un stat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tert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(4)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exportul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(6)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indeplinite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exceptare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economic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expirarii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valabilitatii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(10)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inscriptiona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eticheta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pesticide,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climatice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zonei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geografice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importatoare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obligatiei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puritate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(11)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g)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interdictiei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interzisa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protejarii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oamenilor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;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h)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exportator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ambalarea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etichetarea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(1)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3)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(3)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contraventiilor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sanctiunilor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anume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imputernicit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Garzii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(4)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Contraventiilor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(2) le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Ordonantei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2/2001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contraventiilor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aprobata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completari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180/2002,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ART. 4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La data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intrarii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305/2007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304/2003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periculosi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publicata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I, nr.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226 din 3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2007, se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abroga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ART. 5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(4)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transmit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intrarii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ART. 6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intrarii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(3)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durabile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finantelor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egalitatii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 1.239/1.338/1.460/753/2007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periculosi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305/2007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(CE) nr.</w:t>
      </w:r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 xml:space="preserve">304/2003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importul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produsilor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chimici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periculosi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ART. 7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intra in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la 10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  PRIM-MINISTRU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DACIAN JULIEN CIOLOS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Contrasemneaza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: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  ---------------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padurilor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Cristiana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Palmer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Viceprim-ministru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comertului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Costin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Grigore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Borc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Achim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Irimescu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 Lazar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Comanescu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finantelor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 Anca Dana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Dragu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Vlad Vasile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Voiculescu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protectiei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sociale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varstnice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>,</w:t>
      </w: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Dragos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-Nicolae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Pislaru</w:t>
      </w:r>
      <w:proofErr w:type="spell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D32DE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, 19 </w:t>
      </w:r>
      <w:proofErr w:type="spellStart"/>
      <w:r w:rsidRPr="001D32DE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1D32DE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D32DE">
        <w:rPr>
          <w:rFonts w:ascii="Times New Roman" w:hAnsi="Times New Roman" w:cs="Times New Roman"/>
          <w:sz w:val="24"/>
          <w:szCs w:val="24"/>
        </w:rPr>
        <w:t>Nr. 770.</w:t>
      </w:r>
      <w:proofErr w:type="gramEnd"/>
    </w:p>
    <w:p w:rsidR="001D32DE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0B" w:rsidRPr="001D32DE" w:rsidRDefault="001D32DE" w:rsidP="001D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DE">
        <w:rPr>
          <w:rFonts w:ascii="Times New Roman" w:hAnsi="Times New Roman" w:cs="Times New Roman"/>
          <w:sz w:val="24"/>
          <w:szCs w:val="24"/>
        </w:rPr>
        <w:t xml:space="preserve">                              ----</w:t>
      </w:r>
    </w:p>
    <w:sectPr w:rsidR="000A2C0B" w:rsidRPr="001D32DE" w:rsidSect="001D32DE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DE"/>
    <w:rsid w:val="000A2C0B"/>
    <w:rsid w:val="001D32DE"/>
    <w:rsid w:val="002A6E20"/>
    <w:rsid w:val="00530415"/>
    <w:rsid w:val="00F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Doina Alexandru</dc:creator>
  <cp:lastModifiedBy>Oksana Doina Alexandru</cp:lastModifiedBy>
  <cp:revision>1</cp:revision>
  <dcterms:created xsi:type="dcterms:W3CDTF">2018-02-07T08:38:00Z</dcterms:created>
  <dcterms:modified xsi:type="dcterms:W3CDTF">2018-02-07T08:41:00Z</dcterms:modified>
</cp:coreProperties>
</file>