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98" w:rsidRPr="00504298" w:rsidRDefault="00504298" w:rsidP="005042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r w:rsidRPr="00504298">
        <w:rPr>
          <w:rFonts w:ascii="Arial" w:eastAsia="Calibri" w:hAnsi="Arial" w:cs="Arial"/>
          <w:b/>
          <w:sz w:val="24"/>
          <w:szCs w:val="24"/>
          <w:lang w:val="ro-RO"/>
        </w:rPr>
        <w:t>ANEXA Nr. 5U la procedură</w:t>
      </w:r>
    </w:p>
    <w:p w:rsidR="00504298" w:rsidRDefault="00EE216A" w:rsidP="00504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hyperlink r:id="rId4" w:tgtFrame="_blank" w:history="1">
        <w:r w:rsidR="00504298" w:rsidRPr="0050429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ro-RO"/>
          </w:rPr>
          <w:t>Anunț public privind emiterea actului de reglementare revizuit</w:t>
        </w:r>
        <w:r w:rsidR="00504298" w:rsidRPr="00504298">
          <w:rPr>
            <w:rFonts w:ascii="Times New Roman" w:eastAsia="Calibri" w:hAnsi="Times New Roman" w:cs="Times New Roman"/>
            <w:b/>
            <w:sz w:val="24"/>
            <w:szCs w:val="24"/>
            <w:lang w:val="ro-RO"/>
          </w:rPr>
          <w:br/>
        </w:r>
        <w:r w:rsidR="00504298" w:rsidRPr="0050429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ro-RO"/>
          </w:rPr>
          <w:t>(autoritatea competentă pentru protecția mediului)</w:t>
        </w:r>
      </w:hyperlink>
    </w:p>
    <w:p w:rsidR="00504298" w:rsidRPr="00504298" w:rsidRDefault="00504298" w:rsidP="005042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04298" w:rsidRDefault="00504298" w:rsidP="00504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04298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APM Giurgiu</w:t>
      </w: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anunță publicul interesat asupra luării deciziei etapei de încadrare revizuite pentru proiectul „Lucrări de abandonare aferente sondei 2058 Bălăria”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amplasat în extravilanul </w:t>
      </w:r>
      <w:proofErr w:type="spellStart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>com</w:t>
      </w:r>
      <w:proofErr w:type="spellEnd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>. Letca Nouă, jud. Giurgiu, titular S.C. OMV PETROM S.A.</w:t>
      </w:r>
    </w:p>
    <w:p w:rsidR="009712D2" w:rsidRDefault="00504298" w:rsidP="00504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Decizia autorității de mediu, precum și informațiile relevante pentru luarea deciziei pot fi consultate la sediul APM Giurgiu, </w:t>
      </w:r>
      <w:proofErr w:type="spellStart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>șos</w:t>
      </w:r>
      <w:proofErr w:type="spellEnd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București, bl. 111, sc A+B, jud. Giurgiu și la sediul S.C. OMV PETROM S.A., cu sediul în mun. București, se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ctor 1, str. Coralilor , nr. 22</w:t>
      </w: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în zilele de luni – joi între orele 9,00 – 14,00 </w:t>
      </w:r>
      <w:proofErr w:type="spellStart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vineri de la 9,00 – 12,00, precum și la următoarea</w:t>
      </w:r>
      <w:r w:rsidR="009712D2" w:rsidRPr="009712D2">
        <w:t xml:space="preserve"> </w:t>
      </w:r>
      <w:r w:rsidR="009712D2" w:rsidRPr="009712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adresă de internet </w:t>
      </w:r>
      <w:hyperlink r:id="rId5" w:history="1">
        <w:r w:rsidR="009712D2" w:rsidRPr="006E5DB0">
          <w:rPr>
            <w:rStyle w:val="Hyperlink"/>
            <w:rFonts w:ascii="Times New Roman" w:eastAsia="Calibri" w:hAnsi="Times New Roman" w:cs="Times New Roman"/>
            <w:sz w:val="24"/>
            <w:szCs w:val="24"/>
            <w:lang w:val="ro-RO"/>
          </w:rPr>
          <w:t>www.apmgr.anpm.ro</w:t>
        </w:r>
      </w:hyperlink>
      <w:r w:rsidR="009712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:rsidR="00504298" w:rsidRPr="00504298" w:rsidRDefault="00504298" w:rsidP="00504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Observațiile/contestațiile publicului se primesc la sediul </w:t>
      </w:r>
      <w:r w:rsidR="009712D2" w:rsidRPr="009712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APM Giurgiu, </w:t>
      </w:r>
      <w:proofErr w:type="spellStart"/>
      <w:r w:rsidR="009712D2" w:rsidRPr="009712D2">
        <w:rPr>
          <w:rFonts w:ascii="Times New Roman" w:eastAsia="Calibri" w:hAnsi="Times New Roman" w:cs="Times New Roman"/>
          <w:sz w:val="24"/>
          <w:szCs w:val="24"/>
          <w:lang w:val="ro-RO"/>
        </w:rPr>
        <w:t>șos</w:t>
      </w:r>
      <w:proofErr w:type="spellEnd"/>
      <w:r w:rsidR="009712D2" w:rsidRPr="009712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București, bl. 111, sc A+B, jud. Giurgiu</w:t>
      </w:r>
      <w:r w:rsidRPr="00504298">
        <w:rPr>
          <w:rFonts w:ascii="Times New Roman" w:eastAsia="Calibri" w:hAnsi="Times New Roman" w:cs="Times New Roman"/>
          <w:sz w:val="24"/>
          <w:szCs w:val="24"/>
          <w:lang w:val="ro-RO"/>
        </w:rPr>
        <w:t>, în termen de 10 zile de la afișare</w:t>
      </w:r>
      <w:r w:rsidR="009712D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110"/>
        <w:gridCol w:w="1745"/>
        <w:gridCol w:w="1745"/>
      </w:tblGrid>
      <w:tr w:rsidR="00504298" w:rsidRPr="00504298" w:rsidTr="0050429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298" w:rsidRPr="00504298" w:rsidRDefault="00504298" w:rsidP="0050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298" w:rsidRPr="00504298" w:rsidRDefault="00504298" w:rsidP="0050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298" w:rsidRPr="00504298" w:rsidRDefault="00504298" w:rsidP="0050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D42" w:rsidRDefault="00896D42"/>
    <w:p w:rsidR="009712D2" w:rsidRDefault="00EE216A">
      <w:r>
        <w:rPr>
          <w:highlight w:val="yellow"/>
        </w:rPr>
        <w:t>09</w:t>
      </w:r>
      <w:r w:rsidR="009712D2">
        <w:rPr>
          <w:highlight w:val="yellow"/>
        </w:rPr>
        <w:t>.0</w:t>
      </w:r>
      <w:r>
        <w:rPr>
          <w:highlight w:val="yellow"/>
        </w:rPr>
        <w:t>5</w:t>
      </w:r>
      <w:bookmarkStart w:id="0" w:name="_GoBack"/>
      <w:bookmarkEnd w:id="0"/>
      <w:r w:rsidR="009712D2">
        <w:rPr>
          <w:highlight w:val="yellow"/>
        </w:rPr>
        <w:t>.2023</w:t>
      </w:r>
    </w:p>
    <w:sectPr w:rsidR="0097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7"/>
    <w:rsid w:val="003328B7"/>
    <w:rsid w:val="00504298"/>
    <w:rsid w:val="00896D42"/>
    <w:rsid w:val="009712D2"/>
    <w:rsid w:val="00E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BCE7"/>
  <w15:chartTrackingRefBased/>
  <w15:docId w15:val="{CE340F51-A408-4A8D-B8C6-DE71580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1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hyperlink" Target="https://lege5.ro/Gratuit/gmytenbvhezq/anunt-public-privind-emiterea-actului-de-reglement-lege-292-2018-anexa-nr-5-anexa-nr-5u-la-procedura?dp=gi3tkmjwha4dioa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Radoi</dc:creator>
  <cp:keywords/>
  <dc:description/>
  <cp:lastModifiedBy>Iuliana Radoi</cp:lastModifiedBy>
  <cp:revision>4</cp:revision>
  <dcterms:created xsi:type="dcterms:W3CDTF">2023-04-24T12:05:00Z</dcterms:created>
  <dcterms:modified xsi:type="dcterms:W3CDTF">2023-05-09T09:42:00Z</dcterms:modified>
</cp:coreProperties>
</file>